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before="156" w:beforeLines="50" w:line="400" w:lineRule="atLeast"/>
        <w:rPr>
          <w:rFonts w:ascii="仿宋_GB2312" w:hAnsi="华文中宋" w:eastAsia="仿宋_GB2312"/>
          <w:bCs/>
          <w:sz w:val="30"/>
        </w:rPr>
      </w:pPr>
      <w:bookmarkStart w:id="152" w:name="_GoBack"/>
      <w:bookmarkEnd w:id="152"/>
    </w:p>
    <w:p>
      <w:pPr>
        <w:spacing w:line="500" w:lineRule="exact"/>
        <w:jc w:val="center"/>
        <w:rPr>
          <w:rFonts w:eastAsia="黑体"/>
          <w:b/>
          <w:sz w:val="32"/>
        </w:rPr>
      </w:pPr>
    </w:p>
    <w:p>
      <w:pPr>
        <w:spacing w:line="360" w:lineRule="auto"/>
        <w:jc w:val="center"/>
        <w:rPr>
          <w:rFonts w:eastAsia="黑体"/>
          <w:sz w:val="34"/>
        </w:rPr>
      </w:pPr>
      <w:r>
        <w:rPr>
          <w:rFonts w:hint="eastAsia" w:hAnsi="宋体"/>
          <w:kern w:val="0"/>
        </w:rPr>
        <w:t xml:space="preserve"> </w:t>
      </w:r>
      <w:bookmarkStart w:id="0" w:name="_MON_1064953734"/>
      <w:bookmarkEnd w:id="0"/>
      <w:bookmarkStart w:id="1" w:name="_MON_1065102613"/>
      <w:bookmarkEnd w:id="1"/>
      <w:r>
        <w:rPr>
          <w:rFonts w:hAnsi="宋体"/>
          <w:kern w:val="0"/>
        </w:rPr>
        <w:object>
          <v:shape id="_x0000_i1025" o:spt="75" type="#_x0000_t75" style="height:46.15pt;width:206.15pt;" o:ole="t" filled="t" o:preferrelative="t" stroked="f" coordsize="21600,21600">
            <v:path/>
            <v:fill on="t" focussize="0,0"/>
            <v:stroke on="f" joinstyle="miter"/>
            <v:imagedata r:id="rId20" o:title=""/>
            <o:lock v:ext="edit" aspectratio="t"/>
            <w10:wrap type="none"/>
            <w10:anchorlock/>
          </v:shape>
          <o:OLEObject Type="Embed" ProgID="Word.Picture.8" ShapeID="_x0000_i1025" DrawAspect="Content" ObjectID="_1468075725" r:id="rId19">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spacing w:line="360" w:lineRule="auto"/>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本科生毕业设计[论文]</w:t>
      </w:r>
    </w:p>
    <w:p>
      <w:pPr>
        <w:adjustRightInd w:val="0"/>
        <w:snapToGrid w:val="0"/>
        <w:spacing w:line="264" w:lineRule="auto"/>
        <w:rPr>
          <w:rFonts w:eastAsia="华文中宋"/>
          <w:b/>
          <w:bCs/>
          <w:spacing w:val="12"/>
          <w:sz w:val="52"/>
          <w:szCs w:val="32"/>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eastAsia" w:ascii="黑体" w:hAnsi="黑体" w:eastAsia="黑体" w:cs="黑体"/>
          <w:b/>
          <w:bCs/>
          <w:spacing w:val="12"/>
          <w:sz w:val="44"/>
          <w:szCs w:val="44"/>
        </w:rPr>
      </w:pPr>
      <w:bookmarkStart w:id="2" w:name="_Hlk100184124"/>
      <w:r>
        <w:rPr>
          <w:rFonts w:hint="eastAsia" w:ascii="黑体" w:hAnsi="黑体" w:eastAsia="黑体" w:cs="黑体"/>
          <w:b/>
          <w:bCs/>
          <w:spacing w:val="12"/>
          <w:sz w:val="44"/>
          <w:szCs w:val="44"/>
        </w:rPr>
        <w:t>领导干部自然资源资产离任审计影响企业绿色技术创新的研究</w:t>
      </w:r>
    </w:p>
    <w:bookmarkEnd w:id="2"/>
    <w:p>
      <w:pPr>
        <w:adjustRightInd w:val="0"/>
        <w:snapToGrid w:val="0"/>
        <w:spacing w:line="264" w:lineRule="auto"/>
        <w:rPr>
          <w:rFonts w:eastAsia="华文中宋"/>
          <w:b/>
          <w:bCs/>
          <w:spacing w:val="12"/>
          <w:sz w:val="52"/>
          <w:szCs w:val="32"/>
        </w:rPr>
      </w:pPr>
    </w:p>
    <w:tbl>
      <w:tblPr>
        <w:tblStyle w:val="14"/>
        <w:tblpPr w:leftFromText="181" w:rightFromText="181" w:vertAnchor="page" w:horzAnchor="margin" w:tblpXSpec="center" w:tblpY="8097"/>
        <w:tblOverlap w:val="never"/>
        <w:tblW w:w="5353" w:type="dxa"/>
        <w:tblInd w:w="0" w:type="dxa"/>
        <w:tblLayout w:type="fixed"/>
        <w:tblCellMar>
          <w:top w:w="0" w:type="dxa"/>
          <w:left w:w="108" w:type="dxa"/>
          <w:bottom w:w="0" w:type="dxa"/>
          <w:right w:w="108" w:type="dxa"/>
        </w:tblCellMar>
      </w:tblPr>
      <w:tblGrid>
        <w:gridCol w:w="1560"/>
        <w:gridCol w:w="3793"/>
      </w:tblGrid>
      <w:tr>
        <w:tblPrEx>
          <w:tblCellMar>
            <w:top w:w="0" w:type="dxa"/>
            <w:left w:w="108" w:type="dxa"/>
            <w:bottom w:w="0" w:type="dxa"/>
            <w:right w:w="108" w:type="dxa"/>
          </w:tblCellMar>
        </w:tblPrEx>
        <w:trPr>
          <w:trHeight w:val="851" w:hRule="exact"/>
        </w:trPr>
        <w:tc>
          <w:tcPr>
            <w:tcW w:w="1560" w:type="dxa"/>
            <w:shd w:val="clear" w:color="auto" w:fill="auto"/>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院    系</w:t>
            </w:r>
          </w:p>
        </w:tc>
        <w:tc>
          <w:tcPr>
            <w:tcW w:w="3793" w:type="dxa"/>
            <w:tcBorders>
              <w:bottom w:val="single" w:color="auto" w:sz="4" w:space="0"/>
            </w:tcBorders>
            <w:shd w:val="clear" w:color="auto" w:fill="auto"/>
            <w:vAlign w:val="bottom"/>
          </w:tcPr>
          <w:p>
            <w:pPr>
              <w:jc w:val="center"/>
              <w:rPr>
                <w:rFonts w:ascii="华文中宋" w:hAnsi="华文中宋" w:eastAsia="华文中宋"/>
                <w:kern w:val="0"/>
                <w:sz w:val="32"/>
                <w:szCs w:val="32"/>
              </w:rPr>
            </w:pPr>
            <w:r>
              <w:rPr>
                <w:rFonts w:hint="eastAsia" w:ascii="华文中宋" w:hAnsi="华文中宋" w:eastAsia="华文中宋"/>
                <w:kern w:val="0"/>
                <w:sz w:val="32"/>
                <w:szCs w:val="32"/>
              </w:rPr>
              <w:t>管理学院</w:t>
            </w:r>
          </w:p>
        </w:tc>
      </w:tr>
      <w:tr>
        <w:tblPrEx>
          <w:tblCellMar>
            <w:top w:w="0" w:type="dxa"/>
            <w:left w:w="108" w:type="dxa"/>
            <w:bottom w:w="0" w:type="dxa"/>
            <w:right w:w="108" w:type="dxa"/>
          </w:tblCellMar>
        </w:tblPrEx>
        <w:trPr>
          <w:trHeight w:val="851" w:hRule="exact"/>
        </w:trPr>
        <w:tc>
          <w:tcPr>
            <w:tcW w:w="1560" w:type="dxa"/>
            <w:shd w:val="clear" w:color="auto" w:fill="auto"/>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专业班级</w:t>
            </w:r>
          </w:p>
        </w:tc>
        <w:tc>
          <w:tcPr>
            <w:tcW w:w="3793" w:type="dxa"/>
            <w:tcBorders>
              <w:top w:val="single" w:color="auto" w:sz="4" w:space="0"/>
              <w:bottom w:val="single" w:color="auto" w:sz="4" w:space="0"/>
            </w:tcBorders>
            <w:shd w:val="clear" w:color="auto" w:fill="auto"/>
            <w:vAlign w:val="bottom"/>
          </w:tcPr>
          <w:p>
            <w:pPr>
              <w:jc w:val="center"/>
              <w:rPr>
                <w:rFonts w:ascii="华文中宋" w:hAnsi="华文中宋" w:eastAsia="华文中宋"/>
                <w:kern w:val="0"/>
                <w:sz w:val="32"/>
                <w:szCs w:val="32"/>
              </w:rPr>
            </w:pPr>
            <w:r>
              <w:rPr>
                <w:rFonts w:hint="eastAsia" w:ascii="华文中宋" w:hAnsi="华文中宋" w:eastAsia="华文中宋"/>
                <w:kern w:val="0"/>
                <w:sz w:val="32"/>
                <w:szCs w:val="32"/>
              </w:rPr>
              <w:t>会计学201802班</w:t>
            </w:r>
          </w:p>
        </w:tc>
      </w:tr>
      <w:tr>
        <w:tblPrEx>
          <w:tblCellMar>
            <w:top w:w="0" w:type="dxa"/>
            <w:left w:w="108" w:type="dxa"/>
            <w:bottom w:w="0" w:type="dxa"/>
            <w:right w:w="108" w:type="dxa"/>
          </w:tblCellMar>
        </w:tblPrEx>
        <w:trPr>
          <w:trHeight w:val="851" w:hRule="exact"/>
        </w:trPr>
        <w:tc>
          <w:tcPr>
            <w:tcW w:w="1560" w:type="dxa"/>
            <w:shd w:val="clear" w:color="auto" w:fill="auto"/>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姓    名</w:t>
            </w:r>
          </w:p>
        </w:tc>
        <w:tc>
          <w:tcPr>
            <w:tcW w:w="3793" w:type="dxa"/>
            <w:tcBorders>
              <w:top w:val="single" w:color="auto" w:sz="4" w:space="0"/>
              <w:bottom w:val="single" w:color="auto" w:sz="4" w:space="0"/>
            </w:tcBorders>
            <w:shd w:val="clear" w:color="auto" w:fill="auto"/>
            <w:vAlign w:val="bottom"/>
          </w:tcPr>
          <w:p>
            <w:pPr>
              <w:jc w:val="center"/>
              <w:rPr>
                <w:rFonts w:ascii="华文中宋" w:hAnsi="华文中宋" w:eastAsia="华文中宋"/>
                <w:kern w:val="0"/>
                <w:sz w:val="32"/>
                <w:szCs w:val="32"/>
              </w:rPr>
            </w:pPr>
            <w:r>
              <w:rPr>
                <w:rFonts w:hint="eastAsia" w:ascii="华文中宋" w:hAnsi="华文中宋" w:eastAsia="华文中宋"/>
                <w:kern w:val="0"/>
                <w:sz w:val="32"/>
                <w:szCs w:val="32"/>
              </w:rPr>
              <w:t>李欣悦</w:t>
            </w:r>
          </w:p>
        </w:tc>
      </w:tr>
      <w:tr>
        <w:tblPrEx>
          <w:tblCellMar>
            <w:top w:w="0" w:type="dxa"/>
            <w:left w:w="108" w:type="dxa"/>
            <w:bottom w:w="0" w:type="dxa"/>
            <w:right w:w="108" w:type="dxa"/>
          </w:tblCellMar>
        </w:tblPrEx>
        <w:trPr>
          <w:trHeight w:val="851" w:hRule="exact"/>
        </w:trPr>
        <w:tc>
          <w:tcPr>
            <w:tcW w:w="1560" w:type="dxa"/>
            <w:shd w:val="clear" w:color="auto" w:fill="auto"/>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学    号</w:t>
            </w:r>
          </w:p>
        </w:tc>
        <w:tc>
          <w:tcPr>
            <w:tcW w:w="3793" w:type="dxa"/>
            <w:tcBorders>
              <w:top w:val="single" w:color="auto" w:sz="4" w:space="0"/>
              <w:bottom w:val="single" w:color="auto" w:sz="4" w:space="0"/>
            </w:tcBorders>
            <w:shd w:val="clear" w:color="auto" w:fill="auto"/>
            <w:vAlign w:val="bottom"/>
          </w:tcPr>
          <w:p>
            <w:pPr>
              <w:jc w:val="center"/>
              <w:rPr>
                <w:rFonts w:ascii="华文中宋" w:hAnsi="华文中宋" w:eastAsia="华文中宋"/>
                <w:kern w:val="0"/>
                <w:sz w:val="32"/>
                <w:szCs w:val="32"/>
              </w:rPr>
            </w:pPr>
            <w:r>
              <w:rPr>
                <w:rFonts w:hint="eastAsia" w:ascii="华文中宋" w:hAnsi="华文中宋" w:eastAsia="华文中宋"/>
                <w:kern w:val="0"/>
                <w:sz w:val="32"/>
                <w:szCs w:val="32"/>
              </w:rPr>
              <w:t>U201815564</w:t>
            </w:r>
          </w:p>
        </w:tc>
      </w:tr>
      <w:tr>
        <w:tblPrEx>
          <w:tblCellMar>
            <w:top w:w="0" w:type="dxa"/>
            <w:left w:w="108" w:type="dxa"/>
            <w:bottom w:w="0" w:type="dxa"/>
            <w:right w:w="108" w:type="dxa"/>
          </w:tblCellMar>
        </w:tblPrEx>
        <w:trPr>
          <w:trHeight w:val="851" w:hRule="exact"/>
        </w:trPr>
        <w:tc>
          <w:tcPr>
            <w:tcW w:w="1560" w:type="dxa"/>
            <w:shd w:val="clear" w:color="auto" w:fill="auto"/>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指导教师</w:t>
            </w:r>
          </w:p>
        </w:tc>
        <w:tc>
          <w:tcPr>
            <w:tcW w:w="3793" w:type="dxa"/>
            <w:tcBorders>
              <w:top w:val="single" w:color="auto" w:sz="4" w:space="0"/>
              <w:bottom w:val="single" w:color="auto" w:sz="4" w:space="0"/>
            </w:tcBorders>
            <w:shd w:val="clear" w:color="auto" w:fill="auto"/>
            <w:vAlign w:val="bottom"/>
          </w:tcPr>
          <w:p>
            <w:pPr>
              <w:jc w:val="center"/>
              <w:rPr>
                <w:rFonts w:ascii="华文中宋" w:hAnsi="华文中宋" w:eastAsia="华文中宋"/>
                <w:kern w:val="0"/>
                <w:sz w:val="32"/>
                <w:szCs w:val="32"/>
              </w:rPr>
            </w:pPr>
            <w:r>
              <w:rPr>
                <w:rFonts w:ascii="华文中宋" w:hAnsi="华文中宋" w:eastAsia="华文中宋"/>
                <w:kern w:val="0"/>
                <w:sz w:val="32"/>
                <w:szCs w:val="32"/>
              </w:rPr>
              <w:t>杨清香</w:t>
            </w:r>
          </w:p>
        </w:tc>
      </w:tr>
    </w:tbl>
    <w:p>
      <w:pPr>
        <w:spacing w:line="720" w:lineRule="auto"/>
        <w:jc w:val="center"/>
        <w:rPr>
          <w:rFonts w:ascii="华文中宋" w:hAnsi="华文中宋" w:eastAsia="华文中宋"/>
          <w:kern w:val="0"/>
          <w:sz w:val="32"/>
          <w:szCs w:val="32"/>
        </w:rPr>
      </w:pPr>
    </w:p>
    <w:p>
      <w:pPr>
        <w:jc w:val="center"/>
        <w:rPr>
          <w:rFonts w:ascii="华文中宋" w:hAnsi="华文中宋" w:eastAsia="华文中宋"/>
          <w:bCs/>
          <w:kern w:val="0"/>
          <w:sz w:val="32"/>
          <w:szCs w:val="32"/>
        </w:rPr>
      </w:pPr>
    </w:p>
    <w:p>
      <w:pPr>
        <w:spacing w:line="360" w:lineRule="auto"/>
        <w:jc w:val="center"/>
        <w:rPr>
          <w:rFonts w:ascii="华文中宋" w:hAnsi="华文中宋" w:eastAsia="华文中宋"/>
          <w:bCs/>
          <w:kern w:val="0"/>
          <w:sz w:val="32"/>
          <w:szCs w:val="32"/>
        </w:rPr>
      </w:pPr>
    </w:p>
    <w:p>
      <w:pPr>
        <w:spacing w:line="360" w:lineRule="auto"/>
        <w:jc w:val="center"/>
        <w:rPr>
          <w:rFonts w:ascii="华文中宋" w:hAnsi="华文中宋" w:eastAsia="华文中宋"/>
          <w:bCs/>
          <w:kern w:val="0"/>
          <w:sz w:val="32"/>
          <w:szCs w:val="32"/>
        </w:rPr>
      </w:pPr>
    </w:p>
    <w:p>
      <w:pPr>
        <w:spacing w:line="360" w:lineRule="auto"/>
        <w:jc w:val="center"/>
        <w:rPr>
          <w:rFonts w:ascii="华文中宋" w:hAnsi="华文中宋" w:eastAsia="华文中宋"/>
          <w:bCs/>
          <w:kern w:val="0"/>
          <w:sz w:val="32"/>
          <w:szCs w:val="32"/>
        </w:rPr>
      </w:pPr>
    </w:p>
    <w:p>
      <w:pPr>
        <w:spacing w:line="360" w:lineRule="auto"/>
        <w:jc w:val="center"/>
        <w:rPr>
          <w:rFonts w:ascii="华文中宋" w:hAnsi="华文中宋" w:eastAsia="华文中宋"/>
          <w:bCs/>
          <w:kern w:val="0"/>
          <w:sz w:val="32"/>
          <w:szCs w:val="32"/>
        </w:rPr>
      </w:pPr>
    </w:p>
    <w:p>
      <w:pPr>
        <w:spacing w:line="360" w:lineRule="auto"/>
        <w:jc w:val="center"/>
        <w:rPr>
          <w:rFonts w:ascii="华文中宋" w:hAnsi="华文中宋" w:eastAsia="华文中宋"/>
          <w:bCs/>
          <w:kern w:val="0"/>
          <w:sz w:val="32"/>
          <w:szCs w:val="32"/>
        </w:rPr>
      </w:pPr>
    </w:p>
    <w:p>
      <w:pPr>
        <w:spacing w:line="360" w:lineRule="auto"/>
        <w:jc w:val="center"/>
        <w:rPr>
          <w:rFonts w:ascii="黑体" w:hAnsi="黑体" w:eastAsia="黑体"/>
          <w:bCs/>
          <w:color w:val="FF0000"/>
          <w:sz w:val="36"/>
          <w:szCs w:val="36"/>
        </w:rPr>
      </w:pPr>
      <w:r>
        <w:rPr>
          <w:rFonts w:hint="eastAsia" w:ascii="华文中宋" w:hAnsi="华文中宋" w:eastAsia="华文中宋"/>
          <w:bCs/>
          <w:kern w:val="0"/>
          <w:sz w:val="32"/>
          <w:szCs w:val="32"/>
        </w:rPr>
        <w:t>2</w:t>
      </w:r>
      <w:r>
        <w:rPr>
          <w:rFonts w:ascii="华文中宋" w:hAnsi="华文中宋" w:eastAsia="华文中宋"/>
          <w:bCs/>
          <w:kern w:val="0"/>
          <w:sz w:val="32"/>
          <w:szCs w:val="32"/>
        </w:rPr>
        <w:t>022</w:t>
      </w:r>
      <w:r>
        <w:rPr>
          <w:rFonts w:hint="eastAsia" w:ascii="华文中宋" w:hAnsi="华文中宋" w:eastAsia="华文中宋"/>
          <w:bCs/>
          <w:kern w:val="0"/>
          <w:sz w:val="32"/>
          <w:szCs w:val="32"/>
        </w:rPr>
        <w:t>年</w:t>
      </w:r>
      <w:r>
        <w:rPr>
          <w:rFonts w:ascii="华文中宋" w:hAnsi="华文中宋" w:eastAsia="华文中宋"/>
          <w:bCs/>
          <w:kern w:val="0"/>
          <w:sz w:val="32"/>
          <w:szCs w:val="32"/>
        </w:rPr>
        <w:t>6</w:t>
      </w:r>
      <w:r>
        <w:rPr>
          <w:rFonts w:hint="eastAsia" w:ascii="华文中宋" w:hAnsi="华文中宋" w:eastAsia="华文中宋"/>
          <w:bCs/>
          <w:kern w:val="0"/>
          <w:sz w:val="32"/>
          <w:szCs w:val="32"/>
        </w:rPr>
        <w:t>月</w:t>
      </w:r>
      <w:r>
        <w:rPr>
          <w:rFonts w:ascii="华文中宋" w:hAnsi="华文中宋" w:eastAsia="华文中宋"/>
          <w:bCs/>
          <w:kern w:val="0"/>
          <w:sz w:val="32"/>
          <w:szCs w:val="32"/>
        </w:rPr>
        <w:t>1</w:t>
      </w:r>
      <w:r>
        <w:rPr>
          <w:rFonts w:hint="eastAsia" w:ascii="华文中宋" w:hAnsi="华文中宋" w:eastAsia="华文中宋"/>
          <w:bCs/>
          <w:kern w:val="0"/>
          <w:sz w:val="32"/>
          <w:szCs w:val="32"/>
        </w:rPr>
        <w:t>日</w:t>
      </w:r>
    </w:p>
    <w:p>
      <w:pPr>
        <w:ind w:firstLine="4160" w:firstLineChars="1300"/>
        <w:rPr>
          <w:rFonts w:ascii="华文中宋" w:hAnsi="华文中宋" w:eastAsia="华文中宋"/>
          <w:bCs/>
          <w:kern w:val="0"/>
          <w:sz w:val="32"/>
          <w:szCs w:val="32"/>
        </w:rPr>
      </w:pPr>
    </w:p>
    <w:p/>
    <w:p>
      <w:pPr>
        <w:widowControl/>
        <w:jc w:val="left"/>
        <w:outlineLvl w:val="1"/>
        <w:rPr>
          <w:b/>
          <w:bCs/>
          <w:sz w:val="28"/>
          <w:szCs w:val="30"/>
        </w:rPr>
      </w:pPr>
      <w:r>
        <w:rPr>
          <w:b/>
          <w:bCs/>
          <w:sz w:val="28"/>
          <w:szCs w:val="30"/>
        </w:rPr>
        <w:br w:type="page"/>
      </w:r>
    </w:p>
    <w:p>
      <w:pPr>
        <w:outlineLvl w:val="1"/>
        <w:rPr>
          <w:b/>
          <w:bCs/>
          <w:sz w:val="28"/>
          <w:szCs w:val="30"/>
        </w:rPr>
        <w:sectPr>
          <w:headerReference r:id="rId3" w:type="default"/>
          <w:headerReference r:id="rId4" w:type="even"/>
          <w:type w:val="nextColumn"/>
          <w:pgSz w:w="11906" w:h="16838"/>
          <w:pgMar w:top="1418" w:right="1701" w:bottom="1134" w:left="1701" w:header="851" w:footer="992" w:gutter="0"/>
          <w:cols w:space="720" w:num="1"/>
          <w:titlePg/>
          <w:docGrid w:type="lines" w:linePitch="312" w:charSpace="0"/>
        </w:sect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学位论文原创性声明</w:t>
      </w:r>
    </w:p>
    <w:p>
      <w:pPr>
        <w:spacing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spacing w:before="312" w:beforeLines="100" w:line="360" w:lineRule="auto"/>
        <w:jc w:val="center"/>
        <w:rPr>
          <w:b/>
          <w:bCs/>
          <w:sz w:val="40"/>
          <w:szCs w:val="36"/>
        </w:r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学位论文版权使用授权书</w:t>
      </w:r>
    </w:p>
    <w:p>
      <w:pPr>
        <w:spacing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rPr>
      </w:pPr>
      <w:r>
        <w:rPr>
          <w:sz w:val="24"/>
          <w:szCs w:val="21"/>
        </w:rPr>
        <w:t>本学位论文属于</w:t>
      </w:r>
      <w:r>
        <w:rPr>
          <w:rFonts w:hint="eastAsia"/>
          <w:sz w:val="24"/>
          <w:szCs w:val="21"/>
        </w:rPr>
        <w:t xml:space="preserve"> </w:t>
      </w:r>
      <w:r>
        <w:rPr>
          <w:sz w:val="24"/>
          <w:szCs w:val="21"/>
        </w:rPr>
        <w:t>1、保密囗，在    年解密后适用本授权书</w:t>
      </w:r>
    </w:p>
    <w:p>
      <w:pPr>
        <w:spacing w:line="360" w:lineRule="auto"/>
        <w:ind w:firstLine="2280" w:firstLineChars="950"/>
        <w:rPr>
          <w:sz w:val="24"/>
          <w:szCs w:val="21"/>
        </w:rPr>
      </w:pPr>
      <w:r>
        <w:rPr>
          <w:sz w:val="24"/>
          <w:szCs w:val="21"/>
        </w:rPr>
        <w:t>2、不保密囗  。</w:t>
      </w:r>
    </w:p>
    <w:p>
      <w:pPr>
        <w:spacing w:line="360" w:lineRule="auto"/>
        <w:ind w:firstLine="2160" w:firstLineChars="900"/>
        <w:rPr>
          <w:sz w:val="24"/>
          <w:szCs w:val="21"/>
        </w:rPr>
      </w:pPr>
      <w:r>
        <w:rPr>
          <w:sz w:val="24"/>
          <w:szCs w:val="21"/>
        </w:rPr>
        <w:t>（请在以上相应方框内打“√”）</w:t>
      </w: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wordWrap w:val="0"/>
        <w:spacing w:line="360" w:lineRule="auto"/>
        <w:jc w:val="right"/>
        <w:rPr>
          <w:sz w:val="24"/>
        </w:rPr>
      </w:pPr>
      <w:r>
        <w:rPr>
          <w:sz w:val="24"/>
        </w:rPr>
        <w:t xml:space="preserve">导师签名：   </w:t>
      </w:r>
      <w:r>
        <w:rPr>
          <w:rFonts w:hint="eastAsia"/>
          <w:sz w:val="24"/>
        </w:rPr>
        <w:t xml:space="preserve">    </w:t>
      </w:r>
      <w:r>
        <w:rPr>
          <w:sz w:val="24"/>
        </w:rPr>
        <w:t xml:space="preserve">      年   月    日</w:t>
      </w:r>
    </w:p>
    <w:p>
      <w:pPr>
        <w:rPr>
          <w:rFonts w:eastAsia="黑体"/>
          <w:b/>
          <w:sz w:val="36"/>
          <w:szCs w:val="36"/>
        </w:rPr>
        <w:sectPr>
          <w:headerReference r:id="rId5" w:type="default"/>
          <w:footerReference r:id="rId6" w:type="default"/>
          <w:type w:val="nextColumn"/>
          <w:pgSz w:w="11906" w:h="16838"/>
          <w:pgMar w:top="1418" w:right="1701" w:bottom="1134" w:left="1701" w:header="851" w:footer="992" w:gutter="0"/>
          <w:pgNumType w:fmt="upperRoman" w:start="1"/>
          <w:cols w:space="720" w:num="1"/>
          <w:docGrid w:type="lines" w:linePitch="312" w:charSpace="0"/>
        </w:sectPr>
      </w:pPr>
      <w:r>
        <w:rPr>
          <w:rFonts w:eastAsia="黑体"/>
          <w:b/>
          <w:sz w:val="36"/>
          <w:szCs w:val="36"/>
        </w:rPr>
        <w:br w:type="page"/>
      </w:r>
    </w:p>
    <w:p>
      <w:pPr>
        <w:spacing w:before="156" w:beforeLines="50" w:after="156" w:afterLines="50"/>
        <w:jc w:val="center"/>
        <w:outlineLvl w:val="0"/>
        <w:rPr>
          <w:rFonts w:eastAsia="黑体"/>
          <w:sz w:val="36"/>
          <w:szCs w:val="36"/>
        </w:rPr>
      </w:pPr>
      <w:bookmarkStart w:id="3" w:name="_Toc104375918"/>
      <w:bookmarkStart w:id="4" w:name="_Toc100181825"/>
      <w:bookmarkStart w:id="5" w:name="_Toc25233"/>
      <w:r>
        <w:rPr>
          <w:rFonts w:hint="eastAsia" w:eastAsia="黑体"/>
          <w:b/>
          <w:sz w:val="36"/>
          <w:szCs w:val="36"/>
        </w:rPr>
        <w:t xml:space="preserve">摘 </w:t>
      </w:r>
      <w:r>
        <w:rPr>
          <w:rFonts w:eastAsia="黑体"/>
          <w:b/>
          <w:sz w:val="36"/>
          <w:szCs w:val="36"/>
        </w:rPr>
        <w:t xml:space="preserve"> </w:t>
      </w:r>
      <w:r>
        <w:rPr>
          <w:rFonts w:hint="eastAsia" w:eastAsia="黑体"/>
          <w:b/>
          <w:sz w:val="36"/>
          <w:szCs w:val="36"/>
        </w:rPr>
        <w:t>要</w:t>
      </w:r>
      <w:bookmarkEnd w:id="3"/>
      <w:bookmarkEnd w:id="4"/>
      <w:bookmarkEnd w:id="5"/>
    </w:p>
    <w:p>
      <w:pPr>
        <w:spacing w:line="360" w:lineRule="auto"/>
        <w:ind w:firstLine="480" w:firstLineChars="200"/>
        <w:rPr>
          <w:rFonts w:ascii="宋体" w:hAnsi="宋体"/>
          <w:sz w:val="24"/>
        </w:rPr>
      </w:pPr>
      <w:r>
        <w:rPr>
          <w:rFonts w:hint="eastAsia" w:ascii="宋体" w:hAnsi="宋体"/>
          <w:sz w:val="24"/>
        </w:rPr>
        <w:t>过去粗放的高污染高排放的生产模式带来了许多环境问题，而现在资源环境问题愈来愈受到社会各界人士的共同关注，十八届三中全会明确提出要对领导干部实行自然资源资产离任审计，在制度中明确规定了领导干部的环境治理责任。企业的绿色技术创新水平是实现国家绿色产业升级的基础，因此考察该政策对于企业绿色技术创新的影响上十分重要，有利于企业朝绿色制造体系转型。</w:t>
      </w:r>
    </w:p>
    <w:p>
      <w:pPr>
        <w:spacing w:line="360" w:lineRule="auto"/>
        <w:ind w:firstLine="480" w:firstLineChars="200"/>
        <w:rPr>
          <w:rFonts w:ascii="宋体" w:hAnsi="宋体"/>
          <w:sz w:val="24"/>
        </w:rPr>
      </w:pPr>
      <w:r>
        <w:rPr>
          <w:rFonts w:hint="eastAsia" w:ascii="宋体" w:hAnsi="宋体"/>
          <w:sz w:val="24"/>
        </w:rPr>
        <w:t>本文选取18个资源型与重污染型行业企业在2012年至2015年（即政策实施前后两年）的相关数据，构建DID回归模型，针对离任审计政策的实施对于企业层级的绿色技术创新的影响进行分析。研究发现自然资源资产离任审计的试点对企业绿色技术创新水平有着显著的正向效应；这种正向促进效应更多集中于对创新要求更低的绿色实用新型专利上而非难度更大的绿色发明专利；</w:t>
      </w:r>
      <w:r>
        <w:rPr>
          <w:rFonts w:hint="eastAsia"/>
          <w:sz w:val="24"/>
          <w:szCs w:val="24"/>
        </w:rPr>
        <w:t>收取排污费以及更低的政府研发补助在离任审计对企业绿色技术创新的影响上更具有显著性；该审计政策对于内部治理环境更好而外部监督相对较弱的企业在绿色技术创新水平上的提升更为显著；而企业内部股权更为集中则更有利于面对政策更快更好地作出应对。</w:t>
      </w:r>
      <w:r>
        <w:rPr>
          <w:rFonts w:hint="eastAsia" w:ascii="宋体" w:hAnsi="宋体"/>
          <w:sz w:val="24"/>
        </w:rPr>
        <w:t>此项研究在理论上可以对波特假说理论进行再一次检验，同时对该审计政策与企业绿色技术创新交叉领域的研究作出了一定完善；在实践上是对该审计政策的实施效果的检验，有利于后续对政策实施提出针对性的意见。</w:t>
      </w:r>
    </w:p>
    <w:p>
      <w:pPr>
        <w:spacing w:before="156" w:beforeLines="50" w:line="360" w:lineRule="auto"/>
        <w:rPr>
          <w:rFonts w:ascii="宋体" w:hAnsi="宋体"/>
          <w:sz w:val="24"/>
        </w:rPr>
      </w:pPr>
      <w:bookmarkStart w:id="6" w:name="_Toc100181249"/>
      <w:r>
        <w:rPr>
          <w:rFonts w:eastAsia="黑体"/>
          <w:b/>
          <w:bCs/>
          <w:sz w:val="24"/>
          <w:szCs w:val="20"/>
        </w:rPr>
        <w:t>关键词：</w:t>
      </w:r>
      <w:r>
        <w:rPr>
          <w:rFonts w:hint="eastAsia" w:ascii="宋体" w:hAnsi="宋体"/>
          <w:sz w:val="24"/>
        </w:rPr>
        <w:t>自然资源资产；领导干部离任审计</w:t>
      </w:r>
      <w:r>
        <w:rPr>
          <w:rFonts w:ascii="宋体" w:hAnsi="宋体"/>
          <w:sz w:val="24"/>
        </w:rPr>
        <w:t>；</w:t>
      </w:r>
      <w:r>
        <w:rPr>
          <w:rFonts w:hint="eastAsia" w:ascii="宋体" w:hAnsi="宋体"/>
          <w:sz w:val="24"/>
        </w:rPr>
        <w:t>绿色技术创新</w:t>
      </w:r>
      <w:bookmarkEnd w:id="6"/>
      <w:r>
        <w:rPr>
          <w:rFonts w:ascii="宋体" w:hAnsi="宋体"/>
          <w:sz w:val="24"/>
        </w:rPr>
        <w:t xml:space="preserve"> </w:t>
      </w:r>
    </w:p>
    <w:p>
      <w:pPr>
        <w:spacing w:before="156" w:beforeLines="50" w:after="156" w:afterLines="50"/>
        <w:jc w:val="center"/>
        <w:outlineLvl w:val="0"/>
        <w:rPr>
          <w:rFonts w:eastAsia="黑体"/>
          <w:b/>
          <w:sz w:val="36"/>
          <w:szCs w:val="36"/>
        </w:rPr>
        <w:sectPr>
          <w:footerReference r:id="rId7" w:type="default"/>
          <w:type w:val="nextColumn"/>
          <w:pgSz w:w="11906" w:h="16838"/>
          <w:pgMar w:top="1440" w:right="1797" w:bottom="1440" w:left="1797" w:header="851" w:footer="992" w:gutter="0"/>
          <w:pgNumType w:fmt="upperRoman" w:start="1"/>
          <w:cols w:space="720" w:num="1"/>
          <w:docGrid w:type="lines" w:linePitch="312" w:charSpace="0"/>
        </w:sectPr>
      </w:pPr>
      <w:bookmarkStart w:id="7" w:name="_Toc14659"/>
      <w:bookmarkStart w:id="8" w:name="_Toc104375919"/>
      <w:bookmarkStart w:id="9" w:name="_Toc100181826"/>
    </w:p>
    <w:p>
      <w:pPr>
        <w:spacing w:before="156" w:beforeLines="50" w:after="156" w:afterLines="50"/>
        <w:jc w:val="center"/>
        <w:outlineLvl w:val="0"/>
        <w:rPr>
          <w:rFonts w:eastAsia="黑体"/>
          <w:b/>
          <w:sz w:val="36"/>
          <w:szCs w:val="36"/>
        </w:rPr>
      </w:pPr>
      <w:r>
        <w:rPr>
          <w:rFonts w:eastAsia="黑体"/>
          <w:b/>
          <w:sz w:val="36"/>
          <w:szCs w:val="36"/>
        </w:rPr>
        <w:t>Abstract</w:t>
      </w:r>
      <w:bookmarkEnd w:id="7"/>
      <w:bookmarkEnd w:id="8"/>
      <w:bookmarkEnd w:id="9"/>
    </w:p>
    <w:p>
      <w:pPr>
        <w:spacing w:line="360" w:lineRule="auto"/>
        <w:ind w:firstLine="480" w:firstLineChars="200"/>
        <w:jc w:val="left"/>
        <w:rPr>
          <w:rFonts w:eastAsia="黑体"/>
          <w:sz w:val="24"/>
        </w:rPr>
      </w:pPr>
      <w:r>
        <w:rPr>
          <w:rFonts w:eastAsia="黑体"/>
          <w:sz w:val="24"/>
        </w:rPr>
        <w:t>The extensive high-pollution and high-emission production model in the past has brought many environmental problems, but now resources and environmental issues have attracted more and more attention from people from all walks of life. As an audit, the system clearly stipulates the environmental governance responsibilities of leading cadres. The level of green technology innovation of enterprises is the basis for realizing the upgrading of the national green industry. Therefore, it is very important to examine the impact of this policy on green technology innovation of enterprises, which is conducive to the transformation of enterprises to a green manufacturing system.</w:t>
      </w:r>
    </w:p>
    <w:p>
      <w:pPr>
        <w:spacing w:line="360" w:lineRule="auto"/>
        <w:ind w:firstLine="480" w:firstLineChars="200"/>
        <w:jc w:val="left"/>
        <w:rPr>
          <w:rFonts w:eastAsia="黑体"/>
          <w:sz w:val="24"/>
        </w:rPr>
      </w:pPr>
      <w:r>
        <w:rPr>
          <w:rFonts w:eastAsia="黑体"/>
          <w:sz w:val="24"/>
        </w:rPr>
        <w:t xml:space="preserve">This </w:t>
      </w:r>
      <w:r>
        <w:rPr>
          <w:rFonts w:hint="eastAsia" w:eastAsia="黑体"/>
          <w:sz w:val="24"/>
        </w:rPr>
        <w:t>study</w:t>
      </w:r>
      <w:r>
        <w:rPr>
          <w:rFonts w:eastAsia="黑体"/>
          <w:sz w:val="24"/>
        </w:rPr>
        <w:t xml:space="preserve"> selects the relevant data of 18 resource-based and heavily polluting industries and enterprises from 2012 to 2015 (that is, two years before and after the implementation of the policy), and constructs a DID regression model. impact analysis.</w:t>
      </w:r>
      <w:r>
        <w:t xml:space="preserve"> </w:t>
      </w:r>
      <w:r>
        <w:rPr>
          <w:rFonts w:eastAsia="黑体"/>
          <w:sz w:val="24"/>
        </w:rPr>
        <w:t xml:space="preserve">The study found that the pilot project of outgoing audit of natural resources assets has a significant positive effect on the level of green technology innovation of enterprises; this positive promotion effect is more concentrated on green utility model patents with lower requirements for innovation rather than more difficult ones; charging sewage charges and lower government R&amp;D subsidies are more significant in the impact of </w:t>
      </w:r>
      <w:r>
        <w:rPr>
          <w:rFonts w:hint="eastAsia" w:eastAsia="黑体"/>
          <w:sz w:val="24"/>
        </w:rPr>
        <w:t>the</w:t>
      </w:r>
      <w:r>
        <w:rPr>
          <w:rFonts w:eastAsia="黑体"/>
          <w:sz w:val="24"/>
        </w:rPr>
        <w:t xml:space="preserve"> audits on corporate green technology innovation; this audit policy has a better internal governance environment for companies with relatively weak external supervision. The improvement in the level of technological innovation is more significant; the more concentrated equity within the enterprise is more conducive to faster and better response to policies. This </w:t>
      </w:r>
      <w:r>
        <w:rPr>
          <w:rFonts w:hint="eastAsia" w:eastAsia="黑体"/>
          <w:sz w:val="24"/>
        </w:rPr>
        <w:t>study</w:t>
      </w:r>
      <w:r>
        <w:rPr>
          <w:rFonts w:eastAsia="黑体"/>
          <w:sz w:val="24"/>
        </w:rPr>
        <w:t xml:space="preserve"> can theoretically test Porter's hypothesis again, and it has made a certain improvement in the </w:t>
      </w:r>
      <w:r>
        <w:rPr>
          <w:rFonts w:hint="eastAsia" w:eastAsia="黑体"/>
          <w:sz w:val="24"/>
        </w:rPr>
        <w:t>study</w:t>
      </w:r>
      <w:r>
        <w:rPr>
          <w:rFonts w:eastAsia="黑体"/>
          <w:sz w:val="24"/>
        </w:rPr>
        <w:t xml:space="preserve"> on the intersection of audit policy and enterprise green technology innovation; in practice, it is a test of the implementation effect of the policy, which is conducive to the follow-up to put forward targeted opinions on the implementation of the policy.</w:t>
      </w:r>
    </w:p>
    <w:p>
      <w:pPr>
        <w:spacing w:line="300" w:lineRule="auto"/>
        <w:rPr>
          <w:color w:val="000000"/>
          <w:kern w:val="0"/>
          <w:sz w:val="24"/>
        </w:rPr>
        <w:sectPr>
          <w:footerReference r:id="rId8" w:type="default"/>
          <w:pgSz w:w="11906" w:h="16838"/>
          <w:pgMar w:top="1440" w:right="1797" w:bottom="1440" w:left="1797" w:header="851" w:footer="992" w:gutter="0"/>
          <w:pgNumType w:fmt="upperRoman"/>
          <w:cols w:space="720" w:num="1"/>
          <w:docGrid w:type="lines" w:linePitch="312" w:charSpace="0"/>
        </w:sectPr>
      </w:pPr>
      <w:r>
        <w:rPr>
          <w:b/>
          <w:sz w:val="24"/>
        </w:rPr>
        <w:t>Key Words：</w:t>
      </w:r>
      <w:r>
        <w:rPr>
          <w:color w:val="000000"/>
          <w:kern w:val="0"/>
          <w:sz w:val="24"/>
        </w:rPr>
        <w:t>Natural resource assets;</w:t>
      </w:r>
      <w:r>
        <w:t xml:space="preserve"> </w:t>
      </w:r>
      <w:r>
        <w:rPr>
          <w:color w:val="000000"/>
          <w:kern w:val="0"/>
          <w:sz w:val="24"/>
        </w:rPr>
        <w:t>Audit of the departure of leading cadres</w:t>
      </w:r>
      <w:r>
        <w:rPr>
          <w:rFonts w:hint="eastAsia"/>
          <w:color w:val="000000"/>
          <w:kern w:val="0"/>
          <w:sz w:val="24"/>
        </w:rPr>
        <w:t>;</w:t>
      </w:r>
      <w:r>
        <w:rPr>
          <w:color w:val="000000"/>
          <w:kern w:val="0"/>
          <w:sz w:val="24"/>
        </w:rPr>
        <w:t xml:space="preserve"> Green technology innovation</w:t>
      </w:r>
    </w:p>
    <w:p>
      <w:pPr>
        <w:pStyle w:val="10"/>
        <w:tabs>
          <w:tab w:val="right" w:leader="dot" w:pos="8504"/>
          <w:tab w:val="clear" w:pos="9180"/>
          <w:tab w:val="clear" w:pos="9240"/>
        </w:tabs>
        <w:jc w:val="center"/>
        <w:rPr>
          <w:rFonts w:ascii="黑体" w:hAnsi="黑体" w:eastAsia="黑体" w:cs="黑体"/>
          <w:sz w:val="36"/>
          <w:szCs w:val="36"/>
        </w:rPr>
      </w:pPr>
      <w:r>
        <w:rPr>
          <w:rFonts w:hint="eastAsia" w:ascii="黑体" w:hAnsi="黑体" w:eastAsia="黑体" w:cs="黑体"/>
          <w:sz w:val="36"/>
          <w:szCs w:val="36"/>
        </w:rPr>
        <w:t>目  录</w:t>
      </w:r>
    </w:p>
    <w:p>
      <w:pPr>
        <w:pStyle w:val="10"/>
        <w:tabs>
          <w:tab w:val="right" w:leader="dot" w:pos="8312"/>
          <w:tab w:val="clear" w:pos="9180"/>
          <w:tab w:val="clear" w:pos="9240"/>
        </w:tabs>
      </w:pPr>
      <w:r>
        <w:rPr>
          <w:rFonts w:ascii="楷体_GB2312" w:eastAsia="楷体_GB2312"/>
          <w:color w:val="FF0000"/>
        </w:rPr>
        <w:fldChar w:fldCharType="begin"/>
      </w:r>
      <w:r>
        <w:rPr>
          <w:rFonts w:ascii="楷体_GB2312" w:eastAsia="楷体_GB2312"/>
          <w:color w:val="FF0000"/>
        </w:rPr>
        <w:instrText xml:space="preserve">TOC \o "1-2" \h \u </w:instrText>
      </w:r>
      <w:r>
        <w:rPr>
          <w:rFonts w:ascii="楷体_GB2312" w:eastAsia="楷体_GB2312"/>
          <w:color w:val="FF0000"/>
        </w:rPr>
        <w:fldChar w:fldCharType="separate"/>
      </w:r>
      <w:r>
        <w:fldChar w:fldCharType="begin"/>
      </w:r>
      <w:r>
        <w:instrText xml:space="preserve"> HYPERLINK \l "_Toc25233" </w:instrText>
      </w:r>
      <w:r>
        <w:fldChar w:fldCharType="separate"/>
      </w:r>
      <w:r>
        <w:rPr>
          <w:szCs w:val="36"/>
        </w:rPr>
        <w:t>摘  要</w:t>
      </w:r>
      <w:r>
        <w:tab/>
      </w:r>
      <w:r>
        <w:fldChar w:fldCharType="begin"/>
      </w:r>
      <w:r>
        <w:instrText xml:space="preserve"> PAGEREF _Toc25233 \h </w:instrText>
      </w:r>
      <w:r>
        <w:fldChar w:fldCharType="separate"/>
      </w:r>
      <w:r>
        <w:t>I</w:t>
      </w:r>
      <w:r>
        <w:fldChar w:fldCharType="end"/>
      </w:r>
      <w:r>
        <w:fldChar w:fldCharType="end"/>
      </w:r>
    </w:p>
    <w:p>
      <w:pPr>
        <w:pStyle w:val="10"/>
        <w:tabs>
          <w:tab w:val="right" w:leader="dot" w:pos="8312"/>
          <w:tab w:val="clear" w:pos="9180"/>
          <w:tab w:val="clear" w:pos="9240"/>
        </w:tabs>
      </w:pPr>
      <w:r>
        <w:fldChar w:fldCharType="begin"/>
      </w:r>
      <w:r>
        <w:instrText xml:space="preserve"> HYPERLINK \l "_Toc14659" </w:instrText>
      </w:r>
      <w:r>
        <w:fldChar w:fldCharType="separate"/>
      </w:r>
      <w:r>
        <w:rPr>
          <w:szCs w:val="36"/>
        </w:rPr>
        <w:t>Abstract</w:t>
      </w:r>
      <w:r>
        <w:tab/>
      </w:r>
      <w:r>
        <w:fldChar w:fldCharType="begin"/>
      </w:r>
      <w:r>
        <w:instrText xml:space="preserve"> PAGEREF _Toc14659 \h </w:instrText>
      </w:r>
      <w:r>
        <w:fldChar w:fldCharType="separate"/>
      </w:r>
      <w:r>
        <w:t>II</w:t>
      </w:r>
      <w:r>
        <w:fldChar w:fldCharType="end"/>
      </w:r>
      <w:r>
        <w:fldChar w:fldCharType="end"/>
      </w:r>
    </w:p>
    <w:p>
      <w:pPr>
        <w:pStyle w:val="10"/>
        <w:tabs>
          <w:tab w:val="right" w:leader="dot" w:pos="8312"/>
          <w:tab w:val="clear" w:pos="9180"/>
          <w:tab w:val="clear" w:pos="9240"/>
        </w:tabs>
      </w:pPr>
      <w:r>
        <w:fldChar w:fldCharType="begin"/>
      </w:r>
      <w:r>
        <w:instrText xml:space="preserve"> HYPERLINK \l "_Toc20253" </w:instrText>
      </w:r>
      <w:r>
        <w:fldChar w:fldCharType="separate"/>
      </w:r>
      <w:r>
        <w:rPr>
          <w:szCs w:val="36"/>
        </w:rPr>
        <w:t>图目录</w:t>
      </w:r>
      <w:r>
        <w:tab/>
      </w:r>
      <w:r>
        <w:fldChar w:fldCharType="begin"/>
      </w:r>
      <w:r>
        <w:instrText xml:space="preserve"> PAGEREF _Toc20253 \h </w:instrText>
      </w:r>
      <w:r>
        <w:fldChar w:fldCharType="separate"/>
      </w:r>
      <w:r>
        <w:t>V</w:t>
      </w:r>
      <w:r>
        <w:fldChar w:fldCharType="end"/>
      </w:r>
      <w:r>
        <w:fldChar w:fldCharType="end"/>
      </w:r>
    </w:p>
    <w:p>
      <w:pPr>
        <w:pStyle w:val="10"/>
        <w:tabs>
          <w:tab w:val="right" w:leader="dot" w:pos="8312"/>
          <w:tab w:val="clear" w:pos="9180"/>
          <w:tab w:val="clear" w:pos="9240"/>
        </w:tabs>
      </w:pPr>
      <w:r>
        <w:fldChar w:fldCharType="begin"/>
      </w:r>
      <w:r>
        <w:instrText xml:space="preserve"> HYPERLINK \l "_Toc12010" </w:instrText>
      </w:r>
      <w:r>
        <w:fldChar w:fldCharType="separate"/>
      </w:r>
      <w:r>
        <w:rPr>
          <w:szCs w:val="36"/>
        </w:rPr>
        <w:t>表目录</w:t>
      </w:r>
      <w:r>
        <w:tab/>
      </w:r>
      <w:r>
        <w:fldChar w:fldCharType="begin"/>
      </w:r>
      <w:r>
        <w:instrText xml:space="preserve"> PAGEREF _Toc12010 \h </w:instrText>
      </w:r>
      <w:r>
        <w:fldChar w:fldCharType="separate"/>
      </w:r>
      <w:r>
        <w:t>VI</w:t>
      </w:r>
      <w:r>
        <w:fldChar w:fldCharType="end"/>
      </w:r>
      <w:r>
        <w:fldChar w:fldCharType="end"/>
      </w:r>
    </w:p>
    <w:p>
      <w:pPr>
        <w:pStyle w:val="10"/>
        <w:tabs>
          <w:tab w:val="right" w:leader="dot" w:pos="8312"/>
          <w:tab w:val="clear" w:pos="9180"/>
          <w:tab w:val="clear" w:pos="9240"/>
        </w:tabs>
      </w:pPr>
      <w:r>
        <w:fldChar w:fldCharType="begin"/>
      </w:r>
      <w:r>
        <w:instrText xml:space="preserve"> HYPERLINK \l "_Toc7652" </w:instrText>
      </w:r>
      <w:r>
        <w:fldChar w:fldCharType="separate"/>
      </w:r>
      <w:r>
        <w:rPr>
          <w:szCs w:val="36"/>
        </w:rPr>
        <w:t>1  绪论</w:t>
      </w:r>
      <w:r>
        <w:tab/>
      </w:r>
      <w:r>
        <w:fldChar w:fldCharType="begin"/>
      </w:r>
      <w:r>
        <w:instrText xml:space="preserve"> PAGEREF _Toc7652 \h </w:instrText>
      </w:r>
      <w:r>
        <w:fldChar w:fldCharType="separate"/>
      </w:r>
      <w:r>
        <w:t>1</w:t>
      </w:r>
      <w:r>
        <w:fldChar w:fldCharType="end"/>
      </w:r>
      <w:r>
        <w:fldChar w:fldCharType="end"/>
      </w:r>
    </w:p>
    <w:p>
      <w:pPr>
        <w:pStyle w:val="13"/>
        <w:tabs>
          <w:tab w:val="right" w:leader="dot" w:pos="8312"/>
        </w:tabs>
        <w:spacing w:line="360" w:lineRule="auto"/>
      </w:pPr>
      <w:r>
        <w:fldChar w:fldCharType="begin"/>
      </w:r>
      <w:r>
        <w:instrText xml:space="preserve"> HYPERLINK \l "_Toc3711" </w:instrText>
      </w:r>
      <w:r>
        <w:fldChar w:fldCharType="separate"/>
      </w:r>
      <w:r>
        <w:rPr>
          <w:szCs w:val="28"/>
        </w:rPr>
        <w:t>1.1 研究背景与意义</w:t>
      </w:r>
      <w:r>
        <w:tab/>
      </w:r>
      <w:r>
        <w:fldChar w:fldCharType="begin"/>
      </w:r>
      <w:r>
        <w:instrText xml:space="preserve"> PAGEREF _Toc3711 \h </w:instrText>
      </w:r>
      <w:r>
        <w:fldChar w:fldCharType="separate"/>
      </w:r>
      <w:r>
        <w:t>1</w:t>
      </w:r>
      <w:r>
        <w:fldChar w:fldCharType="end"/>
      </w:r>
      <w:r>
        <w:fldChar w:fldCharType="end"/>
      </w:r>
    </w:p>
    <w:p>
      <w:pPr>
        <w:pStyle w:val="13"/>
        <w:tabs>
          <w:tab w:val="right" w:leader="dot" w:pos="8312"/>
        </w:tabs>
        <w:spacing w:line="360" w:lineRule="auto"/>
      </w:pPr>
      <w:r>
        <w:fldChar w:fldCharType="begin"/>
      </w:r>
      <w:r>
        <w:instrText xml:space="preserve"> HYPERLINK \l "_Toc2564" </w:instrText>
      </w:r>
      <w:r>
        <w:fldChar w:fldCharType="separate"/>
      </w:r>
      <w:r>
        <w:rPr>
          <w:szCs w:val="28"/>
        </w:rPr>
        <w:t>1.2 研究意义</w:t>
      </w:r>
      <w:r>
        <w:tab/>
      </w:r>
      <w:r>
        <w:fldChar w:fldCharType="begin"/>
      </w:r>
      <w:r>
        <w:instrText xml:space="preserve"> PAGEREF _Toc2564 \h </w:instrText>
      </w:r>
      <w:r>
        <w:fldChar w:fldCharType="separate"/>
      </w:r>
      <w:r>
        <w:t>2</w:t>
      </w:r>
      <w:r>
        <w:fldChar w:fldCharType="end"/>
      </w:r>
      <w:r>
        <w:fldChar w:fldCharType="end"/>
      </w:r>
    </w:p>
    <w:p>
      <w:pPr>
        <w:pStyle w:val="13"/>
        <w:tabs>
          <w:tab w:val="right" w:leader="dot" w:pos="8312"/>
        </w:tabs>
        <w:spacing w:line="360" w:lineRule="auto"/>
      </w:pPr>
      <w:r>
        <w:fldChar w:fldCharType="begin"/>
      </w:r>
      <w:r>
        <w:instrText xml:space="preserve"> HYPERLINK \l "_Toc23972" </w:instrText>
      </w:r>
      <w:r>
        <w:fldChar w:fldCharType="separate"/>
      </w:r>
      <w:r>
        <w:rPr>
          <w:szCs w:val="28"/>
        </w:rPr>
        <w:t>1.3 文献综述</w:t>
      </w:r>
      <w:r>
        <w:tab/>
      </w:r>
      <w:r>
        <w:fldChar w:fldCharType="begin"/>
      </w:r>
      <w:r>
        <w:instrText xml:space="preserve"> PAGEREF _Toc23972 \h </w:instrText>
      </w:r>
      <w:r>
        <w:fldChar w:fldCharType="separate"/>
      </w:r>
      <w:r>
        <w:t>2</w:t>
      </w:r>
      <w:r>
        <w:fldChar w:fldCharType="end"/>
      </w:r>
      <w:r>
        <w:fldChar w:fldCharType="end"/>
      </w:r>
    </w:p>
    <w:p>
      <w:pPr>
        <w:pStyle w:val="13"/>
        <w:tabs>
          <w:tab w:val="right" w:leader="dot" w:pos="8312"/>
        </w:tabs>
        <w:spacing w:line="360" w:lineRule="auto"/>
      </w:pPr>
      <w:r>
        <w:fldChar w:fldCharType="begin"/>
      </w:r>
      <w:r>
        <w:instrText xml:space="preserve"> HYPERLINK \l "_Toc17834" </w:instrText>
      </w:r>
      <w:r>
        <w:fldChar w:fldCharType="separate"/>
      </w:r>
      <w:r>
        <w:rPr>
          <w:szCs w:val="28"/>
        </w:rPr>
        <w:t>1.4 研究内容及框架</w:t>
      </w:r>
      <w:r>
        <w:tab/>
      </w:r>
      <w:r>
        <w:fldChar w:fldCharType="begin"/>
      </w:r>
      <w:r>
        <w:instrText xml:space="preserve"> PAGEREF _Toc17834 \h </w:instrText>
      </w:r>
      <w:r>
        <w:fldChar w:fldCharType="separate"/>
      </w:r>
      <w:r>
        <w:t>8</w:t>
      </w:r>
      <w:r>
        <w:fldChar w:fldCharType="end"/>
      </w:r>
      <w:r>
        <w:fldChar w:fldCharType="end"/>
      </w:r>
    </w:p>
    <w:p>
      <w:pPr>
        <w:pStyle w:val="13"/>
        <w:tabs>
          <w:tab w:val="right" w:leader="dot" w:pos="8312"/>
        </w:tabs>
        <w:spacing w:line="360" w:lineRule="auto"/>
      </w:pPr>
      <w:r>
        <w:fldChar w:fldCharType="begin"/>
      </w:r>
      <w:r>
        <w:instrText xml:space="preserve"> HYPERLINK \l "_Toc1178" </w:instrText>
      </w:r>
      <w:r>
        <w:fldChar w:fldCharType="separate"/>
      </w:r>
      <w:r>
        <w:rPr>
          <w:szCs w:val="28"/>
        </w:rPr>
        <w:t>1.5 研究方法</w:t>
      </w:r>
      <w:r>
        <w:tab/>
      </w:r>
      <w:r>
        <w:fldChar w:fldCharType="begin"/>
      </w:r>
      <w:r>
        <w:instrText xml:space="preserve"> PAGEREF _Toc1178 \h </w:instrText>
      </w:r>
      <w:r>
        <w:fldChar w:fldCharType="separate"/>
      </w:r>
      <w:r>
        <w:t>9</w:t>
      </w:r>
      <w:r>
        <w:fldChar w:fldCharType="end"/>
      </w:r>
      <w:r>
        <w:fldChar w:fldCharType="end"/>
      </w:r>
    </w:p>
    <w:p>
      <w:pPr>
        <w:pStyle w:val="10"/>
        <w:tabs>
          <w:tab w:val="right" w:leader="dot" w:pos="8312"/>
          <w:tab w:val="clear" w:pos="9180"/>
          <w:tab w:val="clear" w:pos="9240"/>
        </w:tabs>
      </w:pPr>
      <w:r>
        <w:fldChar w:fldCharType="begin"/>
      </w:r>
      <w:r>
        <w:instrText xml:space="preserve"> HYPERLINK \l "_Toc17328" </w:instrText>
      </w:r>
      <w:r>
        <w:fldChar w:fldCharType="separate"/>
      </w:r>
      <w:r>
        <w:rPr>
          <w:szCs w:val="36"/>
        </w:rPr>
        <w:t>2  理论基础与研究假设</w:t>
      </w:r>
      <w:r>
        <w:tab/>
      </w:r>
      <w:r>
        <w:fldChar w:fldCharType="begin"/>
      </w:r>
      <w:r>
        <w:instrText xml:space="preserve"> PAGEREF _Toc17328 \h </w:instrText>
      </w:r>
      <w:r>
        <w:fldChar w:fldCharType="separate"/>
      </w:r>
      <w:r>
        <w:t>11</w:t>
      </w:r>
      <w:r>
        <w:fldChar w:fldCharType="end"/>
      </w:r>
      <w:r>
        <w:fldChar w:fldCharType="end"/>
      </w:r>
    </w:p>
    <w:p>
      <w:pPr>
        <w:pStyle w:val="13"/>
        <w:tabs>
          <w:tab w:val="right" w:leader="dot" w:pos="8312"/>
        </w:tabs>
        <w:spacing w:line="360" w:lineRule="auto"/>
      </w:pPr>
      <w:r>
        <w:fldChar w:fldCharType="begin"/>
      </w:r>
      <w:r>
        <w:instrText xml:space="preserve"> HYPERLINK \l "_Toc12269" </w:instrText>
      </w:r>
      <w:r>
        <w:fldChar w:fldCharType="separate"/>
      </w:r>
      <w:r>
        <w:rPr>
          <w:szCs w:val="28"/>
        </w:rPr>
        <w:t>2.1 理论基础</w:t>
      </w:r>
      <w:r>
        <w:tab/>
      </w:r>
      <w:r>
        <w:fldChar w:fldCharType="begin"/>
      </w:r>
      <w:r>
        <w:instrText xml:space="preserve"> PAGEREF _Toc12269 \h </w:instrText>
      </w:r>
      <w:r>
        <w:fldChar w:fldCharType="separate"/>
      </w:r>
      <w:r>
        <w:t>11</w:t>
      </w:r>
      <w:r>
        <w:fldChar w:fldCharType="end"/>
      </w:r>
      <w:r>
        <w:fldChar w:fldCharType="end"/>
      </w:r>
    </w:p>
    <w:p>
      <w:pPr>
        <w:pStyle w:val="13"/>
        <w:tabs>
          <w:tab w:val="right" w:leader="dot" w:pos="8312"/>
        </w:tabs>
        <w:spacing w:line="360" w:lineRule="auto"/>
      </w:pPr>
      <w:r>
        <w:fldChar w:fldCharType="begin"/>
      </w:r>
      <w:r>
        <w:instrText xml:space="preserve"> HYPERLINK \l "_Toc22313" </w:instrText>
      </w:r>
      <w:r>
        <w:fldChar w:fldCharType="separate"/>
      </w:r>
      <w:r>
        <w:rPr>
          <w:szCs w:val="32"/>
        </w:rPr>
        <w:t xml:space="preserve">2.2 </w:t>
      </w:r>
      <w:r>
        <w:rPr>
          <w:szCs w:val="21"/>
        </w:rPr>
        <w:t>研究假设</w:t>
      </w:r>
      <w:r>
        <w:tab/>
      </w:r>
      <w:r>
        <w:fldChar w:fldCharType="begin"/>
      </w:r>
      <w:r>
        <w:instrText xml:space="preserve"> PAGEREF _Toc22313 \h </w:instrText>
      </w:r>
      <w:r>
        <w:fldChar w:fldCharType="separate"/>
      </w:r>
      <w:r>
        <w:t>13</w:t>
      </w:r>
      <w:r>
        <w:fldChar w:fldCharType="end"/>
      </w:r>
      <w:r>
        <w:fldChar w:fldCharType="end"/>
      </w:r>
    </w:p>
    <w:p>
      <w:pPr>
        <w:pStyle w:val="10"/>
        <w:tabs>
          <w:tab w:val="right" w:leader="dot" w:pos="8312"/>
          <w:tab w:val="clear" w:pos="9180"/>
          <w:tab w:val="clear" w:pos="9240"/>
        </w:tabs>
      </w:pPr>
      <w:r>
        <w:fldChar w:fldCharType="begin"/>
      </w:r>
      <w:r>
        <w:instrText xml:space="preserve"> HYPERLINK \l "_Toc9295" </w:instrText>
      </w:r>
      <w:r>
        <w:fldChar w:fldCharType="separate"/>
      </w:r>
      <w:r>
        <w:rPr>
          <w:szCs w:val="36"/>
        </w:rPr>
        <w:t>3  实证研究设计</w:t>
      </w:r>
      <w:r>
        <w:tab/>
      </w:r>
      <w:r>
        <w:fldChar w:fldCharType="begin"/>
      </w:r>
      <w:r>
        <w:instrText xml:space="preserve"> PAGEREF _Toc9295 \h </w:instrText>
      </w:r>
      <w:r>
        <w:fldChar w:fldCharType="separate"/>
      </w:r>
      <w:r>
        <w:t>15</w:t>
      </w:r>
      <w:r>
        <w:fldChar w:fldCharType="end"/>
      </w:r>
      <w:r>
        <w:fldChar w:fldCharType="end"/>
      </w:r>
    </w:p>
    <w:p>
      <w:pPr>
        <w:pStyle w:val="13"/>
        <w:tabs>
          <w:tab w:val="right" w:leader="dot" w:pos="8312"/>
        </w:tabs>
        <w:spacing w:line="360" w:lineRule="auto"/>
      </w:pPr>
      <w:r>
        <w:fldChar w:fldCharType="begin"/>
      </w:r>
      <w:r>
        <w:instrText xml:space="preserve"> HYPERLINK \l "_Toc8254" </w:instrText>
      </w:r>
      <w:r>
        <w:fldChar w:fldCharType="separate"/>
      </w:r>
      <w:r>
        <w:rPr>
          <w:szCs w:val="32"/>
        </w:rPr>
        <w:t xml:space="preserve">3.1 </w:t>
      </w:r>
      <w:r>
        <w:rPr>
          <w:szCs w:val="21"/>
        </w:rPr>
        <w:t>样本选择与数据来源</w:t>
      </w:r>
      <w:r>
        <w:tab/>
      </w:r>
      <w:r>
        <w:fldChar w:fldCharType="begin"/>
      </w:r>
      <w:r>
        <w:instrText xml:space="preserve"> PAGEREF _Toc8254 \h </w:instrText>
      </w:r>
      <w:r>
        <w:fldChar w:fldCharType="separate"/>
      </w:r>
      <w:r>
        <w:t>15</w:t>
      </w:r>
      <w:r>
        <w:fldChar w:fldCharType="end"/>
      </w:r>
      <w:r>
        <w:fldChar w:fldCharType="end"/>
      </w:r>
    </w:p>
    <w:p>
      <w:pPr>
        <w:pStyle w:val="13"/>
        <w:tabs>
          <w:tab w:val="right" w:leader="dot" w:pos="8312"/>
        </w:tabs>
        <w:spacing w:line="360" w:lineRule="auto"/>
      </w:pPr>
      <w:r>
        <w:fldChar w:fldCharType="begin"/>
      </w:r>
      <w:r>
        <w:instrText xml:space="preserve"> HYPERLINK \l "_Toc15996" </w:instrText>
      </w:r>
      <w:r>
        <w:fldChar w:fldCharType="separate"/>
      </w:r>
      <w:r>
        <w:rPr>
          <w:szCs w:val="32"/>
        </w:rPr>
        <w:t xml:space="preserve">3.2 </w:t>
      </w:r>
      <w:r>
        <w:rPr>
          <w:szCs w:val="21"/>
        </w:rPr>
        <w:t>变量选取及测度</w:t>
      </w:r>
      <w:r>
        <w:tab/>
      </w:r>
      <w:r>
        <w:fldChar w:fldCharType="begin"/>
      </w:r>
      <w:r>
        <w:instrText xml:space="preserve"> PAGEREF _Toc15996 \h </w:instrText>
      </w:r>
      <w:r>
        <w:fldChar w:fldCharType="separate"/>
      </w:r>
      <w:r>
        <w:t>16</w:t>
      </w:r>
      <w:r>
        <w:fldChar w:fldCharType="end"/>
      </w:r>
      <w:r>
        <w:fldChar w:fldCharType="end"/>
      </w:r>
    </w:p>
    <w:p>
      <w:pPr>
        <w:pStyle w:val="13"/>
        <w:tabs>
          <w:tab w:val="right" w:leader="dot" w:pos="8312"/>
        </w:tabs>
        <w:spacing w:line="360" w:lineRule="auto"/>
      </w:pPr>
      <w:r>
        <w:fldChar w:fldCharType="begin"/>
      </w:r>
      <w:r>
        <w:instrText xml:space="preserve"> HYPERLINK \l "_Toc14607" </w:instrText>
      </w:r>
      <w:r>
        <w:fldChar w:fldCharType="separate"/>
      </w:r>
      <w:r>
        <w:rPr>
          <w:szCs w:val="32"/>
        </w:rPr>
        <w:t xml:space="preserve">3.3 </w:t>
      </w:r>
      <w:r>
        <w:rPr>
          <w:szCs w:val="21"/>
        </w:rPr>
        <w:t>模型构建</w:t>
      </w:r>
      <w:r>
        <w:tab/>
      </w:r>
      <w:r>
        <w:fldChar w:fldCharType="begin"/>
      </w:r>
      <w:r>
        <w:instrText xml:space="preserve"> PAGEREF _Toc14607 \h </w:instrText>
      </w:r>
      <w:r>
        <w:fldChar w:fldCharType="separate"/>
      </w:r>
      <w:r>
        <w:t>18</w:t>
      </w:r>
      <w:r>
        <w:fldChar w:fldCharType="end"/>
      </w:r>
      <w:r>
        <w:fldChar w:fldCharType="end"/>
      </w:r>
    </w:p>
    <w:p>
      <w:pPr>
        <w:pStyle w:val="10"/>
        <w:tabs>
          <w:tab w:val="right" w:leader="dot" w:pos="8312"/>
          <w:tab w:val="clear" w:pos="9180"/>
          <w:tab w:val="clear" w:pos="9240"/>
        </w:tabs>
      </w:pPr>
      <w:r>
        <w:fldChar w:fldCharType="begin"/>
      </w:r>
      <w:r>
        <w:instrText xml:space="preserve"> HYPERLINK \l "_Toc26404" </w:instrText>
      </w:r>
      <w:r>
        <w:fldChar w:fldCharType="separate"/>
      </w:r>
      <w:r>
        <w:rPr>
          <w:szCs w:val="36"/>
        </w:rPr>
        <w:t>4  实证结果及分析</w:t>
      </w:r>
      <w:r>
        <w:tab/>
      </w:r>
      <w:r>
        <w:fldChar w:fldCharType="begin"/>
      </w:r>
      <w:r>
        <w:instrText xml:space="preserve"> PAGEREF _Toc26404 \h </w:instrText>
      </w:r>
      <w:r>
        <w:fldChar w:fldCharType="separate"/>
      </w:r>
      <w:r>
        <w:t>19</w:t>
      </w:r>
      <w:r>
        <w:fldChar w:fldCharType="end"/>
      </w:r>
      <w:r>
        <w:fldChar w:fldCharType="end"/>
      </w:r>
    </w:p>
    <w:p>
      <w:pPr>
        <w:pStyle w:val="13"/>
        <w:tabs>
          <w:tab w:val="right" w:leader="dot" w:pos="8312"/>
        </w:tabs>
        <w:spacing w:line="360" w:lineRule="auto"/>
      </w:pPr>
      <w:r>
        <w:fldChar w:fldCharType="begin"/>
      </w:r>
      <w:r>
        <w:instrText xml:space="preserve"> HYPERLINK \l "_Toc27246" </w:instrText>
      </w:r>
      <w:r>
        <w:fldChar w:fldCharType="separate"/>
      </w:r>
      <w:r>
        <w:rPr>
          <w:szCs w:val="28"/>
        </w:rPr>
        <w:t>4.1 描述性统计</w:t>
      </w:r>
      <w:r>
        <w:tab/>
      </w:r>
      <w:r>
        <w:fldChar w:fldCharType="begin"/>
      </w:r>
      <w:r>
        <w:instrText xml:space="preserve"> PAGEREF _Toc27246 \h </w:instrText>
      </w:r>
      <w:r>
        <w:fldChar w:fldCharType="separate"/>
      </w:r>
      <w:r>
        <w:t>19</w:t>
      </w:r>
      <w:r>
        <w:fldChar w:fldCharType="end"/>
      </w:r>
      <w:r>
        <w:fldChar w:fldCharType="end"/>
      </w:r>
    </w:p>
    <w:p>
      <w:pPr>
        <w:pStyle w:val="13"/>
        <w:tabs>
          <w:tab w:val="right" w:leader="dot" w:pos="8312"/>
        </w:tabs>
        <w:spacing w:line="360" w:lineRule="auto"/>
      </w:pPr>
      <w:r>
        <w:fldChar w:fldCharType="begin"/>
      </w:r>
      <w:r>
        <w:instrText xml:space="preserve"> HYPERLINK \l "_Toc17187" </w:instrText>
      </w:r>
      <w:r>
        <w:fldChar w:fldCharType="separate"/>
      </w:r>
      <w:r>
        <w:rPr>
          <w:szCs w:val="28"/>
        </w:rPr>
        <w:t>4.2 相关性分析</w:t>
      </w:r>
      <w:r>
        <w:tab/>
      </w:r>
      <w:r>
        <w:fldChar w:fldCharType="begin"/>
      </w:r>
      <w:r>
        <w:instrText xml:space="preserve"> PAGEREF _Toc17187 \h </w:instrText>
      </w:r>
      <w:r>
        <w:fldChar w:fldCharType="separate"/>
      </w:r>
      <w:r>
        <w:t>20</w:t>
      </w:r>
      <w:r>
        <w:fldChar w:fldCharType="end"/>
      </w:r>
      <w:r>
        <w:fldChar w:fldCharType="end"/>
      </w:r>
    </w:p>
    <w:p>
      <w:pPr>
        <w:pStyle w:val="13"/>
        <w:tabs>
          <w:tab w:val="right" w:leader="dot" w:pos="8312"/>
        </w:tabs>
        <w:spacing w:line="360" w:lineRule="auto"/>
      </w:pPr>
      <w:r>
        <w:fldChar w:fldCharType="begin"/>
      </w:r>
      <w:r>
        <w:instrText xml:space="preserve"> HYPERLINK \l "_Toc12213" </w:instrText>
      </w:r>
      <w:r>
        <w:fldChar w:fldCharType="separate"/>
      </w:r>
      <w:r>
        <w:rPr>
          <w:szCs w:val="28"/>
        </w:rPr>
        <w:t>4.3 双重差分回归结果与分析</w:t>
      </w:r>
      <w:r>
        <w:tab/>
      </w:r>
      <w:r>
        <w:fldChar w:fldCharType="begin"/>
      </w:r>
      <w:r>
        <w:instrText xml:space="preserve"> PAGEREF _Toc12213 \h </w:instrText>
      </w:r>
      <w:r>
        <w:fldChar w:fldCharType="separate"/>
      </w:r>
      <w:r>
        <w:t>22</w:t>
      </w:r>
      <w:r>
        <w:fldChar w:fldCharType="end"/>
      </w:r>
      <w:r>
        <w:fldChar w:fldCharType="end"/>
      </w:r>
    </w:p>
    <w:p>
      <w:pPr>
        <w:pStyle w:val="13"/>
        <w:tabs>
          <w:tab w:val="right" w:leader="dot" w:pos="8312"/>
        </w:tabs>
        <w:spacing w:line="360" w:lineRule="auto"/>
      </w:pPr>
      <w:r>
        <w:fldChar w:fldCharType="begin"/>
      </w:r>
      <w:r>
        <w:instrText xml:space="preserve"> HYPERLINK \l "_Toc27292" </w:instrText>
      </w:r>
      <w:r>
        <w:fldChar w:fldCharType="separate"/>
      </w:r>
      <w:r>
        <w:rPr>
          <w:szCs w:val="28"/>
        </w:rPr>
        <w:t>4.4 稳健性检验</w:t>
      </w:r>
      <w:r>
        <w:tab/>
      </w:r>
      <w:r>
        <w:fldChar w:fldCharType="begin"/>
      </w:r>
      <w:r>
        <w:instrText xml:space="preserve"> PAGEREF _Toc27292 \h </w:instrText>
      </w:r>
      <w:r>
        <w:fldChar w:fldCharType="separate"/>
      </w:r>
      <w:r>
        <w:t>23</w:t>
      </w:r>
      <w:r>
        <w:fldChar w:fldCharType="end"/>
      </w:r>
      <w:r>
        <w:fldChar w:fldCharType="end"/>
      </w:r>
    </w:p>
    <w:p>
      <w:pPr>
        <w:pStyle w:val="13"/>
        <w:tabs>
          <w:tab w:val="right" w:leader="dot" w:pos="8312"/>
        </w:tabs>
        <w:spacing w:line="360" w:lineRule="auto"/>
      </w:pPr>
      <w:r>
        <w:fldChar w:fldCharType="begin"/>
      </w:r>
      <w:r>
        <w:instrText xml:space="preserve"> HYPERLINK \l "_Toc18948" </w:instrText>
      </w:r>
      <w:r>
        <w:fldChar w:fldCharType="separate"/>
      </w:r>
      <w:r>
        <w:rPr>
          <w:szCs w:val="28"/>
        </w:rPr>
        <w:t>4.5 进一步分析</w:t>
      </w:r>
      <w:r>
        <w:tab/>
      </w:r>
      <w:r>
        <w:fldChar w:fldCharType="begin"/>
      </w:r>
      <w:r>
        <w:instrText xml:space="preserve"> PAGEREF _Toc18948 \h </w:instrText>
      </w:r>
      <w:r>
        <w:fldChar w:fldCharType="separate"/>
      </w:r>
      <w:r>
        <w:t>24</w:t>
      </w:r>
      <w:r>
        <w:fldChar w:fldCharType="end"/>
      </w:r>
      <w:r>
        <w:fldChar w:fldCharType="end"/>
      </w:r>
    </w:p>
    <w:p>
      <w:pPr>
        <w:pStyle w:val="13"/>
        <w:tabs>
          <w:tab w:val="right" w:leader="dot" w:pos="8312"/>
        </w:tabs>
        <w:spacing w:line="360" w:lineRule="auto"/>
      </w:pPr>
      <w:r>
        <w:fldChar w:fldCharType="begin"/>
      </w:r>
      <w:r>
        <w:instrText xml:space="preserve"> HYPERLINK \l "_Toc1445" </w:instrText>
      </w:r>
      <w:r>
        <w:fldChar w:fldCharType="separate"/>
      </w:r>
      <w:r>
        <w:rPr>
          <w:szCs w:val="28"/>
        </w:rPr>
        <w:t>4.6 本章小结</w:t>
      </w:r>
      <w:r>
        <w:tab/>
      </w:r>
      <w:r>
        <w:fldChar w:fldCharType="begin"/>
      </w:r>
      <w:r>
        <w:instrText xml:space="preserve"> PAGEREF _Toc1445 \h </w:instrText>
      </w:r>
      <w:r>
        <w:fldChar w:fldCharType="separate"/>
      </w:r>
      <w:r>
        <w:t>31</w:t>
      </w:r>
      <w:r>
        <w:fldChar w:fldCharType="end"/>
      </w:r>
      <w:r>
        <w:fldChar w:fldCharType="end"/>
      </w:r>
    </w:p>
    <w:p>
      <w:pPr>
        <w:pStyle w:val="10"/>
        <w:tabs>
          <w:tab w:val="right" w:leader="dot" w:pos="8312"/>
          <w:tab w:val="clear" w:pos="9180"/>
          <w:tab w:val="clear" w:pos="9240"/>
        </w:tabs>
      </w:pPr>
      <w:r>
        <w:fldChar w:fldCharType="begin"/>
      </w:r>
      <w:r>
        <w:instrText xml:space="preserve"> HYPERLINK \l "_Toc26276" </w:instrText>
      </w:r>
      <w:r>
        <w:fldChar w:fldCharType="separate"/>
      </w:r>
      <w:r>
        <w:rPr>
          <w:szCs w:val="36"/>
        </w:rPr>
        <w:t>5  结论与建议</w:t>
      </w:r>
      <w:r>
        <w:tab/>
      </w:r>
      <w:r>
        <w:fldChar w:fldCharType="begin"/>
      </w:r>
      <w:r>
        <w:instrText xml:space="preserve"> PAGEREF _Toc26276 \h </w:instrText>
      </w:r>
      <w:r>
        <w:fldChar w:fldCharType="separate"/>
      </w:r>
      <w:r>
        <w:t>32</w:t>
      </w:r>
      <w:r>
        <w:fldChar w:fldCharType="end"/>
      </w:r>
      <w:r>
        <w:fldChar w:fldCharType="end"/>
      </w:r>
    </w:p>
    <w:p>
      <w:pPr>
        <w:pStyle w:val="13"/>
        <w:tabs>
          <w:tab w:val="right" w:leader="dot" w:pos="8312"/>
        </w:tabs>
        <w:spacing w:line="360" w:lineRule="auto"/>
      </w:pPr>
      <w:r>
        <w:fldChar w:fldCharType="begin"/>
      </w:r>
      <w:r>
        <w:instrText xml:space="preserve"> HYPERLINK \l "_Toc25518" </w:instrText>
      </w:r>
      <w:r>
        <w:fldChar w:fldCharType="separate"/>
      </w:r>
      <w:r>
        <w:rPr>
          <w:szCs w:val="28"/>
        </w:rPr>
        <w:t>5.1 研究结论</w:t>
      </w:r>
      <w:r>
        <w:tab/>
      </w:r>
      <w:r>
        <w:fldChar w:fldCharType="begin"/>
      </w:r>
      <w:r>
        <w:instrText xml:space="preserve"> PAGEREF _Toc25518 \h </w:instrText>
      </w:r>
      <w:r>
        <w:fldChar w:fldCharType="separate"/>
      </w:r>
      <w:r>
        <w:t>32</w:t>
      </w:r>
      <w:r>
        <w:fldChar w:fldCharType="end"/>
      </w:r>
      <w:r>
        <w:fldChar w:fldCharType="end"/>
      </w:r>
    </w:p>
    <w:p>
      <w:pPr>
        <w:pStyle w:val="13"/>
        <w:tabs>
          <w:tab w:val="right" w:leader="dot" w:pos="8312"/>
        </w:tabs>
        <w:spacing w:line="360" w:lineRule="auto"/>
      </w:pPr>
      <w:r>
        <w:fldChar w:fldCharType="begin"/>
      </w:r>
      <w:r>
        <w:instrText xml:space="preserve"> HYPERLINK \l "_Toc14702" </w:instrText>
      </w:r>
      <w:r>
        <w:fldChar w:fldCharType="separate"/>
      </w:r>
      <w:r>
        <w:rPr>
          <w:szCs w:val="28"/>
        </w:rPr>
        <w:t>5.2 政策建议</w:t>
      </w:r>
      <w:r>
        <w:tab/>
      </w:r>
      <w:r>
        <w:fldChar w:fldCharType="begin"/>
      </w:r>
      <w:r>
        <w:instrText xml:space="preserve"> PAGEREF _Toc14702 \h </w:instrText>
      </w:r>
      <w:r>
        <w:fldChar w:fldCharType="separate"/>
      </w:r>
      <w:r>
        <w:t>32</w:t>
      </w:r>
      <w:r>
        <w:fldChar w:fldCharType="end"/>
      </w:r>
      <w:r>
        <w:fldChar w:fldCharType="end"/>
      </w:r>
    </w:p>
    <w:p>
      <w:pPr>
        <w:pStyle w:val="10"/>
        <w:tabs>
          <w:tab w:val="right" w:leader="dot" w:pos="8312"/>
          <w:tab w:val="clear" w:pos="9180"/>
          <w:tab w:val="clear" w:pos="9240"/>
        </w:tabs>
      </w:pPr>
      <w:r>
        <w:fldChar w:fldCharType="begin"/>
      </w:r>
      <w:r>
        <w:instrText xml:space="preserve"> HYPERLINK \l "_Toc2761" </w:instrText>
      </w:r>
      <w:r>
        <w:fldChar w:fldCharType="separate"/>
      </w:r>
      <w:r>
        <w:rPr>
          <w:szCs w:val="36"/>
        </w:rPr>
        <w:t>致谢</w:t>
      </w:r>
      <w:r>
        <w:tab/>
      </w:r>
      <w:r>
        <w:fldChar w:fldCharType="begin"/>
      </w:r>
      <w:r>
        <w:instrText xml:space="preserve"> PAGEREF _Toc2761 \h </w:instrText>
      </w:r>
      <w:r>
        <w:fldChar w:fldCharType="separate"/>
      </w:r>
      <w:r>
        <w:t>35</w:t>
      </w:r>
      <w:r>
        <w:fldChar w:fldCharType="end"/>
      </w:r>
      <w:r>
        <w:fldChar w:fldCharType="end"/>
      </w:r>
    </w:p>
    <w:p>
      <w:pPr>
        <w:pStyle w:val="10"/>
        <w:tabs>
          <w:tab w:val="right" w:leader="dot" w:pos="8312"/>
          <w:tab w:val="clear" w:pos="9180"/>
          <w:tab w:val="clear" w:pos="9240"/>
        </w:tabs>
        <w:sectPr>
          <w:footerReference r:id="rId9" w:type="default"/>
          <w:pgSz w:w="11906" w:h="16838"/>
          <w:pgMar w:top="1440" w:right="1797" w:bottom="1440" w:left="1797" w:header="851" w:footer="992" w:gutter="0"/>
          <w:pgNumType w:fmt="upperRoman"/>
          <w:cols w:space="720" w:num="1"/>
          <w:docGrid w:type="lines" w:linePitch="312" w:charSpace="0"/>
        </w:sectPr>
      </w:pPr>
    </w:p>
    <w:p>
      <w:pPr>
        <w:pStyle w:val="10"/>
        <w:tabs>
          <w:tab w:val="right" w:leader="dot" w:pos="8312"/>
          <w:tab w:val="clear" w:pos="9180"/>
          <w:tab w:val="clear" w:pos="9240"/>
        </w:tabs>
      </w:pPr>
      <w:r>
        <w:fldChar w:fldCharType="begin"/>
      </w:r>
      <w:r>
        <w:instrText xml:space="preserve"> HYPERLINK \l "_Toc13145" </w:instrText>
      </w:r>
      <w:r>
        <w:fldChar w:fldCharType="separate"/>
      </w:r>
      <w:r>
        <w:rPr>
          <w:szCs w:val="36"/>
        </w:rPr>
        <w:t>参考文献</w:t>
      </w:r>
      <w:r>
        <w:tab/>
      </w:r>
      <w:r>
        <w:fldChar w:fldCharType="begin"/>
      </w:r>
      <w:r>
        <w:instrText xml:space="preserve"> PAGEREF _Toc13145 \h </w:instrText>
      </w:r>
      <w:r>
        <w:fldChar w:fldCharType="separate"/>
      </w:r>
      <w:r>
        <w:t>36</w:t>
      </w:r>
      <w:r>
        <w:fldChar w:fldCharType="end"/>
      </w:r>
      <w:r>
        <w:fldChar w:fldCharType="end"/>
      </w:r>
    </w:p>
    <w:p>
      <w:pPr>
        <w:spacing w:line="420" w:lineRule="atLeast"/>
        <w:rPr>
          <w:rFonts w:ascii="楷体_GB2312" w:eastAsia="楷体_GB2312"/>
          <w:color w:val="FF0000"/>
        </w:rPr>
        <w:sectPr>
          <w:footerReference r:id="rId10" w:type="default"/>
          <w:pgSz w:w="11906" w:h="16838"/>
          <w:pgMar w:top="1440" w:right="1797" w:bottom="1440" w:left="1797" w:header="851" w:footer="992" w:gutter="0"/>
          <w:pgNumType w:fmt="upperRoman"/>
          <w:cols w:space="720" w:num="1"/>
          <w:docGrid w:type="lines" w:linePitch="312" w:charSpace="0"/>
        </w:sectPr>
      </w:pPr>
      <w:r>
        <w:rPr>
          <w:rFonts w:ascii="楷体_GB2312" w:eastAsia="楷体_GB2312"/>
          <w:color w:val="FF0000"/>
        </w:rPr>
        <w:fldChar w:fldCharType="end"/>
      </w:r>
    </w:p>
    <w:p>
      <w:pPr>
        <w:pStyle w:val="10"/>
        <w:tabs>
          <w:tab w:val="right" w:leader="dot" w:pos="8504"/>
          <w:tab w:val="clear" w:pos="9180"/>
          <w:tab w:val="clear" w:pos="9240"/>
        </w:tabs>
        <w:jc w:val="center"/>
        <w:outlineLvl w:val="0"/>
        <w:rPr>
          <w:rFonts w:ascii="黑体" w:hAnsi="黑体" w:eastAsia="黑体" w:cs="黑体"/>
          <w:sz w:val="36"/>
          <w:szCs w:val="36"/>
        </w:rPr>
      </w:pPr>
      <w:bookmarkStart w:id="10" w:name="_Toc104375920"/>
      <w:bookmarkStart w:id="11" w:name="_Toc20253"/>
      <w:bookmarkStart w:id="12" w:name="_Toc100181827"/>
      <w:bookmarkStart w:id="13" w:name="_Toc100181250"/>
      <w:r>
        <w:rPr>
          <w:rFonts w:hint="eastAsia" w:ascii="黑体" w:hAnsi="黑体" w:eastAsia="黑体" w:cs="黑体"/>
          <w:sz w:val="36"/>
          <w:szCs w:val="36"/>
        </w:rPr>
        <w:t>图目录</w:t>
      </w:r>
      <w:bookmarkEnd w:id="10"/>
      <w:bookmarkEnd w:id="11"/>
    </w:p>
    <w:p>
      <w:pPr>
        <w:pStyle w:val="12"/>
        <w:tabs>
          <w:tab w:val="right" w:leader="dot" w:pos="8312"/>
        </w:tabs>
        <w:spacing w:line="360" w:lineRule="auto"/>
        <w:ind w:left="0" w:leftChars="0" w:firstLine="0" w:firstLineChars="0"/>
      </w:pPr>
      <w:r>
        <w:rPr>
          <w:sz w:val="24"/>
          <w:szCs w:val="24"/>
        </w:rPr>
        <w:fldChar w:fldCharType="begin"/>
      </w:r>
      <w:r>
        <w:rPr>
          <w:sz w:val="24"/>
          <w:szCs w:val="24"/>
        </w:rPr>
        <w:instrText xml:space="preserve"> TOC \h \z \c "图1-" </w:instrText>
      </w:r>
      <w:r>
        <w:rPr>
          <w:sz w:val="24"/>
          <w:szCs w:val="24"/>
        </w:rPr>
        <w:fldChar w:fldCharType="separate"/>
      </w:r>
      <w:r>
        <w:fldChar w:fldCharType="begin"/>
      </w:r>
      <w:r>
        <w:instrText xml:space="preserve"> HYPERLINK \l "_Toc17894" </w:instrText>
      </w:r>
      <w:r>
        <w:fldChar w:fldCharType="separate"/>
      </w:r>
      <w:r>
        <w:rPr>
          <w:sz w:val="24"/>
          <w:szCs w:val="24"/>
        </w:rPr>
        <w:t>图1-1  研究框架</w:t>
      </w:r>
      <w:r>
        <w:rPr>
          <w:sz w:val="24"/>
          <w:szCs w:val="24"/>
        </w:rPr>
        <w:tab/>
      </w:r>
      <w:r>
        <w:rPr>
          <w:sz w:val="24"/>
          <w:szCs w:val="24"/>
        </w:rPr>
        <w:fldChar w:fldCharType="begin"/>
      </w:r>
      <w:r>
        <w:rPr>
          <w:sz w:val="24"/>
          <w:szCs w:val="24"/>
        </w:rPr>
        <w:instrText xml:space="preserve"> PAGEREF _Toc17894 \h </w:instrText>
      </w:r>
      <w:r>
        <w:rPr>
          <w:sz w:val="24"/>
          <w:szCs w:val="24"/>
        </w:rPr>
        <w:fldChar w:fldCharType="separate"/>
      </w:r>
      <w:r>
        <w:rPr>
          <w:sz w:val="24"/>
          <w:szCs w:val="24"/>
        </w:rPr>
        <w:t>9</w:t>
      </w:r>
      <w:r>
        <w:rPr>
          <w:sz w:val="24"/>
          <w:szCs w:val="24"/>
        </w:rPr>
        <w:fldChar w:fldCharType="end"/>
      </w:r>
      <w:r>
        <w:rPr>
          <w:sz w:val="24"/>
          <w:szCs w:val="24"/>
        </w:rPr>
        <w:fldChar w:fldCharType="end"/>
      </w:r>
      <w:r>
        <w:rPr>
          <w:sz w:val="24"/>
          <w:szCs w:val="24"/>
        </w:rPr>
        <w:fldChar w:fldCharType="end"/>
      </w:r>
    </w:p>
    <w:p>
      <w:pPr>
        <w:pStyle w:val="10"/>
        <w:tabs>
          <w:tab w:val="right" w:leader="dot" w:pos="8504"/>
          <w:tab w:val="clear" w:pos="9180"/>
          <w:tab w:val="clear" w:pos="9240"/>
        </w:tabs>
        <w:jc w:val="center"/>
        <w:outlineLvl w:val="0"/>
        <w:rPr>
          <w:rFonts w:hint="eastAsia" w:ascii="黑体" w:hAnsi="黑体" w:eastAsia="黑体" w:cs="黑体"/>
          <w:sz w:val="36"/>
          <w:szCs w:val="36"/>
        </w:rPr>
        <w:sectPr>
          <w:footerReference r:id="rId11" w:type="default"/>
          <w:pgSz w:w="11906" w:h="16838"/>
          <w:pgMar w:top="1440" w:right="1797" w:bottom="1440" w:left="1797" w:header="1361" w:footer="992" w:gutter="0"/>
          <w:pgNumType w:fmt="upperRoman"/>
          <w:cols w:space="720" w:num="1"/>
          <w:docGrid w:type="lines" w:linePitch="312" w:charSpace="0"/>
        </w:sectPr>
      </w:pPr>
      <w:bookmarkStart w:id="14" w:name="_Toc104375921"/>
      <w:bookmarkStart w:id="15" w:name="_Toc12010"/>
    </w:p>
    <w:p>
      <w:pPr>
        <w:pStyle w:val="10"/>
        <w:tabs>
          <w:tab w:val="right" w:leader="dot" w:pos="8504"/>
          <w:tab w:val="clear" w:pos="9180"/>
          <w:tab w:val="clear" w:pos="9240"/>
        </w:tabs>
        <w:jc w:val="center"/>
        <w:outlineLvl w:val="0"/>
        <w:rPr>
          <w:rFonts w:ascii="黑体" w:hAnsi="黑体" w:eastAsia="黑体" w:cs="黑体"/>
          <w:sz w:val="36"/>
          <w:szCs w:val="36"/>
        </w:rPr>
      </w:pPr>
      <w:r>
        <w:rPr>
          <w:rFonts w:hint="eastAsia" w:ascii="黑体" w:hAnsi="黑体" w:eastAsia="黑体" w:cs="黑体"/>
          <w:sz w:val="36"/>
          <w:szCs w:val="36"/>
        </w:rPr>
        <w:t>表目录</w:t>
      </w:r>
      <w:bookmarkEnd w:id="14"/>
      <w:bookmarkEnd w:id="15"/>
    </w:p>
    <w:p>
      <w:pPr>
        <w:pStyle w:val="12"/>
        <w:tabs>
          <w:tab w:val="right" w:leader="dot" w:pos="8302"/>
        </w:tabs>
        <w:spacing w:line="360" w:lineRule="auto"/>
        <w:ind w:left="0" w:leftChars="0" w:firstLine="0" w:firstLineChars="0"/>
        <w:rPr>
          <w:rFonts w:ascii="宋体" w:hAnsi="宋体" w:cstheme="minorBidi"/>
          <w:sz w:val="24"/>
          <w:szCs w:val="24"/>
        </w:rPr>
      </w:pPr>
      <w:r>
        <w:rPr>
          <w:rFonts w:ascii="宋体" w:hAnsi="宋体"/>
          <w:b/>
          <w:sz w:val="24"/>
          <w:szCs w:val="24"/>
        </w:rPr>
        <w:fldChar w:fldCharType="begin"/>
      </w:r>
      <w:r>
        <w:rPr>
          <w:rFonts w:ascii="宋体" w:hAnsi="宋体"/>
          <w:b/>
          <w:sz w:val="24"/>
          <w:szCs w:val="24"/>
        </w:rPr>
        <w:instrText xml:space="preserve"> TOC \h \z \c "表3-" </w:instrText>
      </w:r>
      <w:r>
        <w:rPr>
          <w:rFonts w:ascii="宋体" w:hAnsi="宋体"/>
          <w:b/>
          <w:sz w:val="24"/>
          <w:szCs w:val="24"/>
        </w:rPr>
        <w:fldChar w:fldCharType="separate"/>
      </w:r>
      <w:r>
        <w:fldChar w:fldCharType="begin"/>
      </w:r>
      <w:r>
        <w:instrText xml:space="preserve"> HYPERLINK \l "_Toc104376088" </w:instrText>
      </w:r>
      <w:r>
        <w:fldChar w:fldCharType="separate"/>
      </w:r>
      <w:r>
        <w:rPr>
          <w:rStyle w:val="18"/>
          <w:rFonts w:ascii="宋体" w:hAnsi="宋体"/>
          <w:sz w:val="24"/>
          <w:szCs w:val="24"/>
        </w:rPr>
        <w:t>表3-1  2014年10个试点地区</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_Toc104376088 \h </w:instrText>
      </w:r>
      <w:r>
        <w:rPr>
          <w:rFonts w:ascii="宋体" w:hAnsi="宋体"/>
          <w:sz w:val="24"/>
          <w:szCs w:val="24"/>
        </w:rPr>
        <w:fldChar w:fldCharType="separate"/>
      </w:r>
      <w:r>
        <w:rPr>
          <w:rFonts w:ascii="宋体" w:hAnsi="宋体"/>
          <w:sz w:val="24"/>
          <w:szCs w:val="24"/>
        </w:rPr>
        <w:t>15</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"_Toc104376089" </w:instrText>
      </w:r>
      <w:r>
        <w:fldChar w:fldCharType="separate"/>
      </w:r>
      <w:r>
        <w:rPr>
          <w:rStyle w:val="18"/>
          <w:rFonts w:ascii="宋体" w:hAnsi="宋体"/>
          <w:sz w:val="24"/>
          <w:szCs w:val="24"/>
        </w:rPr>
        <w:t>表3-2  18个资源型与重污染型行业及代码</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_Toc104376089 \h </w:instrText>
      </w:r>
      <w:r>
        <w:rPr>
          <w:rFonts w:ascii="宋体" w:hAnsi="宋体"/>
          <w:sz w:val="24"/>
          <w:szCs w:val="24"/>
        </w:rPr>
        <w:fldChar w:fldCharType="separate"/>
      </w:r>
      <w:r>
        <w:rPr>
          <w:rFonts w:ascii="宋体" w:hAnsi="宋体"/>
          <w:sz w:val="24"/>
          <w:szCs w:val="24"/>
        </w:rPr>
        <w:t>16</w:t>
      </w:r>
      <w:r>
        <w:rPr>
          <w:rFonts w:ascii="宋体" w:hAnsi="宋体"/>
          <w:sz w:val="24"/>
          <w:szCs w:val="24"/>
        </w:rPr>
        <w:fldChar w:fldCharType="end"/>
      </w:r>
      <w:r>
        <w:rPr>
          <w:rFonts w:ascii="宋体" w:hAnsi="宋体"/>
          <w:sz w:val="24"/>
          <w:szCs w:val="24"/>
        </w:rPr>
        <w:fldChar w:fldCharType="end"/>
      </w:r>
    </w:p>
    <w:p>
      <w:pPr>
        <w:pStyle w:val="12"/>
        <w:tabs>
          <w:tab w:val="right" w:leader="dot" w:pos="8312"/>
        </w:tabs>
        <w:spacing w:line="360" w:lineRule="auto"/>
        <w:ind w:left="0" w:leftChars="0" w:firstLine="0" w:firstLineChars="0"/>
        <w:rPr>
          <w:rFonts w:ascii="宋体" w:hAnsi="宋体"/>
          <w:sz w:val="24"/>
          <w:szCs w:val="24"/>
        </w:rPr>
      </w:pPr>
      <w:r>
        <w:fldChar w:fldCharType="begin"/>
      </w:r>
      <w:r>
        <w:instrText xml:space="preserve"> HYPERLINK \l "_Toc104376090" </w:instrText>
      </w:r>
      <w:r>
        <w:fldChar w:fldCharType="separate"/>
      </w:r>
      <w:r>
        <w:rPr>
          <w:rStyle w:val="18"/>
          <w:rFonts w:ascii="宋体" w:hAnsi="宋体"/>
          <w:sz w:val="24"/>
          <w:szCs w:val="24"/>
        </w:rPr>
        <w:t>表3-3  变量定义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_Toc104376090 \h </w:instrText>
      </w:r>
      <w:r>
        <w:rPr>
          <w:rFonts w:ascii="宋体" w:hAnsi="宋体"/>
          <w:sz w:val="24"/>
          <w:szCs w:val="24"/>
        </w:rPr>
        <w:fldChar w:fldCharType="separate"/>
      </w:r>
      <w:r>
        <w:rPr>
          <w:rFonts w:ascii="宋体" w:hAnsi="宋体"/>
          <w:sz w:val="24"/>
          <w:szCs w:val="24"/>
        </w:rPr>
        <w:t>18</w:t>
      </w:r>
      <w:r>
        <w:rPr>
          <w:rFonts w:ascii="宋体" w:hAnsi="宋体"/>
          <w:sz w:val="24"/>
          <w:szCs w:val="24"/>
        </w:rPr>
        <w:fldChar w:fldCharType="end"/>
      </w:r>
      <w:r>
        <w:rPr>
          <w:rFonts w:ascii="宋体" w:hAnsi="宋体"/>
          <w:sz w:val="24"/>
          <w:szCs w:val="24"/>
        </w:rPr>
        <w:fldChar w:fldCharType="end"/>
      </w:r>
      <w:r>
        <w:rPr>
          <w:rFonts w:ascii="宋体" w:hAnsi="宋体"/>
          <w:sz w:val="24"/>
          <w:szCs w:val="24"/>
        </w:rPr>
        <w:fldChar w:fldCharType="end"/>
      </w:r>
      <w:r>
        <w:rPr>
          <w:rFonts w:ascii="宋体" w:hAnsi="宋体"/>
          <w:b/>
          <w:sz w:val="24"/>
          <w:szCs w:val="24"/>
        </w:rPr>
        <w:fldChar w:fldCharType="begin"/>
      </w:r>
      <w:r>
        <w:rPr>
          <w:rFonts w:ascii="宋体" w:hAnsi="宋体"/>
          <w:b/>
          <w:sz w:val="24"/>
          <w:szCs w:val="24"/>
        </w:rPr>
        <w:instrText xml:space="preserve"> TOC \h \z \c "表4-" </w:instrText>
      </w:r>
      <w:r>
        <w:rPr>
          <w:rFonts w:ascii="宋体" w:hAnsi="宋体"/>
          <w:b/>
          <w:sz w:val="24"/>
          <w:szCs w:val="24"/>
        </w:rPr>
        <w:fldChar w:fldCharType="separate"/>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"_Toc104376091" </w:instrText>
      </w:r>
      <w:r>
        <w:fldChar w:fldCharType="separate"/>
      </w:r>
      <w:r>
        <w:rPr>
          <w:rStyle w:val="18"/>
          <w:rFonts w:ascii="宋体" w:hAnsi="宋体"/>
          <w:sz w:val="24"/>
          <w:szCs w:val="24"/>
        </w:rPr>
        <w:t>表4-1  变量的描述性统计分析</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_Toc104376091 \h </w:instrText>
      </w:r>
      <w:r>
        <w:rPr>
          <w:rFonts w:ascii="宋体" w:hAnsi="宋体"/>
          <w:sz w:val="24"/>
          <w:szCs w:val="24"/>
        </w:rPr>
        <w:fldChar w:fldCharType="separate"/>
      </w:r>
      <w:r>
        <w:rPr>
          <w:rFonts w:ascii="宋体" w:hAnsi="宋体"/>
          <w:sz w:val="24"/>
          <w:szCs w:val="24"/>
        </w:rPr>
        <w:t>19</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"_Toc104376092" </w:instrText>
      </w:r>
      <w:r>
        <w:fldChar w:fldCharType="separate"/>
      </w:r>
      <w:r>
        <w:rPr>
          <w:rStyle w:val="18"/>
          <w:rFonts w:ascii="宋体" w:hAnsi="宋体"/>
          <w:sz w:val="24"/>
          <w:szCs w:val="24"/>
        </w:rPr>
        <w:t>表4-2  变量的相关性分析</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_Toc104376092 \h </w:instrText>
      </w:r>
      <w:r>
        <w:rPr>
          <w:rFonts w:ascii="宋体" w:hAnsi="宋体"/>
          <w:sz w:val="24"/>
          <w:szCs w:val="24"/>
        </w:rPr>
        <w:fldChar w:fldCharType="separate"/>
      </w:r>
      <w:r>
        <w:rPr>
          <w:rFonts w:ascii="宋体" w:hAnsi="宋体"/>
          <w:sz w:val="24"/>
          <w:szCs w:val="24"/>
        </w:rPr>
        <w:t>21</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"_Toc104376093" </w:instrText>
      </w:r>
      <w:r>
        <w:fldChar w:fldCharType="separate"/>
      </w:r>
      <w:r>
        <w:rPr>
          <w:rStyle w:val="18"/>
          <w:rFonts w:ascii="宋体" w:hAnsi="宋体"/>
          <w:sz w:val="24"/>
          <w:szCs w:val="24"/>
        </w:rPr>
        <w:t>表4-3  主回归结果</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_Toc104376093 \h </w:instrText>
      </w:r>
      <w:r>
        <w:rPr>
          <w:rFonts w:ascii="宋体" w:hAnsi="宋体"/>
          <w:sz w:val="24"/>
          <w:szCs w:val="24"/>
        </w:rPr>
        <w:fldChar w:fldCharType="separate"/>
      </w:r>
      <w:r>
        <w:rPr>
          <w:rFonts w:ascii="宋体" w:hAnsi="宋体"/>
          <w:sz w:val="24"/>
          <w:szCs w:val="24"/>
        </w:rPr>
        <w:t>22</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"_Toc104376094" </w:instrText>
      </w:r>
      <w:r>
        <w:fldChar w:fldCharType="separate"/>
      </w:r>
      <w:r>
        <w:rPr>
          <w:rStyle w:val="18"/>
          <w:rFonts w:ascii="宋体" w:hAnsi="宋体"/>
          <w:sz w:val="24"/>
          <w:szCs w:val="24"/>
        </w:rPr>
        <w:t>表4-4  平行趋势检验</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_Toc104376094 \h </w:instrText>
      </w:r>
      <w:r>
        <w:rPr>
          <w:rFonts w:ascii="宋体" w:hAnsi="宋体"/>
          <w:sz w:val="24"/>
          <w:szCs w:val="24"/>
        </w:rPr>
        <w:fldChar w:fldCharType="separate"/>
      </w:r>
      <w:r>
        <w:rPr>
          <w:rFonts w:ascii="宋体" w:hAnsi="宋体"/>
          <w:sz w:val="24"/>
          <w:szCs w:val="24"/>
        </w:rPr>
        <w:t>23</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"_Toc104376095" </w:instrText>
      </w:r>
      <w:r>
        <w:fldChar w:fldCharType="separate"/>
      </w:r>
      <w:r>
        <w:rPr>
          <w:rStyle w:val="18"/>
          <w:rFonts w:ascii="宋体" w:hAnsi="宋体"/>
          <w:sz w:val="24"/>
          <w:szCs w:val="24"/>
        </w:rPr>
        <w:t>表4-5  替换被解释变量</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_Toc104376095 \h </w:instrText>
      </w:r>
      <w:r>
        <w:rPr>
          <w:rFonts w:ascii="宋体" w:hAnsi="宋体"/>
          <w:sz w:val="24"/>
          <w:szCs w:val="24"/>
        </w:rPr>
        <w:fldChar w:fldCharType="separate"/>
      </w:r>
      <w:r>
        <w:rPr>
          <w:rFonts w:ascii="宋体" w:hAnsi="宋体"/>
          <w:sz w:val="24"/>
          <w:szCs w:val="24"/>
        </w:rPr>
        <w:t>24</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"_Toc104376096" </w:instrText>
      </w:r>
      <w:r>
        <w:fldChar w:fldCharType="separate"/>
      </w:r>
      <w:r>
        <w:rPr>
          <w:rStyle w:val="18"/>
          <w:rFonts w:ascii="宋体" w:hAnsi="宋体"/>
          <w:sz w:val="24"/>
          <w:szCs w:val="24"/>
        </w:rPr>
        <w:t>表4-6  专利类型的异质性</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_Toc104376096 \h </w:instrText>
      </w:r>
      <w:r>
        <w:rPr>
          <w:rFonts w:ascii="宋体" w:hAnsi="宋体"/>
          <w:sz w:val="24"/>
          <w:szCs w:val="24"/>
        </w:rPr>
        <w:fldChar w:fldCharType="separate"/>
      </w:r>
      <w:r>
        <w:rPr>
          <w:rFonts w:ascii="宋体" w:hAnsi="宋体"/>
          <w:sz w:val="24"/>
          <w:szCs w:val="24"/>
        </w:rPr>
        <w:t>25</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"_Toc104376097" </w:instrText>
      </w:r>
      <w:r>
        <w:fldChar w:fldCharType="separate"/>
      </w:r>
      <w:r>
        <w:rPr>
          <w:rStyle w:val="18"/>
          <w:rFonts w:ascii="宋体" w:hAnsi="宋体"/>
          <w:sz w:val="24"/>
          <w:szCs w:val="24"/>
        </w:rPr>
        <w:t>表4-7  排污费与企业绿色技术创新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_Toc104376097 \h </w:instrText>
      </w:r>
      <w:r>
        <w:rPr>
          <w:rFonts w:ascii="宋体" w:hAnsi="宋体"/>
          <w:sz w:val="24"/>
          <w:szCs w:val="24"/>
        </w:rPr>
        <w:fldChar w:fldCharType="separate"/>
      </w:r>
      <w:r>
        <w:rPr>
          <w:rFonts w:ascii="宋体" w:hAnsi="宋体"/>
          <w:sz w:val="24"/>
          <w:szCs w:val="24"/>
        </w:rPr>
        <w:t>26</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"_Toc104376098" </w:instrText>
      </w:r>
      <w:r>
        <w:fldChar w:fldCharType="separate"/>
      </w:r>
      <w:r>
        <w:rPr>
          <w:rStyle w:val="18"/>
          <w:rFonts w:ascii="宋体" w:hAnsi="宋体"/>
          <w:sz w:val="24"/>
          <w:szCs w:val="24"/>
        </w:rPr>
        <w:t>表4-8  政府研发补助与企业绿色技术创新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_Toc104376098 \h </w:instrText>
      </w:r>
      <w:r>
        <w:rPr>
          <w:rFonts w:ascii="宋体" w:hAnsi="宋体"/>
          <w:sz w:val="24"/>
          <w:szCs w:val="24"/>
        </w:rPr>
        <w:fldChar w:fldCharType="separate"/>
      </w:r>
      <w:r>
        <w:rPr>
          <w:rFonts w:ascii="宋体" w:hAnsi="宋体"/>
          <w:sz w:val="24"/>
          <w:szCs w:val="24"/>
        </w:rPr>
        <w:t>28</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"_Toc104376099" </w:instrText>
      </w:r>
      <w:r>
        <w:fldChar w:fldCharType="separate"/>
      </w:r>
      <w:r>
        <w:rPr>
          <w:rStyle w:val="18"/>
          <w:rFonts w:ascii="宋体" w:hAnsi="宋体"/>
          <w:sz w:val="24"/>
          <w:szCs w:val="24"/>
        </w:rPr>
        <w:t>表4-9  企业内部治理、外部监督与企业绿色技术创新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_Toc104376099 \h </w:instrText>
      </w:r>
      <w:r>
        <w:rPr>
          <w:rFonts w:ascii="宋体" w:hAnsi="宋体"/>
          <w:sz w:val="24"/>
          <w:szCs w:val="24"/>
        </w:rPr>
        <w:fldChar w:fldCharType="separate"/>
      </w:r>
      <w:r>
        <w:rPr>
          <w:rFonts w:ascii="宋体" w:hAnsi="宋体"/>
          <w:sz w:val="24"/>
          <w:szCs w:val="24"/>
        </w:rPr>
        <w:t>29</w:t>
      </w:r>
      <w:r>
        <w:rPr>
          <w:rFonts w:ascii="宋体" w:hAnsi="宋体"/>
          <w:sz w:val="24"/>
          <w:szCs w:val="24"/>
        </w:rPr>
        <w:fldChar w:fldCharType="end"/>
      </w:r>
      <w:r>
        <w:rPr>
          <w:rFonts w:ascii="宋体" w:hAnsi="宋体"/>
          <w:sz w:val="24"/>
          <w:szCs w:val="24"/>
        </w:rPr>
        <w:fldChar w:fldCharType="end"/>
      </w:r>
    </w:p>
    <w:p>
      <w:pPr>
        <w:pStyle w:val="12"/>
        <w:tabs>
          <w:tab w:val="right" w:leader="dot" w:pos="8302"/>
        </w:tabs>
        <w:spacing w:line="360" w:lineRule="auto"/>
        <w:ind w:left="0" w:leftChars="0" w:firstLine="0" w:firstLineChars="0"/>
        <w:rPr>
          <w:rFonts w:ascii="宋体" w:hAnsi="宋体" w:cstheme="minorBidi"/>
          <w:sz w:val="24"/>
          <w:szCs w:val="24"/>
        </w:rPr>
      </w:pPr>
      <w:r>
        <w:fldChar w:fldCharType="begin"/>
      </w:r>
      <w:r>
        <w:instrText xml:space="preserve"> HYPERLINK \l "_Toc104376100" </w:instrText>
      </w:r>
      <w:r>
        <w:fldChar w:fldCharType="separate"/>
      </w:r>
      <w:r>
        <w:rPr>
          <w:rStyle w:val="18"/>
          <w:rFonts w:ascii="宋体" w:hAnsi="宋体"/>
          <w:sz w:val="24"/>
          <w:szCs w:val="24"/>
        </w:rPr>
        <w:t>表4-10 企业股权结构与绿色技术创新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_Toc104376100 \h </w:instrText>
      </w:r>
      <w:r>
        <w:rPr>
          <w:rFonts w:ascii="宋体" w:hAnsi="宋体"/>
          <w:sz w:val="24"/>
          <w:szCs w:val="24"/>
        </w:rPr>
        <w:fldChar w:fldCharType="separate"/>
      </w:r>
      <w:r>
        <w:rPr>
          <w:rFonts w:ascii="宋体" w:hAnsi="宋体"/>
          <w:sz w:val="24"/>
          <w:szCs w:val="24"/>
        </w:rPr>
        <w:t>30</w:t>
      </w:r>
      <w:r>
        <w:rPr>
          <w:rFonts w:ascii="宋体" w:hAnsi="宋体"/>
          <w:sz w:val="24"/>
          <w:szCs w:val="24"/>
        </w:rPr>
        <w:fldChar w:fldCharType="end"/>
      </w:r>
      <w:r>
        <w:rPr>
          <w:rFonts w:ascii="宋体" w:hAnsi="宋体"/>
          <w:sz w:val="24"/>
          <w:szCs w:val="24"/>
        </w:rPr>
        <w:fldChar w:fldCharType="end"/>
      </w:r>
    </w:p>
    <w:p>
      <w:pPr>
        <w:pStyle w:val="12"/>
        <w:widowControl/>
        <w:tabs>
          <w:tab w:val="right" w:leader="dot" w:pos="8312"/>
        </w:tabs>
        <w:spacing w:line="360" w:lineRule="auto"/>
        <w:ind w:left="0" w:leftChars="0" w:firstLine="0" w:firstLineChars="0"/>
        <w:jc w:val="left"/>
        <w:rPr>
          <w:rFonts w:eastAsia="黑体"/>
          <w:b/>
          <w:sz w:val="36"/>
          <w:szCs w:val="36"/>
        </w:rPr>
      </w:pPr>
      <w:r>
        <w:rPr>
          <w:rFonts w:ascii="宋体" w:hAnsi="宋体"/>
          <w:b/>
          <w:sz w:val="24"/>
          <w:szCs w:val="24"/>
        </w:rPr>
        <w:fldChar w:fldCharType="end"/>
      </w:r>
    </w:p>
    <w:p>
      <w:pPr>
        <w:widowControl/>
        <w:jc w:val="left"/>
        <w:rPr>
          <w:rFonts w:eastAsia="黑体"/>
          <w:b/>
          <w:sz w:val="36"/>
          <w:szCs w:val="36"/>
        </w:rPr>
      </w:pPr>
    </w:p>
    <w:p>
      <w:pPr>
        <w:spacing w:before="156" w:beforeLines="50" w:after="156" w:afterLines="50"/>
        <w:jc w:val="center"/>
        <w:outlineLvl w:val="0"/>
        <w:rPr>
          <w:rFonts w:eastAsia="黑体"/>
          <w:b/>
          <w:sz w:val="36"/>
          <w:szCs w:val="36"/>
        </w:rPr>
        <w:sectPr>
          <w:footerReference r:id="rId12" w:type="default"/>
          <w:pgSz w:w="11906" w:h="16838"/>
          <w:pgMar w:top="1440" w:right="1797" w:bottom="1440" w:left="1797" w:header="851" w:footer="992" w:gutter="0"/>
          <w:pgNumType w:fmt="upperRoman"/>
          <w:cols w:space="720" w:num="1"/>
          <w:docGrid w:type="lines" w:linePitch="312" w:charSpace="0"/>
        </w:sectPr>
      </w:pPr>
    </w:p>
    <w:bookmarkEnd w:id="12"/>
    <w:bookmarkEnd w:id="13"/>
    <w:p>
      <w:pPr>
        <w:spacing w:before="156" w:beforeLines="50" w:after="156" w:afterLines="50"/>
        <w:jc w:val="center"/>
        <w:outlineLvl w:val="0"/>
        <w:rPr>
          <w:rFonts w:ascii="楷体_GB2312" w:eastAsia="楷体_GB2312"/>
        </w:rPr>
      </w:pPr>
      <w:bookmarkStart w:id="16" w:name="_Toc104375922"/>
      <w:bookmarkStart w:id="17" w:name="_Toc7652"/>
      <w:r>
        <w:rPr>
          <w:rFonts w:eastAsia="黑体"/>
          <w:b/>
          <w:sz w:val="36"/>
          <w:szCs w:val="36"/>
        </w:rPr>
        <w:t>1</w:t>
      </w:r>
      <w:r>
        <w:rPr>
          <w:rFonts w:hint="eastAsia" w:eastAsia="黑体"/>
          <w:b/>
          <w:sz w:val="36"/>
          <w:szCs w:val="36"/>
        </w:rPr>
        <w:t xml:space="preserve">  </w:t>
      </w:r>
      <w:r>
        <w:rPr>
          <w:rFonts w:hint="eastAsia" w:ascii="黑体" w:eastAsia="黑体"/>
          <w:b/>
          <w:sz w:val="36"/>
          <w:szCs w:val="36"/>
        </w:rPr>
        <w:t>绪论</w:t>
      </w:r>
      <w:bookmarkEnd w:id="16"/>
      <w:bookmarkEnd w:id="17"/>
    </w:p>
    <w:p>
      <w:pPr>
        <w:spacing w:before="156" w:beforeLines="50" w:after="156" w:afterLines="50"/>
        <w:outlineLvl w:val="1"/>
        <w:rPr>
          <w:rFonts w:ascii="宋体" w:hAnsi="宋体"/>
        </w:rPr>
      </w:pPr>
      <w:bookmarkStart w:id="18" w:name="_Toc100181828"/>
      <w:bookmarkStart w:id="19" w:name="_Toc100181251"/>
      <w:bookmarkStart w:id="20" w:name="_Toc3711"/>
      <w:bookmarkStart w:id="21" w:name="_Toc104375923"/>
      <w:r>
        <w:rPr>
          <w:b/>
          <w:sz w:val="28"/>
          <w:szCs w:val="28"/>
        </w:rPr>
        <w:t>1.1</w:t>
      </w:r>
      <w:r>
        <w:rPr>
          <w:rFonts w:hint="eastAsia" w:ascii="黑体" w:eastAsia="黑体"/>
          <w:b/>
          <w:sz w:val="28"/>
          <w:szCs w:val="28"/>
        </w:rPr>
        <w:t xml:space="preserve"> 研究背景</w:t>
      </w:r>
      <w:bookmarkEnd w:id="18"/>
      <w:bookmarkEnd w:id="19"/>
      <w:r>
        <w:rPr>
          <w:rFonts w:hint="eastAsia" w:ascii="黑体" w:eastAsia="黑体"/>
          <w:b/>
          <w:sz w:val="28"/>
          <w:szCs w:val="28"/>
        </w:rPr>
        <w:t>与意义</w:t>
      </w:r>
      <w:bookmarkEnd w:id="20"/>
      <w:bookmarkEnd w:id="21"/>
    </w:p>
    <w:p>
      <w:pPr>
        <w:spacing w:line="360" w:lineRule="auto"/>
        <w:ind w:firstLine="480" w:firstLineChars="200"/>
        <w:rPr>
          <w:rFonts w:ascii="宋体" w:hAnsi="宋体"/>
          <w:sz w:val="24"/>
        </w:rPr>
      </w:pPr>
      <w:r>
        <w:rPr>
          <w:rFonts w:hint="eastAsia" w:ascii="宋体" w:hAnsi="宋体"/>
          <w:sz w:val="24"/>
        </w:rPr>
        <w:t>改革开放以来，我国在经济发展方面获得了举世瞩目的惊艳成效，甚至在2</w:t>
      </w:r>
      <w:r>
        <w:rPr>
          <w:rFonts w:ascii="宋体" w:hAnsi="宋体"/>
          <w:sz w:val="24"/>
        </w:rPr>
        <w:t>017</w:t>
      </w:r>
      <w:r>
        <w:rPr>
          <w:rFonts w:hint="eastAsia" w:ascii="宋体" w:hAnsi="宋体"/>
          <w:sz w:val="24"/>
        </w:rPr>
        <w:t>年达到了1</w:t>
      </w:r>
      <w:r>
        <w:rPr>
          <w:rFonts w:ascii="宋体" w:hAnsi="宋体"/>
          <w:sz w:val="24"/>
        </w:rPr>
        <w:t>4.23%</w:t>
      </w:r>
      <w:r>
        <w:rPr>
          <w:rFonts w:hint="eastAsia" w:ascii="宋体" w:hAnsi="宋体"/>
          <w:sz w:val="24"/>
        </w:rPr>
        <w:t>的惊人数字，同时形成了以GDP为主要考核标准的官员晋升政策，但是经济高增长的背后却是明显的“三高”现象，即企业高投资、高排放、高能耗，出现了严重的资源浪费、环境污染等问题，大气质量明显下降，冬季雾霾的大规模爆发以及水污染，严重危害了人民的生命健康安全。且自2</w:t>
      </w:r>
      <w:r>
        <w:rPr>
          <w:rFonts w:ascii="宋体" w:hAnsi="宋体"/>
          <w:sz w:val="24"/>
        </w:rPr>
        <w:t>008</w:t>
      </w:r>
      <w:r>
        <w:rPr>
          <w:rFonts w:hint="eastAsia" w:ascii="宋体" w:hAnsi="宋体"/>
          <w:sz w:val="24"/>
        </w:rPr>
        <w:t>年起，我国的G</w:t>
      </w:r>
      <w:r>
        <w:rPr>
          <w:rFonts w:ascii="宋体" w:hAnsi="宋体"/>
          <w:sz w:val="24"/>
        </w:rPr>
        <w:t>DP</w:t>
      </w:r>
      <w:r>
        <w:rPr>
          <w:rFonts w:hint="eastAsia" w:ascii="宋体" w:hAnsi="宋体"/>
          <w:sz w:val="24"/>
        </w:rPr>
        <w:t>增速逐步回落，习总书记在2</w:t>
      </w:r>
      <w:r>
        <w:rPr>
          <w:rFonts w:ascii="宋体" w:hAnsi="宋体"/>
          <w:sz w:val="24"/>
        </w:rPr>
        <w:t>013</w:t>
      </w:r>
      <w:r>
        <w:rPr>
          <w:rFonts w:hint="eastAsia" w:ascii="宋体" w:hAnsi="宋体"/>
          <w:sz w:val="24"/>
        </w:rPr>
        <w:t>年的中央经济工作会议上首次提出经济新常态，要求要转向经济健康平稳发展，也就是从实现高速发展转向实现高质量发展。在经济新常态下，创新转型、实现产业升级以及加强生态环境保护成了我国目前发展的方向和突破口。</w:t>
      </w:r>
    </w:p>
    <w:p>
      <w:pPr>
        <w:spacing w:line="360" w:lineRule="auto"/>
        <w:ind w:firstLine="480" w:firstLineChars="200"/>
        <w:rPr>
          <w:rFonts w:ascii="宋体" w:hAnsi="宋体"/>
          <w:sz w:val="24"/>
        </w:rPr>
      </w:pPr>
      <w:r>
        <w:rPr>
          <w:rFonts w:hint="eastAsia" w:ascii="宋体" w:hAnsi="宋体"/>
          <w:sz w:val="24"/>
        </w:rPr>
        <w:t>2</w:t>
      </w:r>
      <w:r>
        <w:rPr>
          <w:rFonts w:ascii="宋体" w:hAnsi="宋体"/>
          <w:sz w:val="24"/>
        </w:rPr>
        <w:t>012</w:t>
      </w:r>
      <w:r>
        <w:rPr>
          <w:rFonts w:hint="eastAsia" w:ascii="宋体" w:hAnsi="宋体"/>
          <w:sz w:val="24"/>
        </w:rPr>
        <w:t>年，党的十八大首次提出要把生态文明建设纳入中国特色社会主义建设总布局当中，之后在2</w:t>
      </w:r>
      <w:r>
        <w:rPr>
          <w:rFonts w:ascii="宋体" w:hAnsi="宋体"/>
          <w:sz w:val="24"/>
        </w:rPr>
        <w:t>013</w:t>
      </w:r>
      <w:r>
        <w:rPr>
          <w:rFonts w:hint="eastAsia" w:ascii="宋体" w:hAnsi="宋体"/>
          <w:sz w:val="24"/>
        </w:rPr>
        <w:t>年召开的十八届三中全会上通过了《中共中央关于全面深化改革若干重大问题的决定》，其中明确提出要探索编制自然资源资产负债表，对领导干部实行自然资源资产离任审计，以及建立生态环境损害责任终身追究制。2015年国务院印发的《中国制造2025》中，则是强调要加快制造业绿色改造升级，努力构建高效、清洁、低碳、循环的绿色制造体系。领导干部自然资源资产离任审计的提出是对原有离任审计的巨大补充，是经济责任审计与环境审计深度交叉的一个新领域，它补充了原本针对领导干部以G</w:t>
      </w:r>
      <w:r>
        <w:rPr>
          <w:rFonts w:ascii="宋体" w:hAnsi="宋体"/>
          <w:sz w:val="24"/>
        </w:rPr>
        <w:t>DP</w:t>
      </w:r>
      <w:r>
        <w:rPr>
          <w:rFonts w:hint="eastAsia" w:ascii="宋体" w:hAnsi="宋体"/>
          <w:sz w:val="24"/>
        </w:rPr>
        <w:t>增长为主要考核依据的晋升标准。此项政策于2</w:t>
      </w:r>
      <w:r>
        <w:rPr>
          <w:rFonts w:ascii="宋体" w:hAnsi="宋体"/>
          <w:sz w:val="24"/>
        </w:rPr>
        <w:t>014</w:t>
      </w:r>
      <w:r>
        <w:rPr>
          <w:rFonts w:hint="eastAsia" w:ascii="宋体" w:hAnsi="宋体"/>
          <w:sz w:val="24"/>
        </w:rPr>
        <w:t>年起首次选取试点地区展开，于2</w:t>
      </w:r>
      <w:r>
        <w:rPr>
          <w:rFonts w:ascii="宋体" w:hAnsi="宋体"/>
          <w:sz w:val="24"/>
        </w:rPr>
        <w:t>016</w:t>
      </w:r>
      <w:r>
        <w:rPr>
          <w:rFonts w:hint="eastAsia" w:ascii="宋体" w:hAnsi="宋体"/>
          <w:sz w:val="24"/>
        </w:rPr>
        <w:t>年起扩大试点范围，于2</w:t>
      </w:r>
      <w:r>
        <w:rPr>
          <w:rFonts w:ascii="宋体" w:hAnsi="宋体"/>
          <w:sz w:val="24"/>
        </w:rPr>
        <w:t>017</w:t>
      </w:r>
      <w:r>
        <w:rPr>
          <w:rFonts w:hint="eastAsia" w:ascii="宋体" w:hAnsi="宋体"/>
          <w:sz w:val="24"/>
        </w:rPr>
        <w:t>年出台正式的试行规定，并推行全国实施。</w:t>
      </w:r>
    </w:p>
    <w:p>
      <w:pPr>
        <w:spacing w:line="360" w:lineRule="auto"/>
        <w:ind w:firstLine="480" w:firstLineChars="200"/>
        <w:rPr>
          <w:rFonts w:ascii="宋体" w:hAnsi="宋体"/>
          <w:sz w:val="24"/>
        </w:rPr>
      </w:pPr>
      <w:r>
        <w:rPr>
          <w:rFonts w:hint="eastAsia" w:ascii="宋体" w:hAnsi="宋体"/>
          <w:sz w:val="24"/>
        </w:rPr>
        <w:t>我们国家的目标是落实“创新、协调、绿色、开放、共享”的新发展理念，实现可持续发展，创建资源节约环境友好型社会，这就必须要求企业实现产业升级，朝可持续发展道路进行转型。因此基于以上背景，对自然资源资产离任审计在实际实施过程中，对企业，特别是资源型与重污染型企业在绿色技术创新水平提升方面的影响进行研究就成为了该审计政策的实施效果的重要评判内容，这将对我国继续深化生态文明建设，构建环境友好型社会，实现绿色产业升级等方面存在重要意义。</w:t>
      </w:r>
    </w:p>
    <w:p>
      <w:pPr>
        <w:spacing w:line="360" w:lineRule="auto"/>
        <w:jc w:val="left"/>
        <w:outlineLvl w:val="1"/>
        <w:rPr>
          <w:rFonts w:ascii="黑体" w:hAnsi="黑体" w:eastAsia="黑体"/>
          <w:b/>
          <w:sz w:val="28"/>
          <w:szCs w:val="28"/>
        </w:rPr>
      </w:pPr>
      <w:bookmarkStart w:id="22" w:name="_Toc100181829"/>
      <w:bookmarkStart w:id="23" w:name="_Toc104375924"/>
      <w:bookmarkStart w:id="24" w:name="_Toc2564"/>
      <w:bookmarkStart w:id="25" w:name="_Toc100181252"/>
      <w:r>
        <w:rPr>
          <w:b/>
          <w:sz w:val="28"/>
          <w:szCs w:val="28"/>
        </w:rPr>
        <w:t xml:space="preserve">1.2 </w:t>
      </w:r>
      <w:r>
        <w:rPr>
          <w:rFonts w:hint="eastAsia" w:ascii="黑体" w:hAnsi="黑体" w:eastAsia="黑体"/>
          <w:b/>
          <w:sz w:val="28"/>
          <w:szCs w:val="28"/>
        </w:rPr>
        <w:t>研究意义</w:t>
      </w:r>
      <w:bookmarkEnd w:id="22"/>
      <w:bookmarkEnd w:id="23"/>
      <w:bookmarkEnd w:id="24"/>
      <w:bookmarkEnd w:id="25"/>
    </w:p>
    <w:p>
      <w:pPr>
        <w:spacing w:line="360" w:lineRule="auto"/>
        <w:ind w:firstLine="480" w:firstLineChars="200"/>
        <w:jc w:val="left"/>
        <w:rPr>
          <w:b/>
          <w:sz w:val="28"/>
          <w:szCs w:val="28"/>
        </w:rPr>
      </w:pPr>
      <w:r>
        <w:rPr>
          <w:rFonts w:hint="eastAsia" w:ascii="宋体" w:hAnsi="宋体"/>
          <w:sz w:val="24"/>
        </w:rPr>
        <w:t>本文重点研究自然资源资产离任审计政策对资源型及重污染型企业的绿色技术创新水平能否产生正向的作用，研究意义如下：</w:t>
      </w:r>
    </w:p>
    <w:p>
      <w:pPr>
        <w:spacing w:line="360" w:lineRule="auto"/>
        <w:outlineLvl w:val="2"/>
        <w:rPr>
          <w:rFonts w:ascii="黑体" w:eastAsia="黑体"/>
          <w:b/>
          <w:sz w:val="24"/>
        </w:rPr>
      </w:pPr>
      <w:bookmarkStart w:id="26" w:name="_Toc100181830"/>
      <w:bookmarkStart w:id="27" w:name="_Toc100181253"/>
      <w:r>
        <w:rPr>
          <w:b/>
          <w:sz w:val="24"/>
        </w:rPr>
        <w:t>1.2.1</w:t>
      </w:r>
      <w:r>
        <w:rPr>
          <w:rFonts w:hint="eastAsia" w:ascii="黑体" w:eastAsia="黑体"/>
          <w:b/>
          <w:sz w:val="24"/>
        </w:rPr>
        <w:t xml:space="preserve"> 理论意义</w:t>
      </w:r>
      <w:bookmarkEnd w:id="26"/>
      <w:bookmarkEnd w:id="27"/>
    </w:p>
    <w:p>
      <w:pPr>
        <w:spacing w:line="360" w:lineRule="auto"/>
        <w:ind w:firstLine="480" w:firstLineChars="200"/>
        <w:rPr>
          <w:rFonts w:eastAsia="黑体"/>
          <w:b/>
          <w:sz w:val="24"/>
        </w:rPr>
      </w:pPr>
      <w:r>
        <w:rPr>
          <w:sz w:val="24"/>
        </w:rPr>
        <w:t>本文的理论意义如下：</w:t>
      </w:r>
    </w:p>
    <w:p>
      <w:pPr>
        <w:spacing w:line="360" w:lineRule="auto"/>
        <w:ind w:firstLine="480" w:firstLineChars="200"/>
        <w:rPr>
          <w:sz w:val="24"/>
        </w:rPr>
      </w:pPr>
      <w:r>
        <w:rPr>
          <w:rFonts w:hint="eastAsia"/>
          <w:sz w:val="24"/>
        </w:rPr>
        <w:t>（</w:t>
      </w:r>
      <w:r>
        <w:rPr>
          <w:rFonts w:hint="default" w:ascii="Times New Roman" w:hAnsi="Times New Roman" w:cs="Times New Roman"/>
          <w:sz w:val="24"/>
        </w:rPr>
        <w:t>１</w:t>
      </w:r>
      <w:r>
        <w:rPr>
          <w:rFonts w:hint="eastAsia"/>
          <w:sz w:val="24"/>
        </w:rPr>
        <w:t>）检验</w:t>
      </w:r>
      <w:r>
        <w:rPr>
          <w:sz w:val="24"/>
        </w:rPr>
        <w:t>“波特假说”的准确性。本文以Porter与Vender Linde提出的波特假说“适当的环境规制政策</w:t>
      </w:r>
      <w:r>
        <w:rPr>
          <w:rFonts w:hint="eastAsia"/>
          <w:sz w:val="24"/>
        </w:rPr>
        <w:t>有利于</w:t>
      </w:r>
      <w:r>
        <w:rPr>
          <w:sz w:val="24"/>
        </w:rPr>
        <w:t>刺激企业</w:t>
      </w:r>
      <w:r>
        <w:rPr>
          <w:rFonts w:hint="eastAsia"/>
          <w:sz w:val="24"/>
        </w:rPr>
        <w:t>进行</w:t>
      </w:r>
      <w:r>
        <w:rPr>
          <w:sz w:val="24"/>
        </w:rPr>
        <w:t>技术革新”为主要理论基础，若假设得以证实，则是对波特假说又一次有力证明。</w:t>
      </w:r>
    </w:p>
    <w:p>
      <w:pPr>
        <w:spacing w:line="360" w:lineRule="auto"/>
        <w:ind w:firstLine="480" w:firstLineChars="200"/>
        <w:rPr>
          <w:sz w:val="24"/>
        </w:rPr>
      </w:pPr>
      <w:r>
        <w:rPr>
          <w:rFonts w:hint="eastAsia"/>
          <w:sz w:val="24"/>
        </w:rPr>
        <w:t>（２）</w:t>
      </w:r>
      <w:r>
        <w:rPr>
          <w:sz w:val="24"/>
        </w:rPr>
        <w:t>拓宽研究体系，丰富离任审计与绿色技术创新的交叉研究。本文通过双重差分方法，对自然资源</w:t>
      </w:r>
      <w:r>
        <w:rPr>
          <w:rFonts w:hint="eastAsia"/>
          <w:sz w:val="24"/>
        </w:rPr>
        <w:t>资产</w:t>
      </w:r>
      <w:r>
        <w:rPr>
          <w:sz w:val="24"/>
        </w:rPr>
        <w:t>离任</w:t>
      </w:r>
      <w:r>
        <w:rPr>
          <w:rFonts w:hint="eastAsia"/>
          <w:sz w:val="24"/>
        </w:rPr>
        <w:t>审计</w:t>
      </w:r>
      <w:r>
        <w:rPr>
          <w:sz w:val="24"/>
        </w:rPr>
        <w:t>在企业绿色技术创新方面的政策效应进行评估分析，通过实证研究，在一定程度上拓宽了领导干部自然资源资产离任审计的研究理论体系。</w:t>
      </w:r>
      <w:r>
        <w:rPr>
          <w:rFonts w:hint="eastAsia"/>
          <w:sz w:val="24"/>
        </w:rPr>
        <w:t>现阶段</w:t>
      </w:r>
      <w:r>
        <w:rPr>
          <w:sz w:val="24"/>
        </w:rPr>
        <w:t>通过企业级数据对自然资源资产离任审计政策与企业绿色技术创新之间的关系进行实证分析的学术研究还比较少，本文的研究可以进一步丰富该审计政策与绿色技术创新的交叉研究。</w:t>
      </w:r>
    </w:p>
    <w:p>
      <w:pPr>
        <w:spacing w:line="360" w:lineRule="auto"/>
        <w:outlineLvl w:val="2"/>
        <w:rPr>
          <w:rFonts w:ascii="黑体" w:eastAsia="黑体"/>
          <w:b/>
          <w:sz w:val="24"/>
        </w:rPr>
      </w:pPr>
      <w:bookmarkStart w:id="28" w:name="_Toc100181254"/>
      <w:bookmarkStart w:id="29" w:name="_Toc100181831"/>
      <w:r>
        <w:rPr>
          <w:b/>
          <w:sz w:val="24"/>
        </w:rPr>
        <w:t>1.2.2</w:t>
      </w:r>
      <w:r>
        <w:rPr>
          <w:rFonts w:hint="eastAsia" w:ascii="黑体" w:eastAsia="黑体"/>
          <w:b/>
          <w:sz w:val="24"/>
        </w:rPr>
        <w:t xml:space="preserve"> 现实意义</w:t>
      </w:r>
      <w:bookmarkEnd w:id="28"/>
      <w:bookmarkEnd w:id="29"/>
    </w:p>
    <w:p>
      <w:pPr>
        <w:spacing w:line="360" w:lineRule="auto"/>
        <w:ind w:firstLine="480" w:firstLineChars="200"/>
        <w:rPr>
          <w:rFonts w:eastAsia="黑体"/>
          <w:b/>
          <w:sz w:val="24"/>
        </w:rPr>
      </w:pPr>
      <w:r>
        <w:rPr>
          <w:sz w:val="24"/>
        </w:rPr>
        <w:t>本文的</w:t>
      </w:r>
      <w:r>
        <w:rPr>
          <w:rFonts w:hint="eastAsia"/>
          <w:sz w:val="24"/>
        </w:rPr>
        <w:t>现实</w:t>
      </w:r>
      <w:r>
        <w:rPr>
          <w:sz w:val="24"/>
        </w:rPr>
        <w:t>意义如下：</w:t>
      </w:r>
    </w:p>
    <w:p>
      <w:pPr>
        <w:spacing w:line="360" w:lineRule="auto"/>
        <w:ind w:firstLine="480" w:firstLineChars="200"/>
        <w:rPr>
          <w:sz w:val="24"/>
          <w:szCs w:val="24"/>
        </w:rPr>
      </w:pPr>
      <w:r>
        <w:rPr>
          <w:rFonts w:hint="eastAsia"/>
          <w:sz w:val="24"/>
          <w:szCs w:val="24"/>
        </w:rPr>
        <w:t>（１）</w:t>
      </w:r>
      <w:r>
        <w:rPr>
          <w:sz w:val="24"/>
          <w:szCs w:val="24"/>
        </w:rPr>
        <w:t>为该离任审计政策实施的有效性提供理论支撑。本文通过考察领导干部自然资源</w:t>
      </w:r>
      <w:r>
        <w:rPr>
          <w:rFonts w:hint="eastAsia"/>
          <w:sz w:val="24"/>
          <w:szCs w:val="24"/>
        </w:rPr>
        <w:t>资产</w:t>
      </w:r>
      <w:r>
        <w:rPr>
          <w:sz w:val="24"/>
          <w:szCs w:val="24"/>
        </w:rPr>
        <w:t>离任审计政策的实施在企业绿色技术创新层面的微观效应，丰富了政府审计与环境治理交叉领域的研究，通过实证研究对政策的效果进行分析，有助于深入理解领导干部自然资源</w:t>
      </w:r>
      <w:r>
        <w:rPr>
          <w:rFonts w:hint="eastAsia"/>
          <w:sz w:val="24"/>
          <w:szCs w:val="24"/>
        </w:rPr>
        <w:t>资产</w:t>
      </w:r>
      <w:r>
        <w:rPr>
          <w:sz w:val="24"/>
          <w:szCs w:val="24"/>
        </w:rPr>
        <w:t>离任审计政策及</w:t>
      </w:r>
      <w:r>
        <w:rPr>
          <w:rFonts w:hint="eastAsia"/>
          <w:sz w:val="24"/>
          <w:szCs w:val="24"/>
        </w:rPr>
        <w:t>政策实施</w:t>
      </w:r>
      <w:r>
        <w:rPr>
          <w:sz w:val="24"/>
          <w:szCs w:val="24"/>
        </w:rPr>
        <w:t>效果</w:t>
      </w:r>
      <w:r>
        <w:rPr>
          <w:rFonts w:hint="eastAsia"/>
          <w:sz w:val="24"/>
          <w:szCs w:val="24"/>
        </w:rPr>
        <w:t>以及</w:t>
      </w:r>
      <w:r>
        <w:rPr>
          <w:sz w:val="24"/>
          <w:szCs w:val="24"/>
        </w:rPr>
        <w:t>企业绿色技术创新的影响因素。</w:t>
      </w:r>
    </w:p>
    <w:p>
      <w:pPr>
        <w:spacing w:line="360" w:lineRule="auto"/>
        <w:ind w:firstLine="480" w:firstLineChars="200"/>
        <w:rPr>
          <w:sz w:val="24"/>
          <w:szCs w:val="24"/>
        </w:rPr>
      </w:pPr>
      <w:r>
        <w:rPr>
          <w:rFonts w:hint="eastAsia"/>
          <w:sz w:val="24"/>
          <w:szCs w:val="24"/>
        </w:rPr>
        <w:t>（２）</w:t>
      </w:r>
      <w:r>
        <w:rPr>
          <w:sz w:val="24"/>
          <w:szCs w:val="24"/>
        </w:rPr>
        <w:t>为未来继续开展审计工作提供针对性意见。</w:t>
      </w:r>
      <w:r>
        <w:rPr>
          <w:rFonts w:hint="eastAsia"/>
          <w:sz w:val="24"/>
          <w:szCs w:val="24"/>
        </w:rPr>
        <w:t>本文通过主回归分析、机制检验以及异质性分析对离任审计的政策效应进行分析，针对研究结果为地方政府及企业提出意见，对于落实环境政策，向低能耗、低污染的绿色制造体系转型有重要意义。</w:t>
      </w:r>
    </w:p>
    <w:p>
      <w:pPr>
        <w:outlineLvl w:val="1"/>
        <w:rPr>
          <w:rFonts w:ascii="黑体" w:eastAsia="黑体"/>
          <w:b/>
          <w:sz w:val="28"/>
          <w:szCs w:val="28"/>
        </w:rPr>
      </w:pPr>
      <w:bookmarkStart w:id="30" w:name="_Toc100181263"/>
      <w:bookmarkStart w:id="31" w:name="_Toc100181840"/>
      <w:bookmarkStart w:id="32" w:name="_Toc104375925"/>
      <w:bookmarkStart w:id="33" w:name="_Toc23972"/>
      <w:r>
        <w:rPr>
          <w:b/>
          <w:sz w:val="28"/>
          <w:szCs w:val="28"/>
        </w:rPr>
        <w:t>1.3</w:t>
      </w:r>
      <w:r>
        <w:rPr>
          <w:rFonts w:hint="eastAsia" w:ascii="黑体" w:eastAsia="黑体"/>
          <w:b/>
          <w:sz w:val="28"/>
          <w:szCs w:val="28"/>
        </w:rPr>
        <w:t xml:space="preserve"> </w:t>
      </w:r>
      <w:bookmarkEnd w:id="30"/>
      <w:bookmarkEnd w:id="31"/>
      <w:r>
        <w:rPr>
          <w:rFonts w:hint="eastAsia" w:ascii="黑体" w:eastAsia="黑体"/>
          <w:b/>
          <w:sz w:val="28"/>
          <w:szCs w:val="28"/>
        </w:rPr>
        <w:t>文献综述</w:t>
      </w:r>
      <w:bookmarkEnd w:id="32"/>
      <w:bookmarkEnd w:id="33"/>
    </w:p>
    <w:p>
      <w:pPr>
        <w:spacing w:line="360" w:lineRule="auto"/>
        <w:ind w:firstLine="480" w:firstLineChars="200"/>
        <w:rPr>
          <w:rFonts w:ascii="黑体" w:eastAsia="黑体"/>
          <w:b/>
          <w:sz w:val="28"/>
          <w:szCs w:val="28"/>
        </w:rPr>
      </w:pPr>
      <w:r>
        <w:rPr>
          <w:rFonts w:hint="eastAsia"/>
          <w:sz w:val="24"/>
          <w:szCs w:val="24"/>
        </w:rPr>
        <w:t>自然资源资产离任审计提出以来，国内出现了许多针对该审计政策的学术研究，而绿色技术创新也是近年来备受关注的话题，本节将通过离任审计与绿色技术创新两个主要方面进行梳理：在离任审计相关内容中，将对国内外的环境审计的发展状况以及目前自然资源资产离任审计领域的相关研究进行整理；在绿色技术创新相关内容中，将对绿色技术创新的研究定义，绿色技术创新的影响因素以及环境规制对绿色技术创新的作用影响进行梳理，并进行述评。</w:t>
      </w:r>
    </w:p>
    <w:p>
      <w:pPr>
        <w:spacing w:line="360" w:lineRule="auto"/>
        <w:outlineLvl w:val="2"/>
        <w:rPr>
          <w:rFonts w:ascii="黑体" w:eastAsia="黑体"/>
          <w:b/>
          <w:sz w:val="24"/>
        </w:rPr>
      </w:pPr>
      <w:r>
        <w:rPr>
          <w:b/>
          <w:sz w:val="24"/>
        </w:rPr>
        <w:t>1.3.1</w:t>
      </w:r>
      <w:r>
        <w:rPr>
          <w:rFonts w:hint="eastAsia" w:ascii="黑体" w:eastAsia="黑体"/>
          <w:b/>
          <w:sz w:val="24"/>
        </w:rPr>
        <w:t xml:space="preserve"> 领导干部自然资源资产离任审计的相关研究</w:t>
      </w:r>
    </w:p>
    <w:p>
      <w:pPr>
        <w:spacing w:line="360" w:lineRule="auto"/>
        <w:ind w:firstLine="480" w:firstLineChars="200"/>
        <w:jc w:val="left"/>
        <w:rPr>
          <w:sz w:val="24"/>
          <w:szCs w:val="24"/>
        </w:rPr>
      </w:pPr>
      <w:r>
        <w:rPr>
          <w:rFonts w:hint="eastAsia"/>
          <w:sz w:val="24"/>
          <w:szCs w:val="24"/>
        </w:rPr>
        <w:t>（</w:t>
      </w:r>
      <w:r>
        <w:rPr>
          <w:rFonts w:hint="default" w:ascii="Times New Roman" w:hAnsi="Times New Roman" w:cs="Times New Roman"/>
          <w:sz w:val="24"/>
          <w:szCs w:val="24"/>
        </w:rPr>
        <w:t>１</w:t>
      </w:r>
      <w:r>
        <w:rPr>
          <w:rFonts w:hint="eastAsia"/>
          <w:sz w:val="24"/>
          <w:szCs w:val="24"/>
        </w:rPr>
        <w:t>）环境审计的相关研究</w:t>
      </w:r>
    </w:p>
    <w:p>
      <w:pPr>
        <w:spacing w:line="360" w:lineRule="auto"/>
        <w:ind w:firstLine="480" w:firstLineChars="200"/>
        <w:jc w:val="left"/>
        <w:rPr>
          <w:sz w:val="24"/>
          <w:szCs w:val="24"/>
        </w:rPr>
      </w:pPr>
      <w:r>
        <w:rPr>
          <w:rFonts w:hint="eastAsia"/>
          <w:sz w:val="24"/>
          <w:szCs w:val="24"/>
        </w:rPr>
        <w:t>环境审计的概念诞生于上世纪6</w:t>
      </w:r>
      <w:r>
        <w:rPr>
          <w:sz w:val="24"/>
          <w:szCs w:val="24"/>
        </w:rPr>
        <w:t>0</w:t>
      </w:r>
      <w:r>
        <w:rPr>
          <w:rFonts w:hint="eastAsia"/>
          <w:sz w:val="24"/>
          <w:szCs w:val="24"/>
        </w:rPr>
        <w:t>年代左右，逐步在国外的实践中实现了从政府强制要求到市场自发选择的发展。环境审计最早是企业为了规避环境风险所开展的自发性内部审计</w:t>
      </w:r>
      <w:r>
        <w:rPr>
          <w:rFonts w:hint="eastAsia"/>
          <w:sz w:val="24"/>
          <w:szCs w:val="24"/>
          <w:lang w:eastAsia="zh-CN"/>
        </w:rPr>
        <w:t>（</w:t>
      </w:r>
      <w:r>
        <w:rPr>
          <w:rFonts w:hint="eastAsia"/>
          <w:sz w:val="24"/>
          <w:szCs w:val="24"/>
        </w:rPr>
        <w:t>刘达朱，2</w:t>
      </w:r>
      <w:r>
        <w:rPr>
          <w:sz w:val="24"/>
          <w:szCs w:val="24"/>
        </w:rPr>
        <w:t>002</w:t>
      </w:r>
      <w:r>
        <w:rPr>
          <w:rFonts w:hint="eastAsia"/>
          <w:sz w:val="24"/>
          <w:szCs w:val="24"/>
          <w:lang w:eastAsia="zh-CN"/>
        </w:rPr>
        <w:t>）</w:t>
      </w:r>
      <w:r>
        <w:rPr>
          <w:rFonts w:hint="eastAsia"/>
          <w:sz w:val="24"/>
          <w:szCs w:val="24"/>
        </w:rPr>
        <w:t>，国外学者D.Thompson与MJ Wilson</w:t>
      </w:r>
      <w:r>
        <w:rPr>
          <w:rFonts w:hint="eastAsia"/>
          <w:sz w:val="24"/>
          <w:szCs w:val="24"/>
          <w:lang w:eastAsia="zh-CN"/>
        </w:rPr>
        <w:t>（</w:t>
      </w:r>
      <w:r>
        <w:rPr>
          <w:rFonts w:hint="eastAsia"/>
          <w:sz w:val="24"/>
          <w:szCs w:val="24"/>
        </w:rPr>
        <w:t>1</w:t>
      </w:r>
      <w:r>
        <w:rPr>
          <w:sz w:val="24"/>
          <w:szCs w:val="24"/>
        </w:rPr>
        <w:t>994</w:t>
      </w:r>
      <w:r>
        <w:rPr>
          <w:rFonts w:hint="eastAsia"/>
          <w:sz w:val="24"/>
          <w:szCs w:val="24"/>
          <w:lang w:eastAsia="zh-CN"/>
        </w:rPr>
        <w:t>）</w:t>
      </w:r>
      <w:r>
        <w:rPr>
          <w:rFonts w:hint="eastAsia"/>
          <w:sz w:val="24"/>
          <w:szCs w:val="24"/>
        </w:rPr>
        <w:t>给出了环境审计的定义，他们认为环境审计是对公司、机构和政府的管理制度、政策和实践进行系统、定期的审查，以了解这些政策与制度时间对环境和资源的影响，以便在适当的时候进行调整和纠正。环境审计委员会（E</w:t>
      </w:r>
      <w:r>
        <w:rPr>
          <w:sz w:val="24"/>
          <w:szCs w:val="24"/>
        </w:rPr>
        <w:t>AC</w:t>
      </w:r>
      <w:r>
        <w:rPr>
          <w:rFonts w:hint="eastAsia"/>
          <w:sz w:val="24"/>
          <w:szCs w:val="24"/>
        </w:rPr>
        <w:t>）于1</w:t>
      </w:r>
      <w:r>
        <w:rPr>
          <w:sz w:val="24"/>
          <w:szCs w:val="24"/>
        </w:rPr>
        <w:t>992</w:t>
      </w:r>
      <w:r>
        <w:rPr>
          <w:rFonts w:hint="eastAsia"/>
          <w:sz w:val="24"/>
          <w:szCs w:val="24"/>
        </w:rPr>
        <w:t>年成立，E</w:t>
      </w:r>
      <w:r>
        <w:rPr>
          <w:sz w:val="24"/>
          <w:szCs w:val="24"/>
        </w:rPr>
        <w:t>AC</w:t>
      </w:r>
      <w:r>
        <w:rPr>
          <w:rFonts w:hint="eastAsia"/>
          <w:sz w:val="24"/>
          <w:szCs w:val="24"/>
        </w:rPr>
        <w:t>鼓励各国的审计部门除了关注经济层面的审计外，还应投入关注环境问题，自此政府环境审计得以快速发展。根据贺桂珍等学者（2</w:t>
      </w:r>
      <w:r>
        <w:rPr>
          <w:sz w:val="24"/>
          <w:szCs w:val="24"/>
        </w:rPr>
        <w:t>006</w:t>
      </w:r>
      <w:r>
        <w:rPr>
          <w:rFonts w:hint="eastAsia"/>
          <w:sz w:val="24"/>
          <w:szCs w:val="24"/>
        </w:rPr>
        <w:t>）对荷兰的政府环境审计制度的研究，发现荷兰已经具备非常完善的环境以及审计相关法律体系，且审计形式多样，具备有多样化专业背景的审计人员，因此在政府环境审计上已经具备较为成熟的经验。Aslam（2</w:t>
      </w:r>
      <w:r>
        <w:rPr>
          <w:sz w:val="24"/>
          <w:szCs w:val="24"/>
        </w:rPr>
        <w:t>020</w:t>
      </w:r>
      <w:r>
        <w:rPr>
          <w:rFonts w:hint="eastAsia"/>
          <w:sz w:val="24"/>
          <w:szCs w:val="24"/>
        </w:rPr>
        <w:t>）研究发现外部环境审计与内部环境管理相结合对企业的环境绩效效果更佳。根据李明辉等学者（2</w:t>
      </w:r>
      <w:r>
        <w:rPr>
          <w:sz w:val="24"/>
          <w:szCs w:val="24"/>
        </w:rPr>
        <w:t>011</w:t>
      </w:r>
      <w:r>
        <w:rPr>
          <w:rFonts w:hint="eastAsia"/>
          <w:sz w:val="24"/>
          <w:szCs w:val="24"/>
        </w:rPr>
        <w:t>）对于国外环境审计研究的综合性叙述评价，可以发现国外的环境审计已经发展得非常完善，且研究重点为企业微观层面的环境审计，强调注册会计师以及内部审计师主体作用的影响，因此他们得出了国外环境审计已经发展到强制式（政府规定）与自愿式（市场选择）并重局面的结论。</w:t>
      </w:r>
    </w:p>
    <w:p>
      <w:pPr>
        <w:spacing w:line="360" w:lineRule="auto"/>
        <w:ind w:firstLine="480" w:firstLineChars="200"/>
        <w:jc w:val="left"/>
        <w:rPr>
          <w:sz w:val="24"/>
          <w:szCs w:val="24"/>
        </w:rPr>
      </w:pPr>
      <w:r>
        <w:rPr>
          <w:rFonts w:hint="eastAsia"/>
          <w:sz w:val="24"/>
          <w:szCs w:val="24"/>
        </w:rPr>
        <w:t>我国的环境审计目前仍以政府审计为主，政府环境审计虽然起步较晚，但发展非常迅速，有许多学者针对我国的政府环境审计进行了研究。根据王素梅（2</w:t>
      </w:r>
      <w:r>
        <w:rPr>
          <w:sz w:val="24"/>
          <w:szCs w:val="24"/>
        </w:rPr>
        <w:t>014</w:t>
      </w:r>
      <w:r>
        <w:rPr>
          <w:rFonts w:hint="eastAsia"/>
          <w:sz w:val="24"/>
          <w:szCs w:val="24"/>
        </w:rPr>
        <w:t>）基于国家治理视角对我国的环境绩效审计的研究得出结论：目前环境绩效审计以对环保资金的使用情况审计为主线，主要采用事后审计模式。曾昌礼与李江涛（2</w:t>
      </w:r>
      <w:r>
        <w:rPr>
          <w:sz w:val="24"/>
          <w:szCs w:val="24"/>
        </w:rPr>
        <w:t>018</w:t>
      </w:r>
      <w:r>
        <w:rPr>
          <w:rFonts w:hint="eastAsia"/>
          <w:sz w:val="24"/>
          <w:szCs w:val="24"/>
        </w:rPr>
        <w:t>）通过实证研究发现，当政府的审计强度越大、地方政府之间的G</w:t>
      </w:r>
      <w:r>
        <w:rPr>
          <w:sz w:val="24"/>
          <w:szCs w:val="24"/>
        </w:rPr>
        <w:t>DP</w:t>
      </w:r>
      <w:r>
        <w:rPr>
          <w:rFonts w:hint="eastAsia"/>
          <w:sz w:val="24"/>
          <w:szCs w:val="24"/>
        </w:rPr>
        <w:t>竞争越弱、制度环境越完善的情况下，政府环境审计的环境污染治理功能就越有效。蔡春与郑开放（2</w:t>
      </w:r>
      <w:r>
        <w:rPr>
          <w:sz w:val="24"/>
          <w:szCs w:val="24"/>
        </w:rPr>
        <w:t>019</w:t>
      </w:r>
      <w:r>
        <w:rPr>
          <w:rFonts w:hint="eastAsia"/>
          <w:sz w:val="24"/>
          <w:szCs w:val="24"/>
        </w:rPr>
        <w:t>）聚焦于“三河三湖”环境审计的经验证据，通过实证研究发现政府环境审计可以显著提高企业的环境责任信息披露的水平以及披露的质量，同时发现政府环境审计的行为可以显著促进企业环保投资水平的提高，并且显著降低了企业的权益资本成本（蔡春与郑开放，2</w:t>
      </w:r>
      <w:r>
        <w:rPr>
          <w:sz w:val="24"/>
          <w:szCs w:val="24"/>
        </w:rPr>
        <w:t>021</w:t>
      </w:r>
      <w:r>
        <w:rPr>
          <w:rFonts w:hint="eastAsia"/>
          <w:sz w:val="24"/>
          <w:szCs w:val="24"/>
        </w:rPr>
        <w:t>）。丁胜红（2</w:t>
      </w:r>
      <w:r>
        <w:rPr>
          <w:sz w:val="24"/>
          <w:szCs w:val="24"/>
        </w:rPr>
        <w:t>022</w:t>
      </w:r>
      <w:r>
        <w:rPr>
          <w:rFonts w:hint="eastAsia"/>
          <w:sz w:val="24"/>
          <w:szCs w:val="24"/>
        </w:rPr>
        <w:t>）研究发现环境审计有助于显著提升企业的环境绩效。</w:t>
      </w:r>
    </w:p>
    <w:p>
      <w:pPr>
        <w:spacing w:line="360" w:lineRule="auto"/>
        <w:ind w:firstLine="480" w:firstLineChars="200"/>
        <w:rPr>
          <w:sz w:val="24"/>
          <w:szCs w:val="24"/>
        </w:rPr>
      </w:pPr>
      <w:r>
        <w:rPr>
          <w:rFonts w:hint="eastAsia"/>
          <w:sz w:val="24"/>
          <w:szCs w:val="24"/>
        </w:rPr>
        <w:t>（２）自然资源资产离任审计政策研究</w:t>
      </w:r>
    </w:p>
    <w:p>
      <w:pPr>
        <w:spacing w:line="360" w:lineRule="auto"/>
        <w:ind w:firstLine="480" w:firstLineChars="200"/>
        <w:rPr>
          <w:sz w:val="24"/>
          <w:szCs w:val="24"/>
        </w:rPr>
      </w:pPr>
      <w:r>
        <w:rPr>
          <w:rFonts w:hint="eastAsia"/>
          <w:sz w:val="24"/>
          <w:szCs w:val="24"/>
        </w:rPr>
        <w:t>领导干部自然资源资产离任审计制度是党的十八大提出的一项具有中国特色，符合中国国情的环境审计与经济责任审计深度交叉的新兴审计制度，有许多学者已经针对该政策的概念、要素、机理进行了大量的规范性研究。周黎安（2</w:t>
      </w:r>
      <w:r>
        <w:rPr>
          <w:sz w:val="24"/>
          <w:szCs w:val="24"/>
        </w:rPr>
        <w:t>007</w:t>
      </w:r>
      <w:r>
        <w:rPr>
          <w:rFonts w:hint="eastAsia"/>
          <w:sz w:val="24"/>
          <w:szCs w:val="24"/>
        </w:rPr>
        <w:t>）研究提出，当地政府官员会对其管辖范围之内的企业产生重大的政治影响。黄溶冰（2</w:t>
      </w:r>
      <w:r>
        <w:rPr>
          <w:sz w:val="24"/>
          <w:szCs w:val="24"/>
        </w:rPr>
        <w:t>013</w:t>
      </w:r>
      <w:r>
        <w:rPr>
          <w:rFonts w:hint="eastAsia"/>
          <w:sz w:val="24"/>
          <w:szCs w:val="24"/>
        </w:rPr>
        <w:t>）研究认为将领导干部的环境责任履行情况纳入到审计的范围之中，是对现有的经济责任审计的有效补充，可以防止党政领导为了片面追求G</w:t>
      </w:r>
      <w:r>
        <w:rPr>
          <w:sz w:val="24"/>
          <w:szCs w:val="24"/>
        </w:rPr>
        <w:t>DP</w:t>
      </w:r>
      <w:r>
        <w:rPr>
          <w:rFonts w:hint="eastAsia"/>
          <w:sz w:val="24"/>
          <w:szCs w:val="24"/>
        </w:rPr>
        <w:t>等经济指标，忽视单位G</w:t>
      </w:r>
      <w:r>
        <w:rPr>
          <w:sz w:val="24"/>
          <w:szCs w:val="24"/>
        </w:rPr>
        <w:t>DP</w:t>
      </w:r>
      <w:r>
        <w:rPr>
          <w:rFonts w:hint="eastAsia"/>
          <w:sz w:val="24"/>
          <w:szCs w:val="24"/>
        </w:rPr>
        <w:t>排放等环境指标的影响，从而促进实现地区经济效益与环境效益共同发展的目的。林忠华（2</w:t>
      </w:r>
      <w:r>
        <w:rPr>
          <w:sz w:val="24"/>
          <w:szCs w:val="24"/>
        </w:rPr>
        <w:t>014</w:t>
      </w:r>
      <w:r>
        <w:rPr>
          <w:rFonts w:hint="eastAsia"/>
          <w:sz w:val="24"/>
          <w:szCs w:val="24"/>
        </w:rPr>
        <w:t>）的研究提出，自然资源资产离任审计既是特殊的经济责任审计，同时也是资源环境审计，其目的在于强化领导干部对生态文明建设的责任，促进领导干部树立正确的政绩观（戴克柱，2</w:t>
      </w:r>
      <w:r>
        <w:rPr>
          <w:sz w:val="24"/>
          <w:szCs w:val="24"/>
        </w:rPr>
        <w:t>014</w:t>
      </w:r>
      <w:r>
        <w:rPr>
          <w:rFonts w:hint="eastAsia"/>
          <w:sz w:val="24"/>
          <w:szCs w:val="24"/>
        </w:rPr>
        <w:t>），以解决生态问题。蔡春（2</w:t>
      </w:r>
      <w:r>
        <w:rPr>
          <w:sz w:val="24"/>
          <w:szCs w:val="24"/>
        </w:rPr>
        <w:t>014</w:t>
      </w:r>
      <w:r>
        <w:rPr>
          <w:rFonts w:hint="eastAsia"/>
          <w:sz w:val="24"/>
          <w:szCs w:val="24"/>
        </w:rPr>
        <w:t>）研究提出可以通过利用编制自然资源资产负债表从而有助于实现审计目标。刘明辉和孙冀萍（2</w:t>
      </w:r>
      <w:r>
        <w:rPr>
          <w:sz w:val="24"/>
          <w:szCs w:val="24"/>
        </w:rPr>
        <w:t>016</w:t>
      </w:r>
      <w:r>
        <w:rPr>
          <w:rFonts w:hint="eastAsia"/>
          <w:sz w:val="24"/>
          <w:szCs w:val="24"/>
        </w:rPr>
        <w:t>）研究提出了领导干部自然资源离任审计的七大审计要素以及评价指标。陈献东（2</w:t>
      </w:r>
      <w:r>
        <w:rPr>
          <w:sz w:val="24"/>
          <w:szCs w:val="24"/>
        </w:rPr>
        <w:t>018</w:t>
      </w:r>
      <w:r>
        <w:rPr>
          <w:rFonts w:hint="eastAsia"/>
          <w:sz w:val="24"/>
          <w:szCs w:val="24"/>
        </w:rPr>
        <w:t>）研究提出了自然资源资产离任审计内容的逻辑机理。潘琰和朱灵子（2</w:t>
      </w:r>
      <w:r>
        <w:rPr>
          <w:sz w:val="24"/>
          <w:szCs w:val="24"/>
        </w:rPr>
        <w:t>019</w:t>
      </w:r>
      <w:r>
        <w:rPr>
          <w:rFonts w:hint="eastAsia"/>
          <w:sz w:val="24"/>
          <w:szCs w:val="24"/>
        </w:rPr>
        <w:t>）对自然资源资产离任审计的大数据审计模式进行探索，并指出应构建“平台与技术一体化”模式。</w:t>
      </w:r>
    </w:p>
    <w:p>
      <w:pPr>
        <w:spacing w:line="360" w:lineRule="auto"/>
        <w:ind w:firstLine="480" w:firstLineChars="200"/>
        <w:rPr>
          <w:sz w:val="24"/>
          <w:szCs w:val="24"/>
        </w:rPr>
      </w:pPr>
      <w:r>
        <w:rPr>
          <w:rFonts w:hint="eastAsia"/>
          <w:sz w:val="24"/>
          <w:szCs w:val="24"/>
        </w:rPr>
        <w:t>（３）自然资源资产离任审计政策效果研究</w:t>
      </w:r>
    </w:p>
    <w:p>
      <w:pPr>
        <w:spacing w:line="360" w:lineRule="auto"/>
        <w:ind w:firstLine="480" w:firstLineChars="200"/>
        <w:rPr>
          <w:sz w:val="24"/>
          <w:szCs w:val="24"/>
        </w:rPr>
      </w:pPr>
      <w:r>
        <w:rPr>
          <w:rFonts w:hint="eastAsia"/>
          <w:sz w:val="24"/>
          <w:szCs w:val="24"/>
        </w:rPr>
        <w:t>目前已经有很多学者通过实证研究对自然资源资产离任审计政策影响进行分析。在经济效益方面，全进与刘文军等学者（2</w:t>
      </w:r>
      <w:r>
        <w:rPr>
          <w:sz w:val="24"/>
          <w:szCs w:val="24"/>
        </w:rPr>
        <w:t>018</w:t>
      </w:r>
      <w:r>
        <w:rPr>
          <w:rFonts w:hint="eastAsia"/>
          <w:sz w:val="24"/>
          <w:szCs w:val="24"/>
        </w:rPr>
        <w:t>）的研究发现，自然资源资产离任审计会导致重污染、资源型企业权益资本成本提高，但政治关联关系则是会弱化这种影响。蒋秋菊、孙芳城（2</w:t>
      </w:r>
      <w:r>
        <w:rPr>
          <w:sz w:val="24"/>
          <w:szCs w:val="24"/>
        </w:rPr>
        <w:t>019</w:t>
      </w:r>
      <w:r>
        <w:rPr>
          <w:rFonts w:hint="eastAsia"/>
          <w:sz w:val="24"/>
          <w:szCs w:val="24"/>
        </w:rPr>
        <w:t>）基于政府官员晋升机制的转变，实证发现该审计政策可以对企业的税收规避行为进行监督。聂兴凯、赵天惠与裴璇（2</w:t>
      </w:r>
      <w:r>
        <w:rPr>
          <w:sz w:val="24"/>
          <w:szCs w:val="24"/>
        </w:rPr>
        <w:t>021</w:t>
      </w:r>
      <w:r>
        <w:rPr>
          <w:rFonts w:hint="eastAsia"/>
          <w:sz w:val="24"/>
          <w:szCs w:val="24"/>
        </w:rPr>
        <w:t>）研究提出领导干部自然资源资产离任审计的实施显著提高了资源型与重污染型上市公司的全要素生产率。在环境效益方面，刘儒晒与王海滨（2</w:t>
      </w:r>
      <w:r>
        <w:rPr>
          <w:sz w:val="24"/>
          <w:szCs w:val="24"/>
        </w:rPr>
        <w:t>017</w:t>
      </w:r>
      <w:r>
        <w:rPr>
          <w:rFonts w:hint="eastAsia"/>
          <w:sz w:val="24"/>
          <w:szCs w:val="24"/>
        </w:rPr>
        <w:t>）基于演化博弈模型，提出自然资源资产离任审计可以强化地方政府的治理责任，改变其在环境治理的策略选择，从而有助于解决环境失灵问题。张琦与谭志东（2</w:t>
      </w:r>
      <w:r>
        <w:rPr>
          <w:sz w:val="24"/>
          <w:szCs w:val="24"/>
        </w:rPr>
        <w:t>019</w:t>
      </w:r>
      <w:r>
        <w:rPr>
          <w:rFonts w:hint="eastAsia"/>
          <w:sz w:val="24"/>
          <w:szCs w:val="24"/>
        </w:rPr>
        <w:t>）的研究表明，领导干部自然资源资产离任审计的实施的确能够显著促进试点地区增强环境治理力度。孙文远（2</w:t>
      </w:r>
      <w:r>
        <w:rPr>
          <w:sz w:val="24"/>
          <w:szCs w:val="24"/>
        </w:rPr>
        <w:t>020</w:t>
      </w:r>
      <w:r>
        <w:rPr>
          <w:rFonts w:hint="eastAsia"/>
          <w:sz w:val="24"/>
          <w:szCs w:val="24"/>
        </w:rPr>
        <w:t>）研究发现该审计政策可以促进绿色经济发展。贺宝成和冯亚倩（2</w:t>
      </w:r>
      <w:r>
        <w:rPr>
          <w:sz w:val="24"/>
          <w:szCs w:val="24"/>
        </w:rPr>
        <w:t>021</w:t>
      </w:r>
      <w:r>
        <w:rPr>
          <w:rFonts w:hint="eastAsia"/>
          <w:sz w:val="24"/>
          <w:szCs w:val="24"/>
        </w:rPr>
        <w:t>）基于省级行业数据，通过建立双重差分模型研究发现自然资源资产离任审计政策会显著影响试点地区的绿色技术创新水平。张佩（2</w:t>
      </w:r>
      <w:r>
        <w:rPr>
          <w:sz w:val="24"/>
          <w:szCs w:val="24"/>
        </w:rPr>
        <w:t>022</w:t>
      </w:r>
      <w:r>
        <w:rPr>
          <w:rFonts w:hint="eastAsia"/>
          <w:sz w:val="24"/>
          <w:szCs w:val="24"/>
        </w:rPr>
        <w:t>）发现该审计政策会显著提升企业的环境责任评分情况。</w:t>
      </w:r>
    </w:p>
    <w:p>
      <w:pPr>
        <w:spacing w:before="156" w:beforeLines="50" w:after="156" w:afterLines="50"/>
        <w:jc w:val="left"/>
        <w:outlineLvl w:val="2"/>
        <w:rPr>
          <w:rFonts w:ascii="黑体" w:eastAsia="黑体"/>
          <w:b/>
          <w:sz w:val="24"/>
        </w:rPr>
      </w:pPr>
      <w:r>
        <w:rPr>
          <w:b/>
          <w:sz w:val="24"/>
        </w:rPr>
        <w:t>1.3.2</w:t>
      </w:r>
      <w:r>
        <w:rPr>
          <w:rFonts w:hint="eastAsia" w:ascii="黑体" w:eastAsia="黑体"/>
          <w:b/>
          <w:sz w:val="24"/>
        </w:rPr>
        <w:t xml:space="preserve"> 企业绿色技术创新的相关研究</w:t>
      </w:r>
    </w:p>
    <w:p>
      <w:pPr>
        <w:spacing w:line="360" w:lineRule="auto"/>
        <w:ind w:firstLine="480" w:firstLineChars="200"/>
        <w:jc w:val="left"/>
        <w:rPr>
          <w:sz w:val="24"/>
        </w:rPr>
      </w:pPr>
      <w:r>
        <w:rPr>
          <w:rFonts w:hint="eastAsia"/>
          <w:sz w:val="24"/>
        </w:rPr>
        <w:t>（１）绿色技术创新的概念研究</w:t>
      </w:r>
    </w:p>
    <w:p>
      <w:pPr>
        <w:spacing w:line="360" w:lineRule="auto"/>
        <w:ind w:firstLine="480" w:firstLineChars="200"/>
        <w:jc w:val="left"/>
        <w:rPr>
          <w:sz w:val="24"/>
          <w:szCs w:val="24"/>
        </w:rPr>
      </w:pPr>
      <w:r>
        <w:rPr>
          <w:sz w:val="24"/>
          <w:szCs w:val="24"/>
        </w:rPr>
        <w:t>Ernest Braun</w:t>
      </w:r>
      <w:r>
        <w:rPr>
          <w:rFonts w:hint="eastAsia"/>
          <w:sz w:val="24"/>
          <w:szCs w:val="24"/>
        </w:rPr>
        <w:t>与</w:t>
      </w:r>
      <w:r>
        <w:rPr>
          <w:sz w:val="24"/>
          <w:szCs w:val="24"/>
        </w:rPr>
        <w:t>David Wield</w:t>
      </w:r>
      <w:r>
        <w:rPr>
          <w:rFonts w:hint="eastAsia"/>
          <w:sz w:val="24"/>
          <w:szCs w:val="24"/>
        </w:rPr>
        <w:t>在1</w:t>
      </w:r>
      <w:r>
        <w:rPr>
          <w:sz w:val="24"/>
          <w:szCs w:val="24"/>
        </w:rPr>
        <w:t>994</w:t>
      </w:r>
      <w:r>
        <w:rPr>
          <w:rFonts w:hint="eastAsia"/>
          <w:sz w:val="24"/>
          <w:szCs w:val="24"/>
        </w:rPr>
        <w:t>年首次提出了绿色技术的概念，但是之后不同学者对于绿色技术创新的定义侧重点有所不同。</w:t>
      </w:r>
      <w:r>
        <w:rPr>
          <w:sz w:val="24"/>
          <w:szCs w:val="24"/>
        </w:rPr>
        <w:t>Ernest Braun</w:t>
      </w:r>
      <w:r>
        <w:rPr>
          <w:rFonts w:hint="eastAsia"/>
          <w:sz w:val="24"/>
          <w:szCs w:val="24"/>
        </w:rPr>
        <w:t>（1</w:t>
      </w:r>
      <w:r>
        <w:rPr>
          <w:sz w:val="24"/>
          <w:szCs w:val="24"/>
        </w:rPr>
        <w:t>994</w:t>
      </w:r>
      <w:r>
        <w:rPr>
          <w:rFonts w:hint="eastAsia"/>
          <w:sz w:val="24"/>
          <w:szCs w:val="24"/>
        </w:rPr>
        <w:t>）认为当代技术政策的任务之一是进行绿色技术的创新，并将其定义为节能减排、减少垃圾、改进循环利用与废物处理等。</w:t>
      </w:r>
      <w:r>
        <w:rPr>
          <w:sz w:val="24"/>
          <w:szCs w:val="24"/>
        </w:rPr>
        <w:t>SL Hart</w:t>
      </w:r>
      <w:r>
        <w:rPr>
          <w:rFonts w:hint="eastAsia"/>
          <w:sz w:val="24"/>
          <w:szCs w:val="24"/>
        </w:rPr>
        <w:t>（1</w:t>
      </w:r>
      <w:r>
        <w:rPr>
          <w:sz w:val="24"/>
          <w:szCs w:val="24"/>
        </w:rPr>
        <w:t>995</w:t>
      </w:r>
      <w:r>
        <w:rPr>
          <w:rFonts w:hint="eastAsia"/>
          <w:sz w:val="24"/>
          <w:szCs w:val="24"/>
        </w:rPr>
        <w:t>）提出的N</w:t>
      </w:r>
      <w:r>
        <w:rPr>
          <w:sz w:val="24"/>
          <w:szCs w:val="24"/>
        </w:rPr>
        <w:t>RBV</w:t>
      </w:r>
      <w:r>
        <w:rPr>
          <w:rFonts w:hint="eastAsia"/>
          <w:sz w:val="24"/>
          <w:szCs w:val="24"/>
        </w:rPr>
        <w:t>观点由三种战略：污染预防、产品绿色创新与可持续发展战略组成，认为企业未来的战略和竞争优势很可能是来源于其促进环境可持续的经济活动的能力。</w:t>
      </w:r>
      <w:r>
        <w:rPr>
          <w:sz w:val="24"/>
          <w:szCs w:val="24"/>
        </w:rPr>
        <w:t>Kammerer</w:t>
      </w:r>
      <w:r>
        <w:rPr>
          <w:rFonts w:hint="eastAsia"/>
          <w:sz w:val="24"/>
          <w:szCs w:val="24"/>
        </w:rPr>
        <w:t>（2</w:t>
      </w:r>
      <w:r>
        <w:rPr>
          <w:sz w:val="24"/>
          <w:szCs w:val="24"/>
        </w:rPr>
        <w:t>009</w:t>
      </w:r>
      <w:r>
        <w:rPr>
          <w:rFonts w:hint="eastAsia"/>
          <w:sz w:val="24"/>
          <w:szCs w:val="24"/>
        </w:rPr>
        <w:t>）认为绿色创新是指追求环境绩效的过程，无论这种过程是有意识或是无意识的。Aguilera-Caracuel</w:t>
      </w:r>
      <w:r>
        <w:rPr>
          <w:sz w:val="24"/>
          <w:szCs w:val="24"/>
        </w:rPr>
        <w:t xml:space="preserve"> </w:t>
      </w:r>
      <w:r>
        <w:rPr>
          <w:rFonts w:hint="eastAsia"/>
          <w:sz w:val="24"/>
          <w:szCs w:val="24"/>
        </w:rPr>
        <w:t>J.与Ortiz-de-Mandojana N（</w:t>
      </w:r>
      <w:r>
        <w:rPr>
          <w:sz w:val="24"/>
          <w:szCs w:val="24"/>
        </w:rPr>
        <w:t>2013</w:t>
      </w:r>
      <w:r>
        <w:rPr>
          <w:rFonts w:hint="eastAsia"/>
          <w:sz w:val="24"/>
          <w:szCs w:val="24"/>
        </w:rPr>
        <w:t>）提出绿色技术创新可以被定义为与绿色产品或绿色生产相关的硬件或软件的创新，包含防污节能、废物再利用、绿色产品创新以及企业环境管理等方面。</w:t>
      </w:r>
      <w:r>
        <w:rPr>
          <w:sz w:val="24"/>
        </w:rPr>
        <w:t>Driessen</w:t>
      </w:r>
      <w:r>
        <w:rPr>
          <w:rFonts w:hint="eastAsia"/>
          <w:sz w:val="24"/>
        </w:rPr>
        <w:t>等学者（2</w:t>
      </w:r>
      <w:r>
        <w:rPr>
          <w:sz w:val="24"/>
        </w:rPr>
        <w:t>013</w:t>
      </w:r>
      <w:r>
        <w:rPr>
          <w:rFonts w:hint="eastAsia"/>
          <w:sz w:val="24"/>
        </w:rPr>
        <w:t>）认为所谓绿色创新并非是以对环境负担更小为目标，而是以产生显著的环境效益为目标。</w:t>
      </w:r>
      <w:r>
        <w:rPr>
          <w:rFonts w:hint="eastAsia"/>
          <w:sz w:val="24"/>
          <w:szCs w:val="24"/>
        </w:rPr>
        <w:t>国内学者杨发明与吕燕（</w:t>
      </w:r>
      <w:r>
        <w:rPr>
          <w:sz w:val="24"/>
          <w:szCs w:val="24"/>
        </w:rPr>
        <w:t>1998</w:t>
      </w:r>
      <w:r>
        <w:rPr>
          <w:rFonts w:hint="eastAsia"/>
          <w:sz w:val="24"/>
          <w:szCs w:val="24"/>
        </w:rPr>
        <w:t>）首次将“绿色技术创新”的概念引入中国，并将绿色技术创新的激励工具分为技术供给激励、结构激励与环境激励三类。</w:t>
      </w:r>
    </w:p>
    <w:p>
      <w:pPr>
        <w:spacing w:line="360" w:lineRule="auto"/>
        <w:ind w:firstLine="480" w:firstLineChars="200"/>
        <w:jc w:val="left"/>
        <w:rPr>
          <w:sz w:val="24"/>
        </w:rPr>
      </w:pPr>
      <w:r>
        <w:rPr>
          <w:rFonts w:hint="eastAsia"/>
          <w:sz w:val="24"/>
          <w:szCs w:val="24"/>
        </w:rPr>
        <w:t>（２）</w:t>
      </w:r>
      <w:r>
        <w:rPr>
          <w:rFonts w:hint="eastAsia"/>
          <w:sz w:val="24"/>
        </w:rPr>
        <w:t>绿色技术创新的影响因素研究</w:t>
      </w:r>
    </w:p>
    <w:p>
      <w:pPr>
        <w:spacing w:line="360" w:lineRule="auto"/>
        <w:ind w:firstLine="480" w:firstLineChars="200"/>
        <w:jc w:val="left"/>
        <w:rPr>
          <w:sz w:val="24"/>
          <w:szCs w:val="24"/>
        </w:rPr>
      </w:pPr>
      <w:r>
        <w:rPr>
          <w:rFonts w:hint="eastAsia"/>
          <w:sz w:val="24"/>
          <w:szCs w:val="24"/>
        </w:rPr>
        <w:t>在以往学者针对</w:t>
      </w:r>
      <w:r>
        <w:rPr>
          <w:rFonts w:hint="eastAsia"/>
          <w:sz w:val="24"/>
        </w:rPr>
        <w:t>绿色技术创新的影响因素的研究中，可以发现主要分为环境规制、市场需求以及知识存量三类。</w:t>
      </w:r>
      <w:r>
        <w:rPr>
          <w:rFonts w:hint="eastAsia"/>
          <w:sz w:val="24"/>
          <w:szCs w:val="24"/>
        </w:rPr>
        <w:t>Popp（2</w:t>
      </w:r>
      <w:r>
        <w:rPr>
          <w:sz w:val="24"/>
          <w:szCs w:val="24"/>
        </w:rPr>
        <w:t>002</w:t>
      </w:r>
      <w:r>
        <w:rPr>
          <w:rFonts w:hint="eastAsia"/>
          <w:sz w:val="24"/>
          <w:szCs w:val="24"/>
        </w:rPr>
        <w:t>）发现能源的价格以及现有知识存量对绿色技术创新具有显著的积极影响。</w:t>
      </w:r>
      <w:r>
        <w:rPr>
          <w:sz w:val="24"/>
        </w:rPr>
        <w:t>Rennings</w:t>
      </w:r>
      <w:r>
        <w:rPr>
          <w:rFonts w:hint="eastAsia"/>
          <w:sz w:val="24"/>
        </w:rPr>
        <w:t>等学者</w:t>
      </w:r>
      <w:r>
        <w:rPr>
          <w:rFonts w:hint="eastAsia"/>
          <w:sz w:val="24"/>
          <w:szCs w:val="24"/>
        </w:rPr>
        <w:t>（2</w:t>
      </w:r>
      <w:r>
        <w:rPr>
          <w:sz w:val="24"/>
          <w:szCs w:val="24"/>
        </w:rPr>
        <w:t>006</w:t>
      </w:r>
      <w:r>
        <w:rPr>
          <w:rFonts w:hint="eastAsia"/>
          <w:sz w:val="24"/>
          <w:szCs w:val="24"/>
        </w:rPr>
        <w:t>）将绿色技术创新分为绿色产品创新以及绿色过程创新两种，绿色产品创新的主要影响因素为需求和市场竞争等，而绿色过程创新的影响因素则以环境规制为主。</w:t>
      </w:r>
      <w:r>
        <w:rPr>
          <w:sz w:val="24"/>
          <w:szCs w:val="24"/>
        </w:rPr>
        <w:t>Jens H</w:t>
      </w:r>
      <w:r>
        <w:rPr>
          <w:rFonts w:hint="eastAsia"/>
          <w:sz w:val="24"/>
          <w:szCs w:val="24"/>
        </w:rPr>
        <w:t>（2</w:t>
      </w:r>
      <w:r>
        <w:rPr>
          <w:sz w:val="24"/>
          <w:szCs w:val="24"/>
        </w:rPr>
        <w:t>006</w:t>
      </w:r>
      <w:r>
        <w:rPr>
          <w:rFonts w:hint="eastAsia"/>
          <w:sz w:val="24"/>
          <w:szCs w:val="24"/>
        </w:rPr>
        <w:t>）研究发现通过增加研发水平以及环境规制政策可以引发绿色技术创新。</w:t>
      </w:r>
      <w:r>
        <w:rPr>
          <w:sz w:val="24"/>
          <w:szCs w:val="24"/>
        </w:rPr>
        <w:t>Kammerer</w:t>
      </w:r>
      <w:r>
        <w:rPr>
          <w:rFonts w:hint="eastAsia"/>
          <w:sz w:val="24"/>
          <w:szCs w:val="24"/>
        </w:rPr>
        <w:t>（2</w:t>
      </w:r>
      <w:r>
        <w:rPr>
          <w:sz w:val="24"/>
          <w:szCs w:val="24"/>
        </w:rPr>
        <w:t>009</w:t>
      </w:r>
      <w:r>
        <w:rPr>
          <w:rFonts w:hint="eastAsia"/>
          <w:sz w:val="24"/>
          <w:szCs w:val="24"/>
        </w:rPr>
        <w:t>）在实证研究中发现客户能否从绿色创新中获益将是影响绿色市场需求的重要因素，客户利益以及监管政策对绿色技术创新存在着显著的促进作用。F</w:t>
      </w:r>
      <w:r>
        <w:rPr>
          <w:sz w:val="24"/>
          <w:szCs w:val="24"/>
        </w:rPr>
        <w:t>reitas</w:t>
      </w:r>
      <w:r>
        <w:rPr>
          <w:rFonts w:hint="eastAsia"/>
          <w:sz w:val="24"/>
          <w:szCs w:val="24"/>
        </w:rPr>
        <w:t>（2</w:t>
      </w:r>
      <w:r>
        <w:rPr>
          <w:sz w:val="24"/>
          <w:szCs w:val="24"/>
        </w:rPr>
        <w:t>017</w:t>
      </w:r>
      <w:r>
        <w:rPr>
          <w:rFonts w:hint="eastAsia"/>
          <w:sz w:val="24"/>
          <w:szCs w:val="24"/>
        </w:rPr>
        <w:t>）提出研发税收抵免等经济激励政策能显著提升企业的研发投入，从而促进绿色技术创新。Awan（2</w:t>
      </w:r>
      <w:r>
        <w:rPr>
          <w:sz w:val="24"/>
          <w:szCs w:val="24"/>
        </w:rPr>
        <w:t>021</w:t>
      </w:r>
      <w:r>
        <w:rPr>
          <w:rFonts w:hint="eastAsia"/>
          <w:sz w:val="24"/>
          <w:szCs w:val="24"/>
        </w:rPr>
        <w:t>）研究发现买方的参与可以推动企业发展资源获取能力，从而促进了绿色技术创新。</w:t>
      </w:r>
      <w:r>
        <w:rPr>
          <w:sz w:val="24"/>
        </w:rPr>
        <w:t>Zhang Yuming</w:t>
      </w:r>
      <w:r>
        <w:rPr>
          <w:rFonts w:hint="eastAsia"/>
          <w:sz w:val="24"/>
        </w:rPr>
        <w:t>（2</w:t>
      </w:r>
      <w:r>
        <w:rPr>
          <w:sz w:val="24"/>
        </w:rPr>
        <w:t>022</w:t>
      </w:r>
      <w:r>
        <w:rPr>
          <w:rFonts w:hint="eastAsia"/>
          <w:sz w:val="24"/>
        </w:rPr>
        <w:t>）基于碳中和的背景，通过研究发现CEO的更替对绿色创新的数量有积极影响。</w:t>
      </w:r>
    </w:p>
    <w:p>
      <w:pPr>
        <w:spacing w:line="360" w:lineRule="auto"/>
        <w:ind w:firstLine="480" w:firstLineChars="200"/>
        <w:jc w:val="left"/>
        <w:rPr>
          <w:sz w:val="24"/>
          <w:szCs w:val="24"/>
        </w:rPr>
      </w:pPr>
      <w:r>
        <w:rPr>
          <w:rFonts w:hint="eastAsia"/>
          <w:sz w:val="24"/>
          <w:szCs w:val="24"/>
        </w:rPr>
        <w:t>国内学者在国外的研究基础上继续对</w:t>
      </w:r>
      <w:r>
        <w:rPr>
          <w:rFonts w:hint="eastAsia"/>
          <w:sz w:val="24"/>
        </w:rPr>
        <w:t>绿色技术创新的影响因素进行深入探究。</w:t>
      </w:r>
      <w:r>
        <w:rPr>
          <w:rFonts w:hint="eastAsia"/>
          <w:sz w:val="24"/>
          <w:szCs w:val="24"/>
        </w:rPr>
        <w:t>陈劲（1</w:t>
      </w:r>
      <w:r>
        <w:rPr>
          <w:sz w:val="24"/>
          <w:szCs w:val="24"/>
        </w:rPr>
        <w:t>999</w:t>
      </w:r>
      <w:r>
        <w:rPr>
          <w:rFonts w:hint="eastAsia"/>
          <w:sz w:val="24"/>
          <w:szCs w:val="24"/>
        </w:rPr>
        <w:t>）认为企业绿色创新的首要激励源是政府的政策，市场的激励作用相对更弱，并对影响企业绿色技术创新的要素进行分析，提出了包括环境绩效指标、创新绩效指标、创新过程指标、创新投入指标的绿色技术创新审计指标体系（2</w:t>
      </w:r>
      <w:r>
        <w:rPr>
          <w:sz w:val="24"/>
          <w:szCs w:val="24"/>
        </w:rPr>
        <w:t>002</w:t>
      </w:r>
      <w:r>
        <w:rPr>
          <w:rFonts w:hint="eastAsia"/>
          <w:sz w:val="24"/>
          <w:szCs w:val="24"/>
        </w:rPr>
        <w:t>）。钟晖与王建锋（2</w:t>
      </w:r>
      <w:r>
        <w:rPr>
          <w:sz w:val="24"/>
          <w:szCs w:val="24"/>
        </w:rPr>
        <w:t>000</w:t>
      </w:r>
      <w:r>
        <w:rPr>
          <w:rFonts w:hint="eastAsia"/>
          <w:sz w:val="24"/>
          <w:szCs w:val="24"/>
        </w:rPr>
        <w:t>）提出了政府对绿色技术创新的四方面作用机制，包含强化相关法律规范手段、制订相关专利保护制度、运用排污权交易等经济手段以及在资金投入方面的补贴与倾斜。王建明（2</w:t>
      </w:r>
      <w:r>
        <w:rPr>
          <w:sz w:val="24"/>
          <w:szCs w:val="24"/>
        </w:rPr>
        <w:t>010</w:t>
      </w:r>
      <w:r>
        <w:rPr>
          <w:rFonts w:hint="eastAsia"/>
          <w:sz w:val="24"/>
          <w:szCs w:val="24"/>
        </w:rPr>
        <w:t>）基于“波特假说”利用江苏省制造业企业为样本，研究发现外部环境规制对绿色技术创新能够起正向驱动作用。贾军与张伟（2</w:t>
      </w:r>
      <w:r>
        <w:rPr>
          <w:sz w:val="24"/>
          <w:szCs w:val="24"/>
        </w:rPr>
        <w:t>014</w:t>
      </w:r>
      <w:r>
        <w:rPr>
          <w:rFonts w:hint="eastAsia"/>
          <w:sz w:val="24"/>
          <w:szCs w:val="24"/>
        </w:rPr>
        <w:t>）研究发现了绿色技术知识存量以及非绿色技术知识存量均对绿色技术创新具有正向影响。王锋正与姜涛等学者（2</w:t>
      </w:r>
      <w:r>
        <w:rPr>
          <w:sz w:val="24"/>
          <w:szCs w:val="24"/>
        </w:rPr>
        <w:t>018</w:t>
      </w:r>
      <w:r>
        <w:rPr>
          <w:rFonts w:hint="eastAsia"/>
          <w:sz w:val="24"/>
          <w:szCs w:val="24"/>
        </w:rPr>
        <w:t>）研究发现地方政府的治理水平以及政府的环境政策是影响企业进行绿色技术创新的重要因素。</w:t>
      </w:r>
      <w:r>
        <w:rPr>
          <w:rFonts w:hint="eastAsia"/>
          <w:sz w:val="24"/>
        </w:rPr>
        <w:t>谢贞发（2</w:t>
      </w:r>
      <w:r>
        <w:rPr>
          <w:sz w:val="24"/>
        </w:rPr>
        <w:t>022</w:t>
      </w:r>
      <w:r>
        <w:rPr>
          <w:rFonts w:hint="eastAsia"/>
          <w:sz w:val="24"/>
        </w:rPr>
        <w:t>）研究发现征收环境保护税的省际差异会影响企业绿色技术创新，主要体现在对绿色实用新型专利的提升。</w:t>
      </w:r>
    </w:p>
    <w:p>
      <w:pPr>
        <w:spacing w:line="360" w:lineRule="auto"/>
        <w:ind w:firstLine="480" w:firstLineChars="200"/>
        <w:jc w:val="left"/>
        <w:rPr>
          <w:sz w:val="24"/>
        </w:rPr>
      </w:pPr>
      <w:r>
        <w:rPr>
          <w:rFonts w:hint="eastAsia"/>
          <w:sz w:val="24"/>
          <w:szCs w:val="24"/>
        </w:rPr>
        <w:t>（３）</w:t>
      </w:r>
      <w:r>
        <w:rPr>
          <w:rFonts w:hint="eastAsia"/>
          <w:sz w:val="24"/>
        </w:rPr>
        <w:t>环境规制与绿色技术创新</w:t>
      </w:r>
    </w:p>
    <w:p>
      <w:pPr>
        <w:spacing w:line="360" w:lineRule="auto"/>
        <w:ind w:firstLine="480" w:firstLineChars="200"/>
        <w:jc w:val="left"/>
        <w:rPr>
          <w:sz w:val="24"/>
        </w:rPr>
      </w:pPr>
      <w:r>
        <w:rPr>
          <w:rFonts w:hint="eastAsia"/>
          <w:sz w:val="24"/>
        </w:rPr>
        <w:t>环境规制手段主要分为两种类型，分别是显性环境规制与隐性环境规制。显性规制包含命令控制型（即政府出台的法规制度）、市场激励型（排污权交易等）以及自愿型（行业倡议等），隐性规制则指的是社会的环保意识和环保观念（赵玉民，2</w:t>
      </w:r>
      <w:r>
        <w:rPr>
          <w:sz w:val="24"/>
        </w:rPr>
        <w:t>009</w:t>
      </w:r>
      <w:r>
        <w:rPr>
          <w:rFonts w:hint="eastAsia"/>
          <w:sz w:val="24"/>
        </w:rPr>
        <w:t>）。而根据Pham（2</w:t>
      </w:r>
      <w:r>
        <w:rPr>
          <w:sz w:val="24"/>
        </w:rPr>
        <w:t>020</w:t>
      </w:r>
      <w:r>
        <w:rPr>
          <w:rFonts w:hint="eastAsia"/>
          <w:sz w:val="24"/>
        </w:rPr>
        <w:t>）研究发现股市会对环境规制政策产生敏感的反应，因此可以认为环境规制政策会对企业产生一定的影响。</w:t>
      </w:r>
    </w:p>
    <w:p>
      <w:pPr>
        <w:spacing w:line="360" w:lineRule="auto"/>
        <w:ind w:firstLine="437"/>
        <w:rPr>
          <w:sz w:val="24"/>
          <w:szCs w:val="24"/>
        </w:rPr>
      </w:pPr>
      <w:r>
        <w:rPr>
          <w:rFonts w:hint="eastAsia"/>
          <w:sz w:val="24"/>
          <w:szCs w:val="24"/>
        </w:rPr>
        <w:t>国外学者们针对环境规制诱导企业进行技术革新进行了深入研究。</w:t>
      </w:r>
      <w:r>
        <w:rPr>
          <w:sz w:val="24"/>
          <w:szCs w:val="24"/>
        </w:rPr>
        <w:t>P</w:t>
      </w:r>
      <w:r>
        <w:rPr>
          <w:rFonts w:hint="eastAsia"/>
          <w:sz w:val="24"/>
          <w:szCs w:val="24"/>
        </w:rPr>
        <w:t>o</w:t>
      </w:r>
      <w:r>
        <w:rPr>
          <w:sz w:val="24"/>
          <w:szCs w:val="24"/>
        </w:rPr>
        <w:t>rter ME</w:t>
      </w:r>
      <w:r>
        <w:rPr>
          <w:rFonts w:hint="eastAsia"/>
          <w:sz w:val="24"/>
          <w:szCs w:val="24"/>
        </w:rPr>
        <w:t>（1</w:t>
      </w:r>
      <w:r>
        <w:rPr>
          <w:sz w:val="24"/>
          <w:szCs w:val="24"/>
        </w:rPr>
        <w:t>995</w:t>
      </w:r>
      <w:r>
        <w:rPr>
          <w:rFonts w:hint="eastAsia"/>
          <w:sz w:val="24"/>
          <w:szCs w:val="24"/>
        </w:rPr>
        <w:t>）提出企业实际上可以从环境管制政策中获益，适当的环境规制有利于企业技术创新。SB Brunnermeier与MA Cohen（2</w:t>
      </w:r>
      <w:r>
        <w:rPr>
          <w:sz w:val="24"/>
          <w:szCs w:val="24"/>
        </w:rPr>
        <w:t>003</w:t>
      </w:r>
      <w:r>
        <w:rPr>
          <w:rFonts w:hint="eastAsia"/>
          <w:sz w:val="24"/>
          <w:szCs w:val="24"/>
        </w:rPr>
        <w:t>）在对影响美国制造业绿色创新的因素进行实证分析时发现，污染治理支出会影响企业绿色创新水平，而与现有法规相关的监测执法活动则对绿色创新水平不显著相关。</w:t>
      </w:r>
      <w:r>
        <w:rPr>
          <w:sz w:val="24"/>
        </w:rPr>
        <w:t>Lanoie</w:t>
      </w:r>
      <w:r>
        <w:rPr>
          <w:sz w:val="24"/>
          <w:szCs w:val="24"/>
        </w:rPr>
        <w:t xml:space="preserve"> </w:t>
      </w:r>
      <w:r>
        <w:rPr>
          <w:rFonts w:hint="eastAsia"/>
          <w:sz w:val="24"/>
          <w:szCs w:val="24"/>
        </w:rPr>
        <w:t>等学者（2</w:t>
      </w:r>
      <w:r>
        <w:rPr>
          <w:sz w:val="24"/>
          <w:szCs w:val="24"/>
        </w:rPr>
        <w:t>007</w:t>
      </w:r>
      <w:r>
        <w:rPr>
          <w:rFonts w:hint="eastAsia"/>
          <w:sz w:val="24"/>
          <w:szCs w:val="24"/>
        </w:rPr>
        <w:t>）利用税收及排污权交易作为环境规制的衡量依据，研究发现环境规制可以诱导企业的技术创新。</w:t>
      </w:r>
      <w:r>
        <w:rPr>
          <w:sz w:val="24"/>
          <w:szCs w:val="24"/>
        </w:rPr>
        <w:t>Albrizio S</w:t>
      </w:r>
      <w:r>
        <w:rPr>
          <w:rFonts w:hint="eastAsia"/>
          <w:sz w:val="24"/>
          <w:szCs w:val="24"/>
        </w:rPr>
        <w:t>（2</w:t>
      </w:r>
      <w:r>
        <w:rPr>
          <w:sz w:val="24"/>
          <w:szCs w:val="24"/>
        </w:rPr>
        <w:t>017</w:t>
      </w:r>
      <w:r>
        <w:rPr>
          <w:rFonts w:hint="eastAsia"/>
          <w:sz w:val="24"/>
          <w:szCs w:val="24"/>
        </w:rPr>
        <w:t>）研究表明，基于波特假说，在大多数技术发达国家中，环境政策的收紧与产业层面的生产率的短期增长显著相关。</w:t>
      </w:r>
      <w:r>
        <w:rPr>
          <w:sz w:val="24"/>
          <w:szCs w:val="24"/>
        </w:rPr>
        <w:t>H Xiao</w:t>
      </w:r>
      <w:r>
        <w:rPr>
          <w:rFonts w:hint="eastAsia"/>
          <w:sz w:val="24"/>
          <w:szCs w:val="24"/>
        </w:rPr>
        <w:t>（2</w:t>
      </w:r>
      <w:r>
        <w:rPr>
          <w:sz w:val="24"/>
          <w:szCs w:val="24"/>
        </w:rPr>
        <w:t>020</w:t>
      </w:r>
      <w:r>
        <w:rPr>
          <w:rFonts w:hint="eastAsia"/>
          <w:sz w:val="24"/>
          <w:szCs w:val="24"/>
        </w:rPr>
        <w:t>）研究发现环境规制对重污染企业存在更强的财务约束，因此会对企业存在一定的威慑力促使进行技术创新。</w:t>
      </w:r>
    </w:p>
    <w:p>
      <w:pPr>
        <w:spacing w:line="360" w:lineRule="auto"/>
        <w:ind w:firstLine="480" w:firstLineChars="200"/>
        <w:rPr>
          <w:sz w:val="24"/>
          <w:szCs w:val="24"/>
        </w:rPr>
      </w:pPr>
      <w:r>
        <w:rPr>
          <w:rFonts w:hint="eastAsia"/>
          <w:sz w:val="24"/>
          <w:szCs w:val="24"/>
        </w:rPr>
        <w:t>国内学者结合我国国情和实践，对于</w:t>
      </w:r>
      <w:r>
        <w:rPr>
          <w:rFonts w:hint="eastAsia"/>
          <w:sz w:val="24"/>
        </w:rPr>
        <w:t>环境规制的技术创新促进作用进行了进一步讨论。</w:t>
      </w:r>
      <w:r>
        <w:rPr>
          <w:rFonts w:hint="eastAsia"/>
          <w:sz w:val="24"/>
          <w:szCs w:val="24"/>
        </w:rPr>
        <w:t>李婉红、毕克新与杨冰（2</w:t>
      </w:r>
      <w:r>
        <w:rPr>
          <w:sz w:val="24"/>
          <w:szCs w:val="24"/>
        </w:rPr>
        <w:t>013</w:t>
      </w:r>
      <w:r>
        <w:rPr>
          <w:rFonts w:hint="eastAsia"/>
          <w:sz w:val="24"/>
          <w:szCs w:val="24"/>
        </w:rPr>
        <w:t>）研究发现，在考虑行业规模和创新人力资源投入这两个控制变量的情况下，环境规制可有效促进污染密集型企业进行绿色技术创新。杨东和柴慧敏（2</w:t>
      </w:r>
      <w:r>
        <w:rPr>
          <w:sz w:val="24"/>
          <w:szCs w:val="24"/>
        </w:rPr>
        <w:t>015</w:t>
      </w:r>
      <w:r>
        <w:rPr>
          <w:rFonts w:hint="eastAsia"/>
          <w:sz w:val="24"/>
          <w:szCs w:val="24"/>
        </w:rPr>
        <w:t>）从制度理论、市场理论与N</w:t>
      </w:r>
      <w:r>
        <w:rPr>
          <w:sz w:val="24"/>
          <w:szCs w:val="24"/>
        </w:rPr>
        <w:t>RBV</w:t>
      </w:r>
      <w:r>
        <w:rPr>
          <w:rFonts w:hint="eastAsia"/>
          <w:sz w:val="24"/>
          <w:szCs w:val="24"/>
        </w:rPr>
        <w:t>视角对企业绿色技术创新的驱动因素进行研究。张倩（2</w:t>
      </w:r>
      <w:r>
        <w:rPr>
          <w:sz w:val="24"/>
          <w:szCs w:val="24"/>
        </w:rPr>
        <w:t>015</w:t>
      </w:r>
      <w:r>
        <w:rPr>
          <w:rFonts w:hint="eastAsia"/>
          <w:sz w:val="24"/>
          <w:szCs w:val="24"/>
        </w:rPr>
        <w:t>）研究发现环境规制对绿色产品创新与绿色工艺创新有显著的激励作用。王锋正与陈方圆（2</w:t>
      </w:r>
      <w:r>
        <w:rPr>
          <w:sz w:val="24"/>
          <w:szCs w:val="24"/>
        </w:rPr>
        <w:t>018</w:t>
      </w:r>
      <w:r>
        <w:rPr>
          <w:rFonts w:hint="eastAsia"/>
          <w:sz w:val="24"/>
          <w:szCs w:val="24"/>
        </w:rPr>
        <w:t>）研究发现，董事会治理在环境规制对企业绿色技术创新影响中呈现出显著正向调节作用。张娟与耿弘（2</w:t>
      </w:r>
      <w:r>
        <w:rPr>
          <w:sz w:val="24"/>
          <w:szCs w:val="24"/>
        </w:rPr>
        <w:t>019</w:t>
      </w:r>
      <w:r>
        <w:rPr>
          <w:rFonts w:hint="eastAsia"/>
          <w:sz w:val="24"/>
          <w:szCs w:val="24"/>
        </w:rPr>
        <w:t>）研究表明环境规制对绿色技术创新产出的影响呈现“U”型关系，且滞后一期的影响显著。于连超等学者（2</w:t>
      </w:r>
      <w:r>
        <w:rPr>
          <w:sz w:val="24"/>
          <w:szCs w:val="24"/>
        </w:rPr>
        <w:t>019</w:t>
      </w:r>
      <w:r>
        <w:rPr>
          <w:rFonts w:hint="eastAsia"/>
          <w:sz w:val="24"/>
          <w:szCs w:val="24"/>
        </w:rPr>
        <w:t>）在波特假说的理论基础上，实证研究发现通过环境税进行环境规制，可以显著促进企业的绿色技术创新，且呈现出明显的滞后作用。王珍愚（2</w:t>
      </w:r>
      <w:r>
        <w:rPr>
          <w:sz w:val="24"/>
          <w:szCs w:val="24"/>
        </w:rPr>
        <w:t>021</w:t>
      </w:r>
      <w:r>
        <w:rPr>
          <w:rFonts w:hint="eastAsia"/>
          <w:sz w:val="24"/>
          <w:szCs w:val="24"/>
        </w:rPr>
        <w:t>）通过企业绿色专利的数据，实证研究发现环境规制对企业绿色创新存在"U"型影响。张荷（2</w:t>
      </w:r>
      <w:r>
        <w:rPr>
          <w:sz w:val="24"/>
          <w:szCs w:val="24"/>
        </w:rPr>
        <w:t>022</w:t>
      </w:r>
      <w:r>
        <w:rPr>
          <w:rFonts w:hint="eastAsia"/>
          <w:sz w:val="24"/>
          <w:szCs w:val="24"/>
        </w:rPr>
        <w:t>）研究发现相较于命令控制型的环境规制而言，市场激励型环境规制政策的作用效果更佳。蒙大斌与于莹莹（</w:t>
      </w:r>
      <w:r>
        <w:rPr>
          <w:sz w:val="24"/>
          <w:szCs w:val="24"/>
        </w:rPr>
        <w:t>2022</w:t>
      </w:r>
      <w:r>
        <w:rPr>
          <w:rFonts w:hint="eastAsia"/>
          <w:sz w:val="24"/>
          <w:szCs w:val="24"/>
        </w:rPr>
        <w:t>）研究发现正式的环境规制对绿色技术创新存在“U型关系”，非正式环境规制则将存在着相反的“倒U型关系”。</w:t>
      </w:r>
    </w:p>
    <w:p>
      <w:pPr>
        <w:spacing w:line="360" w:lineRule="auto"/>
        <w:outlineLvl w:val="2"/>
        <w:rPr>
          <w:sz w:val="24"/>
          <w:szCs w:val="24"/>
        </w:rPr>
      </w:pPr>
      <w:r>
        <w:rPr>
          <w:b/>
          <w:sz w:val="24"/>
        </w:rPr>
        <w:t xml:space="preserve">1.3.3 </w:t>
      </w:r>
      <w:r>
        <w:rPr>
          <w:rFonts w:hint="eastAsia" w:ascii="黑体" w:hAnsi="黑体" w:eastAsia="黑体"/>
          <w:b/>
          <w:sz w:val="24"/>
        </w:rPr>
        <w:t>文献评述</w:t>
      </w:r>
    </w:p>
    <w:p>
      <w:pPr>
        <w:spacing w:line="360" w:lineRule="auto"/>
        <w:ind w:firstLine="480" w:firstLineChars="200"/>
        <w:rPr>
          <w:sz w:val="24"/>
          <w:szCs w:val="24"/>
        </w:rPr>
      </w:pPr>
      <w:r>
        <w:rPr>
          <w:rFonts w:hint="eastAsia"/>
          <w:sz w:val="24"/>
          <w:szCs w:val="24"/>
        </w:rPr>
        <w:t>针对环境审计制度，国内外已经有非常多的相关研究，目前国外的环境审计以政府外在强制要求以及企业内部自发进行两者并重，而国内仍以政府环境审计为主导，对政府环境审计机制以及作用效果进行了规范以及实证研究；由于自然资源离任审计政策是一项全新的交叉审计政策，现有研究仍以规范性研究为主，实证性研究相对较少，实证研究也更多集中于企业经济效益以及环境效益方面的作用；而针对绿色技术创新领域，过去的研究主要集中于绿色技术创新的影响因素研究，近十年来才陆续出现许多环境规制对绿色技术创新的影响研究，但具体到通过领导干部自然资源离任审计这一政策视角进行分析的相关研究较少。</w:t>
      </w:r>
    </w:p>
    <w:p>
      <w:pPr>
        <w:spacing w:line="360" w:lineRule="auto"/>
        <w:ind w:firstLine="480" w:firstLineChars="200"/>
        <w:rPr>
          <w:b/>
          <w:sz w:val="28"/>
          <w:szCs w:val="28"/>
        </w:rPr>
      </w:pPr>
      <w:r>
        <w:rPr>
          <w:rFonts w:hint="eastAsia"/>
          <w:sz w:val="24"/>
          <w:szCs w:val="24"/>
        </w:rPr>
        <w:t>领导干部自然资源资产离任审计制度改变了政府官员的考核评估方式，从而极大影响了政府官员对辖区环境治理的意愿。虽然存在学者已针对领导干部自然资源资产离任审计政策和企业绿色技术创新这两个因素进行研究，但研究方向重点在于试点地区区域性的整体性绿色创新行为，尚未有学者在企业微观层面研究其是否对当地资源型与重污染型企业的绿色技术创新行为有显著影响。因此本文将基于该准自然实验，研究这一政策对资源型与重污染型企业的绿色技术创新作用效果。</w:t>
      </w:r>
    </w:p>
    <w:p>
      <w:pPr>
        <w:spacing w:before="156" w:beforeLines="50" w:after="156" w:afterLines="50"/>
        <w:jc w:val="left"/>
        <w:outlineLvl w:val="1"/>
        <w:rPr>
          <w:b/>
          <w:sz w:val="28"/>
          <w:szCs w:val="28"/>
        </w:rPr>
      </w:pPr>
      <w:bookmarkStart w:id="34" w:name="_Toc104375926"/>
      <w:bookmarkStart w:id="35" w:name="_Toc100181255"/>
      <w:bookmarkStart w:id="36" w:name="_Toc17834"/>
      <w:bookmarkStart w:id="37" w:name="_Toc100181832"/>
      <w:r>
        <w:rPr>
          <w:b/>
          <w:sz w:val="28"/>
          <w:szCs w:val="28"/>
        </w:rPr>
        <w:t xml:space="preserve">1.4 </w:t>
      </w:r>
      <w:r>
        <w:rPr>
          <w:rFonts w:hint="eastAsia" w:ascii="黑体" w:hAnsi="黑体" w:eastAsia="黑体"/>
          <w:b/>
          <w:sz w:val="28"/>
          <w:szCs w:val="28"/>
        </w:rPr>
        <w:t>研究内容及框架</w:t>
      </w:r>
      <w:bookmarkEnd w:id="34"/>
      <w:bookmarkEnd w:id="35"/>
      <w:bookmarkEnd w:id="36"/>
      <w:bookmarkEnd w:id="37"/>
    </w:p>
    <w:p>
      <w:pPr>
        <w:spacing w:before="156" w:beforeLines="50" w:after="156" w:afterLines="50"/>
        <w:jc w:val="left"/>
        <w:outlineLvl w:val="2"/>
        <w:rPr>
          <w:rFonts w:ascii="黑体" w:eastAsia="黑体"/>
          <w:b/>
          <w:sz w:val="24"/>
        </w:rPr>
      </w:pPr>
      <w:bookmarkStart w:id="38" w:name="_Toc100181833"/>
      <w:bookmarkStart w:id="39" w:name="_Toc100181256"/>
      <w:r>
        <w:rPr>
          <w:b/>
          <w:sz w:val="24"/>
        </w:rPr>
        <w:t>1.4.1</w:t>
      </w:r>
      <w:r>
        <w:rPr>
          <w:rFonts w:hint="eastAsia" w:ascii="黑体" w:eastAsia="黑体"/>
          <w:b/>
          <w:sz w:val="24"/>
        </w:rPr>
        <w:t xml:space="preserve">  研究内容</w:t>
      </w:r>
      <w:bookmarkEnd w:id="38"/>
      <w:bookmarkEnd w:id="39"/>
    </w:p>
    <w:p>
      <w:pPr>
        <w:spacing w:line="360" w:lineRule="auto"/>
        <w:ind w:firstLine="480" w:firstLineChars="200"/>
        <w:jc w:val="left"/>
        <w:rPr>
          <w:rFonts w:ascii="宋体" w:hAnsi="宋体"/>
          <w:sz w:val="24"/>
        </w:rPr>
      </w:pPr>
      <w:r>
        <w:rPr>
          <w:rFonts w:hint="eastAsia" w:ascii="宋体" w:hAnsi="宋体"/>
          <w:sz w:val="24"/>
        </w:rPr>
        <w:t>本文将分为五章进行阐述，具体内容如下：</w:t>
      </w:r>
    </w:p>
    <w:p>
      <w:pPr>
        <w:spacing w:line="360" w:lineRule="auto"/>
        <w:ind w:firstLine="480" w:firstLineChars="200"/>
        <w:jc w:val="left"/>
        <w:rPr>
          <w:rFonts w:ascii="宋体" w:hAnsi="宋体"/>
          <w:sz w:val="24"/>
        </w:rPr>
      </w:pPr>
      <w:r>
        <w:rPr>
          <w:rFonts w:hint="eastAsia" w:ascii="宋体" w:hAnsi="宋体"/>
          <w:sz w:val="24"/>
        </w:rPr>
        <w:t>第一章为绪论，主要内容是文章的研究背景、研究意义（研究意义又将分为理论与现实意义）、文献综述、研究内容、基本分析框架以及所采用的研究方法。</w:t>
      </w:r>
    </w:p>
    <w:p>
      <w:pPr>
        <w:spacing w:line="360" w:lineRule="auto"/>
        <w:ind w:firstLine="480" w:firstLineChars="200"/>
        <w:jc w:val="left"/>
        <w:rPr>
          <w:rFonts w:ascii="宋体" w:hAnsi="宋体"/>
          <w:sz w:val="24"/>
        </w:rPr>
      </w:pPr>
      <w:r>
        <w:rPr>
          <w:rFonts w:hint="eastAsia" w:ascii="宋体" w:hAnsi="宋体"/>
          <w:sz w:val="24"/>
        </w:rPr>
        <w:t>第二章为理论基础与研究假设，本章将对研究的理论基础以及基于理论作出的研究假设进行阐释。本文将对波特假说、公共受托责任理论以及可持续发展理论进行深入阐述，并在这些理论假说的基础上深入分析自然资源离任审计对于企业绿色技术创新的影响机理，从而提出研究假设，为后文的实证检验奠定基础。</w:t>
      </w:r>
    </w:p>
    <w:p>
      <w:pPr>
        <w:spacing w:line="360" w:lineRule="auto"/>
        <w:ind w:firstLine="480" w:firstLineChars="200"/>
        <w:jc w:val="left"/>
        <w:rPr>
          <w:rFonts w:ascii="宋体" w:hAnsi="宋体"/>
          <w:sz w:val="24"/>
        </w:rPr>
      </w:pPr>
      <w:r>
        <w:rPr>
          <w:rFonts w:hint="eastAsia" w:ascii="宋体" w:hAnsi="宋体"/>
          <w:sz w:val="24"/>
        </w:rPr>
        <w:t>第三章为实证研究设计，将主要进行实证研究的准备工作，包含选取样本、确定数据来源、处理数据、设计变量并确定测度方式以及最后的构建实证模型。这部分的内容将充分考虑到以前学者的研究成果，并加以结合分析，从而确定适合本文研究的研究方案。</w:t>
      </w:r>
    </w:p>
    <w:p>
      <w:pPr>
        <w:spacing w:line="360" w:lineRule="auto"/>
        <w:ind w:firstLine="480" w:firstLineChars="200"/>
        <w:jc w:val="left"/>
        <w:rPr>
          <w:rFonts w:ascii="宋体" w:hAnsi="宋体"/>
          <w:sz w:val="24"/>
        </w:rPr>
      </w:pPr>
      <w:r>
        <w:rPr>
          <w:rFonts w:hint="eastAsia" w:ascii="宋体" w:hAnsi="宋体"/>
          <w:sz w:val="24"/>
        </w:rPr>
        <w:t>第四章为实证回归结果与分析，本章将呈现实证研究的结果，并对结果进行分析。主要内容将分为描述性统计、相关性分析、主回归、稳健性检验以及进一步分析。在进一步分析中，本文将通过专利的异质性、排污费、政府研发补助、企业内部治理与外部监督、以及企业股权结构对该审计政策对于企业绿色技术创新的影响进行分析。</w:t>
      </w:r>
    </w:p>
    <w:p>
      <w:pPr>
        <w:spacing w:line="360" w:lineRule="auto"/>
        <w:ind w:firstLine="480" w:firstLineChars="200"/>
        <w:jc w:val="left"/>
        <w:rPr>
          <w:rFonts w:ascii="黑体" w:eastAsia="黑体"/>
          <w:b/>
          <w:sz w:val="24"/>
        </w:rPr>
      </w:pPr>
      <w:r>
        <w:rPr>
          <w:rFonts w:hint="eastAsia" w:ascii="宋体" w:hAnsi="宋体"/>
          <w:sz w:val="24"/>
        </w:rPr>
        <w:t>第五章为总结与建议，内容为对全文的总结以及根据本文的分析对自然资源离任审计政策实施的有关建议。</w:t>
      </w:r>
    </w:p>
    <w:p>
      <w:pPr>
        <w:spacing w:before="156" w:beforeLines="50" w:after="156" w:afterLines="50"/>
        <w:jc w:val="left"/>
        <w:outlineLvl w:val="2"/>
        <w:rPr>
          <w:rFonts w:ascii="黑体" w:eastAsia="黑体"/>
          <w:b/>
          <w:sz w:val="24"/>
        </w:rPr>
      </w:pPr>
      <w:bookmarkStart w:id="40" w:name="_Toc100181834"/>
      <w:bookmarkStart w:id="41" w:name="_Toc100181257"/>
      <w:r>
        <w:rPr>
          <w:b/>
          <w:sz w:val="24"/>
        </w:rPr>
        <w:t>1.4.2</w:t>
      </w:r>
      <w:r>
        <w:rPr>
          <w:rFonts w:hint="eastAsia" w:ascii="黑体" w:eastAsia="黑体"/>
          <w:b/>
          <w:sz w:val="24"/>
        </w:rPr>
        <w:t xml:space="preserve"> 研究框架</w:t>
      </w:r>
      <w:bookmarkEnd w:id="40"/>
      <w:bookmarkEnd w:id="41"/>
    </w:p>
    <w:p>
      <w:pPr>
        <w:spacing w:before="156" w:beforeLines="50" w:after="156" w:afterLines="50" w:line="360" w:lineRule="auto"/>
        <w:ind w:firstLine="480" w:firstLineChars="200"/>
        <w:jc w:val="left"/>
        <w:rPr>
          <w:rFonts w:ascii="黑体" w:eastAsia="黑体"/>
          <w:b/>
          <w:sz w:val="24"/>
        </w:rPr>
      </w:pPr>
      <w:r>
        <w:rPr>
          <w:rFonts w:hint="eastAsia" w:ascii="宋体" w:hAnsi="宋体"/>
          <w:sz w:val="24"/>
        </w:rPr>
        <w:t>本文的研究框架如下图</w:t>
      </w:r>
      <w:r>
        <w:rPr>
          <w:rFonts w:hint="default" w:ascii="Times New Roman" w:hAnsi="Times New Roman" w:cs="Times New Roman"/>
          <w:sz w:val="24"/>
        </w:rPr>
        <w:t>1-1</w:t>
      </w:r>
      <w:r>
        <w:rPr>
          <w:rFonts w:hint="eastAsia" w:ascii="宋体" w:hAnsi="宋体"/>
          <w:sz w:val="24"/>
        </w:rPr>
        <w:t>所示。</w:t>
      </w:r>
    </w:p>
    <w:p>
      <w:pPr>
        <w:spacing w:line="360" w:lineRule="auto"/>
        <w:ind w:left="120" w:hanging="120" w:hangingChars="50"/>
        <w:jc w:val="center"/>
        <w:rPr>
          <w:rFonts w:ascii="黑体" w:eastAsia="黑体"/>
          <w:b/>
          <w:sz w:val="24"/>
        </w:rPr>
      </w:pPr>
      <w:r>
        <w:rPr>
          <w:rFonts w:ascii="黑体" w:eastAsia="黑体"/>
          <w:b/>
          <w:sz w:val="24"/>
        </w:rPr>
        <w:drawing>
          <wp:inline distT="0" distB="0" distL="0" distR="0">
            <wp:extent cx="5039995" cy="4188460"/>
            <wp:effectExtent l="0" t="0" r="825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040000" cy="4188694"/>
                    </a:xfrm>
                    <a:prstGeom prst="rect">
                      <a:avLst/>
                    </a:prstGeom>
                    <a:noFill/>
                  </pic:spPr>
                </pic:pic>
              </a:graphicData>
            </a:graphic>
          </wp:inline>
        </w:drawing>
      </w:r>
    </w:p>
    <w:p>
      <w:pPr>
        <w:pStyle w:val="4"/>
        <w:spacing w:before="156" w:beforeLines="50" w:after="156"/>
        <w:ind w:left="360" w:hanging="360" w:hangingChars="150"/>
      </w:pPr>
      <w:bookmarkStart w:id="42" w:name="_Toc102926754"/>
      <w:bookmarkStart w:id="43" w:name="_Toc100181258"/>
      <w:bookmarkStart w:id="44" w:name="_Toc100181835"/>
      <w:r>
        <w:rPr>
          <w:rFonts w:hint="eastAsia"/>
        </w:rPr>
        <w:t>图1-</w:t>
      </w:r>
      <w:r>
        <w:fldChar w:fldCharType="begin"/>
      </w:r>
      <w:r>
        <w:instrText xml:space="preserve"> </w:instrText>
      </w:r>
      <w:r>
        <w:rPr>
          <w:rFonts w:hint="eastAsia"/>
        </w:rPr>
        <w:instrText xml:space="preserve">SEQ 图1- \* ARABIC</w:instrText>
      </w:r>
      <w:r>
        <w:instrText xml:space="preserve"> </w:instrText>
      </w:r>
      <w:r>
        <w:fldChar w:fldCharType="separate"/>
      </w:r>
      <w:r>
        <w:t>1</w:t>
      </w:r>
      <w:r>
        <w:fldChar w:fldCharType="end"/>
      </w:r>
      <w:bookmarkStart w:id="45" w:name="_Toc14348"/>
      <w:bookmarkStart w:id="46" w:name="_Toc17894"/>
      <w:r>
        <w:t xml:space="preserve"> </w:t>
      </w:r>
      <w:r>
        <w:rPr>
          <w:rFonts w:hint="eastAsia"/>
        </w:rPr>
        <w:t>研究框架</w:t>
      </w:r>
      <w:bookmarkEnd w:id="42"/>
      <w:bookmarkEnd w:id="45"/>
      <w:bookmarkEnd w:id="46"/>
    </w:p>
    <w:p>
      <w:pPr>
        <w:spacing w:line="360" w:lineRule="auto"/>
        <w:jc w:val="left"/>
        <w:outlineLvl w:val="1"/>
        <w:rPr>
          <w:b/>
          <w:sz w:val="28"/>
          <w:szCs w:val="28"/>
        </w:rPr>
      </w:pPr>
      <w:bookmarkStart w:id="47" w:name="_Toc104375927"/>
      <w:bookmarkStart w:id="48" w:name="_Toc1178"/>
      <w:r>
        <w:rPr>
          <w:b/>
          <w:sz w:val="28"/>
          <w:szCs w:val="28"/>
        </w:rPr>
        <w:t xml:space="preserve">1.5 </w:t>
      </w:r>
      <w:r>
        <w:rPr>
          <w:rFonts w:hint="eastAsia" w:ascii="黑体" w:hAnsi="黑体" w:eastAsia="黑体"/>
          <w:b/>
          <w:sz w:val="28"/>
          <w:szCs w:val="28"/>
        </w:rPr>
        <w:t>研究方法</w:t>
      </w:r>
      <w:bookmarkEnd w:id="43"/>
      <w:bookmarkEnd w:id="44"/>
      <w:bookmarkEnd w:id="47"/>
      <w:bookmarkEnd w:id="48"/>
    </w:p>
    <w:p>
      <w:pPr>
        <w:spacing w:line="360" w:lineRule="auto"/>
        <w:ind w:firstLine="480" w:firstLineChars="200"/>
        <w:rPr>
          <w:rFonts w:ascii="宋体" w:hAnsi="宋体"/>
          <w:sz w:val="24"/>
        </w:rPr>
      </w:pPr>
      <w:r>
        <w:rPr>
          <w:rFonts w:hint="eastAsia" w:ascii="宋体" w:hAnsi="宋体"/>
          <w:sz w:val="24"/>
        </w:rPr>
        <w:t>（１）文献研究法</w:t>
      </w:r>
    </w:p>
    <w:p>
      <w:pPr>
        <w:spacing w:line="360" w:lineRule="auto"/>
        <w:ind w:firstLine="480" w:firstLineChars="200"/>
        <w:rPr>
          <w:rFonts w:ascii="宋体" w:hAnsi="宋体"/>
          <w:sz w:val="24"/>
        </w:rPr>
      </w:pPr>
      <w:r>
        <w:rPr>
          <w:rFonts w:hint="eastAsia" w:ascii="宋体" w:hAnsi="宋体"/>
          <w:sz w:val="24"/>
        </w:rPr>
        <w:t>本文通过阅读查阅大量权威期刊的国内外学者文献，对领导干部自然资源资产离任审计政策与企业绿色技术创新等研究的相关进展进行梳理分析，在此基础上撰写文献综述；明确核心变量的概念发展与测度方式，为后续进行理论分析以及实证研究分析打好基础。</w:t>
      </w:r>
    </w:p>
    <w:p>
      <w:pPr>
        <w:spacing w:line="360" w:lineRule="auto"/>
        <w:ind w:firstLine="480" w:firstLineChars="200"/>
        <w:rPr>
          <w:rFonts w:ascii="宋体" w:hAnsi="宋体"/>
          <w:sz w:val="24"/>
        </w:rPr>
      </w:pPr>
      <w:r>
        <w:rPr>
          <w:rFonts w:hint="eastAsia" w:ascii="宋体" w:hAnsi="宋体"/>
          <w:sz w:val="24"/>
        </w:rPr>
        <w:t>（２）规范研究法</w:t>
      </w:r>
    </w:p>
    <w:p>
      <w:pPr>
        <w:spacing w:line="360" w:lineRule="auto"/>
        <w:ind w:firstLine="480" w:firstLineChars="200"/>
        <w:rPr>
          <w:rFonts w:ascii="宋体" w:hAnsi="宋体"/>
          <w:sz w:val="24"/>
        </w:rPr>
      </w:pPr>
      <w:r>
        <w:rPr>
          <w:rFonts w:hint="eastAsia" w:ascii="宋体" w:hAnsi="宋体"/>
          <w:sz w:val="24"/>
        </w:rPr>
        <w:t>在阅读大量学者研究文献后，寻找本文研究的切入口，利用波特假说、公共受托责任理论以及可持续发展理论等理论进行规范性研究，深入理解领导干部自然资源资产离任审计政策和企业绿色技术创新之间的关系，从而为后续实证研究确定理论基础。</w:t>
      </w:r>
    </w:p>
    <w:p>
      <w:pPr>
        <w:spacing w:line="360" w:lineRule="auto"/>
        <w:ind w:firstLine="480" w:firstLineChars="200"/>
        <w:rPr>
          <w:rFonts w:ascii="宋体" w:hAnsi="宋体"/>
          <w:sz w:val="24"/>
        </w:rPr>
      </w:pPr>
      <w:r>
        <w:rPr>
          <w:rFonts w:hint="eastAsia" w:ascii="宋体" w:hAnsi="宋体"/>
          <w:sz w:val="24"/>
        </w:rPr>
        <w:t>（３）实证研究法</w:t>
      </w:r>
    </w:p>
    <w:p>
      <w:pPr>
        <w:spacing w:line="360" w:lineRule="auto"/>
        <w:ind w:firstLine="480" w:firstLineChars="200"/>
        <w:rPr>
          <w:rFonts w:ascii="宋体" w:hAnsi="宋体"/>
          <w:sz w:val="24"/>
        </w:rPr>
      </w:pPr>
      <w:r>
        <w:rPr>
          <w:rFonts w:hint="eastAsia" w:ascii="宋体" w:hAnsi="宋体"/>
          <w:sz w:val="24"/>
        </w:rPr>
        <w:t>本文的核心内容即为实证分析，通过搜集政策试点地区以及上市公司相关数据，在前人研究基础上建立双重差分模型，并确定核心变量的测度方式，通过双重差分回归分析审计政策冲击下，对企业绿色技术创新水平的影响。具体实证分析方法为双向固定效应下的双重差分回归模型。</w:t>
      </w:r>
    </w:p>
    <w:p>
      <w:pPr>
        <w:widowControl/>
        <w:spacing w:line="360" w:lineRule="auto"/>
        <w:ind w:firstLine="562" w:firstLineChars="200"/>
        <w:jc w:val="left"/>
        <w:rPr>
          <w:rFonts w:ascii="宋体" w:hAnsi="宋体"/>
          <w:sz w:val="24"/>
        </w:rPr>
      </w:pPr>
      <w:r>
        <w:rPr>
          <w:rFonts w:ascii="黑体" w:eastAsia="黑体"/>
          <w:b/>
          <w:sz w:val="28"/>
          <w:szCs w:val="28"/>
        </w:rPr>
        <w:br w:type="page"/>
      </w:r>
    </w:p>
    <w:p>
      <w:pPr>
        <w:spacing w:before="156" w:beforeLines="50" w:after="156" w:afterLines="50"/>
        <w:jc w:val="center"/>
        <w:outlineLvl w:val="0"/>
        <w:rPr>
          <w:rFonts w:eastAsia="黑体"/>
          <w:b/>
          <w:sz w:val="36"/>
          <w:szCs w:val="36"/>
        </w:rPr>
      </w:pPr>
      <w:bookmarkStart w:id="49" w:name="_Toc100181270"/>
      <w:bookmarkStart w:id="50" w:name="_Toc100181847"/>
      <w:bookmarkStart w:id="51" w:name="_Toc17328"/>
      <w:bookmarkStart w:id="52" w:name="_Toc104375928"/>
      <w:r>
        <w:rPr>
          <w:rFonts w:eastAsia="黑体"/>
          <w:b/>
          <w:sz w:val="36"/>
          <w:szCs w:val="36"/>
        </w:rPr>
        <w:t>2</w:t>
      </w:r>
      <w:r>
        <w:rPr>
          <w:rFonts w:hint="eastAsia" w:ascii="黑体" w:eastAsia="黑体"/>
          <w:b/>
          <w:sz w:val="36"/>
          <w:szCs w:val="36"/>
        </w:rPr>
        <w:t xml:space="preserve">  </w:t>
      </w:r>
      <w:r>
        <w:rPr>
          <w:rFonts w:hint="eastAsia" w:eastAsia="黑体"/>
          <w:b/>
          <w:sz w:val="36"/>
          <w:szCs w:val="36"/>
        </w:rPr>
        <w:t>理论基础与研究假设</w:t>
      </w:r>
      <w:bookmarkEnd w:id="49"/>
      <w:bookmarkEnd w:id="50"/>
      <w:bookmarkEnd w:id="51"/>
      <w:bookmarkEnd w:id="52"/>
    </w:p>
    <w:p>
      <w:pPr>
        <w:spacing w:line="360" w:lineRule="auto"/>
        <w:ind w:firstLine="480" w:firstLineChars="200"/>
        <w:jc w:val="left"/>
        <w:rPr>
          <w:rFonts w:eastAsia="黑体"/>
          <w:b/>
          <w:sz w:val="36"/>
          <w:szCs w:val="36"/>
        </w:rPr>
      </w:pPr>
      <w:r>
        <w:rPr>
          <w:rFonts w:hint="eastAsia"/>
          <w:sz w:val="24"/>
          <w:szCs w:val="24"/>
        </w:rPr>
        <w:t>本章以波特假说理论、公共受托责任理论以及可持续发展理论作为自然资源资产离任审计政策实施的理论支撑，基于这三个理论提出了本文的研究假设，即讨论该审计政策的实施是否将对企业绿色技术创新水平产生显著提升。</w:t>
      </w:r>
    </w:p>
    <w:p>
      <w:pPr>
        <w:spacing w:before="156" w:beforeLines="50" w:after="156" w:afterLines="50"/>
        <w:outlineLvl w:val="1"/>
        <w:rPr>
          <w:rFonts w:ascii="楷体_GB2312" w:hAnsi="宋体" w:eastAsia="楷体_GB2312"/>
          <w:color w:val="FF0000"/>
        </w:rPr>
      </w:pPr>
      <w:bookmarkStart w:id="53" w:name="_Toc12269"/>
      <w:bookmarkStart w:id="54" w:name="_Toc100181848"/>
      <w:bookmarkStart w:id="55" w:name="_Toc100181271"/>
      <w:bookmarkStart w:id="56" w:name="_Toc104375929"/>
      <w:r>
        <w:rPr>
          <w:b/>
          <w:sz w:val="28"/>
          <w:szCs w:val="28"/>
        </w:rPr>
        <w:t>2.1</w:t>
      </w:r>
      <w:r>
        <w:rPr>
          <w:rFonts w:hint="eastAsia" w:ascii="黑体" w:eastAsia="黑体"/>
          <w:b/>
          <w:sz w:val="28"/>
          <w:szCs w:val="28"/>
        </w:rPr>
        <w:t xml:space="preserve"> 理论基础</w:t>
      </w:r>
      <w:bookmarkEnd w:id="53"/>
      <w:bookmarkEnd w:id="54"/>
      <w:bookmarkEnd w:id="55"/>
      <w:bookmarkEnd w:id="56"/>
    </w:p>
    <w:p>
      <w:pPr>
        <w:spacing w:before="156" w:beforeLines="50" w:after="156" w:afterLines="50"/>
        <w:jc w:val="left"/>
        <w:outlineLvl w:val="2"/>
        <w:rPr>
          <w:rFonts w:ascii="黑体" w:eastAsia="黑体"/>
          <w:b/>
          <w:sz w:val="24"/>
        </w:rPr>
      </w:pPr>
      <w:bookmarkStart w:id="57" w:name="_Toc100181849"/>
      <w:bookmarkStart w:id="58" w:name="_Toc100181272"/>
      <w:r>
        <w:rPr>
          <w:b/>
          <w:sz w:val="24"/>
        </w:rPr>
        <w:t>2.1.1</w:t>
      </w:r>
      <w:r>
        <w:rPr>
          <w:rFonts w:hint="eastAsia" w:ascii="黑体" w:eastAsia="黑体"/>
          <w:b/>
          <w:sz w:val="24"/>
        </w:rPr>
        <w:t xml:space="preserve"> 波特假说理论</w:t>
      </w:r>
      <w:bookmarkEnd w:id="57"/>
      <w:bookmarkEnd w:id="58"/>
    </w:p>
    <w:p>
      <w:pPr>
        <w:spacing w:line="360" w:lineRule="auto"/>
        <w:ind w:firstLine="480" w:firstLineChars="200"/>
        <w:jc w:val="left"/>
        <w:rPr>
          <w:sz w:val="24"/>
          <w:szCs w:val="24"/>
        </w:rPr>
      </w:pPr>
      <w:r>
        <w:rPr>
          <w:rFonts w:hint="eastAsia"/>
          <w:sz w:val="24"/>
          <w:szCs w:val="24"/>
        </w:rPr>
        <w:t>古典经济学认为，严格的环境规制政策将促使企业更多地投入在环境治理上，提高了企业的生产成本，从而降低了企业的经济效益，不利于企业在市场中参与竞争。但是波特在上世纪九十年代提出一种挑战传统经济学的新理念，他认为企业实际上可以从环境管制政策中获益，适当的环境规制有利于企业技术创新。</w:t>
      </w:r>
    </w:p>
    <w:p>
      <w:pPr>
        <w:spacing w:line="360" w:lineRule="auto"/>
        <w:ind w:firstLine="480" w:firstLineChars="200"/>
        <w:jc w:val="left"/>
        <w:rPr>
          <w:sz w:val="24"/>
          <w:szCs w:val="24"/>
        </w:rPr>
      </w:pPr>
      <w:r>
        <w:rPr>
          <w:rFonts w:hint="eastAsia"/>
          <w:sz w:val="24"/>
          <w:szCs w:val="24"/>
        </w:rPr>
        <w:t>波特假说可以被分为两个主要观点，分别是“创新补偿论”以及“先行者优势”。创新补偿论认为适当设计的环境标准可以促进创新，所促进的部分，即政策的正向效应可以抵消满足环境法规的成本，甚至可以产生相对于不受类似法规约束的外国企业的绝对优势，提升在市场上的竞争力。先行者优势认为世界的需求正在朝低污染低能耗的产品转变，而这种需求会使得那些转变了生产模式，研发了环境友好型生产工艺的企业，率先生产出符合市场需求的绿色产品，从而获得市场竞争中的“先行优势”。</w:t>
      </w:r>
    </w:p>
    <w:p>
      <w:pPr>
        <w:spacing w:line="360" w:lineRule="auto"/>
        <w:ind w:firstLine="480" w:firstLineChars="200"/>
        <w:jc w:val="left"/>
        <w:rPr>
          <w:sz w:val="24"/>
          <w:szCs w:val="24"/>
        </w:rPr>
      </w:pPr>
      <w:r>
        <w:rPr>
          <w:rFonts w:hint="eastAsia"/>
          <w:sz w:val="24"/>
          <w:szCs w:val="24"/>
        </w:rPr>
        <w:t xml:space="preserve">波特假说的提出引起了学界激烈的讨论，许多学者基于数据分析对波特假说进行了检验，Lanjouw </w:t>
      </w:r>
      <w:r>
        <w:rPr>
          <w:sz w:val="24"/>
          <w:szCs w:val="24"/>
        </w:rPr>
        <w:t>A</w:t>
      </w:r>
      <w:r>
        <w:rPr>
          <w:rFonts w:hint="eastAsia"/>
          <w:sz w:val="24"/>
          <w:szCs w:val="24"/>
        </w:rPr>
        <w:t>和Mody</w:t>
      </w:r>
      <w:r>
        <w:rPr>
          <w:sz w:val="24"/>
          <w:szCs w:val="24"/>
        </w:rPr>
        <w:t xml:space="preserve"> B</w:t>
      </w:r>
      <w:r>
        <w:rPr>
          <w:rFonts w:hint="eastAsia"/>
          <w:sz w:val="24"/>
          <w:szCs w:val="24"/>
          <w:lang w:eastAsia="zh-CN"/>
        </w:rPr>
        <w:t>（</w:t>
      </w:r>
      <w:r>
        <w:rPr>
          <w:sz w:val="24"/>
          <w:szCs w:val="24"/>
        </w:rPr>
        <w:t>1996</w:t>
      </w:r>
      <w:r>
        <w:rPr>
          <w:rFonts w:hint="eastAsia"/>
          <w:sz w:val="24"/>
          <w:szCs w:val="24"/>
          <w:lang w:eastAsia="zh-CN"/>
        </w:rPr>
        <w:t>）</w:t>
      </w:r>
      <w:r>
        <w:rPr>
          <w:rFonts w:hint="eastAsia"/>
          <w:sz w:val="24"/>
          <w:szCs w:val="24"/>
        </w:rPr>
        <w:t>研究发现环境管制引起了专利数量的增加；J</w:t>
      </w:r>
      <w:r>
        <w:rPr>
          <w:sz w:val="24"/>
          <w:szCs w:val="24"/>
        </w:rPr>
        <w:t>affe</w:t>
      </w:r>
      <w:r>
        <w:rPr>
          <w:rFonts w:hint="eastAsia"/>
          <w:sz w:val="24"/>
          <w:szCs w:val="24"/>
        </w:rPr>
        <w:t>与Palmer</w:t>
      </w:r>
      <w:r>
        <w:rPr>
          <w:rFonts w:hint="eastAsia"/>
          <w:sz w:val="24"/>
          <w:szCs w:val="24"/>
          <w:lang w:eastAsia="zh-CN"/>
        </w:rPr>
        <w:t>（</w:t>
      </w:r>
      <w:r>
        <w:rPr>
          <w:sz w:val="24"/>
          <w:szCs w:val="24"/>
        </w:rPr>
        <w:t>1997</w:t>
      </w:r>
      <w:r>
        <w:rPr>
          <w:rFonts w:hint="eastAsia"/>
          <w:sz w:val="24"/>
          <w:szCs w:val="24"/>
          <w:lang w:eastAsia="zh-CN"/>
        </w:rPr>
        <w:t>）</w:t>
      </w:r>
      <w:r>
        <w:rPr>
          <w:rFonts w:hint="eastAsia"/>
          <w:sz w:val="24"/>
          <w:szCs w:val="24"/>
        </w:rPr>
        <w:t>发现在不考虑未观察到的行业效应的情况下，滞后环境合规支出对研发支出具有显著的正向影响；张华</w:t>
      </w:r>
      <w:r>
        <w:rPr>
          <w:rFonts w:hint="eastAsia"/>
          <w:sz w:val="24"/>
          <w:szCs w:val="24"/>
          <w:lang w:eastAsia="zh-CN"/>
        </w:rPr>
        <w:t>（</w:t>
      </w:r>
      <w:r>
        <w:rPr>
          <w:sz w:val="24"/>
          <w:szCs w:val="24"/>
        </w:rPr>
        <w:t>2014</w:t>
      </w:r>
      <w:r>
        <w:rPr>
          <w:rFonts w:hint="eastAsia"/>
          <w:sz w:val="24"/>
          <w:szCs w:val="24"/>
          <w:lang w:eastAsia="zh-CN"/>
        </w:rPr>
        <w:t>）</w:t>
      </w:r>
      <w:r>
        <w:rPr>
          <w:rFonts w:hint="eastAsia"/>
          <w:sz w:val="24"/>
          <w:szCs w:val="24"/>
        </w:rPr>
        <w:t>利用系统G</w:t>
      </w:r>
      <w:r>
        <w:rPr>
          <w:sz w:val="24"/>
          <w:szCs w:val="24"/>
        </w:rPr>
        <w:t>MM</w:t>
      </w:r>
      <w:r>
        <w:rPr>
          <w:rFonts w:hint="eastAsia"/>
          <w:sz w:val="24"/>
          <w:szCs w:val="24"/>
        </w:rPr>
        <w:t>估计方法研究发现环境规制与全要素能源效率之间呈现倒U型的关系，从而肯定了“波特假说”效应在能源领域确实存在。</w:t>
      </w:r>
    </w:p>
    <w:p>
      <w:pPr>
        <w:spacing w:line="360" w:lineRule="auto"/>
        <w:ind w:firstLine="480" w:firstLineChars="200"/>
        <w:jc w:val="left"/>
        <w:rPr>
          <w:sz w:val="24"/>
          <w:szCs w:val="24"/>
        </w:rPr>
      </w:pPr>
      <w:r>
        <w:rPr>
          <w:rFonts w:hint="eastAsia"/>
          <w:sz w:val="24"/>
          <w:szCs w:val="24"/>
        </w:rPr>
        <w:t>离任审计政策即是一种环境规制政策，企业会因为政策影响下辖区领导干部对环保政策的重视，不得不在绿色技术创新上增加投入，以此来降低长期以来政策带来的排污费等环保支出的增加，这符合“波特假说”的创新补偿论的内容，而在绿色技术创新上的投入又会使得企业在崇尚绿色生产、绿色消费的市场上获得优势，生产出市场需要的环保商品，从而获得市场竞争中的“先行优势”。</w:t>
      </w:r>
    </w:p>
    <w:p>
      <w:pPr>
        <w:spacing w:line="360" w:lineRule="auto"/>
        <w:jc w:val="left"/>
        <w:outlineLvl w:val="2"/>
        <w:rPr>
          <w:rFonts w:ascii="黑体" w:eastAsia="黑体"/>
          <w:b/>
          <w:sz w:val="24"/>
        </w:rPr>
      </w:pPr>
      <w:r>
        <w:rPr>
          <w:b/>
          <w:sz w:val="24"/>
        </w:rPr>
        <w:t>2.1.2</w:t>
      </w:r>
      <w:r>
        <w:rPr>
          <w:rFonts w:hint="eastAsia" w:ascii="黑体" w:eastAsia="黑体"/>
          <w:b/>
          <w:sz w:val="24"/>
        </w:rPr>
        <w:t xml:space="preserve"> 公共受托责任理论</w:t>
      </w:r>
    </w:p>
    <w:p>
      <w:pPr>
        <w:spacing w:line="360" w:lineRule="auto"/>
        <w:ind w:firstLine="480" w:firstLineChars="200"/>
        <w:jc w:val="left"/>
        <w:rPr>
          <w:rFonts w:ascii="黑体" w:eastAsia="黑体"/>
          <w:b/>
          <w:sz w:val="24"/>
        </w:rPr>
      </w:pPr>
      <w:r>
        <w:rPr>
          <w:rFonts w:hint="eastAsia"/>
          <w:sz w:val="24"/>
          <w:szCs w:val="24"/>
        </w:rPr>
        <w:t>国外学者Stewart（1</w:t>
      </w:r>
      <w:r>
        <w:rPr>
          <w:sz w:val="24"/>
          <w:szCs w:val="24"/>
        </w:rPr>
        <w:t>984</w:t>
      </w:r>
      <w:r>
        <w:rPr>
          <w:rFonts w:hint="eastAsia"/>
          <w:sz w:val="24"/>
          <w:szCs w:val="24"/>
          <w:lang w:eastAsia="zh-CN"/>
        </w:rPr>
        <w:t>）</w:t>
      </w:r>
      <w:r>
        <w:rPr>
          <w:rFonts w:hint="eastAsia"/>
          <w:sz w:val="24"/>
          <w:szCs w:val="24"/>
        </w:rPr>
        <w:t>认为，对于企业而言，受托责任是来源于企业中经营权与所有权的分离，但区别于企业，政府所承担的受托责任是来源于民主制度的建立，在民主制度中，执政政府由人民选举产生，即政府接受社会成员委托来行使管理公共事务的权力。根据秦荣生（1</w:t>
      </w:r>
      <w:r>
        <w:rPr>
          <w:sz w:val="24"/>
          <w:szCs w:val="24"/>
        </w:rPr>
        <w:t>999</w:t>
      </w:r>
      <w:r>
        <w:rPr>
          <w:rFonts w:hint="eastAsia"/>
          <w:sz w:val="24"/>
          <w:szCs w:val="24"/>
        </w:rPr>
        <w:t>）研究，1</w:t>
      </w:r>
      <w:r>
        <w:rPr>
          <w:sz w:val="24"/>
          <w:szCs w:val="24"/>
        </w:rPr>
        <w:t>985</w:t>
      </w:r>
      <w:r>
        <w:rPr>
          <w:rFonts w:hint="eastAsia"/>
          <w:sz w:val="24"/>
          <w:szCs w:val="24"/>
        </w:rPr>
        <w:t>年举行的最高审计机关亚洲组织第三次大会中，对公共受托责任作出如下定义：即指受托经营公共财产的机构或人员有责任汇报经营情况。</w:t>
      </w:r>
    </w:p>
    <w:p>
      <w:pPr>
        <w:spacing w:line="360" w:lineRule="auto"/>
        <w:ind w:firstLine="480" w:firstLineChars="200"/>
        <w:jc w:val="left"/>
        <w:rPr>
          <w:sz w:val="24"/>
          <w:szCs w:val="24"/>
        </w:rPr>
      </w:pPr>
      <w:r>
        <w:rPr>
          <w:rFonts w:hint="eastAsia"/>
          <w:sz w:val="24"/>
          <w:szCs w:val="24"/>
        </w:rPr>
        <w:t>随着公众在权利和义务方面的意识增强，他们希望政府能够对权力的使用情况进行公开解释，并且可以对政策的执行情况进行监督，并在出现问题上能够帮助政府及时辨别与解决问题，而政府也在向服务型政府的现代治理模式下进行转变，因此在此过程中政府官员的受托责任意识在逐步提升，政府的受托责任界限也越来越清晰。但是根据陆军伟与李建发（2</w:t>
      </w:r>
      <w:r>
        <w:rPr>
          <w:sz w:val="24"/>
          <w:szCs w:val="24"/>
        </w:rPr>
        <w:t>006</w:t>
      </w:r>
      <w:r>
        <w:rPr>
          <w:rFonts w:hint="eastAsia"/>
          <w:sz w:val="24"/>
          <w:szCs w:val="24"/>
        </w:rPr>
        <w:t>）研究认为，社会公众与政府之间除了委托代理关系之外，还存在管理与被管理的关系，而被管理者往往处于弱势地位，因此官员的受托责任意识很可能被淡化，因此这种责任是否履行就成了问题。因此各级政府是否真实履行了公共受托责任的情况，应由独立的部门，即政府审计机关对其履行情况作出评价。因此政府审计的基础就建立在公共受托责任理论之上。</w:t>
      </w:r>
    </w:p>
    <w:p>
      <w:pPr>
        <w:spacing w:line="360" w:lineRule="auto"/>
        <w:ind w:firstLine="480" w:firstLineChars="200"/>
        <w:jc w:val="left"/>
        <w:rPr>
          <w:sz w:val="24"/>
          <w:szCs w:val="24"/>
        </w:rPr>
      </w:pPr>
      <w:r>
        <w:rPr>
          <w:rFonts w:hint="eastAsia"/>
          <w:sz w:val="24"/>
          <w:szCs w:val="24"/>
        </w:rPr>
        <w:t>在我国，自然资源资产由国家所有即为全民所有，因此自然资源资产为社会公众委托政府代为管理处置，政府又会将其授权给当地的领导干部代为管辖，由此形成了领导干部对于社会公众的受托责任。这种责任分为两方面，一方面是在经济责任方面的，即对受委托的自然资源资产的管理开发以及相关生态环境专项资金的投入使用进行监管；另一方面则是在生态文明建设方面，领导干部有必要对自然资源资产的保护修复、辖区的生态环境状况负责。自然资源离任审计制度实际上是针对政府的公共受托责任理论，对原本的经济责任离任审计的有效补充，以强化领导干部在自然资源方面的受托责任，从而增强自然资源资产管理与专项资金使用。</w:t>
      </w:r>
    </w:p>
    <w:p>
      <w:pPr>
        <w:spacing w:line="360" w:lineRule="auto"/>
        <w:jc w:val="left"/>
        <w:outlineLvl w:val="2"/>
        <w:rPr>
          <w:rFonts w:ascii="黑体" w:eastAsia="黑体"/>
          <w:b/>
          <w:sz w:val="24"/>
        </w:rPr>
      </w:pPr>
      <w:r>
        <w:rPr>
          <w:b/>
          <w:sz w:val="24"/>
        </w:rPr>
        <w:t>2.1.2</w:t>
      </w:r>
      <w:r>
        <w:rPr>
          <w:rFonts w:hint="eastAsia" w:ascii="黑体" w:eastAsia="黑体"/>
          <w:b/>
          <w:sz w:val="24"/>
        </w:rPr>
        <w:t xml:space="preserve"> 可持续发展理论</w:t>
      </w:r>
    </w:p>
    <w:p>
      <w:pPr>
        <w:spacing w:line="360" w:lineRule="auto"/>
        <w:ind w:firstLine="480" w:firstLineChars="200"/>
        <w:jc w:val="left"/>
        <w:rPr>
          <w:sz w:val="24"/>
          <w:szCs w:val="24"/>
        </w:rPr>
      </w:pPr>
      <w:r>
        <w:rPr>
          <w:rFonts w:hint="eastAsia"/>
          <w:sz w:val="24"/>
          <w:szCs w:val="24"/>
        </w:rPr>
        <w:t>在2</w:t>
      </w:r>
      <w:r>
        <w:rPr>
          <w:sz w:val="24"/>
          <w:szCs w:val="24"/>
        </w:rPr>
        <w:t>0</w:t>
      </w:r>
      <w:r>
        <w:rPr>
          <w:rFonts w:hint="eastAsia"/>
          <w:sz w:val="24"/>
          <w:szCs w:val="24"/>
        </w:rPr>
        <w:t>世纪下半叶全球面临的能源危机、全球变暖等环境问题影响下，可持续发展的思想于1980年3月在《世界自然保护大纲》中首次提出；1987年格罗·哈莱姆·布伦特兰在联合国大会上发表名为《我们共同的未来》的报告，首次对可持续发展进行了定义，即是“既满足当代人的需要，又不对后代满足其需要的能力构成危害的发展。”在1</w:t>
      </w:r>
      <w:r>
        <w:rPr>
          <w:sz w:val="24"/>
          <w:szCs w:val="24"/>
        </w:rPr>
        <w:t>997</w:t>
      </w:r>
      <w:r>
        <w:rPr>
          <w:rFonts w:hint="eastAsia"/>
          <w:sz w:val="24"/>
          <w:szCs w:val="24"/>
        </w:rPr>
        <w:t>年中共十五大明确将可持续发展战略确定为我国的经济发展战略之一，在2</w:t>
      </w:r>
      <w:r>
        <w:rPr>
          <w:sz w:val="24"/>
          <w:szCs w:val="24"/>
        </w:rPr>
        <w:t>003</w:t>
      </w:r>
      <w:r>
        <w:rPr>
          <w:rFonts w:hint="eastAsia"/>
          <w:sz w:val="24"/>
          <w:szCs w:val="24"/>
        </w:rPr>
        <w:t>年提出的指导思想“科学发展观”中也存在对于“全面、协调、可持续”的明确论述。</w:t>
      </w:r>
    </w:p>
    <w:p>
      <w:pPr>
        <w:spacing w:line="360" w:lineRule="auto"/>
        <w:ind w:firstLine="480" w:firstLineChars="200"/>
        <w:jc w:val="left"/>
        <w:rPr>
          <w:sz w:val="24"/>
          <w:szCs w:val="24"/>
        </w:rPr>
      </w:pPr>
      <w:r>
        <w:rPr>
          <w:rFonts w:hint="eastAsia"/>
          <w:sz w:val="24"/>
          <w:szCs w:val="24"/>
        </w:rPr>
        <w:t>可持续发展的观念认为国民财富的累积不仅在于国民生产总值的数量和增速，更重要的是以何种方式创造财富。可持续发展理论反对传统的高能耗、高污染、高增长的粗放式生产模式以及不理性的生产模式，希望能在经济增长的同时实现节约资源，综合降低自然成本。牛文元（2</w:t>
      </w:r>
      <w:r>
        <w:rPr>
          <w:sz w:val="24"/>
          <w:szCs w:val="24"/>
        </w:rPr>
        <w:t>012</w:t>
      </w:r>
      <w:r>
        <w:rPr>
          <w:rFonts w:hint="eastAsia"/>
          <w:sz w:val="24"/>
          <w:szCs w:val="24"/>
        </w:rPr>
        <w:t>）认为可持续发展存在外部响应与内部响应，所谓外部响应指的是实现人与自然之间的和谐发展，而内部响应则是关注人类组织之间的和谐关系，因此在可持续发展的观点中体现了动力、质量和公平三种基本要素的统一，即要实现地区发展动力（自然资源资本、生产资本及人力资本）的优化配置，达成发展中人与自然的和谐相处，以及保障各地区发展的分配制度公平公正。</w:t>
      </w:r>
    </w:p>
    <w:p>
      <w:pPr>
        <w:spacing w:line="360" w:lineRule="auto"/>
        <w:ind w:firstLine="480" w:firstLineChars="200"/>
        <w:jc w:val="left"/>
        <w:rPr>
          <w:sz w:val="24"/>
          <w:szCs w:val="24"/>
        </w:rPr>
      </w:pPr>
      <w:r>
        <w:rPr>
          <w:rFonts w:hint="eastAsia"/>
          <w:sz w:val="24"/>
          <w:szCs w:val="24"/>
        </w:rPr>
        <w:t>虽然中国早在2</w:t>
      </w:r>
      <w:r>
        <w:rPr>
          <w:sz w:val="24"/>
          <w:szCs w:val="24"/>
        </w:rPr>
        <w:t>0</w:t>
      </w:r>
      <w:r>
        <w:rPr>
          <w:rFonts w:hint="eastAsia"/>
          <w:sz w:val="24"/>
          <w:szCs w:val="24"/>
        </w:rPr>
        <w:t>世纪末就已经开始实施可持续发展战略，但由于改革开放后为实现经济的迅速增长，资源和环境仍然遭受了巨大的破坏，各区域之间也没能实现协同发展。因此面对这个问题，就要求我国必须走上全面协调可持续发展的道路，一方面把控住经济增长与环境保护之间的关系，追求经济的增长质量而非简单的增长数字，一方面以“以人为本”为出发点，实现全社会群体的协调发展。离任审计政策的实施是贯彻落实可持续发展战略的表现，在离任审计的政策引导下，辖区企业尤其是资源型及重污染型企业会出于避免高额处罚成本的动机，向低能耗、低排放的绿色发展方向转型，从而在企业层面首先实现人与自然的和谐相处。</w:t>
      </w:r>
    </w:p>
    <w:p>
      <w:pPr>
        <w:spacing w:before="156" w:beforeLines="50" w:after="156" w:afterLines="50"/>
        <w:jc w:val="left"/>
        <w:outlineLvl w:val="1"/>
        <w:rPr>
          <w:rFonts w:ascii="黑体" w:eastAsia="黑体"/>
          <w:b/>
          <w:sz w:val="28"/>
          <w:szCs w:val="21"/>
        </w:rPr>
      </w:pPr>
      <w:bookmarkStart w:id="59" w:name="_Toc100181275"/>
      <w:bookmarkStart w:id="60" w:name="_Toc100181852"/>
      <w:bookmarkStart w:id="61" w:name="_Toc104375930"/>
      <w:bookmarkStart w:id="62" w:name="_Toc22313"/>
      <w:r>
        <w:rPr>
          <w:b/>
          <w:sz w:val="32"/>
          <w:szCs w:val="32"/>
        </w:rPr>
        <w:t>2.2</w:t>
      </w:r>
      <w:r>
        <w:rPr>
          <w:rFonts w:hint="eastAsia" w:ascii="黑体" w:eastAsia="黑体"/>
          <w:b/>
          <w:sz w:val="32"/>
          <w:szCs w:val="32"/>
        </w:rPr>
        <w:t xml:space="preserve"> </w:t>
      </w:r>
      <w:bookmarkEnd w:id="59"/>
      <w:bookmarkEnd w:id="60"/>
      <w:r>
        <w:rPr>
          <w:rFonts w:hint="eastAsia" w:ascii="黑体" w:eastAsia="黑体"/>
          <w:b/>
          <w:sz w:val="28"/>
          <w:szCs w:val="21"/>
        </w:rPr>
        <w:t>研究假设</w:t>
      </w:r>
      <w:bookmarkEnd w:id="61"/>
      <w:bookmarkEnd w:id="62"/>
    </w:p>
    <w:p>
      <w:pPr>
        <w:spacing w:line="360" w:lineRule="auto"/>
        <w:ind w:firstLine="480" w:firstLineChars="200"/>
        <w:jc w:val="left"/>
        <w:rPr>
          <w:sz w:val="24"/>
          <w:szCs w:val="24"/>
        </w:rPr>
      </w:pPr>
      <w:r>
        <w:rPr>
          <w:rFonts w:hint="eastAsia"/>
          <w:sz w:val="24"/>
          <w:szCs w:val="24"/>
        </w:rPr>
        <w:t>根据波特假说理论，由于地方政府的官员对于环境治理主要的作用途径为增加环境治理的政府资金投入，如对企业进行研发补助以及对辖区范围的企业加强政府监管，手段如限制排放量、进行经济处罚乃至要求停工整顿等。在这种情况下，高污染型的企业如果不进行整改，将会面临极高的处罚成本，而向绿色转型更可能因为技术进步、排污减少等原因补偿掉原本的环保投入，这种创新补偿论将是激发企业对生产进行绿色技术创新的重要动力，同时具有更多绿色技术，能够实现绿色生产，创造绿色产品的企业将具备更佳的社会声望以及更多地获得消费者的青睐，所以先行者优势也会促使企业向绿色创新的道路发展。</w:t>
      </w:r>
    </w:p>
    <w:p>
      <w:pPr>
        <w:spacing w:line="360" w:lineRule="auto"/>
        <w:ind w:firstLine="480" w:firstLineChars="200"/>
        <w:jc w:val="left"/>
        <w:rPr>
          <w:sz w:val="24"/>
          <w:szCs w:val="24"/>
        </w:rPr>
      </w:pPr>
      <w:r>
        <w:rPr>
          <w:rFonts w:hint="eastAsia"/>
          <w:sz w:val="24"/>
          <w:szCs w:val="24"/>
        </w:rPr>
        <w:t>根据公共受托责任理论，政府官员的权力实际上来源于社会公众的委托，国家的自然资源资产同样由政府官员代为管理，与此同时官员们会在接受监管部门的监管，在离任审计政策的约束下，官员们会更有动机对辖区的生态环境进行治理。由于当地政府官员会对其管辖范围之内的企业产生重大的政治影响，企业一方面可以通过投入研发获得当地政府的资金补助，另一方面出于对当地官员政治影响的迎合以及避免受到环境处罚的影响，企业也会积极采取技术创新。</w:t>
      </w:r>
    </w:p>
    <w:p>
      <w:pPr>
        <w:spacing w:line="360" w:lineRule="auto"/>
        <w:ind w:firstLine="480" w:firstLineChars="200"/>
        <w:jc w:val="left"/>
        <w:rPr>
          <w:sz w:val="24"/>
          <w:szCs w:val="24"/>
        </w:rPr>
      </w:pPr>
      <w:r>
        <w:rPr>
          <w:rFonts w:hint="eastAsia"/>
          <w:sz w:val="24"/>
          <w:szCs w:val="24"/>
        </w:rPr>
        <w:t>根据可持续发展理论，国民财富的累积不仅仅在于经济增速，更重要的在于经济增长的质量。根据国家可持续发展战略要求，传统的高排放高污染企业要向节约资源、保护环境的绿色新型制造业方向转型。离任审计政策的出台本身就是对可持续发展理论的实践，由于可持续发展理论广受关注，因此目前社会对生态环境的重视程度也在不断提升，所以基于政策的要求以及市场对绿色产品的需要，企业因此会主动选择通过实现绿色技术创新来响应国家政策要求并且占据绿色产品市场。基于以上理论分析，本文做出如下假设：</w:t>
      </w:r>
    </w:p>
    <w:p>
      <w:pPr>
        <w:spacing w:line="360" w:lineRule="auto"/>
        <w:ind w:firstLine="480" w:firstLineChars="200"/>
        <w:jc w:val="left"/>
        <w:rPr>
          <w:sz w:val="24"/>
          <w:szCs w:val="24"/>
        </w:rPr>
      </w:pPr>
      <w:r>
        <w:rPr>
          <w:rFonts w:hint="eastAsia"/>
          <w:sz w:val="24"/>
          <w:szCs w:val="24"/>
        </w:rPr>
        <w:t>假设H：相比于非试点地区，自然资源资产离任审计政策的试点地区的企业绿色技术创新水平将得到显著提升。</w:t>
      </w:r>
    </w:p>
    <w:p>
      <w:pPr>
        <w:spacing w:line="360" w:lineRule="auto"/>
        <w:ind w:firstLine="480" w:firstLineChars="200"/>
        <w:jc w:val="left"/>
        <w:rPr>
          <w:rFonts w:ascii="黑体" w:eastAsia="黑体"/>
          <w:b/>
          <w:sz w:val="24"/>
        </w:rPr>
      </w:pPr>
      <w:r>
        <w:rPr>
          <w:rFonts w:hint="eastAsia"/>
          <w:sz w:val="24"/>
          <w:szCs w:val="24"/>
        </w:rPr>
        <w:t>基于该离任审计政策以及绿色技术创新所涉及的三种理论（波特假说理论、公共受托责任理论以及可持续发展理论）的提出、发展和应用进行回归分析，本章提出了本文的主要假设，后文将利用实证研究对假设进行检验。</w:t>
      </w:r>
    </w:p>
    <w:p>
      <w:pPr>
        <w:widowControl/>
        <w:jc w:val="left"/>
        <w:rPr>
          <w:rFonts w:ascii="楷体_GB2312" w:hAnsi="宋体" w:eastAsia="楷体_GB2312"/>
          <w:color w:val="FF0000"/>
        </w:rPr>
      </w:pPr>
      <w:r>
        <w:rPr>
          <w:rFonts w:ascii="楷体_GB2312" w:hAnsi="宋体" w:eastAsia="楷体_GB2312"/>
          <w:color w:val="FF0000"/>
        </w:rPr>
        <w:br w:type="page"/>
      </w:r>
    </w:p>
    <w:p>
      <w:pPr>
        <w:spacing w:before="156" w:beforeLines="50" w:after="156" w:afterLines="50"/>
        <w:jc w:val="center"/>
        <w:outlineLvl w:val="0"/>
        <w:rPr>
          <w:rFonts w:eastAsia="黑体"/>
          <w:b/>
          <w:sz w:val="36"/>
          <w:szCs w:val="36"/>
        </w:rPr>
      </w:pPr>
      <w:bookmarkStart w:id="63" w:name="_Toc100181276"/>
      <w:bookmarkStart w:id="64" w:name="_Toc100181853"/>
      <w:bookmarkStart w:id="65" w:name="_Toc9295"/>
      <w:bookmarkStart w:id="66" w:name="_Toc104375931"/>
      <w:r>
        <w:rPr>
          <w:rFonts w:eastAsia="黑体"/>
          <w:b/>
          <w:sz w:val="36"/>
          <w:szCs w:val="36"/>
        </w:rPr>
        <w:t>3</w:t>
      </w:r>
      <w:r>
        <w:rPr>
          <w:rFonts w:hint="eastAsia" w:ascii="黑体" w:eastAsia="黑体"/>
          <w:b/>
          <w:sz w:val="36"/>
          <w:szCs w:val="36"/>
        </w:rPr>
        <w:t xml:space="preserve">  </w:t>
      </w:r>
      <w:r>
        <w:rPr>
          <w:rFonts w:hint="eastAsia" w:eastAsia="黑体"/>
          <w:b/>
          <w:sz w:val="36"/>
          <w:szCs w:val="36"/>
        </w:rPr>
        <w:t>实证研究设计</w:t>
      </w:r>
      <w:bookmarkEnd w:id="63"/>
      <w:bookmarkEnd w:id="64"/>
      <w:bookmarkEnd w:id="65"/>
      <w:bookmarkEnd w:id="66"/>
    </w:p>
    <w:p>
      <w:pPr>
        <w:spacing w:line="360" w:lineRule="auto"/>
        <w:ind w:firstLine="480" w:firstLineChars="200"/>
        <w:jc w:val="left"/>
        <w:rPr>
          <w:rFonts w:eastAsia="黑体"/>
          <w:b/>
          <w:sz w:val="36"/>
          <w:szCs w:val="36"/>
        </w:rPr>
      </w:pPr>
      <w:r>
        <w:rPr>
          <w:rFonts w:hint="eastAsia"/>
          <w:sz w:val="24"/>
          <w:szCs w:val="24"/>
        </w:rPr>
        <w:t>本章将对实证研究所采用的数据来源以及具体的样本选择方式加以阐述，对涉及变量的定义及测度方式进行描述，并设定该离任审计影响企业绿色技术创新的计量模型。</w:t>
      </w:r>
    </w:p>
    <w:p>
      <w:pPr>
        <w:spacing w:before="156" w:beforeLines="50" w:after="156" w:afterLines="50"/>
        <w:jc w:val="left"/>
        <w:outlineLvl w:val="1"/>
        <w:rPr>
          <w:rFonts w:ascii="黑体" w:eastAsia="黑体"/>
          <w:b/>
          <w:sz w:val="28"/>
          <w:szCs w:val="21"/>
        </w:rPr>
      </w:pPr>
      <w:bookmarkStart w:id="67" w:name="_Toc100181277"/>
      <w:bookmarkStart w:id="68" w:name="_Toc100181854"/>
      <w:bookmarkStart w:id="69" w:name="_Toc8254"/>
      <w:bookmarkStart w:id="70" w:name="_Toc104375932"/>
      <w:r>
        <w:rPr>
          <w:b/>
          <w:sz w:val="32"/>
          <w:szCs w:val="32"/>
        </w:rPr>
        <w:t>3.1</w:t>
      </w:r>
      <w:r>
        <w:rPr>
          <w:rFonts w:hint="eastAsia" w:ascii="黑体" w:eastAsia="黑体"/>
          <w:b/>
          <w:sz w:val="32"/>
          <w:szCs w:val="32"/>
        </w:rPr>
        <w:t xml:space="preserve"> </w:t>
      </w:r>
      <w:r>
        <w:rPr>
          <w:rFonts w:hint="eastAsia" w:ascii="黑体" w:eastAsia="黑体"/>
          <w:b/>
          <w:sz w:val="28"/>
          <w:szCs w:val="21"/>
        </w:rPr>
        <w:t>样本选择与数据</w:t>
      </w:r>
      <w:bookmarkEnd w:id="67"/>
      <w:bookmarkEnd w:id="68"/>
      <w:r>
        <w:rPr>
          <w:rFonts w:hint="eastAsia" w:ascii="黑体" w:eastAsia="黑体"/>
          <w:b/>
          <w:sz w:val="28"/>
          <w:szCs w:val="21"/>
        </w:rPr>
        <w:t>来源</w:t>
      </w:r>
      <w:bookmarkEnd w:id="69"/>
      <w:bookmarkEnd w:id="70"/>
    </w:p>
    <w:p>
      <w:pPr>
        <w:spacing w:line="360" w:lineRule="auto"/>
        <w:ind w:firstLine="480" w:firstLineChars="200"/>
        <w:jc w:val="left"/>
        <w:rPr>
          <w:sz w:val="24"/>
          <w:szCs w:val="24"/>
        </w:rPr>
      </w:pPr>
      <w:r>
        <w:rPr>
          <w:rFonts w:hint="eastAsia"/>
          <w:sz w:val="24"/>
          <w:szCs w:val="24"/>
        </w:rPr>
        <w:t>本文选取我国A股资源型与重污染型上市企业2</w:t>
      </w:r>
      <w:r>
        <w:rPr>
          <w:sz w:val="24"/>
          <w:szCs w:val="24"/>
        </w:rPr>
        <w:t>012-2015</w:t>
      </w:r>
      <w:r>
        <w:rPr>
          <w:rFonts w:hint="eastAsia"/>
          <w:sz w:val="24"/>
          <w:szCs w:val="24"/>
        </w:rPr>
        <w:t>年的数据，共有样本企业3</w:t>
      </w:r>
      <w:r>
        <w:rPr>
          <w:sz w:val="24"/>
          <w:szCs w:val="24"/>
        </w:rPr>
        <w:t>10</w:t>
      </w:r>
      <w:r>
        <w:rPr>
          <w:rFonts w:hint="eastAsia"/>
          <w:sz w:val="24"/>
          <w:szCs w:val="24"/>
        </w:rPr>
        <w:t>家，通过实证研究离任审计对企业绿色技术创新的影响，数据主要来源于C</w:t>
      </w:r>
      <w:r>
        <w:rPr>
          <w:sz w:val="24"/>
          <w:szCs w:val="24"/>
        </w:rPr>
        <w:t>SMAR</w:t>
      </w:r>
      <w:r>
        <w:rPr>
          <w:rFonts w:hint="eastAsia"/>
          <w:sz w:val="24"/>
          <w:szCs w:val="24"/>
        </w:rPr>
        <w:t>数据库与C</w:t>
      </w:r>
      <w:r>
        <w:rPr>
          <w:sz w:val="24"/>
          <w:szCs w:val="24"/>
        </w:rPr>
        <w:t>NRDS</w:t>
      </w:r>
      <w:r>
        <w:rPr>
          <w:rFonts w:hint="eastAsia"/>
          <w:sz w:val="24"/>
          <w:szCs w:val="24"/>
        </w:rPr>
        <w:t>数据库。且为避免极端数据影响，所有连续变量均已进行</w:t>
      </w:r>
      <w:r>
        <w:rPr>
          <w:sz w:val="24"/>
          <w:szCs w:val="24"/>
        </w:rPr>
        <w:t>1%</w:t>
      </w:r>
      <w:r>
        <w:rPr>
          <w:rFonts w:hint="eastAsia"/>
          <w:sz w:val="24"/>
          <w:szCs w:val="24"/>
        </w:rPr>
        <w:t>和9</w:t>
      </w:r>
      <w:r>
        <w:rPr>
          <w:sz w:val="24"/>
          <w:szCs w:val="24"/>
        </w:rPr>
        <w:t>9%</w:t>
      </w:r>
      <w:r>
        <w:rPr>
          <w:rFonts w:hint="eastAsia"/>
          <w:sz w:val="24"/>
          <w:szCs w:val="24"/>
        </w:rPr>
        <w:t>水平上的缩尾处理。具体的样本选择过程如下：</w:t>
      </w:r>
    </w:p>
    <w:p>
      <w:pPr>
        <w:spacing w:line="360" w:lineRule="auto"/>
        <w:ind w:firstLine="480" w:firstLineChars="200"/>
        <w:jc w:val="left"/>
        <w:rPr>
          <w:sz w:val="24"/>
          <w:szCs w:val="24"/>
        </w:rPr>
      </w:pPr>
      <w:r>
        <w:rPr>
          <w:rFonts w:hint="eastAsia"/>
          <w:sz w:val="24"/>
          <w:szCs w:val="24"/>
        </w:rPr>
        <w:t>（１）在试点地区选取上，自2</w:t>
      </w:r>
      <w:r>
        <w:rPr>
          <w:sz w:val="24"/>
          <w:szCs w:val="24"/>
        </w:rPr>
        <w:t>014</w:t>
      </w:r>
      <w:r>
        <w:rPr>
          <w:rFonts w:hint="eastAsia"/>
          <w:sz w:val="24"/>
          <w:szCs w:val="24"/>
        </w:rPr>
        <w:t>年起，该审计政策正式开始试点，初步试点地区为陕西、湖北、四川、江苏等1</w:t>
      </w:r>
      <w:r>
        <w:rPr>
          <w:sz w:val="24"/>
          <w:szCs w:val="24"/>
        </w:rPr>
        <w:t>0</w:t>
      </w:r>
      <w:r>
        <w:rPr>
          <w:rFonts w:hint="eastAsia"/>
          <w:sz w:val="24"/>
          <w:szCs w:val="24"/>
        </w:rPr>
        <w:t>个省（区），具体统计情况见表</w:t>
      </w:r>
      <w:r>
        <w:rPr>
          <w:sz w:val="24"/>
          <w:szCs w:val="24"/>
        </w:rPr>
        <w:t>3-1</w:t>
      </w:r>
      <w:r>
        <w:rPr>
          <w:rFonts w:hint="eastAsia"/>
          <w:sz w:val="24"/>
          <w:szCs w:val="24"/>
        </w:rPr>
        <w:t>。</w:t>
      </w:r>
    </w:p>
    <w:p>
      <w:pPr>
        <w:pStyle w:val="4"/>
        <w:spacing w:after="156"/>
      </w:pPr>
      <w:bookmarkStart w:id="71" w:name="_Toc104376088"/>
      <w:bookmarkStart w:id="72" w:name="_Toc102926872"/>
      <w:r>
        <w:rPr>
          <w:rFonts w:hint="eastAsia"/>
        </w:rPr>
        <w:t>表</w:t>
      </w:r>
      <w:r>
        <w:rPr>
          <w:rFonts w:cs="Times New Roman"/>
        </w:rPr>
        <w:t>3-</w:t>
      </w:r>
      <w:r>
        <w:rPr>
          <w:rFonts w:cs="Times New Roman"/>
        </w:rPr>
        <w:fldChar w:fldCharType="begin"/>
      </w:r>
      <w:r>
        <w:rPr>
          <w:rFonts w:cs="Times New Roman"/>
        </w:rPr>
        <w:instrText xml:space="preserve"> SEQ 表3- \* ARABIC </w:instrText>
      </w:r>
      <w:r>
        <w:rPr>
          <w:rFonts w:cs="Times New Roman"/>
        </w:rPr>
        <w:fldChar w:fldCharType="separate"/>
      </w:r>
      <w:r>
        <w:rPr>
          <w:rFonts w:cs="Times New Roman"/>
        </w:rPr>
        <w:t>1</w:t>
      </w:r>
      <w:r>
        <w:rPr>
          <w:rFonts w:cs="Times New Roman"/>
        </w:rPr>
        <w:fldChar w:fldCharType="end"/>
      </w:r>
      <w:r>
        <w:rPr>
          <w:rFonts w:cs="Times New Roman"/>
        </w:rPr>
        <w:t xml:space="preserve">  2014年10个试</w:t>
      </w:r>
      <w:r>
        <w:rPr>
          <w:rFonts w:hint="eastAsia" w:ascii="黑体" w:hAnsi="宋体"/>
        </w:rPr>
        <w:t>点地区</w:t>
      </w:r>
      <w:bookmarkEnd w:id="71"/>
      <w:bookmarkEnd w:id="72"/>
    </w:p>
    <w:tbl>
      <w:tblPr>
        <w:tblStyle w:val="14"/>
        <w:tblW w:w="8080"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7"/>
        <w:gridCol w:w="2830"/>
        <w:gridCol w:w="1565"/>
        <w:gridCol w:w="226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tcBorders>
              <w:top w:val="single" w:color="auto" w:sz="12" w:space="0"/>
              <w:bottom w:val="single" w:color="auto" w:sz="4" w:space="0"/>
            </w:tcBorders>
            <w:shd w:val="clear" w:color="auto" w:fill="auto"/>
            <w:noWrap/>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试点时间</w:t>
            </w:r>
          </w:p>
        </w:tc>
        <w:tc>
          <w:tcPr>
            <w:tcW w:w="2830" w:type="dxa"/>
            <w:tcBorders>
              <w:top w:val="single" w:color="auto" w:sz="12" w:space="0"/>
              <w:bottom w:val="single" w:color="auto" w:sz="4" w:space="0"/>
              <w:right w:val="nil"/>
            </w:tcBorders>
            <w:shd w:val="clear" w:color="auto" w:fill="auto"/>
            <w:noWrap/>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实验组</w:t>
            </w:r>
          </w:p>
        </w:tc>
        <w:tc>
          <w:tcPr>
            <w:tcW w:w="1565" w:type="dxa"/>
            <w:tcBorders>
              <w:top w:val="single" w:color="auto" w:sz="12" w:space="0"/>
              <w:left w:val="nil"/>
              <w:bottom w:val="single" w:color="auto" w:sz="4" w:space="0"/>
            </w:tcBorders>
            <w:shd w:val="clear" w:color="auto" w:fill="auto"/>
            <w:noWrap/>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试点时间</w:t>
            </w:r>
          </w:p>
        </w:tc>
        <w:tc>
          <w:tcPr>
            <w:tcW w:w="2268" w:type="dxa"/>
            <w:tcBorders>
              <w:top w:val="single" w:color="auto" w:sz="12" w:space="0"/>
              <w:bottom w:val="single" w:color="auto" w:sz="4" w:space="0"/>
            </w:tcBorders>
            <w:shd w:val="clear" w:color="auto" w:fill="auto"/>
            <w:noWrap/>
            <w:vAlign w:val="bottom"/>
          </w:tcPr>
          <w:p>
            <w:pPr>
              <w:widowControl/>
              <w:jc w:val="center"/>
              <w:rPr>
                <w:rFonts w:ascii="宋体" w:hAnsi="宋体" w:cs="宋体"/>
                <w:color w:val="000000"/>
                <w:kern w:val="0"/>
                <w:szCs w:val="21"/>
              </w:rPr>
            </w:pPr>
            <w:r>
              <w:rPr>
                <w:rFonts w:hint="eastAsia" w:ascii="宋体" w:hAnsi="宋体" w:cs="宋体"/>
                <w:color w:val="000000"/>
                <w:kern w:val="0"/>
                <w:szCs w:val="21"/>
              </w:rPr>
              <w:t>实验组</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tcBorders>
              <w:top w:val="single" w:color="auto" w:sz="4" w:space="0"/>
            </w:tcBorders>
            <w:shd w:val="clear" w:color="auto" w:fill="auto"/>
            <w:noWrap/>
            <w:vAlign w:val="bottom"/>
          </w:tcPr>
          <w:p>
            <w:pPr>
              <w:widowControl/>
              <w:jc w:val="center"/>
              <w:rPr>
                <w:color w:val="000000"/>
                <w:kern w:val="0"/>
                <w:szCs w:val="21"/>
              </w:rPr>
            </w:pPr>
            <w:r>
              <w:rPr>
                <w:color w:val="000000"/>
                <w:kern w:val="0"/>
                <w:szCs w:val="21"/>
              </w:rPr>
              <w:t>2014年3月</w:t>
            </w:r>
          </w:p>
        </w:tc>
        <w:tc>
          <w:tcPr>
            <w:tcW w:w="2830" w:type="dxa"/>
            <w:tcBorders>
              <w:top w:val="single" w:color="auto" w:sz="4" w:space="0"/>
              <w:right w:val="nil"/>
            </w:tcBorders>
            <w:shd w:val="clear" w:color="auto" w:fill="auto"/>
            <w:noWrap/>
            <w:vAlign w:val="bottom"/>
          </w:tcPr>
          <w:p>
            <w:pPr>
              <w:widowControl/>
              <w:jc w:val="center"/>
              <w:rPr>
                <w:color w:val="000000"/>
                <w:kern w:val="0"/>
                <w:szCs w:val="21"/>
              </w:rPr>
            </w:pPr>
            <w:r>
              <w:rPr>
                <w:color w:val="000000"/>
                <w:kern w:val="0"/>
                <w:szCs w:val="21"/>
              </w:rPr>
              <w:t>陕西省</w:t>
            </w:r>
          </w:p>
        </w:tc>
        <w:tc>
          <w:tcPr>
            <w:tcW w:w="1565" w:type="dxa"/>
            <w:tcBorders>
              <w:top w:val="single" w:color="auto" w:sz="4" w:space="0"/>
              <w:left w:val="nil"/>
            </w:tcBorders>
            <w:shd w:val="clear" w:color="auto" w:fill="auto"/>
            <w:noWrap/>
            <w:vAlign w:val="center"/>
          </w:tcPr>
          <w:p>
            <w:pPr>
              <w:widowControl/>
              <w:jc w:val="left"/>
              <w:rPr>
                <w:color w:val="000000"/>
                <w:kern w:val="0"/>
                <w:szCs w:val="21"/>
              </w:rPr>
            </w:pPr>
            <w:r>
              <w:rPr>
                <w:color w:val="000000"/>
                <w:kern w:val="0"/>
                <w:szCs w:val="21"/>
              </w:rPr>
              <w:t>2014年8月</w:t>
            </w:r>
          </w:p>
        </w:tc>
        <w:tc>
          <w:tcPr>
            <w:tcW w:w="2268" w:type="dxa"/>
            <w:tcBorders>
              <w:top w:val="single" w:color="auto" w:sz="4" w:space="0"/>
            </w:tcBorders>
            <w:shd w:val="clear" w:color="auto" w:fill="auto"/>
            <w:noWrap/>
            <w:vAlign w:val="bottom"/>
          </w:tcPr>
          <w:p>
            <w:pPr>
              <w:widowControl/>
              <w:jc w:val="center"/>
              <w:rPr>
                <w:color w:val="000000"/>
                <w:kern w:val="0"/>
                <w:szCs w:val="21"/>
              </w:rPr>
            </w:pPr>
            <w:r>
              <w:rPr>
                <w:color w:val="000000"/>
                <w:kern w:val="0"/>
                <w:szCs w:val="21"/>
              </w:rPr>
              <w:t>山东省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shd w:val="clear" w:color="auto" w:fill="auto"/>
            <w:noWrap/>
            <w:vAlign w:val="bottom"/>
          </w:tcPr>
          <w:p>
            <w:pPr>
              <w:widowControl/>
              <w:jc w:val="center"/>
              <w:rPr>
                <w:color w:val="000000"/>
                <w:kern w:val="0"/>
                <w:szCs w:val="21"/>
              </w:rPr>
            </w:pPr>
            <w:r>
              <w:rPr>
                <w:color w:val="000000"/>
                <w:kern w:val="0"/>
                <w:szCs w:val="21"/>
              </w:rPr>
              <w:t>2014年4月</w:t>
            </w:r>
          </w:p>
        </w:tc>
        <w:tc>
          <w:tcPr>
            <w:tcW w:w="2830" w:type="dxa"/>
            <w:tcBorders>
              <w:right w:val="nil"/>
            </w:tcBorders>
            <w:shd w:val="clear" w:color="auto" w:fill="auto"/>
            <w:noWrap/>
            <w:vAlign w:val="bottom"/>
          </w:tcPr>
          <w:p>
            <w:pPr>
              <w:widowControl/>
              <w:jc w:val="center"/>
              <w:rPr>
                <w:color w:val="000000"/>
                <w:kern w:val="0"/>
                <w:szCs w:val="21"/>
              </w:rPr>
            </w:pPr>
            <w:r>
              <w:rPr>
                <w:color w:val="000000"/>
                <w:kern w:val="0"/>
                <w:szCs w:val="21"/>
              </w:rPr>
              <w:t>湖北省</w:t>
            </w:r>
          </w:p>
        </w:tc>
        <w:tc>
          <w:tcPr>
            <w:tcW w:w="1565" w:type="dxa"/>
            <w:tcBorders>
              <w:left w:val="nil"/>
            </w:tcBorders>
            <w:shd w:val="clear" w:color="auto" w:fill="auto"/>
            <w:noWrap/>
            <w:vAlign w:val="center"/>
          </w:tcPr>
          <w:p>
            <w:pPr>
              <w:widowControl/>
              <w:jc w:val="left"/>
              <w:rPr>
                <w:color w:val="000000"/>
                <w:kern w:val="0"/>
                <w:szCs w:val="21"/>
              </w:rPr>
            </w:pPr>
            <w:r>
              <w:rPr>
                <w:color w:val="000000"/>
                <w:kern w:val="0"/>
                <w:szCs w:val="21"/>
              </w:rPr>
              <w:t>2014年11月</w:t>
            </w:r>
          </w:p>
        </w:tc>
        <w:tc>
          <w:tcPr>
            <w:tcW w:w="2268" w:type="dxa"/>
            <w:shd w:val="clear" w:color="auto" w:fill="auto"/>
            <w:noWrap/>
            <w:vAlign w:val="bottom"/>
          </w:tcPr>
          <w:p>
            <w:pPr>
              <w:widowControl/>
              <w:jc w:val="center"/>
              <w:rPr>
                <w:color w:val="000000"/>
                <w:kern w:val="0"/>
                <w:szCs w:val="21"/>
              </w:rPr>
            </w:pPr>
            <w:r>
              <w:rPr>
                <w:color w:val="000000"/>
                <w:kern w:val="0"/>
                <w:szCs w:val="21"/>
              </w:rPr>
              <w:t>广东省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tcBorders>
              <w:bottom w:val="nil"/>
            </w:tcBorders>
            <w:shd w:val="clear" w:color="auto" w:fill="auto"/>
            <w:noWrap/>
            <w:vAlign w:val="bottom"/>
          </w:tcPr>
          <w:p>
            <w:pPr>
              <w:widowControl/>
              <w:jc w:val="center"/>
              <w:rPr>
                <w:color w:val="000000"/>
                <w:kern w:val="0"/>
                <w:szCs w:val="21"/>
              </w:rPr>
            </w:pPr>
            <w:r>
              <w:rPr>
                <w:color w:val="000000"/>
                <w:kern w:val="0"/>
                <w:szCs w:val="21"/>
              </w:rPr>
              <w:t>2014年5月</w:t>
            </w:r>
          </w:p>
        </w:tc>
        <w:tc>
          <w:tcPr>
            <w:tcW w:w="2830" w:type="dxa"/>
            <w:tcBorders>
              <w:bottom w:val="nil"/>
              <w:right w:val="nil"/>
            </w:tcBorders>
            <w:shd w:val="clear" w:color="auto" w:fill="auto"/>
            <w:noWrap/>
            <w:vAlign w:val="bottom"/>
          </w:tcPr>
          <w:p>
            <w:pPr>
              <w:widowControl/>
              <w:jc w:val="center"/>
              <w:rPr>
                <w:color w:val="000000"/>
                <w:kern w:val="0"/>
                <w:szCs w:val="21"/>
              </w:rPr>
            </w:pPr>
            <w:r>
              <w:rPr>
                <w:color w:val="000000"/>
                <w:kern w:val="0"/>
                <w:szCs w:val="21"/>
              </w:rPr>
              <w:t>四川省</w:t>
            </w:r>
          </w:p>
        </w:tc>
        <w:tc>
          <w:tcPr>
            <w:tcW w:w="1565" w:type="dxa"/>
            <w:tcBorders>
              <w:left w:val="nil"/>
              <w:bottom w:val="nil"/>
            </w:tcBorders>
            <w:shd w:val="clear" w:color="auto" w:fill="auto"/>
            <w:noWrap/>
            <w:vAlign w:val="center"/>
          </w:tcPr>
          <w:p>
            <w:pPr>
              <w:widowControl/>
              <w:jc w:val="left"/>
              <w:rPr>
                <w:color w:val="000000"/>
                <w:kern w:val="0"/>
                <w:szCs w:val="21"/>
              </w:rPr>
            </w:pPr>
            <w:r>
              <w:rPr>
                <w:color w:val="000000"/>
                <w:kern w:val="0"/>
                <w:szCs w:val="21"/>
              </w:rPr>
              <w:t>2014年11月</w:t>
            </w:r>
          </w:p>
        </w:tc>
        <w:tc>
          <w:tcPr>
            <w:tcW w:w="2268" w:type="dxa"/>
            <w:tcBorders>
              <w:bottom w:val="nil"/>
            </w:tcBorders>
            <w:shd w:val="clear" w:color="auto" w:fill="auto"/>
            <w:noWrap/>
            <w:vAlign w:val="bottom"/>
          </w:tcPr>
          <w:p>
            <w:pPr>
              <w:widowControl/>
              <w:jc w:val="center"/>
              <w:rPr>
                <w:color w:val="000000"/>
                <w:kern w:val="0"/>
                <w:szCs w:val="21"/>
              </w:rPr>
            </w:pPr>
            <w:r>
              <w:rPr>
                <w:color w:val="000000"/>
                <w:kern w:val="0"/>
                <w:szCs w:val="21"/>
              </w:rPr>
              <w:t>云南省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tcBorders>
              <w:top w:val="nil"/>
              <w:bottom w:val="nil"/>
            </w:tcBorders>
            <w:shd w:val="clear" w:color="auto" w:fill="auto"/>
            <w:noWrap/>
            <w:vAlign w:val="bottom"/>
          </w:tcPr>
          <w:p>
            <w:pPr>
              <w:widowControl/>
              <w:jc w:val="center"/>
              <w:rPr>
                <w:color w:val="000000"/>
                <w:kern w:val="0"/>
                <w:szCs w:val="21"/>
              </w:rPr>
            </w:pPr>
            <w:r>
              <w:rPr>
                <w:color w:val="000000"/>
                <w:kern w:val="0"/>
                <w:szCs w:val="21"/>
              </w:rPr>
              <w:t>2014年6月</w:t>
            </w:r>
          </w:p>
        </w:tc>
        <w:tc>
          <w:tcPr>
            <w:tcW w:w="2830" w:type="dxa"/>
            <w:tcBorders>
              <w:top w:val="nil"/>
              <w:bottom w:val="nil"/>
              <w:right w:val="nil"/>
            </w:tcBorders>
            <w:shd w:val="clear" w:color="auto" w:fill="auto"/>
            <w:noWrap/>
            <w:vAlign w:val="bottom"/>
          </w:tcPr>
          <w:p>
            <w:pPr>
              <w:widowControl/>
              <w:jc w:val="center"/>
              <w:rPr>
                <w:color w:val="000000"/>
                <w:kern w:val="0"/>
                <w:szCs w:val="21"/>
              </w:rPr>
            </w:pPr>
            <w:r>
              <w:rPr>
                <w:color w:val="000000"/>
                <w:kern w:val="0"/>
                <w:szCs w:val="21"/>
              </w:rPr>
              <w:t>江苏省</w:t>
            </w:r>
          </w:p>
        </w:tc>
        <w:tc>
          <w:tcPr>
            <w:tcW w:w="1565" w:type="dxa"/>
            <w:vMerge w:val="restart"/>
            <w:tcBorders>
              <w:top w:val="nil"/>
              <w:left w:val="nil"/>
              <w:bottom w:val="nil"/>
            </w:tcBorders>
            <w:shd w:val="clear" w:color="auto" w:fill="auto"/>
            <w:noWrap/>
            <w:vAlign w:val="center"/>
          </w:tcPr>
          <w:p>
            <w:pPr>
              <w:widowControl/>
              <w:jc w:val="left"/>
              <w:rPr>
                <w:color w:val="000000"/>
                <w:kern w:val="0"/>
                <w:szCs w:val="21"/>
              </w:rPr>
            </w:pPr>
            <w:r>
              <w:rPr>
                <w:color w:val="000000"/>
                <w:kern w:val="0"/>
                <w:szCs w:val="21"/>
              </w:rPr>
              <w:t>2014年11月</w:t>
            </w:r>
          </w:p>
        </w:tc>
        <w:tc>
          <w:tcPr>
            <w:tcW w:w="2268" w:type="dxa"/>
            <w:vMerge w:val="restart"/>
            <w:tcBorders>
              <w:top w:val="nil"/>
              <w:bottom w:val="nil"/>
            </w:tcBorders>
            <w:shd w:val="clear" w:color="auto" w:fill="auto"/>
            <w:vAlign w:val="center"/>
          </w:tcPr>
          <w:p>
            <w:pPr>
              <w:widowControl/>
              <w:jc w:val="center"/>
              <w:rPr>
                <w:color w:val="000000"/>
                <w:kern w:val="0"/>
                <w:szCs w:val="21"/>
              </w:rPr>
            </w:pPr>
            <w:r>
              <w:rPr>
                <w:color w:val="000000"/>
                <w:kern w:val="0"/>
                <w:szCs w:val="21"/>
              </w:rPr>
              <w:t>内蒙古自治区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tcBorders>
              <w:top w:val="nil"/>
              <w:bottom w:val="nil"/>
            </w:tcBorders>
            <w:shd w:val="clear" w:color="auto" w:fill="auto"/>
            <w:noWrap/>
            <w:vAlign w:val="bottom"/>
          </w:tcPr>
          <w:p>
            <w:pPr>
              <w:widowControl/>
              <w:jc w:val="center"/>
              <w:rPr>
                <w:color w:val="000000"/>
                <w:kern w:val="0"/>
                <w:szCs w:val="21"/>
              </w:rPr>
            </w:pPr>
            <w:r>
              <w:rPr>
                <w:color w:val="000000"/>
                <w:kern w:val="0"/>
                <w:szCs w:val="21"/>
              </w:rPr>
              <w:t>2014年7月</w:t>
            </w:r>
          </w:p>
        </w:tc>
        <w:tc>
          <w:tcPr>
            <w:tcW w:w="2830" w:type="dxa"/>
            <w:tcBorders>
              <w:top w:val="nil"/>
              <w:bottom w:val="nil"/>
              <w:right w:val="nil"/>
            </w:tcBorders>
            <w:shd w:val="clear" w:color="auto" w:fill="auto"/>
            <w:noWrap/>
            <w:vAlign w:val="bottom"/>
          </w:tcPr>
          <w:p>
            <w:pPr>
              <w:widowControl/>
              <w:jc w:val="center"/>
              <w:rPr>
                <w:color w:val="000000"/>
                <w:kern w:val="0"/>
                <w:szCs w:val="21"/>
              </w:rPr>
            </w:pPr>
            <w:r>
              <w:rPr>
                <w:color w:val="000000"/>
                <w:kern w:val="0"/>
                <w:szCs w:val="21"/>
              </w:rPr>
              <w:t>湖南省</w:t>
            </w:r>
          </w:p>
        </w:tc>
        <w:tc>
          <w:tcPr>
            <w:tcW w:w="1565" w:type="dxa"/>
            <w:vMerge w:val="continue"/>
            <w:tcBorders>
              <w:top w:val="nil"/>
              <w:left w:val="nil"/>
              <w:bottom w:val="nil"/>
            </w:tcBorders>
            <w:vAlign w:val="center"/>
          </w:tcPr>
          <w:p>
            <w:pPr>
              <w:widowControl/>
              <w:jc w:val="center"/>
              <w:rPr>
                <w:color w:val="000000"/>
                <w:kern w:val="0"/>
                <w:szCs w:val="21"/>
              </w:rPr>
            </w:pPr>
          </w:p>
        </w:tc>
        <w:tc>
          <w:tcPr>
            <w:tcW w:w="2268" w:type="dxa"/>
            <w:vMerge w:val="continue"/>
            <w:tcBorders>
              <w:top w:val="nil"/>
              <w:bottom w:val="nil"/>
            </w:tcBorders>
            <w:vAlign w:val="center"/>
          </w:tcPr>
          <w:p>
            <w:pPr>
              <w:widowControl/>
              <w:jc w:val="center"/>
              <w:rPr>
                <w:color w:val="000000"/>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417" w:type="dxa"/>
            <w:tcBorders>
              <w:top w:val="nil"/>
              <w:bottom w:val="single" w:color="auto" w:sz="12" w:space="0"/>
            </w:tcBorders>
            <w:shd w:val="clear" w:color="auto" w:fill="auto"/>
            <w:noWrap/>
            <w:vAlign w:val="bottom"/>
          </w:tcPr>
          <w:p>
            <w:pPr>
              <w:widowControl/>
              <w:jc w:val="center"/>
              <w:rPr>
                <w:color w:val="000000"/>
                <w:kern w:val="0"/>
                <w:szCs w:val="21"/>
              </w:rPr>
            </w:pPr>
            <w:r>
              <w:rPr>
                <w:color w:val="000000"/>
                <w:kern w:val="0"/>
                <w:szCs w:val="21"/>
              </w:rPr>
              <w:t>2014年7月</w:t>
            </w:r>
          </w:p>
        </w:tc>
        <w:tc>
          <w:tcPr>
            <w:tcW w:w="2830" w:type="dxa"/>
            <w:tcBorders>
              <w:top w:val="nil"/>
              <w:bottom w:val="single" w:color="auto" w:sz="12" w:space="0"/>
              <w:right w:val="nil"/>
            </w:tcBorders>
            <w:shd w:val="clear" w:color="auto" w:fill="auto"/>
            <w:noWrap/>
            <w:vAlign w:val="bottom"/>
          </w:tcPr>
          <w:p>
            <w:pPr>
              <w:widowControl/>
              <w:jc w:val="center"/>
              <w:rPr>
                <w:color w:val="000000"/>
                <w:kern w:val="0"/>
                <w:szCs w:val="21"/>
              </w:rPr>
            </w:pPr>
            <w:r>
              <w:rPr>
                <w:color w:val="000000"/>
                <w:kern w:val="0"/>
                <w:szCs w:val="21"/>
              </w:rPr>
              <w:t>福建省</w:t>
            </w:r>
          </w:p>
        </w:tc>
        <w:tc>
          <w:tcPr>
            <w:tcW w:w="1565" w:type="dxa"/>
            <w:vMerge w:val="continue"/>
            <w:tcBorders>
              <w:top w:val="nil"/>
              <w:left w:val="nil"/>
              <w:bottom w:val="single" w:color="auto" w:sz="12" w:space="0"/>
            </w:tcBorders>
            <w:vAlign w:val="center"/>
          </w:tcPr>
          <w:p>
            <w:pPr>
              <w:widowControl/>
              <w:jc w:val="center"/>
              <w:rPr>
                <w:color w:val="000000"/>
                <w:kern w:val="0"/>
                <w:szCs w:val="21"/>
              </w:rPr>
            </w:pPr>
          </w:p>
        </w:tc>
        <w:tc>
          <w:tcPr>
            <w:tcW w:w="2268" w:type="dxa"/>
            <w:vMerge w:val="continue"/>
            <w:tcBorders>
              <w:top w:val="nil"/>
              <w:bottom w:val="single" w:color="auto" w:sz="12" w:space="0"/>
            </w:tcBorders>
            <w:vAlign w:val="center"/>
          </w:tcPr>
          <w:p>
            <w:pPr>
              <w:widowControl/>
              <w:jc w:val="center"/>
              <w:rPr>
                <w:color w:val="000000"/>
                <w:kern w:val="0"/>
                <w:szCs w:val="21"/>
              </w:rPr>
            </w:pPr>
          </w:p>
        </w:tc>
      </w:tr>
    </w:tbl>
    <w:p>
      <w:pPr>
        <w:spacing w:line="360" w:lineRule="auto"/>
        <w:ind w:firstLine="240"/>
        <w:jc w:val="left"/>
        <w:rPr>
          <w:szCs w:val="24"/>
        </w:rPr>
      </w:pPr>
      <w:bookmarkStart w:id="73" w:name="_Hlk99292736"/>
      <w:r>
        <w:rPr>
          <w:szCs w:val="24"/>
        </w:rPr>
        <w:t>数据来源：各省市审计部门官网</w:t>
      </w:r>
    </w:p>
    <w:p>
      <w:pPr>
        <w:spacing w:line="360" w:lineRule="auto"/>
        <w:ind w:firstLine="480" w:firstLineChars="200"/>
        <w:jc w:val="left"/>
        <w:rPr>
          <w:sz w:val="24"/>
          <w:szCs w:val="24"/>
        </w:rPr>
      </w:pPr>
      <w:r>
        <w:rPr>
          <w:rFonts w:hint="eastAsia"/>
          <w:sz w:val="24"/>
          <w:szCs w:val="24"/>
        </w:rPr>
        <w:t>（２）在行业选取上，本文将借鉴李婉红与毕克新（2</w:t>
      </w:r>
      <w:r>
        <w:rPr>
          <w:sz w:val="24"/>
          <w:szCs w:val="24"/>
        </w:rPr>
        <w:t>013</w:t>
      </w:r>
      <w:r>
        <w:rPr>
          <w:rFonts w:hint="eastAsia"/>
          <w:sz w:val="24"/>
          <w:szCs w:val="24"/>
        </w:rPr>
        <w:t>）与王锋正与郭晓川（2</w:t>
      </w:r>
      <w:r>
        <w:rPr>
          <w:sz w:val="24"/>
          <w:szCs w:val="24"/>
        </w:rPr>
        <w:t>015</w:t>
      </w:r>
      <w:r>
        <w:rPr>
          <w:rFonts w:hint="eastAsia"/>
          <w:sz w:val="24"/>
          <w:szCs w:val="24"/>
        </w:rPr>
        <w:t>）对于资源型与重污染型行业的选择与分析，选择对煤炭开采和洗选业、化学原料和化学制品制造业等1</w:t>
      </w:r>
      <w:r>
        <w:rPr>
          <w:sz w:val="24"/>
          <w:szCs w:val="24"/>
        </w:rPr>
        <w:t>8</w:t>
      </w:r>
      <w:r>
        <w:rPr>
          <w:rFonts w:hint="eastAsia"/>
          <w:sz w:val="24"/>
          <w:szCs w:val="24"/>
        </w:rPr>
        <w:t>个行业作为研究对象，具体行业及代码见表</w:t>
      </w:r>
      <w:r>
        <w:rPr>
          <w:sz w:val="24"/>
          <w:szCs w:val="24"/>
        </w:rPr>
        <w:t>3-2</w:t>
      </w:r>
      <w:r>
        <w:rPr>
          <w:rFonts w:hint="eastAsia"/>
          <w:sz w:val="24"/>
          <w:szCs w:val="24"/>
        </w:rPr>
        <w:t>，行业名称与代码均来源于证监会的《上市公司行业分类指引》（2</w:t>
      </w:r>
      <w:r>
        <w:rPr>
          <w:sz w:val="24"/>
          <w:szCs w:val="24"/>
        </w:rPr>
        <w:t>012</w:t>
      </w:r>
      <w:r>
        <w:rPr>
          <w:rFonts w:hint="eastAsia"/>
          <w:sz w:val="24"/>
          <w:szCs w:val="24"/>
        </w:rPr>
        <w:t>年修订版）。</w:t>
      </w:r>
    </w:p>
    <w:p>
      <w:pPr>
        <w:spacing w:line="360" w:lineRule="auto"/>
        <w:ind w:firstLine="480" w:firstLineChars="200"/>
        <w:jc w:val="left"/>
        <w:rPr>
          <w:sz w:val="24"/>
          <w:szCs w:val="24"/>
        </w:rPr>
      </w:pPr>
      <w:r>
        <w:rPr>
          <w:rFonts w:hint="eastAsia"/>
          <w:sz w:val="24"/>
          <w:szCs w:val="24"/>
        </w:rPr>
        <w:t>（３）在企业选取上，本文将选取在中国A股上市的资源型和重污染型企业（根据已确定的1</w:t>
      </w:r>
      <w:r>
        <w:rPr>
          <w:sz w:val="24"/>
          <w:szCs w:val="24"/>
        </w:rPr>
        <w:t>8</w:t>
      </w:r>
      <w:r>
        <w:rPr>
          <w:rFonts w:hint="eastAsia"/>
          <w:sz w:val="24"/>
          <w:szCs w:val="24"/>
        </w:rPr>
        <w:t>个行业筛选）的研究数据。考虑到该政策在2</w:t>
      </w:r>
      <w:r>
        <w:rPr>
          <w:sz w:val="24"/>
          <w:szCs w:val="24"/>
        </w:rPr>
        <w:t>017</w:t>
      </w:r>
      <w:r>
        <w:rPr>
          <w:rFonts w:hint="eastAsia"/>
          <w:sz w:val="24"/>
          <w:szCs w:val="24"/>
        </w:rPr>
        <w:t>年在全国已经全面开始实施，故选取试点前后两年的时间（即2</w:t>
      </w:r>
      <w:r>
        <w:rPr>
          <w:sz w:val="24"/>
          <w:szCs w:val="24"/>
        </w:rPr>
        <w:t>012</w:t>
      </w:r>
      <w:r>
        <w:rPr>
          <w:rFonts w:hint="eastAsia"/>
          <w:sz w:val="24"/>
          <w:szCs w:val="24"/>
        </w:rPr>
        <w:t>年至2</w:t>
      </w:r>
      <w:r>
        <w:rPr>
          <w:sz w:val="24"/>
          <w:szCs w:val="24"/>
        </w:rPr>
        <w:t>015</w:t>
      </w:r>
      <w:r>
        <w:rPr>
          <w:rFonts w:hint="eastAsia"/>
          <w:sz w:val="24"/>
          <w:szCs w:val="24"/>
        </w:rPr>
        <w:t>年）进行分析。目前为止A股上市公司共</w:t>
      </w:r>
      <w:r>
        <w:rPr>
          <w:sz w:val="24"/>
          <w:szCs w:val="24"/>
        </w:rPr>
        <w:t>4873</w:t>
      </w:r>
      <w:r>
        <w:rPr>
          <w:rFonts w:hint="eastAsia"/>
          <w:sz w:val="24"/>
          <w:szCs w:val="24"/>
        </w:rPr>
        <w:t>家，剔除S</w:t>
      </w:r>
      <w:r>
        <w:rPr>
          <w:sz w:val="24"/>
          <w:szCs w:val="24"/>
        </w:rPr>
        <w:t>T</w:t>
      </w:r>
      <w:r>
        <w:rPr>
          <w:rFonts w:hint="eastAsia"/>
          <w:sz w:val="24"/>
          <w:szCs w:val="24"/>
        </w:rPr>
        <w:t>股票共4</w:t>
      </w:r>
      <w:r>
        <w:rPr>
          <w:sz w:val="24"/>
          <w:szCs w:val="24"/>
        </w:rPr>
        <w:t>640</w:t>
      </w:r>
      <w:r>
        <w:rPr>
          <w:rFonts w:hint="eastAsia"/>
          <w:sz w:val="24"/>
          <w:szCs w:val="24"/>
        </w:rPr>
        <w:t>家，筛选1</w:t>
      </w:r>
      <w:r>
        <w:rPr>
          <w:sz w:val="24"/>
          <w:szCs w:val="24"/>
        </w:rPr>
        <w:t>8</w:t>
      </w:r>
      <w:r>
        <w:rPr>
          <w:rFonts w:hint="eastAsia"/>
          <w:sz w:val="24"/>
          <w:szCs w:val="24"/>
        </w:rPr>
        <w:t>个行业的公司共1</w:t>
      </w:r>
      <w:r>
        <w:rPr>
          <w:sz w:val="24"/>
          <w:szCs w:val="24"/>
        </w:rPr>
        <w:t>249</w:t>
      </w:r>
      <w:r>
        <w:rPr>
          <w:rFonts w:hint="eastAsia"/>
          <w:sz w:val="24"/>
          <w:szCs w:val="24"/>
        </w:rPr>
        <w:t>家，选择2</w:t>
      </w:r>
      <w:r>
        <w:rPr>
          <w:sz w:val="24"/>
          <w:szCs w:val="24"/>
        </w:rPr>
        <w:t>010</w:t>
      </w:r>
      <w:r>
        <w:rPr>
          <w:rFonts w:hint="eastAsia"/>
          <w:sz w:val="24"/>
          <w:szCs w:val="24"/>
        </w:rPr>
        <w:t>年以前上市的公司共6</w:t>
      </w:r>
      <w:r>
        <w:rPr>
          <w:sz w:val="24"/>
          <w:szCs w:val="24"/>
        </w:rPr>
        <w:t>16</w:t>
      </w:r>
      <w:r>
        <w:rPr>
          <w:rFonts w:hint="eastAsia"/>
          <w:sz w:val="24"/>
          <w:szCs w:val="24"/>
        </w:rPr>
        <w:t>家。剔除企业的专利获得数不全或者缺失的公司共3</w:t>
      </w:r>
      <w:r>
        <w:rPr>
          <w:sz w:val="24"/>
          <w:szCs w:val="24"/>
        </w:rPr>
        <w:t>10</w:t>
      </w:r>
      <w:r>
        <w:rPr>
          <w:rFonts w:hint="eastAsia"/>
          <w:sz w:val="24"/>
          <w:szCs w:val="24"/>
        </w:rPr>
        <w:t>家，其中试点地区公司为</w:t>
      </w:r>
      <w:r>
        <w:rPr>
          <w:sz w:val="24"/>
          <w:szCs w:val="24"/>
        </w:rPr>
        <w:t>25</w:t>
      </w:r>
      <w:r>
        <w:rPr>
          <w:rFonts w:hint="eastAsia"/>
          <w:sz w:val="24"/>
          <w:szCs w:val="24"/>
        </w:rPr>
        <w:t>家，非试点地区公司为</w:t>
      </w:r>
      <w:r>
        <w:rPr>
          <w:sz w:val="24"/>
          <w:szCs w:val="24"/>
        </w:rPr>
        <w:t>285</w:t>
      </w:r>
      <w:r>
        <w:rPr>
          <w:rFonts w:hint="eastAsia"/>
          <w:sz w:val="24"/>
          <w:szCs w:val="24"/>
        </w:rPr>
        <w:t>家。</w:t>
      </w:r>
      <w:bookmarkStart w:id="74" w:name="_Toc102926873"/>
    </w:p>
    <w:p>
      <w:pPr>
        <w:spacing w:after="156" w:afterLines="50"/>
        <w:ind w:firstLine="480" w:firstLineChars="200"/>
        <w:jc w:val="center"/>
        <w:rPr>
          <w:rFonts w:ascii="黑体" w:hAnsi="黑体" w:eastAsia="黑体"/>
          <w:sz w:val="24"/>
        </w:rPr>
      </w:pPr>
      <w:bookmarkStart w:id="75" w:name="_Toc104376089"/>
      <w:r>
        <w:rPr>
          <w:rFonts w:ascii="黑体" w:hAnsi="黑体" w:eastAsia="黑体"/>
          <w:sz w:val="24"/>
        </w:rPr>
        <w:t>表</w:t>
      </w:r>
      <w:r>
        <w:rPr>
          <w:rFonts w:eastAsia="黑体"/>
          <w:sz w:val="24"/>
        </w:rPr>
        <w:t>3-</w:t>
      </w:r>
      <w:r>
        <w:rPr>
          <w:rFonts w:eastAsia="黑体"/>
          <w:sz w:val="24"/>
        </w:rPr>
        <w:fldChar w:fldCharType="begin"/>
      </w:r>
      <w:r>
        <w:rPr>
          <w:rFonts w:eastAsia="黑体"/>
          <w:sz w:val="24"/>
        </w:rPr>
        <w:instrText xml:space="preserve"> SEQ 表3- \* ARABIC </w:instrText>
      </w:r>
      <w:r>
        <w:rPr>
          <w:rFonts w:eastAsia="黑体"/>
          <w:sz w:val="24"/>
        </w:rPr>
        <w:fldChar w:fldCharType="separate"/>
      </w:r>
      <w:r>
        <w:rPr>
          <w:rFonts w:eastAsia="黑体"/>
          <w:sz w:val="24"/>
        </w:rPr>
        <w:t>2</w:t>
      </w:r>
      <w:r>
        <w:rPr>
          <w:rFonts w:eastAsia="黑体"/>
          <w:sz w:val="24"/>
        </w:rPr>
        <w:fldChar w:fldCharType="end"/>
      </w:r>
      <w:r>
        <w:rPr>
          <w:rFonts w:eastAsia="黑体"/>
          <w:sz w:val="24"/>
        </w:rPr>
        <w:t xml:space="preserve">  18</w:t>
      </w:r>
      <w:r>
        <w:rPr>
          <w:rFonts w:hint="eastAsia" w:ascii="黑体" w:hAnsi="黑体" w:eastAsia="黑体"/>
          <w:sz w:val="24"/>
        </w:rPr>
        <w:t>个资源型与重污染型行业及代码</w:t>
      </w:r>
      <w:bookmarkEnd w:id="74"/>
      <w:bookmarkEnd w:id="75"/>
    </w:p>
    <w:tbl>
      <w:tblPr>
        <w:tblStyle w:val="14"/>
        <w:tblW w:w="8517" w:type="dxa"/>
        <w:tblInd w:w="0" w:type="dxa"/>
        <w:tblLayout w:type="autofit"/>
        <w:tblCellMar>
          <w:top w:w="0" w:type="dxa"/>
          <w:left w:w="108" w:type="dxa"/>
          <w:bottom w:w="0" w:type="dxa"/>
          <w:right w:w="108" w:type="dxa"/>
        </w:tblCellMar>
      </w:tblPr>
      <w:tblGrid>
        <w:gridCol w:w="645"/>
        <w:gridCol w:w="3648"/>
        <w:gridCol w:w="650"/>
        <w:gridCol w:w="3574"/>
      </w:tblGrid>
      <w:tr>
        <w:tblPrEx>
          <w:tblCellMar>
            <w:top w:w="0" w:type="dxa"/>
            <w:left w:w="108" w:type="dxa"/>
            <w:bottom w:w="0" w:type="dxa"/>
            <w:right w:w="108" w:type="dxa"/>
          </w:tblCellMar>
        </w:tblPrEx>
        <w:trPr>
          <w:trHeight w:val="648" w:hRule="atLeast"/>
        </w:trPr>
        <w:tc>
          <w:tcPr>
            <w:tcW w:w="645" w:type="dxa"/>
            <w:tcBorders>
              <w:top w:val="single" w:color="auto" w:sz="12" w:space="0"/>
              <w:bottom w:val="single" w:color="auto" w:sz="4" w:space="0"/>
            </w:tcBorders>
            <w:shd w:val="clear" w:color="auto" w:fill="auto"/>
            <w:noWrap/>
            <w:vAlign w:val="center"/>
          </w:tcPr>
          <w:p>
            <w:pPr>
              <w:widowControl/>
              <w:jc w:val="center"/>
              <w:rPr>
                <w:rFonts w:ascii="宋体" w:hAnsi="宋体" w:cs="宋体"/>
                <w:color w:val="000000"/>
                <w:kern w:val="0"/>
                <w:szCs w:val="22"/>
              </w:rPr>
            </w:pPr>
            <w:r>
              <w:rPr>
                <w:rFonts w:hint="eastAsia" w:ascii="宋体" w:hAnsi="宋体" w:cs="宋体"/>
                <w:color w:val="000000"/>
                <w:kern w:val="0"/>
                <w:szCs w:val="22"/>
              </w:rPr>
              <w:t>行业代码</w:t>
            </w:r>
          </w:p>
        </w:tc>
        <w:tc>
          <w:tcPr>
            <w:tcW w:w="3648" w:type="dxa"/>
            <w:tcBorders>
              <w:top w:val="single" w:color="auto" w:sz="12" w:space="0"/>
              <w:bottom w:val="single" w:color="auto" w:sz="4" w:space="0"/>
            </w:tcBorders>
            <w:shd w:val="clear" w:color="auto" w:fill="auto"/>
            <w:noWrap/>
            <w:vAlign w:val="center"/>
          </w:tcPr>
          <w:p>
            <w:pPr>
              <w:widowControl/>
              <w:jc w:val="center"/>
              <w:rPr>
                <w:rFonts w:ascii="宋体" w:hAnsi="宋体" w:cs="宋体"/>
                <w:color w:val="000000"/>
                <w:kern w:val="0"/>
                <w:szCs w:val="22"/>
              </w:rPr>
            </w:pPr>
            <w:r>
              <w:rPr>
                <w:rFonts w:hint="eastAsia" w:ascii="宋体" w:hAnsi="宋体" w:cs="宋体"/>
                <w:color w:val="000000"/>
                <w:kern w:val="0"/>
                <w:szCs w:val="22"/>
              </w:rPr>
              <w:t>名称</w:t>
            </w:r>
          </w:p>
        </w:tc>
        <w:tc>
          <w:tcPr>
            <w:tcW w:w="650" w:type="dxa"/>
            <w:tcBorders>
              <w:top w:val="single" w:color="auto" w:sz="12" w:space="0"/>
              <w:left w:val="nil"/>
              <w:bottom w:val="single" w:color="auto" w:sz="4" w:space="0"/>
            </w:tcBorders>
            <w:shd w:val="clear" w:color="auto" w:fill="auto"/>
            <w:noWrap/>
            <w:vAlign w:val="center"/>
          </w:tcPr>
          <w:p>
            <w:pPr>
              <w:widowControl/>
              <w:jc w:val="center"/>
              <w:rPr>
                <w:rFonts w:ascii="宋体" w:hAnsi="宋体" w:cs="宋体"/>
                <w:color w:val="000000"/>
                <w:kern w:val="0"/>
                <w:szCs w:val="22"/>
              </w:rPr>
            </w:pPr>
            <w:r>
              <w:rPr>
                <w:rFonts w:hint="eastAsia" w:ascii="宋体" w:hAnsi="宋体" w:cs="宋体"/>
                <w:color w:val="000000"/>
                <w:kern w:val="0"/>
                <w:szCs w:val="22"/>
              </w:rPr>
              <w:t>行业代码</w:t>
            </w:r>
          </w:p>
        </w:tc>
        <w:tc>
          <w:tcPr>
            <w:tcW w:w="3574" w:type="dxa"/>
            <w:tcBorders>
              <w:top w:val="single" w:color="auto" w:sz="12" w:space="0"/>
              <w:bottom w:val="single" w:color="auto" w:sz="4" w:space="0"/>
            </w:tcBorders>
            <w:shd w:val="clear" w:color="auto" w:fill="auto"/>
            <w:noWrap/>
            <w:vAlign w:val="center"/>
          </w:tcPr>
          <w:p>
            <w:pPr>
              <w:widowControl/>
              <w:jc w:val="center"/>
              <w:rPr>
                <w:rFonts w:ascii="宋体" w:hAnsi="宋体" w:cs="宋体"/>
                <w:color w:val="000000"/>
                <w:kern w:val="0"/>
                <w:szCs w:val="22"/>
              </w:rPr>
            </w:pPr>
            <w:r>
              <w:rPr>
                <w:rFonts w:hint="eastAsia" w:ascii="宋体" w:hAnsi="宋体" w:cs="宋体"/>
                <w:color w:val="000000"/>
                <w:kern w:val="0"/>
                <w:szCs w:val="22"/>
              </w:rPr>
              <w:t>名称</w:t>
            </w:r>
          </w:p>
        </w:tc>
      </w:tr>
      <w:tr>
        <w:tblPrEx>
          <w:tblCellMar>
            <w:top w:w="0" w:type="dxa"/>
            <w:left w:w="108" w:type="dxa"/>
            <w:bottom w:w="0" w:type="dxa"/>
            <w:right w:w="108" w:type="dxa"/>
          </w:tblCellMar>
        </w:tblPrEx>
        <w:trPr>
          <w:trHeight w:val="319" w:hRule="atLeast"/>
        </w:trPr>
        <w:tc>
          <w:tcPr>
            <w:tcW w:w="645" w:type="dxa"/>
            <w:tcBorders>
              <w:top w:val="single" w:color="auto" w:sz="4" w:space="0"/>
            </w:tcBorders>
            <w:shd w:val="clear" w:color="auto" w:fill="auto"/>
            <w:noWrap/>
            <w:vAlign w:val="bottom"/>
          </w:tcPr>
          <w:p>
            <w:pPr>
              <w:widowControl/>
              <w:jc w:val="center"/>
              <w:rPr>
                <w:color w:val="000000"/>
                <w:kern w:val="0"/>
                <w:szCs w:val="22"/>
              </w:rPr>
            </w:pPr>
            <w:r>
              <w:rPr>
                <w:color w:val="000000"/>
                <w:kern w:val="0"/>
                <w:szCs w:val="22"/>
              </w:rPr>
              <w:t>Ⅱ06</w:t>
            </w:r>
          </w:p>
        </w:tc>
        <w:tc>
          <w:tcPr>
            <w:tcW w:w="3648" w:type="dxa"/>
            <w:tcBorders>
              <w:top w:val="single" w:color="auto" w:sz="4" w:space="0"/>
            </w:tcBorders>
            <w:shd w:val="clear" w:color="auto" w:fill="auto"/>
            <w:noWrap/>
            <w:vAlign w:val="bottom"/>
          </w:tcPr>
          <w:p>
            <w:pPr>
              <w:widowControl/>
              <w:jc w:val="center"/>
              <w:rPr>
                <w:color w:val="000000"/>
                <w:kern w:val="0"/>
                <w:szCs w:val="22"/>
              </w:rPr>
            </w:pPr>
            <w:r>
              <w:rPr>
                <w:color w:val="000000"/>
                <w:kern w:val="0"/>
                <w:szCs w:val="22"/>
              </w:rPr>
              <w:t>煤炭开采和洗选业</w:t>
            </w:r>
          </w:p>
        </w:tc>
        <w:tc>
          <w:tcPr>
            <w:tcW w:w="650" w:type="dxa"/>
            <w:tcBorders>
              <w:top w:val="single" w:color="auto" w:sz="4" w:space="0"/>
              <w:left w:val="nil"/>
            </w:tcBorders>
            <w:shd w:val="clear" w:color="auto" w:fill="auto"/>
            <w:noWrap/>
            <w:vAlign w:val="bottom"/>
          </w:tcPr>
          <w:p>
            <w:pPr>
              <w:widowControl/>
              <w:jc w:val="center"/>
              <w:rPr>
                <w:color w:val="000000"/>
                <w:kern w:val="0"/>
                <w:szCs w:val="22"/>
              </w:rPr>
            </w:pPr>
            <w:r>
              <w:rPr>
                <w:color w:val="000000"/>
                <w:kern w:val="0"/>
                <w:szCs w:val="22"/>
              </w:rPr>
              <w:t>Ⅲ25</w:t>
            </w:r>
          </w:p>
        </w:tc>
        <w:tc>
          <w:tcPr>
            <w:tcW w:w="3574" w:type="dxa"/>
            <w:tcBorders>
              <w:top w:val="single" w:color="auto" w:sz="4" w:space="0"/>
            </w:tcBorders>
            <w:shd w:val="clear" w:color="auto" w:fill="auto"/>
            <w:noWrap/>
            <w:vAlign w:val="bottom"/>
          </w:tcPr>
          <w:p>
            <w:pPr>
              <w:widowControl/>
              <w:jc w:val="center"/>
              <w:rPr>
                <w:color w:val="000000"/>
                <w:kern w:val="0"/>
                <w:szCs w:val="22"/>
              </w:rPr>
            </w:pPr>
            <w:r>
              <w:rPr>
                <w:color w:val="000000"/>
                <w:kern w:val="0"/>
                <w:szCs w:val="22"/>
              </w:rPr>
              <w:t>石油加工、炼焦业及核燃料加工业</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Ⅱ07</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石油和天然气开采业</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Ⅲ26</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化学原料和化学制品制造业</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Ⅱ08</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黑色金属矿采选业</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Ⅲ27</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医药制造业</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Ⅱ09</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 xml:space="preserve">有色金属矿采选业 </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Ⅲ28</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化学纤维制造业</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Ⅱ10</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非金属矿采选业</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Ⅲ30</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 xml:space="preserve">非金属矿物制品业 </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Ⅲ13</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农副食品加工业</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Ⅲ31</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黑色金属冶炼和压延加工业</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Ⅲ17</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纺织业</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Ⅲ32</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有色金属冶炼和压延加工业</w:t>
            </w:r>
          </w:p>
        </w:tc>
      </w:tr>
      <w:tr>
        <w:tblPrEx>
          <w:tblCellMar>
            <w:top w:w="0" w:type="dxa"/>
            <w:left w:w="108" w:type="dxa"/>
            <w:bottom w:w="0" w:type="dxa"/>
            <w:right w:w="108" w:type="dxa"/>
          </w:tblCellMar>
        </w:tblPrEx>
        <w:trPr>
          <w:trHeight w:val="309" w:hRule="atLeast"/>
        </w:trPr>
        <w:tc>
          <w:tcPr>
            <w:tcW w:w="645" w:type="dxa"/>
            <w:tcBorders>
              <w:top w:val="nil"/>
            </w:tcBorders>
            <w:shd w:val="clear" w:color="auto" w:fill="auto"/>
            <w:noWrap/>
            <w:vAlign w:val="bottom"/>
          </w:tcPr>
          <w:p>
            <w:pPr>
              <w:widowControl/>
              <w:jc w:val="center"/>
              <w:rPr>
                <w:color w:val="000000"/>
                <w:kern w:val="0"/>
                <w:szCs w:val="22"/>
              </w:rPr>
            </w:pPr>
            <w:r>
              <w:rPr>
                <w:color w:val="000000"/>
                <w:kern w:val="0"/>
                <w:szCs w:val="22"/>
              </w:rPr>
              <w:t>Ⅲ19</w:t>
            </w:r>
          </w:p>
        </w:tc>
        <w:tc>
          <w:tcPr>
            <w:tcW w:w="3648" w:type="dxa"/>
            <w:tcBorders>
              <w:top w:val="nil"/>
            </w:tcBorders>
            <w:shd w:val="clear" w:color="auto" w:fill="auto"/>
            <w:noWrap/>
            <w:vAlign w:val="bottom"/>
          </w:tcPr>
          <w:p>
            <w:pPr>
              <w:widowControl/>
              <w:jc w:val="center"/>
              <w:rPr>
                <w:color w:val="000000"/>
                <w:kern w:val="0"/>
                <w:szCs w:val="22"/>
              </w:rPr>
            </w:pPr>
            <w:r>
              <w:rPr>
                <w:color w:val="000000"/>
                <w:kern w:val="0"/>
                <w:szCs w:val="22"/>
              </w:rPr>
              <w:t>皮革、毛皮、羽毛（绒）及其制品业</w:t>
            </w:r>
          </w:p>
        </w:tc>
        <w:tc>
          <w:tcPr>
            <w:tcW w:w="650" w:type="dxa"/>
            <w:tcBorders>
              <w:top w:val="nil"/>
              <w:left w:val="nil"/>
            </w:tcBorders>
            <w:shd w:val="clear" w:color="auto" w:fill="auto"/>
            <w:noWrap/>
            <w:vAlign w:val="bottom"/>
          </w:tcPr>
          <w:p>
            <w:pPr>
              <w:widowControl/>
              <w:jc w:val="center"/>
              <w:rPr>
                <w:color w:val="000000"/>
                <w:kern w:val="0"/>
                <w:szCs w:val="22"/>
              </w:rPr>
            </w:pPr>
            <w:r>
              <w:rPr>
                <w:color w:val="000000"/>
                <w:kern w:val="0"/>
                <w:szCs w:val="22"/>
              </w:rPr>
              <w:t>Ⅲ33</w:t>
            </w:r>
          </w:p>
        </w:tc>
        <w:tc>
          <w:tcPr>
            <w:tcW w:w="3574" w:type="dxa"/>
            <w:tcBorders>
              <w:top w:val="nil"/>
            </w:tcBorders>
            <w:shd w:val="clear" w:color="auto" w:fill="auto"/>
            <w:noWrap/>
            <w:vAlign w:val="bottom"/>
          </w:tcPr>
          <w:p>
            <w:pPr>
              <w:widowControl/>
              <w:jc w:val="center"/>
              <w:rPr>
                <w:color w:val="000000"/>
                <w:kern w:val="0"/>
                <w:szCs w:val="22"/>
              </w:rPr>
            </w:pPr>
            <w:r>
              <w:rPr>
                <w:color w:val="000000"/>
                <w:kern w:val="0"/>
                <w:szCs w:val="22"/>
              </w:rPr>
              <w:t>金属制品业</w:t>
            </w:r>
          </w:p>
        </w:tc>
      </w:tr>
      <w:tr>
        <w:tblPrEx>
          <w:tblCellMar>
            <w:top w:w="0" w:type="dxa"/>
            <w:left w:w="108" w:type="dxa"/>
            <w:bottom w:w="0" w:type="dxa"/>
            <w:right w:w="108" w:type="dxa"/>
          </w:tblCellMar>
        </w:tblPrEx>
        <w:trPr>
          <w:trHeight w:val="319" w:hRule="atLeast"/>
        </w:trPr>
        <w:tc>
          <w:tcPr>
            <w:tcW w:w="645" w:type="dxa"/>
            <w:tcBorders>
              <w:top w:val="nil"/>
              <w:bottom w:val="single" w:color="auto" w:sz="12" w:space="0"/>
            </w:tcBorders>
            <w:shd w:val="clear" w:color="auto" w:fill="auto"/>
            <w:noWrap/>
            <w:vAlign w:val="bottom"/>
          </w:tcPr>
          <w:p>
            <w:pPr>
              <w:widowControl/>
              <w:jc w:val="center"/>
              <w:rPr>
                <w:color w:val="000000"/>
                <w:kern w:val="0"/>
                <w:szCs w:val="22"/>
              </w:rPr>
            </w:pPr>
            <w:r>
              <w:rPr>
                <w:color w:val="000000"/>
                <w:kern w:val="0"/>
                <w:szCs w:val="22"/>
              </w:rPr>
              <w:t>Ⅲ22</w:t>
            </w:r>
          </w:p>
        </w:tc>
        <w:tc>
          <w:tcPr>
            <w:tcW w:w="3648" w:type="dxa"/>
            <w:tcBorders>
              <w:top w:val="nil"/>
              <w:bottom w:val="single" w:color="auto" w:sz="12" w:space="0"/>
            </w:tcBorders>
            <w:shd w:val="clear" w:color="auto" w:fill="auto"/>
            <w:noWrap/>
            <w:vAlign w:val="bottom"/>
          </w:tcPr>
          <w:p>
            <w:pPr>
              <w:widowControl/>
              <w:jc w:val="center"/>
              <w:rPr>
                <w:color w:val="000000"/>
                <w:kern w:val="0"/>
                <w:szCs w:val="22"/>
              </w:rPr>
            </w:pPr>
            <w:r>
              <w:rPr>
                <w:color w:val="000000"/>
                <w:kern w:val="0"/>
                <w:szCs w:val="22"/>
              </w:rPr>
              <w:t>造纸及纸制品业</w:t>
            </w:r>
          </w:p>
        </w:tc>
        <w:tc>
          <w:tcPr>
            <w:tcW w:w="650" w:type="dxa"/>
            <w:tcBorders>
              <w:top w:val="nil"/>
              <w:left w:val="nil"/>
              <w:bottom w:val="single" w:color="auto" w:sz="12" w:space="0"/>
            </w:tcBorders>
            <w:shd w:val="clear" w:color="auto" w:fill="auto"/>
            <w:noWrap/>
            <w:vAlign w:val="bottom"/>
          </w:tcPr>
          <w:p>
            <w:pPr>
              <w:widowControl/>
              <w:jc w:val="center"/>
              <w:rPr>
                <w:color w:val="000000"/>
                <w:kern w:val="0"/>
                <w:szCs w:val="22"/>
              </w:rPr>
            </w:pPr>
            <w:r>
              <w:rPr>
                <w:color w:val="000000"/>
                <w:kern w:val="0"/>
                <w:szCs w:val="22"/>
              </w:rPr>
              <w:t>Ⅳ44</w:t>
            </w:r>
          </w:p>
        </w:tc>
        <w:tc>
          <w:tcPr>
            <w:tcW w:w="3574" w:type="dxa"/>
            <w:tcBorders>
              <w:top w:val="nil"/>
              <w:bottom w:val="single" w:color="auto" w:sz="12" w:space="0"/>
            </w:tcBorders>
            <w:shd w:val="clear" w:color="auto" w:fill="auto"/>
            <w:noWrap/>
            <w:vAlign w:val="bottom"/>
          </w:tcPr>
          <w:p>
            <w:pPr>
              <w:widowControl/>
              <w:jc w:val="center"/>
              <w:rPr>
                <w:color w:val="000000"/>
                <w:kern w:val="0"/>
                <w:szCs w:val="22"/>
              </w:rPr>
            </w:pPr>
            <w:r>
              <w:rPr>
                <w:color w:val="000000"/>
                <w:kern w:val="0"/>
                <w:szCs w:val="22"/>
              </w:rPr>
              <w:t>电力和热力生产供应业</w:t>
            </w:r>
          </w:p>
        </w:tc>
      </w:tr>
    </w:tbl>
    <w:p>
      <w:pPr>
        <w:spacing w:line="360" w:lineRule="auto"/>
        <w:jc w:val="left"/>
        <w:rPr>
          <w:rFonts w:ascii="宋体" w:hAnsi="宋体"/>
          <w:szCs w:val="24"/>
        </w:rPr>
      </w:pPr>
      <w:r>
        <w:rPr>
          <w:rFonts w:hint="eastAsia" w:ascii="宋体" w:hAnsi="宋体"/>
          <w:szCs w:val="24"/>
        </w:rPr>
        <w:t>数据来源：《上市公司行业分类指引》</w:t>
      </w:r>
    </w:p>
    <w:bookmarkEnd w:id="73"/>
    <w:p>
      <w:pPr>
        <w:spacing w:before="156" w:beforeLines="50" w:after="156" w:afterLines="50"/>
        <w:jc w:val="left"/>
        <w:outlineLvl w:val="1"/>
        <w:rPr>
          <w:rFonts w:ascii="黑体" w:eastAsia="黑体"/>
          <w:b/>
          <w:sz w:val="28"/>
          <w:szCs w:val="21"/>
        </w:rPr>
      </w:pPr>
      <w:bookmarkStart w:id="76" w:name="_Toc100181278"/>
      <w:bookmarkStart w:id="77" w:name="_Toc100181855"/>
      <w:bookmarkStart w:id="78" w:name="_Toc104375933"/>
      <w:bookmarkStart w:id="79" w:name="_Toc15996"/>
      <w:r>
        <w:rPr>
          <w:b/>
          <w:sz w:val="32"/>
          <w:szCs w:val="32"/>
        </w:rPr>
        <w:t>3.2</w:t>
      </w:r>
      <w:r>
        <w:rPr>
          <w:rFonts w:hint="eastAsia" w:ascii="黑体" w:eastAsia="黑体"/>
          <w:b/>
          <w:sz w:val="32"/>
          <w:szCs w:val="32"/>
        </w:rPr>
        <w:t xml:space="preserve"> </w:t>
      </w:r>
      <w:r>
        <w:rPr>
          <w:rFonts w:hint="eastAsia" w:ascii="黑体" w:eastAsia="黑体"/>
          <w:b/>
          <w:sz w:val="28"/>
          <w:szCs w:val="21"/>
        </w:rPr>
        <w:t>变量选取及测度</w:t>
      </w:r>
      <w:bookmarkEnd w:id="76"/>
      <w:bookmarkEnd w:id="77"/>
      <w:bookmarkEnd w:id="78"/>
      <w:bookmarkEnd w:id="79"/>
    </w:p>
    <w:p>
      <w:pPr>
        <w:spacing w:before="156" w:beforeLines="50" w:after="156" w:afterLines="50"/>
        <w:jc w:val="left"/>
        <w:outlineLvl w:val="2"/>
        <w:rPr>
          <w:rFonts w:ascii="黑体" w:eastAsia="黑体"/>
          <w:b/>
          <w:sz w:val="28"/>
          <w:szCs w:val="28"/>
        </w:rPr>
      </w:pPr>
      <w:bookmarkStart w:id="80" w:name="_Toc100181279"/>
      <w:bookmarkStart w:id="81" w:name="_Toc100181856"/>
      <w:r>
        <w:rPr>
          <w:b/>
          <w:sz w:val="24"/>
        </w:rPr>
        <w:t>3.2.1</w:t>
      </w:r>
      <w:r>
        <w:rPr>
          <w:rFonts w:hint="eastAsia" w:ascii="黑体" w:eastAsia="黑体"/>
          <w:b/>
          <w:sz w:val="24"/>
        </w:rPr>
        <w:t xml:space="preserve"> 被解释变量</w:t>
      </w:r>
      <w:bookmarkEnd w:id="80"/>
      <w:bookmarkEnd w:id="81"/>
    </w:p>
    <w:p>
      <w:pPr>
        <w:spacing w:line="360" w:lineRule="auto"/>
        <w:ind w:firstLine="480" w:firstLineChars="200"/>
        <w:jc w:val="left"/>
        <w:rPr>
          <w:rFonts w:ascii="宋体" w:hAnsi="宋体"/>
          <w:sz w:val="24"/>
        </w:rPr>
      </w:pPr>
      <w:r>
        <w:rPr>
          <w:rFonts w:hint="eastAsia"/>
          <w:sz w:val="24"/>
          <w:szCs w:val="24"/>
        </w:rPr>
        <w:t>本文以绿色技术创新（E</w:t>
      </w:r>
      <w:r>
        <w:rPr>
          <w:sz w:val="24"/>
          <w:szCs w:val="24"/>
        </w:rPr>
        <w:t>TI</w:t>
      </w:r>
      <w:r>
        <w:rPr>
          <w:rFonts w:hint="eastAsia"/>
          <w:sz w:val="24"/>
          <w:szCs w:val="24"/>
        </w:rPr>
        <w:t>）作为被解释变量。根据</w:t>
      </w:r>
      <w:r>
        <w:rPr>
          <w:rFonts w:ascii="宋体" w:hAnsi="宋体"/>
          <w:sz w:val="24"/>
        </w:rPr>
        <w:t>Brunnermeier</w:t>
      </w:r>
      <w:r>
        <w:rPr>
          <w:rFonts w:hint="eastAsia" w:ascii="宋体" w:hAnsi="宋体"/>
          <w:sz w:val="24"/>
        </w:rPr>
        <w:t>（2</w:t>
      </w:r>
      <w:r>
        <w:rPr>
          <w:rFonts w:ascii="宋体" w:hAnsi="宋体"/>
          <w:sz w:val="24"/>
        </w:rPr>
        <w:t>003</w:t>
      </w:r>
      <w:r>
        <w:rPr>
          <w:rFonts w:hint="eastAsia" w:ascii="宋体" w:hAnsi="宋体"/>
          <w:sz w:val="24"/>
        </w:rPr>
        <w:t>）的观点，对企业绿色创新的水平仅仅用专利数量来衡量是不足够的，应该更关注的是企业的绿色专利数量，本文拟采用企业绿色专利申请数量占全部专利申请数量的比重</w:t>
      </w:r>
      <w:r>
        <w:rPr>
          <w:rFonts w:hint="eastAsia" w:ascii="宋体" w:hAnsi="宋体"/>
          <w:sz w:val="24"/>
          <w:lang w:eastAsia="zh-CN"/>
        </w:rPr>
        <w:t>（</w:t>
      </w:r>
      <w:r>
        <w:rPr>
          <w:rFonts w:ascii="宋体" w:hAnsi="宋体"/>
          <w:sz w:val="24"/>
        </w:rPr>
        <w:t>Ratio</w:t>
      </w:r>
      <w:r>
        <w:rPr>
          <w:rFonts w:hint="eastAsia" w:ascii="宋体" w:hAnsi="宋体"/>
          <w:sz w:val="24"/>
          <w:lang w:eastAsia="zh-CN"/>
        </w:rPr>
        <w:t>）</w:t>
      </w:r>
      <w:r>
        <w:rPr>
          <w:rFonts w:hint="eastAsia" w:ascii="宋体" w:hAnsi="宋体"/>
          <w:sz w:val="24"/>
        </w:rPr>
        <w:t>，来衡量企业的绿色技术创新水平，比值相比于绿色专利的绝对数字，将更多地排除掉无关因素的影响。而选择专利的申请数量而非获得数量，也是因为一方面企业在申请专利的过程中已经将专利投入使用，另一方面专利的授权能否通过会受到政策、时间的影响，因此本文认为使用绿色专利的申请数量在衡量企业的绿色技术创新水平上更有代表性。</w:t>
      </w:r>
    </w:p>
    <w:p>
      <w:pPr>
        <w:spacing w:line="360" w:lineRule="auto"/>
        <w:ind w:firstLine="480" w:firstLineChars="200"/>
        <w:jc w:val="left"/>
        <w:rPr>
          <w:sz w:val="24"/>
          <w:szCs w:val="24"/>
        </w:rPr>
      </w:pPr>
      <w:r>
        <w:rPr>
          <w:rFonts w:hint="eastAsia" w:ascii="宋体" w:hAnsi="宋体"/>
          <w:sz w:val="24"/>
        </w:rPr>
        <w:t>本文将使用企业的绿色专利申请占所有专利申请情况的比重（通过当年独立申请的绿色发明数量、当年独立申请的绿色实用新型数量、当年联合申请的绿色发明数量、当年联合申请的绿色实用新型数量加和得到）</w:t>
      </w:r>
      <w:r>
        <w:rPr>
          <w:rFonts w:hint="eastAsia"/>
          <w:sz w:val="24"/>
          <w:szCs w:val="24"/>
        </w:rPr>
        <w:t>考虑到政策的滞后效应，对于政策实施之后的2</w:t>
      </w:r>
      <w:r>
        <w:rPr>
          <w:sz w:val="24"/>
          <w:szCs w:val="24"/>
        </w:rPr>
        <w:t>014</w:t>
      </w:r>
      <w:r>
        <w:rPr>
          <w:rFonts w:hint="eastAsia"/>
          <w:sz w:val="24"/>
          <w:szCs w:val="24"/>
        </w:rPr>
        <w:t>年与2</w:t>
      </w:r>
      <w:r>
        <w:rPr>
          <w:sz w:val="24"/>
          <w:szCs w:val="24"/>
        </w:rPr>
        <w:t>015</w:t>
      </w:r>
      <w:r>
        <w:rPr>
          <w:rFonts w:hint="eastAsia"/>
          <w:sz w:val="24"/>
          <w:szCs w:val="24"/>
        </w:rPr>
        <w:t>年的专利数据将采用2</w:t>
      </w:r>
      <w:r>
        <w:rPr>
          <w:sz w:val="24"/>
          <w:szCs w:val="24"/>
        </w:rPr>
        <w:t>015</w:t>
      </w:r>
      <w:r>
        <w:rPr>
          <w:rFonts w:hint="eastAsia"/>
          <w:sz w:val="24"/>
          <w:szCs w:val="24"/>
        </w:rPr>
        <w:t>年与2</w:t>
      </w:r>
      <w:r>
        <w:rPr>
          <w:sz w:val="24"/>
          <w:szCs w:val="24"/>
        </w:rPr>
        <w:t>016</w:t>
      </w:r>
      <w:r>
        <w:rPr>
          <w:rFonts w:hint="eastAsia"/>
          <w:sz w:val="24"/>
          <w:szCs w:val="24"/>
        </w:rPr>
        <w:t>年进行度量。</w:t>
      </w:r>
    </w:p>
    <w:p>
      <w:pPr>
        <w:spacing w:before="156" w:beforeLines="50" w:after="156" w:afterLines="50"/>
        <w:jc w:val="left"/>
        <w:outlineLvl w:val="2"/>
        <w:rPr>
          <w:rFonts w:ascii="黑体" w:eastAsia="黑体"/>
          <w:b/>
          <w:sz w:val="24"/>
        </w:rPr>
      </w:pPr>
      <w:bookmarkStart w:id="82" w:name="_Toc100181857"/>
      <w:bookmarkStart w:id="83" w:name="_Toc100181280"/>
      <w:r>
        <w:rPr>
          <w:b/>
          <w:sz w:val="24"/>
        </w:rPr>
        <w:t>3.2.2</w:t>
      </w:r>
      <w:r>
        <w:rPr>
          <w:rFonts w:hint="eastAsia" w:ascii="黑体" w:eastAsia="黑体"/>
          <w:b/>
          <w:sz w:val="24"/>
        </w:rPr>
        <w:t xml:space="preserve"> 解释变量</w:t>
      </w:r>
      <w:bookmarkEnd w:id="82"/>
      <w:bookmarkEnd w:id="83"/>
    </w:p>
    <w:p>
      <w:pPr>
        <w:spacing w:line="360" w:lineRule="auto"/>
        <w:ind w:firstLine="480" w:firstLineChars="200"/>
        <w:jc w:val="left"/>
        <w:rPr>
          <w:sz w:val="24"/>
          <w:szCs w:val="24"/>
        </w:rPr>
      </w:pPr>
      <w:r>
        <w:rPr>
          <w:rFonts w:hint="eastAsia"/>
          <w:sz w:val="24"/>
          <w:szCs w:val="24"/>
        </w:rPr>
        <w:t>本文的解释变量为自然资源资产离任审计试点政策的虚拟变量。</w:t>
      </w:r>
    </w:p>
    <w:p>
      <w:pPr>
        <w:spacing w:line="360" w:lineRule="auto"/>
        <w:ind w:firstLine="480" w:firstLineChars="200"/>
        <w:jc w:val="left"/>
        <w:rPr>
          <w:sz w:val="24"/>
          <w:szCs w:val="24"/>
        </w:rPr>
      </w:pPr>
      <w:r>
        <w:rPr>
          <w:rFonts w:hint="eastAsia"/>
          <w:sz w:val="24"/>
          <w:szCs w:val="24"/>
        </w:rPr>
        <w:t>（１）将试点区域</w:t>
      </w:r>
      <w:r>
        <w:rPr>
          <w:sz w:val="24"/>
          <w:szCs w:val="24"/>
        </w:rPr>
        <w:t>T</w:t>
      </w:r>
      <w:r>
        <w:rPr>
          <w:rFonts w:hint="eastAsia"/>
          <w:sz w:val="24"/>
          <w:szCs w:val="24"/>
        </w:rPr>
        <w:t>reat设为虚拟变量，Treat</w:t>
      </w:r>
      <w:r>
        <w:rPr>
          <w:sz w:val="24"/>
          <w:szCs w:val="24"/>
        </w:rPr>
        <w:t>=1</w:t>
      </w:r>
      <w:r>
        <w:rPr>
          <w:rFonts w:hint="eastAsia"/>
          <w:sz w:val="24"/>
          <w:szCs w:val="24"/>
        </w:rPr>
        <w:t>表示是试点地区；Treat</w:t>
      </w:r>
      <w:r>
        <w:rPr>
          <w:sz w:val="24"/>
          <w:szCs w:val="24"/>
        </w:rPr>
        <w:t>=0</w:t>
      </w:r>
      <w:r>
        <w:rPr>
          <w:rFonts w:hint="eastAsia"/>
          <w:sz w:val="24"/>
          <w:szCs w:val="24"/>
        </w:rPr>
        <w:t>表示非试点地区。</w:t>
      </w:r>
    </w:p>
    <w:p>
      <w:pPr>
        <w:spacing w:line="360" w:lineRule="auto"/>
        <w:ind w:firstLine="480" w:firstLineChars="200"/>
        <w:jc w:val="left"/>
        <w:rPr>
          <w:sz w:val="24"/>
          <w:szCs w:val="24"/>
        </w:rPr>
      </w:pPr>
      <w:r>
        <w:rPr>
          <w:rFonts w:hint="eastAsia"/>
          <w:sz w:val="24"/>
          <w:szCs w:val="24"/>
        </w:rPr>
        <w:t>（２）将试点时间</w:t>
      </w:r>
      <w:r>
        <w:rPr>
          <w:sz w:val="24"/>
          <w:szCs w:val="24"/>
        </w:rPr>
        <w:t>P</w:t>
      </w:r>
      <w:r>
        <w:rPr>
          <w:rFonts w:hint="eastAsia"/>
          <w:sz w:val="24"/>
          <w:szCs w:val="24"/>
        </w:rPr>
        <w:t>ost设为虚拟变量，Post</w:t>
      </w:r>
      <w:r>
        <w:rPr>
          <w:sz w:val="24"/>
          <w:szCs w:val="24"/>
        </w:rPr>
        <w:t xml:space="preserve"> =1</w:t>
      </w:r>
      <w:r>
        <w:rPr>
          <w:rFonts w:hint="eastAsia"/>
          <w:sz w:val="24"/>
          <w:szCs w:val="24"/>
        </w:rPr>
        <w:t>表示是2</w:t>
      </w:r>
      <w:r>
        <w:rPr>
          <w:sz w:val="24"/>
          <w:szCs w:val="24"/>
        </w:rPr>
        <w:t>014</w:t>
      </w:r>
      <w:r>
        <w:rPr>
          <w:rFonts w:hint="eastAsia"/>
          <w:sz w:val="24"/>
          <w:szCs w:val="24"/>
        </w:rPr>
        <w:t>年之后已经开始试点；Post</w:t>
      </w:r>
      <w:r>
        <w:rPr>
          <w:sz w:val="24"/>
          <w:szCs w:val="24"/>
        </w:rPr>
        <w:t>=0</w:t>
      </w:r>
      <w:r>
        <w:rPr>
          <w:rFonts w:hint="eastAsia"/>
          <w:sz w:val="24"/>
          <w:szCs w:val="24"/>
        </w:rPr>
        <w:t>表示是2</w:t>
      </w:r>
      <w:r>
        <w:rPr>
          <w:sz w:val="24"/>
          <w:szCs w:val="24"/>
        </w:rPr>
        <w:t>014</w:t>
      </w:r>
      <w:r>
        <w:rPr>
          <w:rFonts w:hint="eastAsia"/>
          <w:sz w:val="24"/>
          <w:szCs w:val="24"/>
        </w:rPr>
        <w:t>年之前尚未开始政策试点。</w:t>
      </w:r>
    </w:p>
    <w:p>
      <w:pPr>
        <w:jc w:val="left"/>
        <w:outlineLvl w:val="2"/>
        <w:rPr>
          <w:rFonts w:ascii="黑体" w:eastAsia="黑体"/>
          <w:b/>
          <w:sz w:val="24"/>
        </w:rPr>
      </w:pPr>
      <w:bookmarkStart w:id="84" w:name="_Toc100181858"/>
      <w:bookmarkStart w:id="85" w:name="_Toc100181281"/>
      <w:r>
        <w:rPr>
          <w:b/>
          <w:sz w:val="24"/>
        </w:rPr>
        <w:t>3.2.3</w:t>
      </w:r>
      <w:r>
        <w:rPr>
          <w:rFonts w:hint="eastAsia" w:ascii="黑体" w:eastAsia="黑体"/>
          <w:b/>
          <w:sz w:val="24"/>
        </w:rPr>
        <w:t xml:space="preserve"> 控制变量</w:t>
      </w:r>
      <w:bookmarkEnd w:id="84"/>
      <w:bookmarkEnd w:id="85"/>
    </w:p>
    <w:p>
      <w:pPr>
        <w:spacing w:line="360" w:lineRule="auto"/>
        <w:ind w:firstLine="480" w:firstLineChars="200"/>
        <w:jc w:val="left"/>
        <w:rPr>
          <w:sz w:val="24"/>
          <w:szCs w:val="24"/>
        </w:rPr>
      </w:pPr>
      <w:r>
        <w:rPr>
          <w:rFonts w:hint="eastAsia"/>
          <w:sz w:val="24"/>
          <w:szCs w:val="24"/>
        </w:rPr>
        <w:t>（１）公司规模（S</w:t>
      </w:r>
      <w:r>
        <w:rPr>
          <w:sz w:val="24"/>
          <w:szCs w:val="24"/>
        </w:rPr>
        <w:t>ize</w:t>
      </w:r>
      <w:r>
        <w:rPr>
          <w:rFonts w:hint="eastAsia"/>
          <w:sz w:val="24"/>
          <w:szCs w:val="24"/>
        </w:rPr>
        <w:t>）：使用总资产的自然对数衡量。公司规模越大，代表公司有更雄厚的资金实力以及健全的内部治理结构。</w:t>
      </w:r>
    </w:p>
    <w:p>
      <w:pPr>
        <w:spacing w:line="360" w:lineRule="auto"/>
        <w:ind w:firstLine="480" w:firstLineChars="200"/>
        <w:jc w:val="left"/>
        <w:rPr>
          <w:sz w:val="24"/>
          <w:szCs w:val="24"/>
        </w:rPr>
      </w:pPr>
      <w:r>
        <w:rPr>
          <w:rFonts w:hint="eastAsia"/>
          <w:sz w:val="24"/>
          <w:szCs w:val="24"/>
        </w:rPr>
        <w:t>（２）公司财务杠杆（</w:t>
      </w:r>
      <w:r>
        <w:rPr>
          <w:sz w:val="24"/>
          <w:szCs w:val="24"/>
        </w:rPr>
        <w:t>L</w:t>
      </w:r>
      <w:r>
        <w:rPr>
          <w:rFonts w:hint="eastAsia"/>
          <w:sz w:val="24"/>
          <w:szCs w:val="24"/>
        </w:rPr>
        <w:t>ev）：通过公司总负债/公司总资产衡量。资产负债率越高，公司的财务风险就越高，同时，如果公司的资产负债率过低，则公司可能会缺乏用于进一步发展的资金。</w:t>
      </w:r>
    </w:p>
    <w:p>
      <w:pPr>
        <w:spacing w:line="360" w:lineRule="auto"/>
        <w:ind w:firstLine="480" w:firstLineChars="200"/>
        <w:jc w:val="left"/>
        <w:rPr>
          <w:sz w:val="24"/>
          <w:szCs w:val="24"/>
        </w:rPr>
      </w:pPr>
      <w:r>
        <w:rPr>
          <w:rFonts w:hint="eastAsia"/>
          <w:sz w:val="24"/>
          <w:szCs w:val="24"/>
        </w:rPr>
        <w:t>（３）公司效益（</w:t>
      </w:r>
      <w:r>
        <w:rPr>
          <w:sz w:val="24"/>
          <w:szCs w:val="24"/>
        </w:rPr>
        <w:t>ROA</w:t>
      </w:r>
      <w:r>
        <w:rPr>
          <w:rFonts w:hint="eastAsia"/>
          <w:sz w:val="24"/>
          <w:szCs w:val="24"/>
        </w:rPr>
        <w:t>）：用公司总资产净利润率，即净利润/总资产平均余额进行衡量，反映公司占用全部资产所能创造的利润水平，总资产净利润率越高说明企业的经济效益更好。</w:t>
      </w:r>
    </w:p>
    <w:p>
      <w:pPr>
        <w:spacing w:line="360" w:lineRule="auto"/>
        <w:ind w:firstLine="480" w:firstLineChars="200"/>
        <w:jc w:val="left"/>
        <w:rPr>
          <w:sz w:val="24"/>
          <w:szCs w:val="24"/>
        </w:rPr>
      </w:pPr>
      <w:r>
        <w:rPr>
          <w:rFonts w:hint="eastAsia"/>
          <w:sz w:val="24"/>
          <w:szCs w:val="24"/>
        </w:rPr>
        <w:t>（４）公司代理成本（Mfee）：使用管理费用/营业总收入进行衡量，反映企业的管理效率，代理成本越高，说明企业的经营管理效率越低。</w:t>
      </w:r>
    </w:p>
    <w:p>
      <w:pPr>
        <w:spacing w:line="360" w:lineRule="auto"/>
        <w:ind w:firstLine="480" w:firstLineChars="200"/>
        <w:jc w:val="left"/>
        <w:rPr>
          <w:sz w:val="24"/>
          <w:szCs w:val="24"/>
        </w:rPr>
      </w:pPr>
      <w:r>
        <w:rPr>
          <w:rFonts w:hint="eastAsia"/>
          <w:sz w:val="24"/>
          <w:szCs w:val="24"/>
        </w:rPr>
        <w:t>（５）公司成熟度（Firm</w:t>
      </w:r>
      <w:r>
        <w:rPr>
          <w:sz w:val="24"/>
          <w:szCs w:val="24"/>
        </w:rPr>
        <w:t>A</w:t>
      </w:r>
      <w:r>
        <w:rPr>
          <w:rFonts w:hint="eastAsia"/>
          <w:sz w:val="24"/>
          <w:szCs w:val="24"/>
        </w:rPr>
        <w:t>ge）：本文使用观测年份-成立年份+</w:t>
      </w:r>
      <w:r>
        <w:rPr>
          <w:sz w:val="24"/>
          <w:szCs w:val="24"/>
        </w:rPr>
        <w:t>1</w:t>
      </w:r>
      <w:r>
        <w:rPr>
          <w:rFonts w:hint="eastAsia"/>
          <w:sz w:val="24"/>
          <w:szCs w:val="24"/>
        </w:rPr>
        <w:t>的自然对数衡量公司成熟度。</w:t>
      </w:r>
    </w:p>
    <w:p>
      <w:pPr>
        <w:spacing w:line="360" w:lineRule="auto"/>
        <w:ind w:firstLine="480" w:firstLineChars="200"/>
        <w:jc w:val="left"/>
        <w:rPr>
          <w:sz w:val="24"/>
          <w:szCs w:val="24"/>
        </w:rPr>
      </w:pPr>
      <w:r>
        <w:rPr>
          <w:rFonts w:hint="eastAsia"/>
          <w:sz w:val="24"/>
          <w:szCs w:val="24"/>
        </w:rPr>
        <w:t>（６）公司股权集中度（Top1）：使用第一大股东持股数量/总股数进行衡量。第一大股东持股比例越高，意味着公司的股权集中度越高，大股东将在做出决策时更具有话语权，同时也可能因此面临更高的代理成本。</w:t>
      </w:r>
    </w:p>
    <w:p>
      <w:pPr>
        <w:spacing w:line="360" w:lineRule="auto"/>
        <w:ind w:firstLine="480" w:firstLineChars="200"/>
        <w:jc w:val="left"/>
        <w:rPr>
          <w:sz w:val="24"/>
          <w:szCs w:val="24"/>
        </w:rPr>
      </w:pPr>
      <w:r>
        <w:rPr>
          <w:rFonts w:hint="eastAsia"/>
          <w:sz w:val="24"/>
          <w:szCs w:val="24"/>
        </w:rPr>
        <w:t>（７）公司资本密集度（CAPT）：使用总资产/营业收入衡量，指产生单位销售额所需的资产金额，可以衡量公司的经营效率，资本密集度越高意味着公司的经营效率更低。</w:t>
      </w:r>
    </w:p>
    <w:p>
      <w:pPr>
        <w:spacing w:line="360" w:lineRule="auto"/>
        <w:ind w:firstLine="480" w:firstLineChars="200"/>
        <w:jc w:val="left"/>
        <w:rPr>
          <w:sz w:val="24"/>
          <w:szCs w:val="24"/>
        </w:rPr>
      </w:pPr>
      <w:r>
        <w:rPr>
          <w:rFonts w:hint="eastAsia"/>
          <w:sz w:val="24"/>
          <w:szCs w:val="24"/>
        </w:rPr>
        <w:t>以上各变量具体定义如下表</w:t>
      </w:r>
      <w:r>
        <w:rPr>
          <w:sz w:val="24"/>
          <w:szCs w:val="24"/>
        </w:rPr>
        <w:t>3-3</w:t>
      </w:r>
      <w:r>
        <w:rPr>
          <w:rFonts w:hint="eastAsia"/>
          <w:sz w:val="24"/>
          <w:szCs w:val="24"/>
        </w:rPr>
        <w:t>所示。</w:t>
      </w:r>
    </w:p>
    <w:p>
      <w:pPr>
        <w:widowControl/>
        <w:jc w:val="left"/>
        <w:rPr>
          <w:sz w:val="24"/>
          <w:szCs w:val="24"/>
        </w:rPr>
      </w:pPr>
      <w:r>
        <w:rPr>
          <w:sz w:val="24"/>
          <w:szCs w:val="24"/>
        </w:rPr>
        <w:br w:type="page"/>
      </w:r>
    </w:p>
    <w:p>
      <w:pPr>
        <w:pStyle w:val="4"/>
        <w:spacing w:after="156"/>
      </w:pPr>
      <w:bookmarkStart w:id="86" w:name="_Toc102926874"/>
      <w:bookmarkStart w:id="87" w:name="_Toc104376090"/>
      <w:r>
        <w:rPr>
          <w:rFonts w:hint="eastAsia"/>
        </w:rPr>
        <w:t>表3-</w:t>
      </w:r>
      <w:r>
        <w:fldChar w:fldCharType="begin"/>
      </w:r>
      <w:r>
        <w:instrText xml:space="preserve"> </w:instrText>
      </w:r>
      <w:r>
        <w:rPr>
          <w:rFonts w:hint="eastAsia"/>
        </w:rPr>
        <w:instrText xml:space="preserve">SEQ 表3- \* ARABIC</w:instrText>
      </w:r>
      <w:r>
        <w:instrText xml:space="preserve"> </w:instrText>
      </w:r>
      <w:r>
        <w:fldChar w:fldCharType="separate"/>
      </w:r>
      <w:r>
        <w:t>3</w:t>
      </w:r>
      <w:r>
        <w:fldChar w:fldCharType="end"/>
      </w:r>
      <w:r>
        <w:t xml:space="preserve">  </w:t>
      </w:r>
      <w:r>
        <w:rPr>
          <w:rFonts w:hint="eastAsia" w:ascii="黑体" w:hAnsi="宋体"/>
        </w:rPr>
        <w:t>变量定义</w:t>
      </w:r>
      <w:bookmarkEnd w:id="86"/>
      <w:bookmarkEnd w:id="87"/>
    </w:p>
    <w:tbl>
      <w:tblPr>
        <w:tblStyle w:val="14"/>
        <w:tblW w:w="8505" w:type="dxa"/>
        <w:tblInd w:w="0" w:type="dxa"/>
        <w:tblBorders>
          <w:top w:val="single" w:color="auto" w:sz="4"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20"/>
        <w:gridCol w:w="1227"/>
        <w:gridCol w:w="1706"/>
        <w:gridCol w:w="4252"/>
      </w:tblGrid>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tcBorders>
              <w:top w:val="single" w:color="auto" w:sz="12" w:space="0"/>
              <w:bottom w:val="single" w:color="auto" w:sz="4" w:space="0"/>
            </w:tcBorders>
            <w:shd w:val="clear" w:color="auto" w:fill="auto"/>
            <w:noWrap/>
            <w:vAlign w:val="bottom"/>
          </w:tcPr>
          <w:p>
            <w:pPr>
              <w:widowControl/>
              <w:spacing w:line="300" w:lineRule="exact"/>
              <w:jc w:val="center"/>
              <w:rPr>
                <w:rFonts w:ascii="宋体" w:hAnsi="宋体" w:cs="宋体"/>
                <w:color w:val="000000"/>
                <w:kern w:val="0"/>
                <w:szCs w:val="22"/>
              </w:rPr>
            </w:pPr>
            <w:r>
              <w:rPr>
                <w:rFonts w:hint="eastAsia" w:ascii="宋体" w:hAnsi="宋体" w:cs="宋体"/>
                <w:color w:val="000000"/>
                <w:kern w:val="0"/>
                <w:szCs w:val="22"/>
              </w:rPr>
              <w:t>变量类型</w:t>
            </w:r>
          </w:p>
        </w:tc>
        <w:tc>
          <w:tcPr>
            <w:tcW w:w="1227" w:type="dxa"/>
            <w:tcBorders>
              <w:top w:val="single" w:color="auto" w:sz="12" w:space="0"/>
              <w:bottom w:val="single" w:color="auto" w:sz="4" w:space="0"/>
            </w:tcBorders>
            <w:shd w:val="clear" w:color="auto" w:fill="auto"/>
            <w:noWrap/>
            <w:vAlign w:val="bottom"/>
          </w:tcPr>
          <w:p>
            <w:pPr>
              <w:widowControl/>
              <w:spacing w:line="300" w:lineRule="exact"/>
              <w:jc w:val="center"/>
              <w:rPr>
                <w:rFonts w:ascii="宋体" w:hAnsi="宋体" w:cs="宋体"/>
                <w:color w:val="000000"/>
                <w:kern w:val="0"/>
                <w:szCs w:val="22"/>
              </w:rPr>
            </w:pPr>
            <w:r>
              <w:rPr>
                <w:rFonts w:hint="eastAsia" w:ascii="宋体" w:hAnsi="宋体" w:cs="宋体"/>
                <w:color w:val="000000"/>
                <w:kern w:val="0"/>
                <w:szCs w:val="22"/>
              </w:rPr>
              <w:t>变量符号</w:t>
            </w:r>
          </w:p>
        </w:tc>
        <w:tc>
          <w:tcPr>
            <w:tcW w:w="1706" w:type="dxa"/>
            <w:tcBorders>
              <w:top w:val="single" w:color="auto" w:sz="12" w:space="0"/>
              <w:bottom w:val="single" w:color="auto" w:sz="4" w:space="0"/>
            </w:tcBorders>
            <w:shd w:val="clear" w:color="auto" w:fill="auto"/>
            <w:noWrap/>
            <w:vAlign w:val="bottom"/>
          </w:tcPr>
          <w:p>
            <w:pPr>
              <w:widowControl/>
              <w:spacing w:line="300" w:lineRule="exact"/>
              <w:jc w:val="center"/>
              <w:rPr>
                <w:rFonts w:ascii="宋体" w:hAnsi="宋体" w:cs="宋体"/>
                <w:color w:val="000000"/>
                <w:kern w:val="0"/>
                <w:szCs w:val="22"/>
              </w:rPr>
            </w:pPr>
            <w:r>
              <w:rPr>
                <w:rFonts w:hint="eastAsia" w:ascii="宋体" w:hAnsi="宋体" w:cs="宋体"/>
                <w:color w:val="000000"/>
                <w:kern w:val="0"/>
                <w:szCs w:val="22"/>
              </w:rPr>
              <w:t>变量名称</w:t>
            </w:r>
          </w:p>
        </w:tc>
        <w:tc>
          <w:tcPr>
            <w:tcW w:w="4252" w:type="dxa"/>
            <w:tcBorders>
              <w:top w:val="single" w:color="auto" w:sz="12" w:space="0"/>
              <w:bottom w:val="single" w:color="auto" w:sz="4" w:space="0"/>
            </w:tcBorders>
            <w:shd w:val="clear" w:color="auto" w:fill="auto"/>
            <w:noWrap/>
            <w:vAlign w:val="bottom"/>
          </w:tcPr>
          <w:p>
            <w:pPr>
              <w:widowControl/>
              <w:spacing w:line="300" w:lineRule="exact"/>
              <w:jc w:val="center"/>
              <w:rPr>
                <w:rFonts w:ascii="宋体" w:hAnsi="宋体" w:cs="宋体"/>
                <w:color w:val="000000"/>
                <w:kern w:val="0"/>
                <w:szCs w:val="22"/>
              </w:rPr>
            </w:pPr>
            <w:r>
              <w:rPr>
                <w:rFonts w:hint="eastAsia" w:ascii="宋体" w:hAnsi="宋体" w:cs="宋体"/>
                <w:color w:val="000000"/>
                <w:kern w:val="0"/>
                <w:szCs w:val="22"/>
              </w:rPr>
              <w:t>衡量指标</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tcBorders>
              <w:top w:val="single" w:color="auto" w:sz="4" w:space="0"/>
            </w:tcBorders>
            <w:shd w:val="clear" w:color="auto" w:fill="auto"/>
            <w:noWrap/>
            <w:vAlign w:val="center"/>
          </w:tcPr>
          <w:p>
            <w:pPr>
              <w:widowControl/>
              <w:jc w:val="center"/>
              <w:rPr>
                <w:rFonts w:ascii="宋体" w:hAnsi="宋体" w:cs="宋体"/>
                <w:color w:val="000000"/>
                <w:kern w:val="0"/>
                <w:szCs w:val="22"/>
              </w:rPr>
            </w:pPr>
            <w:r>
              <w:rPr>
                <w:rFonts w:hint="eastAsia" w:ascii="宋体" w:hAnsi="宋体" w:cs="宋体"/>
                <w:color w:val="000000"/>
                <w:kern w:val="0"/>
                <w:szCs w:val="22"/>
              </w:rPr>
              <w:t>被解释变量</w:t>
            </w:r>
          </w:p>
        </w:tc>
        <w:tc>
          <w:tcPr>
            <w:tcW w:w="1227" w:type="dxa"/>
            <w:tcBorders>
              <w:top w:val="single" w:color="auto" w:sz="4" w:space="0"/>
            </w:tcBorders>
            <w:shd w:val="clear" w:color="auto" w:fill="auto"/>
            <w:noWrap/>
            <w:vAlign w:val="center"/>
          </w:tcPr>
          <w:p>
            <w:pPr>
              <w:widowControl/>
              <w:jc w:val="center"/>
              <w:rPr>
                <w:color w:val="000000"/>
                <w:kern w:val="0"/>
                <w:szCs w:val="21"/>
              </w:rPr>
            </w:pPr>
            <w:r>
              <w:rPr>
                <w:rFonts w:hint="eastAsia"/>
                <w:color w:val="000000"/>
                <w:kern w:val="0"/>
                <w:szCs w:val="21"/>
              </w:rPr>
              <w:t>Ratio</w:t>
            </w:r>
          </w:p>
        </w:tc>
        <w:tc>
          <w:tcPr>
            <w:tcW w:w="1706" w:type="dxa"/>
            <w:tcBorders>
              <w:top w:val="single" w:color="auto" w:sz="4" w:space="0"/>
            </w:tcBorders>
            <w:shd w:val="clear" w:color="auto" w:fill="auto"/>
            <w:noWrap/>
            <w:vAlign w:val="center"/>
          </w:tcPr>
          <w:p>
            <w:pPr>
              <w:widowControl/>
              <w:jc w:val="left"/>
              <w:rPr>
                <w:rFonts w:ascii="宋体" w:hAnsi="宋体" w:cs="宋体"/>
                <w:color w:val="000000"/>
                <w:kern w:val="0"/>
                <w:szCs w:val="22"/>
              </w:rPr>
            </w:pPr>
            <w:r>
              <w:rPr>
                <w:rFonts w:hint="eastAsia" w:ascii="宋体" w:hAnsi="宋体" w:cs="宋体"/>
                <w:color w:val="000000"/>
                <w:kern w:val="0"/>
                <w:szCs w:val="22"/>
              </w:rPr>
              <w:t>绿色技术创新</w:t>
            </w:r>
          </w:p>
        </w:tc>
        <w:tc>
          <w:tcPr>
            <w:tcW w:w="4252" w:type="dxa"/>
            <w:tcBorders>
              <w:top w:val="single" w:color="auto" w:sz="4" w:space="0"/>
              <w:bottom w:val="nil"/>
            </w:tcBorders>
            <w:shd w:val="clear" w:color="auto" w:fill="auto"/>
            <w:noWrap/>
            <w:vAlign w:val="center"/>
          </w:tcPr>
          <w:p>
            <w:pPr>
              <w:widowControl/>
              <w:jc w:val="left"/>
              <w:rPr>
                <w:color w:val="000000"/>
                <w:kern w:val="0"/>
                <w:szCs w:val="22"/>
              </w:rPr>
            </w:pPr>
            <w:r>
              <w:rPr>
                <w:color w:val="000000"/>
                <w:kern w:val="0"/>
                <w:szCs w:val="22"/>
              </w:rPr>
              <w:t>绿色专利申请数量/全部专利申请数量</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tcBorders>
              <w:bottom w:val="nil"/>
            </w:tcBorders>
            <w:shd w:val="clear" w:color="auto" w:fill="auto"/>
            <w:noWrap/>
            <w:vAlign w:val="center"/>
          </w:tcPr>
          <w:p>
            <w:pPr>
              <w:widowControl/>
              <w:jc w:val="center"/>
              <w:rPr>
                <w:rFonts w:ascii="宋体" w:hAnsi="宋体" w:cs="宋体"/>
                <w:color w:val="000000"/>
                <w:kern w:val="0"/>
                <w:szCs w:val="22"/>
              </w:rPr>
            </w:pPr>
            <w:r>
              <w:rPr>
                <w:rFonts w:hint="eastAsia" w:ascii="宋体" w:hAnsi="宋体" w:cs="宋体"/>
                <w:color w:val="000000"/>
                <w:kern w:val="0"/>
                <w:szCs w:val="22"/>
              </w:rPr>
              <w:t>解释变量</w:t>
            </w:r>
          </w:p>
        </w:tc>
        <w:tc>
          <w:tcPr>
            <w:tcW w:w="1227" w:type="dxa"/>
            <w:tcBorders>
              <w:bottom w:val="nil"/>
            </w:tcBorders>
            <w:shd w:val="clear" w:color="auto" w:fill="auto"/>
            <w:noWrap/>
            <w:vAlign w:val="center"/>
          </w:tcPr>
          <w:p>
            <w:pPr>
              <w:widowControl/>
              <w:jc w:val="center"/>
              <w:rPr>
                <w:color w:val="000000"/>
                <w:kern w:val="0"/>
                <w:szCs w:val="21"/>
              </w:rPr>
            </w:pPr>
            <w:r>
              <w:rPr>
                <w:color w:val="000000"/>
                <w:kern w:val="0"/>
                <w:szCs w:val="21"/>
              </w:rPr>
              <w:t>T</w:t>
            </w:r>
            <w:r>
              <w:rPr>
                <w:rFonts w:hint="eastAsia"/>
                <w:color w:val="000000"/>
                <w:kern w:val="0"/>
                <w:szCs w:val="21"/>
              </w:rPr>
              <w:t>reat</w:t>
            </w:r>
            <w:r>
              <w:rPr>
                <w:color w:val="000000"/>
                <w:kern w:val="0"/>
                <w:szCs w:val="21"/>
              </w:rPr>
              <w:t>*P</w:t>
            </w:r>
            <w:r>
              <w:rPr>
                <w:rFonts w:hint="eastAsia"/>
                <w:color w:val="000000"/>
                <w:kern w:val="0"/>
                <w:szCs w:val="21"/>
              </w:rPr>
              <w:t>ost</w:t>
            </w:r>
          </w:p>
        </w:tc>
        <w:tc>
          <w:tcPr>
            <w:tcW w:w="1706" w:type="dxa"/>
            <w:tcBorders>
              <w:bottom w:val="nil"/>
            </w:tcBorders>
            <w:shd w:val="clear" w:color="auto" w:fill="auto"/>
            <w:noWrap/>
            <w:vAlign w:val="center"/>
          </w:tcPr>
          <w:p>
            <w:pPr>
              <w:widowControl/>
              <w:jc w:val="left"/>
              <w:rPr>
                <w:rFonts w:ascii="宋体" w:hAnsi="宋体" w:cs="宋体"/>
                <w:color w:val="000000"/>
                <w:kern w:val="0"/>
                <w:szCs w:val="22"/>
              </w:rPr>
            </w:pPr>
            <w:r>
              <w:rPr>
                <w:rFonts w:hint="eastAsia" w:ascii="宋体" w:hAnsi="宋体" w:cs="宋体"/>
                <w:color w:val="000000"/>
                <w:kern w:val="0"/>
                <w:szCs w:val="22"/>
              </w:rPr>
              <w:t>审计试点</w:t>
            </w:r>
          </w:p>
        </w:tc>
        <w:tc>
          <w:tcPr>
            <w:tcW w:w="4252" w:type="dxa"/>
            <w:tcBorders>
              <w:bottom w:val="nil"/>
            </w:tcBorders>
            <w:shd w:val="clear" w:color="auto" w:fill="auto"/>
            <w:noWrap/>
            <w:vAlign w:val="bottom"/>
          </w:tcPr>
          <w:p>
            <w:pPr>
              <w:widowControl/>
              <w:jc w:val="left"/>
              <w:rPr>
                <w:color w:val="000000"/>
                <w:kern w:val="0"/>
                <w:szCs w:val="22"/>
              </w:rPr>
            </w:pPr>
            <w:r>
              <w:rPr>
                <w:color w:val="000000"/>
                <w:kern w:val="0"/>
                <w:szCs w:val="22"/>
              </w:rPr>
              <w:t>试点地区2014年前取0，2014年后取1；非试点地区一直取0</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vMerge w:val="restart"/>
            <w:tcBorders>
              <w:top w:val="nil"/>
              <w:bottom w:val="nil"/>
            </w:tcBorders>
            <w:shd w:val="clear" w:color="auto" w:fill="auto"/>
            <w:noWrap/>
            <w:vAlign w:val="center"/>
          </w:tcPr>
          <w:p>
            <w:pPr>
              <w:jc w:val="center"/>
              <w:rPr>
                <w:rFonts w:ascii="宋体" w:hAnsi="宋体" w:cs="宋体"/>
                <w:color w:val="000000"/>
                <w:kern w:val="0"/>
                <w:szCs w:val="22"/>
              </w:rPr>
            </w:pPr>
            <w:r>
              <w:rPr>
                <w:rFonts w:hint="eastAsia" w:ascii="宋体" w:hAnsi="宋体" w:cs="宋体"/>
                <w:color w:val="000000"/>
                <w:kern w:val="0"/>
                <w:szCs w:val="22"/>
              </w:rPr>
              <w:t>控制变量</w:t>
            </w:r>
          </w:p>
        </w:tc>
        <w:tc>
          <w:tcPr>
            <w:tcW w:w="1227" w:type="dxa"/>
            <w:tcBorders>
              <w:top w:val="nil"/>
              <w:bottom w:val="nil"/>
            </w:tcBorders>
            <w:shd w:val="clear" w:color="auto" w:fill="auto"/>
            <w:noWrap/>
            <w:vAlign w:val="bottom"/>
          </w:tcPr>
          <w:p>
            <w:pPr>
              <w:widowControl/>
              <w:jc w:val="center"/>
              <w:rPr>
                <w:color w:val="000000"/>
                <w:kern w:val="0"/>
                <w:szCs w:val="21"/>
              </w:rPr>
            </w:pPr>
            <w:r>
              <w:rPr>
                <w:rFonts w:hint="eastAsia"/>
                <w:color w:val="000000"/>
                <w:kern w:val="0"/>
                <w:szCs w:val="21"/>
              </w:rPr>
              <w:t>S</w:t>
            </w:r>
            <w:r>
              <w:rPr>
                <w:color w:val="000000"/>
                <w:kern w:val="0"/>
                <w:szCs w:val="21"/>
              </w:rPr>
              <w:t>ize</w:t>
            </w:r>
          </w:p>
        </w:tc>
        <w:tc>
          <w:tcPr>
            <w:tcW w:w="1706" w:type="dxa"/>
            <w:tcBorders>
              <w:top w:val="nil"/>
              <w:bottom w:val="nil"/>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公司规模</w:t>
            </w:r>
          </w:p>
        </w:tc>
        <w:tc>
          <w:tcPr>
            <w:tcW w:w="4252" w:type="dxa"/>
            <w:tcBorders>
              <w:top w:val="nil"/>
              <w:bottom w:val="nil"/>
            </w:tcBorders>
            <w:shd w:val="clear" w:color="auto" w:fill="auto"/>
            <w:noWrap/>
            <w:vAlign w:val="bottom"/>
          </w:tcPr>
          <w:p>
            <w:pPr>
              <w:widowControl/>
              <w:jc w:val="left"/>
              <w:rPr>
                <w:rFonts w:hint="eastAsia" w:eastAsia="宋体"/>
                <w:color w:val="000000"/>
                <w:kern w:val="0"/>
                <w:szCs w:val="22"/>
                <w:lang w:eastAsia="zh-CN"/>
              </w:rPr>
            </w:pPr>
            <w:r>
              <w:rPr>
                <w:color w:val="000000"/>
                <w:kern w:val="0"/>
                <w:szCs w:val="22"/>
              </w:rPr>
              <w:t>Ln</w:t>
            </w:r>
            <w:r>
              <w:rPr>
                <w:rFonts w:hint="eastAsia"/>
                <w:color w:val="000000"/>
                <w:kern w:val="0"/>
                <w:szCs w:val="22"/>
                <w:lang w:eastAsia="zh-CN"/>
              </w:rPr>
              <w:t>（</w:t>
            </w:r>
            <w:r>
              <w:rPr>
                <w:color w:val="000000"/>
                <w:kern w:val="0"/>
                <w:szCs w:val="22"/>
              </w:rPr>
              <w:t>总资产</w:t>
            </w:r>
            <w:r>
              <w:rPr>
                <w:rFonts w:hint="eastAsia"/>
                <w:color w:val="000000"/>
                <w:kern w:val="0"/>
                <w:szCs w:val="22"/>
                <w:lang w:eastAsia="zh-CN"/>
              </w:rPr>
              <w:t>）</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7" w:hRule="atLeast"/>
        </w:trPr>
        <w:tc>
          <w:tcPr>
            <w:tcW w:w="1320" w:type="dxa"/>
            <w:vMerge w:val="continue"/>
            <w:tcBorders>
              <w:top w:val="nil"/>
              <w:bottom w:val="nil"/>
            </w:tcBorders>
            <w:shd w:val="clear" w:color="auto" w:fill="auto"/>
            <w:noWrap/>
            <w:vAlign w:val="center"/>
          </w:tcPr>
          <w:p>
            <w:pPr>
              <w:widowControl/>
              <w:jc w:val="center"/>
              <w:rPr>
                <w:rFonts w:ascii="宋体" w:hAnsi="宋体" w:cs="宋体"/>
                <w:color w:val="000000"/>
                <w:kern w:val="0"/>
                <w:szCs w:val="22"/>
              </w:rPr>
            </w:pPr>
          </w:p>
        </w:tc>
        <w:tc>
          <w:tcPr>
            <w:tcW w:w="1227" w:type="dxa"/>
            <w:tcBorders>
              <w:top w:val="nil"/>
              <w:bottom w:val="nil"/>
            </w:tcBorders>
            <w:shd w:val="clear" w:color="auto" w:fill="auto"/>
            <w:noWrap/>
            <w:vAlign w:val="bottom"/>
          </w:tcPr>
          <w:p>
            <w:pPr>
              <w:widowControl/>
              <w:jc w:val="center"/>
              <w:rPr>
                <w:color w:val="000000"/>
                <w:kern w:val="0"/>
                <w:szCs w:val="21"/>
              </w:rPr>
            </w:pPr>
            <w:r>
              <w:rPr>
                <w:rFonts w:hint="eastAsia"/>
                <w:color w:val="000000"/>
                <w:kern w:val="0"/>
                <w:szCs w:val="21"/>
              </w:rPr>
              <w:t>Lev</w:t>
            </w:r>
          </w:p>
        </w:tc>
        <w:tc>
          <w:tcPr>
            <w:tcW w:w="1706" w:type="dxa"/>
            <w:tcBorders>
              <w:top w:val="nil"/>
              <w:bottom w:val="nil"/>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财务杠杆</w:t>
            </w:r>
          </w:p>
        </w:tc>
        <w:tc>
          <w:tcPr>
            <w:tcW w:w="4252" w:type="dxa"/>
            <w:tcBorders>
              <w:top w:val="nil"/>
              <w:bottom w:val="nil"/>
            </w:tcBorders>
            <w:shd w:val="clear" w:color="auto" w:fill="auto"/>
            <w:noWrap/>
            <w:vAlign w:val="bottom"/>
          </w:tcPr>
          <w:p>
            <w:pPr>
              <w:widowControl/>
              <w:jc w:val="left"/>
              <w:rPr>
                <w:color w:val="000000"/>
                <w:kern w:val="0"/>
                <w:szCs w:val="22"/>
              </w:rPr>
            </w:pPr>
            <w:r>
              <w:rPr>
                <w:color w:val="000000"/>
                <w:kern w:val="0"/>
                <w:szCs w:val="22"/>
              </w:rPr>
              <w:t>总负债/总资产</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vMerge w:val="continue"/>
            <w:tcBorders>
              <w:top w:val="nil"/>
              <w:bottom w:val="nil"/>
            </w:tcBorders>
            <w:vAlign w:val="center"/>
          </w:tcPr>
          <w:p>
            <w:pPr>
              <w:widowControl/>
              <w:jc w:val="center"/>
              <w:rPr>
                <w:rFonts w:ascii="宋体" w:hAnsi="宋体" w:cs="宋体"/>
                <w:color w:val="000000"/>
                <w:kern w:val="0"/>
                <w:szCs w:val="22"/>
              </w:rPr>
            </w:pPr>
          </w:p>
        </w:tc>
        <w:tc>
          <w:tcPr>
            <w:tcW w:w="1227" w:type="dxa"/>
            <w:tcBorders>
              <w:top w:val="nil"/>
              <w:bottom w:val="nil"/>
            </w:tcBorders>
            <w:shd w:val="clear" w:color="auto" w:fill="auto"/>
            <w:noWrap/>
            <w:vAlign w:val="bottom"/>
          </w:tcPr>
          <w:p>
            <w:pPr>
              <w:widowControl/>
              <w:jc w:val="center"/>
              <w:rPr>
                <w:color w:val="000000"/>
                <w:kern w:val="0"/>
                <w:szCs w:val="21"/>
              </w:rPr>
            </w:pPr>
            <w:r>
              <w:rPr>
                <w:color w:val="000000"/>
                <w:kern w:val="0"/>
                <w:szCs w:val="21"/>
              </w:rPr>
              <w:t>ROA</w:t>
            </w:r>
          </w:p>
        </w:tc>
        <w:tc>
          <w:tcPr>
            <w:tcW w:w="1706" w:type="dxa"/>
            <w:tcBorders>
              <w:top w:val="nil"/>
              <w:bottom w:val="nil"/>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公司效益</w:t>
            </w:r>
          </w:p>
        </w:tc>
        <w:tc>
          <w:tcPr>
            <w:tcW w:w="4252" w:type="dxa"/>
            <w:tcBorders>
              <w:top w:val="nil"/>
              <w:bottom w:val="nil"/>
            </w:tcBorders>
            <w:shd w:val="clear" w:color="auto" w:fill="auto"/>
            <w:noWrap/>
            <w:vAlign w:val="bottom"/>
          </w:tcPr>
          <w:p>
            <w:pPr>
              <w:widowControl/>
              <w:jc w:val="left"/>
              <w:rPr>
                <w:color w:val="000000"/>
                <w:kern w:val="0"/>
                <w:szCs w:val="22"/>
              </w:rPr>
            </w:pPr>
            <w:r>
              <w:rPr>
                <w:color w:val="000000"/>
                <w:kern w:val="0"/>
                <w:szCs w:val="22"/>
              </w:rPr>
              <w:t>净利润/总资产平均余额</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vMerge w:val="continue"/>
            <w:tcBorders>
              <w:top w:val="nil"/>
              <w:bottom w:val="nil"/>
            </w:tcBorders>
            <w:vAlign w:val="center"/>
          </w:tcPr>
          <w:p>
            <w:pPr>
              <w:widowControl/>
              <w:jc w:val="center"/>
              <w:rPr>
                <w:rFonts w:ascii="宋体" w:hAnsi="宋体" w:cs="宋体"/>
                <w:color w:val="000000"/>
                <w:kern w:val="0"/>
                <w:szCs w:val="22"/>
              </w:rPr>
            </w:pPr>
          </w:p>
        </w:tc>
        <w:tc>
          <w:tcPr>
            <w:tcW w:w="1227" w:type="dxa"/>
            <w:tcBorders>
              <w:top w:val="nil"/>
              <w:bottom w:val="nil"/>
            </w:tcBorders>
            <w:shd w:val="clear" w:color="auto" w:fill="auto"/>
            <w:noWrap/>
            <w:vAlign w:val="bottom"/>
          </w:tcPr>
          <w:p>
            <w:pPr>
              <w:widowControl/>
              <w:jc w:val="center"/>
              <w:rPr>
                <w:color w:val="000000"/>
                <w:kern w:val="0"/>
                <w:szCs w:val="21"/>
              </w:rPr>
            </w:pPr>
            <w:r>
              <w:rPr>
                <w:color w:val="000000"/>
                <w:kern w:val="0"/>
                <w:szCs w:val="21"/>
              </w:rPr>
              <w:t>Mfee</w:t>
            </w:r>
          </w:p>
        </w:tc>
        <w:tc>
          <w:tcPr>
            <w:tcW w:w="1706" w:type="dxa"/>
            <w:tcBorders>
              <w:top w:val="nil"/>
              <w:bottom w:val="nil"/>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代理成本</w:t>
            </w:r>
          </w:p>
        </w:tc>
        <w:tc>
          <w:tcPr>
            <w:tcW w:w="4252" w:type="dxa"/>
            <w:tcBorders>
              <w:top w:val="nil"/>
              <w:bottom w:val="nil"/>
            </w:tcBorders>
            <w:shd w:val="clear" w:color="auto" w:fill="auto"/>
            <w:noWrap/>
            <w:vAlign w:val="bottom"/>
          </w:tcPr>
          <w:p>
            <w:pPr>
              <w:widowControl/>
              <w:jc w:val="left"/>
              <w:rPr>
                <w:color w:val="000000"/>
                <w:kern w:val="0"/>
                <w:szCs w:val="22"/>
              </w:rPr>
            </w:pPr>
            <w:r>
              <w:rPr>
                <w:color w:val="000000"/>
                <w:kern w:val="0"/>
                <w:szCs w:val="22"/>
              </w:rPr>
              <w:t>管理费用/营业总收入</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vMerge w:val="continue"/>
            <w:tcBorders>
              <w:top w:val="nil"/>
              <w:bottom w:val="nil"/>
            </w:tcBorders>
            <w:vAlign w:val="center"/>
          </w:tcPr>
          <w:p>
            <w:pPr>
              <w:widowControl/>
              <w:jc w:val="center"/>
              <w:rPr>
                <w:rFonts w:ascii="宋体" w:hAnsi="宋体" w:cs="宋体"/>
                <w:color w:val="000000"/>
                <w:kern w:val="0"/>
                <w:szCs w:val="22"/>
              </w:rPr>
            </w:pPr>
          </w:p>
        </w:tc>
        <w:tc>
          <w:tcPr>
            <w:tcW w:w="1227" w:type="dxa"/>
            <w:tcBorders>
              <w:top w:val="nil"/>
              <w:bottom w:val="nil"/>
            </w:tcBorders>
            <w:shd w:val="clear" w:color="auto" w:fill="auto"/>
            <w:noWrap/>
            <w:vAlign w:val="bottom"/>
          </w:tcPr>
          <w:p>
            <w:pPr>
              <w:widowControl/>
              <w:jc w:val="center"/>
              <w:rPr>
                <w:color w:val="000000"/>
                <w:kern w:val="0"/>
                <w:szCs w:val="21"/>
              </w:rPr>
            </w:pPr>
            <w:r>
              <w:rPr>
                <w:color w:val="000000"/>
                <w:kern w:val="0"/>
                <w:szCs w:val="21"/>
              </w:rPr>
              <w:t>FirmAge</w:t>
            </w:r>
          </w:p>
        </w:tc>
        <w:tc>
          <w:tcPr>
            <w:tcW w:w="1706" w:type="dxa"/>
            <w:tcBorders>
              <w:top w:val="nil"/>
              <w:bottom w:val="nil"/>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公司成熟度</w:t>
            </w:r>
          </w:p>
        </w:tc>
        <w:tc>
          <w:tcPr>
            <w:tcW w:w="4252" w:type="dxa"/>
            <w:tcBorders>
              <w:top w:val="nil"/>
              <w:bottom w:val="nil"/>
            </w:tcBorders>
            <w:shd w:val="clear" w:color="auto" w:fill="auto"/>
            <w:noWrap/>
            <w:vAlign w:val="bottom"/>
          </w:tcPr>
          <w:p>
            <w:pPr>
              <w:widowControl/>
              <w:jc w:val="left"/>
              <w:rPr>
                <w:rFonts w:hint="eastAsia" w:eastAsia="宋体"/>
                <w:color w:val="000000"/>
                <w:kern w:val="0"/>
                <w:szCs w:val="22"/>
                <w:lang w:eastAsia="zh-CN"/>
              </w:rPr>
            </w:pPr>
            <w:r>
              <w:rPr>
                <w:color w:val="000000"/>
                <w:kern w:val="0"/>
                <w:szCs w:val="22"/>
              </w:rPr>
              <w:t>Ln</w:t>
            </w:r>
            <w:r>
              <w:rPr>
                <w:rFonts w:hint="eastAsia"/>
                <w:color w:val="000000"/>
                <w:kern w:val="0"/>
                <w:szCs w:val="22"/>
                <w:lang w:eastAsia="zh-CN"/>
              </w:rPr>
              <w:t>（</w:t>
            </w:r>
            <w:r>
              <w:rPr>
                <w:color w:val="000000"/>
                <w:kern w:val="0"/>
                <w:szCs w:val="22"/>
              </w:rPr>
              <w:t>观测年份-成立年份+1</w:t>
            </w:r>
            <w:r>
              <w:rPr>
                <w:rFonts w:hint="eastAsia"/>
                <w:color w:val="000000"/>
                <w:kern w:val="0"/>
                <w:szCs w:val="22"/>
                <w:lang w:eastAsia="zh-CN"/>
              </w:rPr>
              <w:t>）</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vMerge w:val="continue"/>
            <w:tcBorders>
              <w:top w:val="nil"/>
              <w:bottom w:val="nil"/>
            </w:tcBorders>
            <w:vAlign w:val="center"/>
          </w:tcPr>
          <w:p>
            <w:pPr>
              <w:widowControl/>
              <w:jc w:val="center"/>
              <w:rPr>
                <w:rFonts w:ascii="宋体" w:hAnsi="宋体" w:cs="宋体"/>
                <w:color w:val="000000"/>
                <w:kern w:val="0"/>
                <w:szCs w:val="22"/>
              </w:rPr>
            </w:pPr>
          </w:p>
        </w:tc>
        <w:tc>
          <w:tcPr>
            <w:tcW w:w="1227" w:type="dxa"/>
            <w:tcBorders>
              <w:top w:val="nil"/>
              <w:bottom w:val="nil"/>
            </w:tcBorders>
            <w:shd w:val="clear" w:color="auto" w:fill="auto"/>
            <w:noWrap/>
            <w:vAlign w:val="bottom"/>
          </w:tcPr>
          <w:p>
            <w:pPr>
              <w:widowControl/>
              <w:jc w:val="center"/>
              <w:rPr>
                <w:color w:val="000000"/>
                <w:kern w:val="0"/>
                <w:szCs w:val="21"/>
              </w:rPr>
            </w:pPr>
            <w:r>
              <w:rPr>
                <w:rFonts w:hint="eastAsia"/>
                <w:color w:val="000000"/>
                <w:kern w:val="0"/>
                <w:szCs w:val="21"/>
              </w:rPr>
              <w:t>Top</w:t>
            </w:r>
            <w:r>
              <w:rPr>
                <w:color w:val="000000"/>
                <w:kern w:val="0"/>
                <w:szCs w:val="21"/>
              </w:rPr>
              <w:t>1</w:t>
            </w:r>
          </w:p>
        </w:tc>
        <w:tc>
          <w:tcPr>
            <w:tcW w:w="1706" w:type="dxa"/>
            <w:tcBorders>
              <w:top w:val="nil"/>
              <w:bottom w:val="nil"/>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股权集中度</w:t>
            </w:r>
          </w:p>
        </w:tc>
        <w:tc>
          <w:tcPr>
            <w:tcW w:w="4252" w:type="dxa"/>
            <w:tcBorders>
              <w:top w:val="nil"/>
              <w:bottom w:val="nil"/>
            </w:tcBorders>
            <w:shd w:val="clear" w:color="auto" w:fill="auto"/>
            <w:noWrap/>
            <w:vAlign w:val="bottom"/>
          </w:tcPr>
          <w:p>
            <w:pPr>
              <w:widowControl/>
              <w:jc w:val="left"/>
              <w:rPr>
                <w:color w:val="000000"/>
                <w:kern w:val="0"/>
                <w:szCs w:val="22"/>
              </w:rPr>
            </w:pPr>
            <w:r>
              <w:rPr>
                <w:color w:val="000000"/>
                <w:kern w:val="0"/>
                <w:szCs w:val="22"/>
              </w:rPr>
              <w:t>第一大股东持股数量/总股数</w:t>
            </w:r>
          </w:p>
        </w:tc>
      </w:tr>
      <w:tr>
        <w:tblPrEx>
          <w:tblBorders>
            <w:top w:val="single" w:color="auto" w:sz="4"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320" w:type="dxa"/>
            <w:vMerge w:val="continue"/>
            <w:tcBorders>
              <w:top w:val="nil"/>
              <w:bottom w:val="single" w:color="auto" w:sz="12" w:space="0"/>
            </w:tcBorders>
            <w:vAlign w:val="center"/>
          </w:tcPr>
          <w:p>
            <w:pPr>
              <w:widowControl/>
              <w:jc w:val="center"/>
              <w:rPr>
                <w:rFonts w:ascii="宋体" w:hAnsi="宋体" w:cs="宋体"/>
                <w:color w:val="000000"/>
                <w:kern w:val="0"/>
                <w:szCs w:val="22"/>
              </w:rPr>
            </w:pPr>
          </w:p>
        </w:tc>
        <w:tc>
          <w:tcPr>
            <w:tcW w:w="1227" w:type="dxa"/>
            <w:tcBorders>
              <w:top w:val="nil"/>
              <w:bottom w:val="single" w:color="auto" w:sz="12" w:space="0"/>
            </w:tcBorders>
            <w:shd w:val="clear" w:color="auto" w:fill="auto"/>
            <w:noWrap/>
            <w:vAlign w:val="bottom"/>
          </w:tcPr>
          <w:p>
            <w:pPr>
              <w:widowControl/>
              <w:jc w:val="center"/>
              <w:rPr>
                <w:color w:val="000000"/>
                <w:kern w:val="0"/>
                <w:szCs w:val="21"/>
              </w:rPr>
            </w:pPr>
            <w:r>
              <w:rPr>
                <w:rFonts w:hint="eastAsia"/>
                <w:color w:val="000000"/>
                <w:kern w:val="0"/>
                <w:szCs w:val="21"/>
              </w:rPr>
              <w:t>C</w:t>
            </w:r>
            <w:r>
              <w:rPr>
                <w:color w:val="000000"/>
                <w:kern w:val="0"/>
                <w:szCs w:val="21"/>
              </w:rPr>
              <w:t>APT</w:t>
            </w:r>
          </w:p>
        </w:tc>
        <w:tc>
          <w:tcPr>
            <w:tcW w:w="1706" w:type="dxa"/>
            <w:tcBorders>
              <w:top w:val="nil"/>
              <w:bottom w:val="single" w:color="auto" w:sz="12" w:space="0"/>
            </w:tcBorders>
            <w:shd w:val="clear" w:color="auto" w:fill="auto"/>
            <w:noWrap/>
            <w:vAlign w:val="bottom"/>
          </w:tcPr>
          <w:p>
            <w:pPr>
              <w:widowControl/>
              <w:jc w:val="left"/>
              <w:rPr>
                <w:rFonts w:ascii="宋体" w:hAnsi="宋体" w:cs="宋体"/>
                <w:color w:val="000000"/>
                <w:kern w:val="0"/>
                <w:szCs w:val="22"/>
              </w:rPr>
            </w:pPr>
            <w:r>
              <w:rPr>
                <w:rFonts w:hint="eastAsia" w:ascii="宋体" w:hAnsi="宋体" w:cs="宋体"/>
                <w:color w:val="000000"/>
                <w:kern w:val="0"/>
                <w:szCs w:val="22"/>
              </w:rPr>
              <w:t>资本密集度</w:t>
            </w:r>
          </w:p>
        </w:tc>
        <w:tc>
          <w:tcPr>
            <w:tcW w:w="4252" w:type="dxa"/>
            <w:tcBorders>
              <w:top w:val="nil"/>
              <w:bottom w:val="single" w:color="auto" w:sz="12" w:space="0"/>
            </w:tcBorders>
            <w:shd w:val="clear" w:color="auto" w:fill="auto"/>
            <w:noWrap/>
            <w:vAlign w:val="bottom"/>
          </w:tcPr>
          <w:p>
            <w:pPr>
              <w:widowControl/>
              <w:jc w:val="left"/>
              <w:rPr>
                <w:color w:val="000000"/>
                <w:kern w:val="0"/>
                <w:szCs w:val="22"/>
              </w:rPr>
            </w:pPr>
            <w:r>
              <w:rPr>
                <w:color w:val="000000"/>
                <w:kern w:val="0"/>
                <w:szCs w:val="22"/>
              </w:rPr>
              <w:t>总资产/营业收入</w:t>
            </w:r>
          </w:p>
        </w:tc>
      </w:tr>
    </w:tbl>
    <w:p>
      <w:pPr>
        <w:spacing w:before="156" w:beforeLines="50" w:after="156" w:afterLines="50"/>
        <w:jc w:val="left"/>
        <w:outlineLvl w:val="1"/>
        <w:rPr>
          <w:rFonts w:ascii="黑体" w:eastAsia="黑体"/>
          <w:b/>
          <w:sz w:val="32"/>
          <w:szCs w:val="32"/>
        </w:rPr>
      </w:pPr>
      <w:bookmarkStart w:id="88" w:name="_Toc100181282"/>
      <w:bookmarkStart w:id="89" w:name="_Toc104375934"/>
      <w:bookmarkStart w:id="90" w:name="_Toc100181859"/>
      <w:bookmarkStart w:id="91" w:name="_Toc14607"/>
      <w:r>
        <w:rPr>
          <w:b/>
          <w:sz w:val="32"/>
          <w:szCs w:val="32"/>
        </w:rPr>
        <w:t>3.3</w:t>
      </w:r>
      <w:r>
        <w:rPr>
          <w:rFonts w:hint="eastAsia" w:ascii="黑体" w:eastAsia="黑体"/>
          <w:b/>
          <w:sz w:val="32"/>
          <w:szCs w:val="32"/>
        </w:rPr>
        <w:t xml:space="preserve"> </w:t>
      </w:r>
      <w:r>
        <w:rPr>
          <w:rFonts w:hint="eastAsia" w:ascii="黑体" w:eastAsia="黑体"/>
          <w:b/>
          <w:sz w:val="28"/>
          <w:szCs w:val="21"/>
        </w:rPr>
        <w:t>模型构建</w:t>
      </w:r>
      <w:bookmarkEnd w:id="88"/>
      <w:bookmarkEnd w:id="89"/>
      <w:bookmarkEnd w:id="90"/>
      <w:bookmarkEnd w:id="91"/>
    </w:p>
    <w:p>
      <w:pPr>
        <w:spacing w:line="360" w:lineRule="auto"/>
        <w:ind w:firstLine="480" w:firstLineChars="200"/>
        <w:jc w:val="left"/>
        <w:rPr>
          <w:sz w:val="24"/>
          <w:szCs w:val="24"/>
        </w:rPr>
      </w:pPr>
      <w:r>
        <w:rPr>
          <w:rFonts w:hint="eastAsia"/>
          <w:sz w:val="24"/>
          <w:szCs w:val="24"/>
        </w:rPr>
        <w:t>领导干部自然资源离任审计政策旨在通过激励和规制从而提升地方领导干部的环境治理动机，提升了企业的政策遵从成本，从而促使企业提升其绿色创新水平。双重差分方法被广泛应用于政策效应的评估，本文借鉴张琦和谭志东（2</w:t>
      </w:r>
      <w:r>
        <w:rPr>
          <w:sz w:val="24"/>
          <w:szCs w:val="24"/>
        </w:rPr>
        <w:t>019</w:t>
      </w:r>
      <w:r>
        <w:rPr>
          <w:rFonts w:hint="eastAsia"/>
          <w:sz w:val="24"/>
          <w:szCs w:val="24"/>
        </w:rPr>
        <w:t>）的方法，考虑到政策实施对企业的影响普遍具有滞后效应，故建立如下双重差分回归模型，其模型可以被表示为（</w:t>
      </w:r>
      <w:r>
        <w:rPr>
          <w:sz w:val="24"/>
          <w:szCs w:val="24"/>
        </w:rPr>
        <w:t>3-1</w:t>
      </w:r>
      <w:r>
        <w:rPr>
          <w:rFonts w:hint="eastAsia"/>
          <w:sz w:val="24"/>
          <w:szCs w:val="24"/>
        </w:rPr>
        <w:t>），其中C</w:t>
      </w:r>
      <w:r>
        <w:rPr>
          <w:sz w:val="24"/>
          <w:szCs w:val="24"/>
        </w:rPr>
        <w:t>ontrols</w:t>
      </w:r>
      <w:r>
        <w:rPr>
          <w:rFonts w:hint="eastAsia"/>
          <w:sz w:val="24"/>
          <w:szCs w:val="24"/>
        </w:rPr>
        <w:t>为一组控制变量，</w:t>
      </w:r>
      <m:oMath>
        <m:r>
          <m:rPr>
            <m:sty m:val="p"/>
          </m:rPr>
          <w:rPr>
            <w:rFonts w:ascii="Cambria Math" w:hAnsi="Cambria Math"/>
            <w:sz w:val="24"/>
            <w:szCs w:val="24"/>
          </w:rPr>
          <m:t>Code</m:t>
        </m:r>
      </m:oMath>
      <w:r>
        <w:rPr>
          <w:rFonts w:hint="eastAsia"/>
          <w:sz w:val="24"/>
          <w:szCs w:val="24"/>
        </w:rPr>
        <w:t>表示个体固定效应，</w:t>
      </w:r>
      <m:oMath>
        <m:r>
          <m:rPr>
            <m:sty m:val="p"/>
          </m:rPr>
          <w:rPr>
            <w:rFonts w:ascii="Cambria Math" w:hAnsi="Cambria Math"/>
            <w:sz w:val="24"/>
            <w:szCs w:val="24"/>
          </w:rPr>
          <m:t>Year</m:t>
        </m:r>
      </m:oMath>
      <w:r>
        <w:rPr>
          <w:rFonts w:hint="eastAsia"/>
          <w:sz w:val="24"/>
          <w:szCs w:val="24"/>
        </w:rPr>
        <w:t>表示年份固定效应，</w:t>
      </w:r>
      <m:oMath>
        <m:r>
          <m:rPr>
            <m:sty m:val="p"/>
          </m:rPr>
          <w:rPr>
            <w:rFonts w:ascii="Cambria Math" w:hAnsi="Cambria Math"/>
            <w:sz w:val="24"/>
            <w:szCs w:val="24"/>
          </w:rPr>
          <m:t>ε</m:t>
        </m:r>
      </m:oMath>
      <w:r>
        <w:rPr>
          <w:rFonts w:hint="eastAsia"/>
          <w:sz w:val="24"/>
          <w:szCs w:val="24"/>
        </w:rPr>
        <w:t>为误差项。</w:t>
      </w:r>
    </w:p>
    <w:p>
      <w:pPr>
        <w:spacing w:line="360" w:lineRule="auto"/>
        <w:ind w:firstLine="420" w:firstLineChars="200"/>
        <w:jc w:val="center"/>
        <w:rPr>
          <w:color w:val="000000"/>
          <w:kern w:val="0"/>
          <w:szCs w:val="21"/>
        </w:rPr>
      </w:pPr>
      <m:oMath>
        <m:r>
          <m:rPr/>
          <w:rPr>
            <w:rFonts w:ascii="Cambria Math" w:hAnsi="Cambria Math"/>
            <w:color w:val="000000"/>
            <w:kern w:val="0"/>
            <w:szCs w:val="21"/>
          </w:rPr>
          <m:t>ET</m:t>
        </m:r>
        <m:sSub>
          <m:sSubPr>
            <m:ctrlPr>
              <w:rPr>
                <w:rFonts w:ascii="Cambria Math" w:hAnsi="Cambria Math"/>
                <w:color w:val="000000"/>
                <w:kern w:val="0"/>
                <w:szCs w:val="21"/>
              </w:rPr>
            </m:ctrlPr>
          </m:sSubPr>
          <m:e>
            <m:r>
              <m:rPr/>
              <w:rPr>
                <w:rFonts w:ascii="Cambria Math" w:hAnsi="Cambria Math"/>
                <w:color w:val="000000"/>
                <w:kern w:val="0"/>
                <w:szCs w:val="21"/>
              </w:rPr>
              <m:t>H</m:t>
            </m:r>
            <m:ctrlPr>
              <w:rPr>
                <w:rFonts w:ascii="Cambria Math" w:hAnsi="Cambria Math"/>
                <w:color w:val="000000"/>
                <w:kern w:val="0"/>
                <w:szCs w:val="21"/>
              </w:rPr>
            </m:ctrlPr>
          </m:e>
          <m:sub>
            <m:r>
              <m:rPr/>
              <w:rPr>
                <w:rFonts w:ascii="Cambria Math" w:hAnsi="Cambria Math"/>
                <w:color w:val="000000"/>
                <w:kern w:val="0"/>
                <w:szCs w:val="21"/>
              </w:rPr>
              <m:t>i</m:t>
            </m:r>
            <m:r>
              <m:rPr>
                <m:sty m:val="p"/>
              </m:rPr>
              <w:rPr>
                <w:rFonts w:ascii="Cambria Math" w:hAnsi="Cambria Math"/>
                <w:color w:val="000000"/>
                <w:kern w:val="0"/>
                <w:szCs w:val="21"/>
              </w:rPr>
              <m:t>,</m:t>
            </m:r>
            <m:r>
              <m:rPr/>
              <w:rPr>
                <w:rFonts w:ascii="Cambria Math" w:hAnsi="Cambria Math"/>
                <w:color w:val="000000"/>
                <w:kern w:val="0"/>
                <w:szCs w:val="21"/>
              </w:rPr>
              <m:t>t</m:t>
            </m:r>
            <m:r>
              <m:rPr>
                <m:sty m:val="p"/>
              </m:rPr>
              <w:rPr>
                <w:rFonts w:ascii="Cambria Math" w:hAnsi="Cambria Math"/>
                <w:color w:val="000000"/>
                <w:kern w:val="0"/>
                <w:szCs w:val="21"/>
              </w:rPr>
              <m:t>+1</m:t>
            </m:r>
            <m:ctrlPr>
              <w:rPr>
                <w:rFonts w:ascii="Cambria Math" w:hAnsi="Cambria Math"/>
                <w:color w:val="000000"/>
                <w:kern w:val="0"/>
                <w:szCs w:val="21"/>
              </w:rPr>
            </m:ctrlPr>
          </m:sub>
        </m:sSub>
        <m:r>
          <m:rPr/>
          <w:rPr>
            <w:rFonts w:ascii="Cambria Math" w:hAnsi="Cambria Math"/>
            <w:color w:val="000000"/>
            <w:kern w:val="0"/>
            <w:szCs w:val="21"/>
          </w:rPr>
          <m:t>=</m:t>
        </m:r>
        <m:sSub>
          <m:sSubPr>
            <m:ctrlPr>
              <w:rPr>
                <w:rFonts w:ascii="Cambria Math" w:hAnsi="Cambria Math"/>
                <w:i/>
                <w:color w:val="000000"/>
                <w:kern w:val="0"/>
                <w:szCs w:val="21"/>
              </w:rPr>
            </m:ctrlPr>
          </m:sSubPr>
          <m:e>
            <m:r>
              <m:rPr/>
              <w:rPr>
                <w:rFonts w:ascii="Cambria Math" w:hAnsi="Cambria Math"/>
                <w:color w:val="000000"/>
                <w:kern w:val="0"/>
                <w:szCs w:val="21"/>
              </w:rPr>
              <m:t>β</m:t>
            </m:r>
            <m:ctrlPr>
              <w:rPr>
                <w:rFonts w:ascii="Cambria Math" w:hAnsi="Cambria Math"/>
                <w:i/>
                <w:color w:val="000000"/>
                <w:kern w:val="0"/>
                <w:szCs w:val="21"/>
              </w:rPr>
            </m:ctrlPr>
          </m:e>
          <m:sub>
            <m:r>
              <m:rPr/>
              <w:rPr>
                <w:rFonts w:ascii="Cambria Math" w:hAnsi="Cambria Math"/>
                <w:color w:val="000000"/>
                <w:kern w:val="0"/>
                <w:szCs w:val="21"/>
              </w:rPr>
              <m:t>0</m:t>
            </m:r>
            <m:ctrlPr>
              <w:rPr>
                <w:rFonts w:ascii="Cambria Math" w:hAnsi="Cambria Math"/>
                <w:i/>
                <w:color w:val="000000"/>
                <w:kern w:val="0"/>
                <w:szCs w:val="21"/>
              </w:rPr>
            </m:ctrlPr>
          </m:sub>
        </m:sSub>
        <m:r>
          <m:rPr/>
          <w:rPr>
            <w:rFonts w:ascii="Cambria Math" w:hAnsi="Cambria Math"/>
            <w:color w:val="000000"/>
            <w:kern w:val="0"/>
            <w:szCs w:val="21"/>
          </w:rPr>
          <m:t>+</m:t>
        </m:r>
        <m:sSub>
          <m:sSubPr>
            <m:ctrlPr>
              <w:rPr>
                <w:rFonts w:ascii="Cambria Math" w:hAnsi="Cambria Math"/>
                <w:i/>
                <w:color w:val="000000"/>
                <w:kern w:val="0"/>
                <w:szCs w:val="21"/>
              </w:rPr>
            </m:ctrlPr>
          </m:sSubPr>
          <m:e>
            <m:r>
              <m:rPr/>
              <w:rPr>
                <w:rFonts w:ascii="Cambria Math" w:hAnsi="Cambria Math"/>
                <w:color w:val="000000"/>
                <w:kern w:val="0"/>
                <w:szCs w:val="21"/>
              </w:rPr>
              <m:t>β</m:t>
            </m:r>
            <m:ctrlPr>
              <w:rPr>
                <w:rFonts w:ascii="Cambria Math" w:hAnsi="Cambria Math"/>
                <w:i/>
                <w:color w:val="000000"/>
                <w:kern w:val="0"/>
                <w:szCs w:val="21"/>
              </w:rPr>
            </m:ctrlPr>
          </m:e>
          <m:sub>
            <m:r>
              <m:rPr/>
              <w:rPr>
                <w:rFonts w:ascii="Cambria Math" w:hAnsi="Cambria Math"/>
                <w:color w:val="000000"/>
                <w:kern w:val="0"/>
                <w:szCs w:val="21"/>
              </w:rPr>
              <m:t>1</m:t>
            </m:r>
            <m:ctrlPr>
              <w:rPr>
                <w:rFonts w:ascii="Cambria Math" w:hAnsi="Cambria Math"/>
                <w:i/>
                <w:color w:val="000000"/>
                <w:kern w:val="0"/>
                <w:szCs w:val="21"/>
              </w:rPr>
            </m:ctrlPr>
          </m:sub>
        </m:sSub>
        <m:r>
          <m:rPr/>
          <w:rPr>
            <w:rFonts w:ascii="Cambria Math" w:hAnsi="Cambria Math"/>
            <w:color w:val="000000"/>
            <w:kern w:val="0"/>
            <w:szCs w:val="21"/>
          </w:rPr>
          <m:t>∗</m:t>
        </m:r>
        <m:sSub>
          <m:sSubPr>
            <m:ctrlPr>
              <w:rPr>
                <w:rFonts w:ascii="Cambria Math" w:hAnsi="Cambria Math"/>
                <w:i/>
                <w:color w:val="000000"/>
                <w:kern w:val="0"/>
                <w:szCs w:val="21"/>
              </w:rPr>
            </m:ctrlPr>
          </m:sSubPr>
          <m:e>
            <m:r>
              <m:rPr/>
              <w:rPr>
                <w:rFonts w:ascii="Cambria Math" w:hAnsi="Cambria Math"/>
                <w:color w:val="000000"/>
                <w:kern w:val="0"/>
                <w:szCs w:val="21"/>
              </w:rPr>
              <m:t>T</m:t>
            </m:r>
            <m:r>
              <m:rPr/>
              <w:rPr>
                <w:rFonts w:hint="eastAsia" w:ascii="Cambria Math" w:hAnsi="Cambria Math"/>
                <w:color w:val="000000"/>
                <w:kern w:val="0"/>
                <w:szCs w:val="21"/>
              </w:rPr>
              <m:t>reat</m:t>
            </m:r>
            <m:ctrlPr>
              <w:rPr>
                <w:rFonts w:ascii="Cambria Math" w:hAnsi="Cambria Math"/>
                <w:i/>
                <w:color w:val="000000"/>
                <w:kern w:val="0"/>
                <w:szCs w:val="21"/>
              </w:rPr>
            </m:ctrlPr>
          </m:e>
          <m:sub>
            <m:r>
              <m:rPr/>
              <w:rPr>
                <w:rFonts w:ascii="Cambria Math" w:hAnsi="Cambria Math"/>
                <w:color w:val="000000"/>
                <w:kern w:val="0"/>
                <w:szCs w:val="21"/>
              </w:rPr>
              <m:t>i</m:t>
            </m:r>
            <m:ctrlPr>
              <w:rPr>
                <w:rFonts w:ascii="Cambria Math" w:hAnsi="Cambria Math"/>
                <w:i/>
                <w:color w:val="000000"/>
                <w:kern w:val="0"/>
                <w:szCs w:val="21"/>
              </w:rPr>
            </m:ctrlPr>
          </m:sub>
        </m:sSub>
        <m:r>
          <m:rPr/>
          <w:rPr>
            <w:rFonts w:ascii="Cambria Math" w:hAnsi="Cambria Math"/>
            <w:color w:val="000000"/>
            <w:kern w:val="0"/>
            <w:szCs w:val="21"/>
          </w:rPr>
          <m:t>×</m:t>
        </m:r>
        <m:sSub>
          <m:sSubPr>
            <m:ctrlPr>
              <w:rPr>
                <w:rFonts w:ascii="Cambria Math" w:hAnsi="Cambria Math"/>
                <w:i/>
                <w:color w:val="000000"/>
                <w:kern w:val="0"/>
                <w:szCs w:val="21"/>
              </w:rPr>
            </m:ctrlPr>
          </m:sSubPr>
          <m:e>
            <m:r>
              <m:rPr/>
              <w:rPr>
                <w:rFonts w:ascii="Cambria Math" w:hAnsi="Cambria Math"/>
                <w:color w:val="000000"/>
                <w:kern w:val="0"/>
                <w:szCs w:val="21"/>
              </w:rPr>
              <m:t>P</m:t>
            </m:r>
            <m:r>
              <m:rPr/>
              <w:rPr>
                <w:rFonts w:hint="eastAsia" w:ascii="Cambria Math" w:hAnsi="Cambria Math"/>
                <w:color w:val="000000"/>
                <w:kern w:val="0"/>
                <w:szCs w:val="21"/>
              </w:rPr>
              <m:t>ost</m:t>
            </m:r>
            <m:ctrlPr>
              <w:rPr>
                <w:rFonts w:ascii="Cambria Math" w:hAnsi="Cambria Math"/>
                <w:i/>
                <w:color w:val="000000"/>
                <w:kern w:val="0"/>
                <w:szCs w:val="21"/>
              </w:rPr>
            </m:ctrlPr>
          </m:e>
          <m:sub>
            <m:r>
              <m:rPr/>
              <w:rPr>
                <w:rFonts w:ascii="Cambria Math" w:hAnsi="Cambria Math"/>
                <w:color w:val="000000"/>
                <w:kern w:val="0"/>
                <w:szCs w:val="21"/>
              </w:rPr>
              <m:t>t</m:t>
            </m:r>
            <m:ctrlPr>
              <w:rPr>
                <w:rFonts w:ascii="Cambria Math" w:hAnsi="Cambria Math"/>
                <w:i/>
                <w:color w:val="000000"/>
                <w:kern w:val="0"/>
                <w:szCs w:val="21"/>
              </w:rPr>
            </m:ctrlPr>
          </m:sub>
        </m:sSub>
        <m:r>
          <m:rPr/>
          <w:rPr>
            <w:rFonts w:ascii="Cambria Math" w:hAnsi="Cambria Math"/>
            <w:color w:val="000000"/>
            <w:kern w:val="0"/>
            <w:szCs w:val="21"/>
          </w:rPr>
          <m:t>+</m:t>
        </m:r>
        <m:sSub>
          <m:sSubPr>
            <m:ctrlPr>
              <w:rPr>
                <w:rFonts w:ascii="Cambria Math" w:hAnsi="Cambria Math"/>
                <w:i/>
                <w:color w:val="000000"/>
                <w:kern w:val="0"/>
                <w:szCs w:val="21"/>
              </w:rPr>
            </m:ctrlPr>
          </m:sSubPr>
          <m:e>
            <m:r>
              <m:rPr/>
              <w:rPr>
                <w:rFonts w:ascii="Cambria Math" w:hAnsi="Cambria Math"/>
                <w:color w:val="000000"/>
                <w:kern w:val="0"/>
                <w:szCs w:val="21"/>
              </w:rPr>
              <m:t>β</m:t>
            </m:r>
            <m:ctrlPr>
              <w:rPr>
                <w:rFonts w:ascii="Cambria Math" w:hAnsi="Cambria Math"/>
                <w:i/>
                <w:color w:val="000000"/>
                <w:kern w:val="0"/>
                <w:szCs w:val="21"/>
              </w:rPr>
            </m:ctrlPr>
          </m:e>
          <m:sub>
            <m:r>
              <m:rPr/>
              <w:rPr>
                <w:rFonts w:ascii="Cambria Math" w:hAnsi="Cambria Math"/>
                <w:color w:val="000000"/>
                <w:kern w:val="0"/>
                <w:szCs w:val="21"/>
              </w:rPr>
              <m:t>2</m:t>
            </m:r>
            <m:ctrlPr>
              <w:rPr>
                <w:rFonts w:ascii="Cambria Math" w:hAnsi="Cambria Math"/>
                <w:i/>
                <w:color w:val="000000"/>
                <w:kern w:val="0"/>
                <w:szCs w:val="21"/>
              </w:rPr>
            </m:ctrlPr>
          </m:sub>
        </m:sSub>
        <m:r>
          <m:rPr/>
          <w:rPr>
            <w:rFonts w:ascii="Cambria Math" w:hAnsi="Cambria Math"/>
            <w:color w:val="000000"/>
            <w:kern w:val="0"/>
            <w:szCs w:val="21"/>
          </w:rPr>
          <m:t>∗Controls+Code+Year+</m:t>
        </m:r>
        <m:sSub>
          <m:sSubPr>
            <m:ctrlPr>
              <w:rPr>
                <w:rFonts w:ascii="Cambria Math" w:hAnsi="Cambria Math"/>
                <w:i/>
                <w:color w:val="000000"/>
                <w:kern w:val="0"/>
                <w:szCs w:val="21"/>
              </w:rPr>
            </m:ctrlPr>
          </m:sSubPr>
          <m:e>
            <m:r>
              <m:rPr/>
              <w:rPr>
                <w:rFonts w:ascii="Cambria Math" w:hAnsi="Cambria Math"/>
                <w:color w:val="000000"/>
                <w:kern w:val="0"/>
                <w:szCs w:val="21"/>
              </w:rPr>
              <m:t>ε</m:t>
            </m:r>
            <m:ctrlPr>
              <w:rPr>
                <w:rFonts w:ascii="Cambria Math" w:hAnsi="Cambria Math"/>
                <w:i/>
                <w:color w:val="000000"/>
                <w:kern w:val="0"/>
                <w:szCs w:val="21"/>
              </w:rPr>
            </m:ctrlPr>
          </m:e>
          <m:sub>
            <m:r>
              <m:rPr/>
              <w:rPr>
                <w:rFonts w:ascii="Cambria Math" w:hAnsi="Cambria Math"/>
                <w:color w:val="000000"/>
                <w:kern w:val="0"/>
                <w:szCs w:val="21"/>
              </w:rPr>
              <m:t>i,t</m:t>
            </m:r>
            <m:ctrlPr>
              <w:rPr>
                <w:rFonts w:ascii="Cambria Math" w:hAnsi="Cambria Math"/>
                <w:i/>
                <w:color w:val="000000"/>
                <w:kern w:val="0"/>
                <w:szCs w:val="21"/>
              </w:rPr>
            </m:ctrlPr>
          </m:sub>
        </m:sSub>
      </m:oMath>
      <w:r>
        <w:rPr>
          <w:color w:val="000000"/>
          <w:kern w:val="0"/>
          <w:szCs w:val="21"/>
        </w:rPr>
        <w:tab/>
      </w:r>
      <w:r>
        <w:rPr>
          <w:color w:val="000000"/>
          <w:kern w:val="0"/>
          <w:szCs w:val="21"/>
        </w:rPr>
        <w:t xml:space="preserve"> (3-1)</w:t>
      </w:r>
    </w:p>
    <w:p>
      <w:pPr>
        <w:spacing w:line="360" w:lineRule="auto"/>
        <w:ind w:firstLine="480" w:firstLineChars="200"/>
        <w:rPr>
          <w:szCs w:val="21"/>
        </w:rPr>
      </w:pPr>
      <w:r>
        <w:rPr>
          <w:rFonts w:hint="eastAsia"/>
          <w:sz w:val="24"/>
          <w:szCs w:val="24"/>
        </w:rPr>
        <w:t>在本文研究假设的基础上，本章设计实证研究方案，确定样本选择、变量的测度方式，并构建回归模型，后文将对本章构建的回归模型进行具体的数据分析。</w:t>
      </w:r>
    </w:p>
    <w:p>
      <w:pPr>
        <w:widowControl/>
        <w:jc w:val="left"/>
        <w:rPr>
          <w:color w:val="000000"/>
          <w:kern w:val="0"/>
          <w:sz w:val="24"/>
          <w:szCs w:val="21"/>
        </w:rPr>
      </w:pPr>
      <w:r>
        <w:rPr>
          <w:color w:val="000000"/>
          <w:kern w:val="0"/>
          <w:sz w:val="24"/>
          <w:szCs w:val="21"/>
        </w:rPr>
        <w:br w:type="page"/>
      </w:r>
    </w:p>
    <w:p>
      <w:pPr>
        <w:spacing w:before="156" w:beforeLines="50" w:after="156" w:afterLines="50"/>
        <w:jc w:val="center"/>
        <w:outlineLvl w:val="0"/>
        <w:rPr>
          <w:rFonts w:eastAsia="黑体"/>
          <w:b/>
          <w:sz w:val="36"/>
          <w:szCs w:val="36"/>
        </w:rPr>
      </w:pPr>
      <w:bookmarkStart w:id="92" w:name="_Toc100181860"/>
      <w:bookmarkStart w:id="93" w:name="_Toc26404"/>
      <w:bookmarkStart w:id="94" w:name="_Toc104375935"/>
      <w:bookmarkStart w:id="95" w:name="_Toc100181283"/>
      <w:r>
        <w:rPr>
          <w:rFonts w:eastAsia="黑体"/>
          <w:b/>
          <w:sz w:val="36"/>
          <w:szCs w:val="36"/>
        </w:rPr>
        <w:t>4</w:t>
      </w:r>
      <w:r>
        <w:rPr>
          <w:rFonts w:hint="eastAsia" w:ascii="黑体" w:eastAsia="黑体"/>
          <w:b/>
          <w:sz w:val="36"/>
          <w:szCs w:val="36"/>
        </w:rPr>
        <w:t xml:space="preserve">  </w:t>
      </w:r>
      <w:r>
        <w:rPr>
          <w:rFonts w:hint="eastAsia" w:eastAsia="黑体"/>
          <w:b/>
          <w:sz w:val="36"/>
          <w:szCs w:val="36"/>
        </w:rPr>
        <w:t>实证结果及分析</w:t>
      </w:r>
      <w:bookmarkEnd w:id="92"/>
      <w:bookmarkEnd w:id="93"/>
      <w:bookmarkEnd w:id="94"/>
      <w:bookmarkEnd w:id="95"/>
    </w:p>
    <w:p>
      <w:pPr>
        <w:spacing w:line="360" w:lineRule="auto"/>
        <w:ind w:firstLine="480" w:firstLineChars="200"/>
        <w:jc w:val="left"/>
        <w:rPr>
          <w:rFonts w:eastAsia="黑体"/>
          <w:b/>
          <w:sz w:val="36"/>
          <w:szCs w:val="36"/>
        </w:rPr>
      </w:pPr>
      <w:r>
        <w:rPr>
          <w:rFonts w:hint="eastAsia"/>
          <w:sz w:val="24"/>
          <w:szCs w:val="24"/>
        </w:rPr>
        <w:t>本章将使用2</w:t>
      </w:r>
      <w:r>
        <w:rPr>
          <w:sz w:val="24"/>
          <w:szCs w:val="24"/>
        </w:rPr>
        <w:t>012-2015</w:t>
      </w:r>
      <w:r>
        <w:rPr>
          <w:rFonts w:hint="eastAsia"/>
          <w:sz w:val="24"/>
          <w:szCs w:val="24"/>
        </w:rPr>
        <w:t>年企业级数据进行描述性统计、相关性分析以及主要回归，并且使用平行趋势检验以及替换变量法对稳健性进行检验，最后在进一步分析中对异质性进行讨论和分析。</w:t>
      </w:r>
    </w:p>
    <w:p>
      <w:pPr>
        <w:spacing w:before="156" w:beforeLines="50" w:after="156" w:afterLines="50"/>
        <w:jc w:val="left"/>
        <w:outlineLvl w:val="1"/>
        <w:rPr>
          <w:rFonts w:ascii="黑体" w:eastAsia="黑体"/>
          <w:b/>
          <w:sz w:val="28"/>
          <w:szCs w:val="28"/>
        </w:rPr>
      </w:pPr>
      <w:bookmarkStart w:id="96" w:name="_Toc104375936"/>
      <w:bookmarkStart w:id="97" w:name="_Toc100181284"/>
      <w:bookmarkStart w:id="98" w:name="_Toc100181861"/>
      <w:bookmarkStart w:id="99" w:name="_Toc27246"/>
      <w:r>
        <w:rPr>
          <w:b/>
          <w:sz w:val="28"/>
          <w:szCs w:val="28"/>
        </w:rPr>
        <w:t>4.1</w:t>
      </w:r>
      <w:r>
        <w:rPr>
          <w:rFonts w:hint="eastAsia" w:ascii="黑体" w:eastAsia="黑体"/>
          <w:b/>
          <w:sz w:val="28"/>
          <w:szCs w:val="28"/>
        </w:rPr>
        <w:t xml:space="preserve"> 描述性统计</w:t>
      </w:r>
      <w:bookmarkEnd w:id="96"/>
      <w:bookmarkEnd w:id="97"/>
      <w:bookmarkEnd w:id="98"/>
      <w:bookmarkEnd w:id="99"/>
    </w:p>
    <w:p>
      <w:pPr>
        <w:spacing w:line="360" w:lineRule="auto"/>
        <w:ind w:firstLine="480" w:firstLineChars="200"/>
        <w:jc w:val="left"/>
        <w:rPr>
          <w:sz w:val="24"/>
          <w:szCs w:val="24"/>
        </w:rPr>
      </w:pPr>
      <w:r>
        <w:rPr>
          <w:rFonts w:hint="eastAsia"/>
          <w:sz w:val="24"/>
          <w:szCs w:val="24"/>
        </w:rPr>
        <w:t>本文使用</w:t>
      </w:r>
      <w:r>
        <w:rPr>
          <w:sz w:val="24"/>
          <w:szCs w:val="24"/>
        </w:rPr>
        <w:t>S</w:t>
      </w:r>
      <w:r>
        <w:rPr>
          <w:rFonts w:hint="eastAsia"/>
          <w:sz w:val="24"/>
          <w:szCs w:val="24"/>
        </w:rPr>
        <w:t>tata</w:t>
      </w:r>
      <w:r>
        <w:rPr>
          <w:sz w:val="24"/>
          <w:szCs w:val="24"/>
        </w:rPr>
        <w:t>/MP16.0</w:t>
      </w:r>
      <w:r>
        <w:rPr>
          <w:rFonts w:hint="eastAsia"/>
          <w:sz w:val="24"/>
          <w:szCs w:val="24"/>
        </w:rPr>
        <w:t>版本进行实证分析，所选取的样本数据的描述性统计结果如表4</w:t>
      </w:r>
      <w:r>
        <w:rPr>
          <w:sz w:val="24"/>
          <w:szCs w:val="24"/>
        </w:rPr>
        <w:t>-1</w:t>
      </w:r>
      <w:r>
        <w:rPr>
          <w:rFonts w:hint="eastAsia"/>
          <w:sz w:val="24"/>
          <w:szCs w:val="24"/>
        </w:rPr>
        <w:t>所示。</w:t>
      </w:r>
    </w:p>
    <w:p>
      <w:pPr>
        <w:pStyle w:val="4"/>
        <w:spacing w:after="156"/>
      </w:pPr>
      <w:bookmarkStart w:id="100" w:name="_Toc104376091"/>
      <w:bookmarkStart w:id="101" w:name="_Toc102926852"/>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1</w:t>
      </w:r>
      <w:r>
        <w:fldChar w:fldCharType="end"/>
      </w:r>
      <w:r>
        <w:t xml:space="preserve">  </w:t>
      </w:r>
      <w:r>
        <w:rPr>
          <w:rFonts w:hint="eastAsia"/>
        </w:rPr>
        <w:t>变量的描述性统计分析</w:t>
      </w:r>
      <w:bookmarkEnd w:id="100"/>
      <w:bookmarkEnd w:id="101"/>
    </w:p>
    <w:tbl>
      <w:tblPr>
        <w:tblStyle w:val="14"/>
        <w:tblW w:w="0" w:type="auto"/>
        <w:jc w:val="center"/>
        <w:tblLayout w:type="fixed"/>
        <w:tblCellMar>
          <w:top w:w="0" w:type="dxa"/>
          <w:left w:w="75" w:type="dxa"/>
          <w:bottom w:w="0" w:type="dxa"/>
          <w:right w:w="75" w:type="dxa"/>
        </w:tblCellMar>
      </w:tblPr>
      <w:tblGrid>
        <w:gridCol w:w="1227"/>
        <w:gridCol w:w="864"/>
        <w:gridCol w:w="1008"/>
        <w:gridCol w:w="1008"/>
        <w:gridCol w:w="1008"/>
        <w:gridCol w:w="1008"/>
        <w:gridCol w:w="1152"/>
        <w:gridCol w:w="864"/>
      </w:tblGrid>
      <w:tr>
        <w:tblPrEx>
          <w:tblCellMar>
            <w:top w:w="0" w:type="dxa"/>
            <w:left w:w="75" w:type="dxa"/>
            <w:bottom w:w="0" w:type="dxa"/>
            <w:right w:w="75" w:type="dxa"/>
          </w:tblCellMar>
        </w:tblPrEx>
        <w:trPr>
          <w:jc w:val="center"/>
        </w:trPr>
        <w:tc>
          <w:tcPr>
            <w:tcW w:w="1227"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变量名</w:t>
            </w:r>
          </w:p>
        </w:tc>
        <w:tc>
          <w:tcPr>
            <w:tcW w:w="864"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观测值</w:t>
            </w:r>
          </w:p>
        </w:tc>
        <w:tc>
          <w:tcPr>
            <w:tcW w:w="1008"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均值</w:t>
            </w:r>
          </w:p>
        </w:tc>
        <w:tc>
          <w:tcPr>
            <w:tcW w:w="1008"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中位数</w:t>
            </w:r>
          </w:p>
        </w:tc>
        <w:tc>
          <w:tcPr>
            <w:tcW w:w="1008"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75分位数</w:t>
            </w:r>
          </w:p>
        </w:tc>
        <w:tc>
          <w:tcPr>
            <w:tcW w:w="1008"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标准差</w:t>
            </w:r>
          </w:p>
        </w:tc>
        <w:tc>
          <w:tcPr>
            <w:tcW w:w="1152"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最小值</w:t>
            </w:r>
          </w:p>
        </w:tc>
        <w:tc>
          <w:tcPr>
            <w:tcW w:w="864" w:type="dxa"/>
            <w:tcBorders>
              <w:top w:val="single" w:color="auto" w:sz="12" w:space="0"/>
              <w:left w:val="nil"/>
              <w:bottom w:val="single" w:color="auto" w:sz="6" w:space="0"/>
              <w:right w:val="nil"/>
            </w:tcBorders>
            <w:vAlign w:val="center"/>
          </w:tcPr>
          <w:p>
            <w:pPr>
              <w:autoSpaceDE w:val="0"/>
              <w:autoSpaceDN w:val="0"/>
              <w:adjustRightInd w:val="0"/>
              <w:jc w:val="center"/>
              <w:rPr>
                <w:kern w:val="0"/>
                <w:szCs w:val="21"/>
              </w:rPr>
            </w:pPr>
            <w:r>
              <w:rPr>
                <w:kern w:val="0"/>
                <w:szCs w:val="21"/>
              </w:rPr>
              <w:t>最大值</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Greenp</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4.843</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1</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4</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11.97</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84</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Allp</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56.66</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22</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51</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127.9</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1</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915</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Ratio</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0.0958</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0.041</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0.134</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0.142</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t>0</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t>0.727</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tcPr>
          <w:p>
            <w:pPr>
              <w:autoSpaceDE w:val="0"/>
              <w:autoSpaceDN w:val="0"/>
              <w:adjustRightInd w:val="0"/>
              <w:jc w:val="center"/>
              <w:rPr>
                <w:kern w:val="0"/>
                <w:szCs w:val="21"/>
              </w:rPr>
            </w:pPr>
            <w:r>
              <w:rPr>
                <w:kern w:val="0"/>
                <w:szCs w:val="21"/>
              </w:rPr>
              <w:t>Size</w:t>
            </w:r>
          </w:p>
        </w:tc>
        <w:tc>
          <w:tcPr>
            <w:tcW w:w="864" w:type="dxa"/>
            <w:tcBorders>
              <w:top w:val="nil"/>
              <w:left w:val="nil"/>
              <w:bottom w:val="nil"/>
              <w:right w:val="nil"/>
            </w:tcBorders>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tcPr>
          <w:p>
            <w:pPr>
              <w:autoSpaceDE w:val="0"/>
              <w:autoSpaceDN w:val="0"/>
              <w:adjustRightInd w:val="0"/>
              <w:jc w:val="center"/>
              <w:rPr>
                <w:kern w:val="0"/>
                <w:szCs w:val="21"/>
              </w:rPr>
            </w:pPr>
            <w:r>
              <w:rPr>
                <w:kern w:val="0"/>
                <w:szCs w:val="21"/>
              </w:rPr>
              <w:t>22.69</w:t>
            </w:r>
          </w:p>
        </w:tc>
        <w:tc>
          <w:tcPr>
            <w:tcW w:w="1008" w:type="dxa"/>
            <w:tcBorders>
              <w:top w:val="nil"/>
              <w:left w:val="nil"/>
              <w:bottom w:val="nil"/>
              <w:right w:val="nil"/>
            </w:tcBorders>
          </w:tcPr>
          <w:p>
            <w:pPr>
              <w:autoSpaceDE w:val="0"/>
              <w:autoSpaceDN w:val="0"/>
              <w:adjustRightInd w:val="0"/>
              <w:jc w:val="center"/>
              <w:rPr>
                <w:kern w:val="0"/>
                <w:szCs w:val="21"/>
              </w:rPr>
            </w:pPr>
            <w:r>
              <w:rPr>
                <w:rFonts w:hint="eastAsia"/>
                <w:kern w:val="0"/>
                <w:szCs w:val="21"/>
              </w:rPr>
              <w:t>2</w:t>
            </w:r>
            <w:r>
              <w:rPr>
                <w:kern w:val="0"/>
                <w:szCs w:val="21"/>
              </w:rPr>
              <w:t>2.488</w:t>
            </w:r>
          </w:p>
        </w:tc>
        <w:tc>
          <w:tcPr>
            <w:tcW w:w="1008" w:type="dxa"/>
            <w:tcBorders>
              <w:top w:val="nil"/>
              <w:left w:val="nil"/>
              <w:bottom w:val="nil"/>
              <w:right w:val="nil"/>
            </w:tcBorders>
          </w:tcPr>
          <w:p>
            <w:pPr>
              <w:autoSpaceDE w:val="0"/>
              <w:autoSpaceDN w:val="0"/>
              <w:adjustRightInd w:val="0"/>
              <w:jc w:val="center"/>
              <w:rPr>
                <w:kern w:val="0"/>
                <w:szCs w:val="21"/>
              </w:rPr>
            </w:pPr>
            <w:r>
              <w:rPr>
                <w:rFonts w:hint="eastAsia"/>
                <w:kern w:val="0"/>
                <w:szCs w:val="21"/>
              </w:rPr>
              <w:t>2</w:t>
            </w:r>
            <w:r>
              <w:rPr>
                <w:kern w:val="0"/>
                <w:szCs w:val="21"/>
              </w:rPr>
              <w:t>3.572</w:t>
            </w:r>
          </w:p>
        </w:tc>
        <w:tc>
          <w:tcPr>
            <w:tcW w:w="1008" w:type="dxa"/>
            <w:tcBorders>
              <w:top w:val="nil"/>
              <w:left w:val="nil"/>
              <w:bottom w:val="nil"/>
              <w:right w:val="nil"/>
            </w:tcBorders>
          </w:tcPr>
          <w:p>
            <w:pPr>
              <w:autoSpaceDE w:val="0"/>
              <w:autoSpaceDN w:val="0"/>
              <w:adjustRightInd w:val="0"/>
              <w:jc w:val="center"/>
              <w:rPr>
                <w:kern w:val="0"/>
                <w:szCs w:val="21"/>
              </w:rPr>
            </w:pPr>
            <w:r>
              <w:rPr>
                <w:kern w:val="0"/>
                <w:szCs w:val="21"/>
              </w:rPr>
              <w:t>1.329</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20.37</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26.43</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Lev</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0.495</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0.494</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0.656</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0.2</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0.0823</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0.909</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ROA</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0.0369</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0.026</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0.066</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0.0609</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-0.127</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0.223</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Mfee</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0.0763</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0.067</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0.099</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0.049</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0.00935</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0.261</w:t>
            </w:r>
          </w:p>
        </w:tc>
      </w:tr>
      <w:tr>
        <w:tblPrEx>
          <w:tblCellMar>
            <w:top w:w="0" w:type="dxa"/>
            <w:left w:w="75" w:type="dxa"/>
            <w:bottom w:w="0" w:type="dxa"/>
            <w:right w:w="75" w:type="dxa"/>
          </w:tblCellMar>
        </w:tblPrEx>
        <w:trPr>
          <w:jc w:val="center"/>
        </w:trPr>
        <w:tc>
          <w:tcPr>
            <w:tcW w:w="1227"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FirmAge</w:t>
            </w:r>
          </w:p>
        </w:tc>
        <w:tc>
          <w:tcPr>
            <w:tcW w:w="864"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2.818</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2.833</w:t>
            </w:r>
          </w:p>
        </w:tc>
        <w:tc>
          <w:tcPr>
            <w:tcW w:w="1008" w:type="dxa"/>
            <w:tcBorders>
              <w:top w:val="nil"/>
              <w:left w:val="nil"/>
              <w:bottom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3.045</w:t>
            </w:r>
          </w:p>
        </w:tc>
        <w:tc>
          <w:tcPr>
            <w:tcW w:w="1008"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0.271</w:t>
            </w:r>
          </w:p>
        </w:tc>
        <w:tc>
          <w:tcPr>
            <w:tcW w:w="1152"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1.946</w:t>
            </w:r>
          </w:p>
        </w:tc>
        <w:tc>
          <w:tcPr>
            <w:tcW w:w="864" w:type="dxa"/>
            <w:tcBorders>
              <w:top w:val="nil"/>
              <w:left w:val="nil"/>
              <w:bottom w:val="nil"/>
              <w:right w:val="nil"/>
            </w:tcBorders>
            <w:shd w:val="clear" w:color="auto" w:fill="auto"/>
          </w:tcPr>
          <w:p>
            <w:pPr>
              <w:autoSpaceDE w:val="0"/>
              <w:autoSpaceDN w:val="0"/>
              <w:adjustRightInd w:val="0"/>
              <w:jc w:val="center"/>
              <w:rPr>
                <w:kern w:val="0"/>
                <w:szCs w:val="21"/>
              </w:rPr>
            </w:pPr>
            <w:r>
              <w:rPr>
                <w:kern w:val="0"/>
                <w:szCs w:val="21"/>
              </w:rPr>
              <w:t>3.332</w:t>
            </w:r>
          </w:p>
        </w:tc>
      </w:tr>
      <w:tr>
        <w:tblPrEx>
          <w:tblCellMar>
            <w:top w:w="0" w:type="dxa"/>
            <w:left w:w="75" w:type="dxa"/>
            <w:bottom w:w="0" w:type="dxa"/>
            <w:right w:w="75" w:type="dxa"/>
          </w:tblCellMar>
        </w:tblPrEx>
        <w:trPr>
          <w:jc w:val="center"/>
        </w:trPr>
        <w:tc>
          <w:tcPr>
            <w:tcW w:w="1227" w:type="dxa"/>
            <w:tcBorders>
              <w:top w:val="nil"/>
              <w:left w:val="nil"/>
              <w:right w:val="nil"/>
            </w:tcBorders>
            <w:shd w:val="clear" w:color="auto" w:fill="auto"/>
            <w:vAlign w:val="center"/>
          </w:tcPr>
          <w:p>
            <w:pPr>
              <w:autoSpaceDE w:val="0"/>
              <w:autoSpaceDN w:val="0"/>
              <w:adjustRightInd w:val="0"/>
              <w:jc w:val="center"/>
              <w:rPr>
                <w:kern w:val="0"/>
                <w:szCs w:val="21"/>
              </w:rPr>
            </w:pPr>
            <w:r>
              <w:rPr>
                <w:kern w:val="0"/>
                <w:szCs w:val="21"/>
              </w:rPr>
              <w:t>Top1</w:t>
            </w:r>
          </w:p>
        </w:tc>
        <w:tc>
          <w:tcPr>
            <w:tcW w:w="864" w:type="dxa"/>
            <w:tcBorders>
              <w:top w:val="nil"/>
              <w:left w:val="nil"/>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right w:val="nil"/>
            </w:tcBorders>
            <w:shd w:val="clear" w:color="auto" w:fill="auto"/>
          </w:tcPr>
          <w:p>
            <w:pPr>
              <w:autoSpaceDE w:val="0"/>
              <w:autoSpaceDN w:val="0"/>
              <w:adjustRightInd w:val="0"/>
              <w:jc w:val="center"/>
              <w:rPr>
                <w:kern w:val="0"/>
                <w:szCs w:val="21"/>
              </w:rPr>
            </w:pPr>
            <w:r>
              <w:rPr>
                <w:kern w:val="0"/>
                <w:szCs w:val="21"/>
              </w:rPr>
              <w:t>0.378</w:t>
            </w:r>
          </w:p>
        </w:tc>
        <w:tc>
          <w:tcPr>
            <w:tcW w:w="1008" w:type="dxa"/>
            <w:tcBorders>
              <w:top w:val="nil"/>
              <w:left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0.362</w:t>
            </w:r>
          </w:p>
        </w:tc>
        <w:tc>
          <w:tcPr>
            <w:tcW w:w="1008" w:type="dxa"/>
            <w:tcBorders>
              <w:top w:val="nil"/>
              <w:left w:val="nil"/>
              <w:right w:val="nil"/>
            </w:tcBorders>
            <w:shd w:val="clear" w:color="auto" w:fill="auto"/>
            <w:vAlign w:val="center"/>
          </w:tcPr>
          <w:p>
            <w:pPr>
              <w:autoSpaceDE w:val="0"/>
              <w:autoSpaceDN w:val="0"/>
              <w:adjustRightInd w:val="0"/>
              <w:jc w:val="center"/>
              <w:rPr>
                <w:kern w:val="0"/>
                <w:szCs w:val="21"/>
              </w:rPr>
            </w:pPr>
            <w:r>
              <w:rPr>
                <w:rFonts w:hint="eastAsia"/>
                <w:kern w:val="0"/>
                <w:szCs w:val="21"/>
              </w:rPr>
              <w:t>0.486</w:t>
            </w:r>
          </w:p>
        </w:tc>
        <w:tc>
          <w:tcPr>
            <w:tcW w:w="1008" w:type="dxa"/>
            <w:tcBorders>
              <w:top w:val="nil"/>
              <w:left w:val="nil"/>
              <w:right w:val="nil"/>
            </w:tcBorders>
            <w:shd w:val="clear" w:color="auto" w:fill="auto"/>
          </w:tcPr>
          <w:p>
            <w:pPr>
              <w:autoSpaceDE w:val="0"/>
              <w:autoSpaceDN w:val="0"/>
              <w:adjustRightInd w:val="0"/>
              <w:jc w:val="center"/>
              <w:rPr>
                <w:kern w:val="0"/>
                <w:szCs w:val="21"/>
              </w:rPr>
            </w:pPr>
            <w:r>
              <w:rPr>
                <w:kern w:val="0"/>
                <w:szCs w:val="21"/>
              </w:rPr>
              <w:t>0.162</w:t>
            </w:r>
          </w:p>
        </w:tc>
        <w:tc>
          <w:tcPr>
            <w:tcW w:w="1152" w:type="dxa"/>
            <w:tcBorders>
              <w:top w:val="nil"/>
              <w:left w:val="nil"/>
              <w:right w:val="nil"/>
            </w:tcBorders>
            <w:shd w:val="clear" w:color="auto" w:fill="auto"/>
          </w:tcPr>
          <w:p>
            <w:pPr>
              <w:autoSpaceDE w:val="0"/>
              <w:autoSpaceDN w:val="0"/>
              <w:adjustRightInd w:val="0"/>
              <w:jc w:val="center"/>
              <w:rPr>
                <w:kern w:val="0"/>
                <w:szCs w:val="21"/>
              </w:rPr>
            </w:pPr>
            <w:r>
              <w:rPr>
                <w:kern w:val="0"/>
                <w:szCs w:val="21"/>
              </w:rPr>
              <w:t>0.068</w:t>
            </w:r>
          </w:p>
        </w:tc>
        <w:tc>
          <w:tcPr>
            <w:tcW w:w="864" w:type="dxa"/>
            <w:tcBorders>
              <w:top w:val="nil"/>
              <w:left w:val="nil"/>
              <w:right w:val="nil"/>
            </w:tcBorders>
            <w:shd w:val="clear" w:color="auto" w:fill="auto"/>
          </w:tcPr>
          <w:p>
            <w:pPr>
              <w:autoSpaceDE w:val="0"/>
              <w:autoSpaceDN w:val="0"/>
              <w:adjustRightInd w:val="0"/>
              <w:jc w:val="center"/>
              <w:rPr>
                <w:kern w:val="0"/>
                <w:szCs w:val="21"/>
              </w:rPr>
            </w:pPr>
            <w:r>
              <w:rPr>
                <w:kern w:val="0"/>
                <w:szCs w:val="21"/>
              </w:rPr>
              <w:t>0.818</w:t>
            </w:r>
          </w:p>
        </w:tc>
      </w:tr>
      <w:tr>
        <w:tblPrEx>
          <w:tblCellMar>
            <w:top w:w="0" w:type="dxa"/>
            <w:left w:w="75" w:type="dxa"/>
            <w:bottom w:w="0" w:type="dxa"/>
            <w:right w:w="75" w:type="dxa"/>
          </w:tblCellMar>
        </w:tblPrEx>
        <w:trPr>
          <w:jc w:val="center"/>
        </w:trPr>
        <w:tc>
          <w:tcPr>
            <w:tcW w:w="1227" w:type="dxa"/>
            <w:tcBorders>
              <w:top w:val="nil"/>
              <w:left w:val="nil"/>
              <w:bottom w:val="single" w:color="auto" w:sz="12" w:space="0"/>
              <w:right w:val="nil"/>
            </w:tcBorders>
            <w:shd w:val="clear" w:color="auto" w:fill="auto"/>
            <w:vAlign w:val="center"/>
          </w:tcPr>
          <w:p>
            <w:pPr>
              <w:autoSpaceDE w:val="0"/>
              <w:autoSpaceDN w:val="0"/>
              <w:adjustRightInd w:val="0"/>
              <w:jc w:val="center"/>
              <w:rPr>
                <w:kern w:val="0"/>
                <w:szCs w:val="21"/>
              </w:rPr>
            </w:pPr>
            <w:r>
              <w:rPr>
                <w:kern w:val="0"/>
                <w:szCs w:val="21"/>
              </w:rPr>
              <w:t>CAPT</w:t>
            </w:r>
          </w:p>
        </w:tc>
        <w:tc>
          <w:tcPr>
            <w:tcW w:w="864" w:type="dxa"/>
            <w:tcBorders>
              <w:top w:val="nil"/>
              <w:left w:val="nil"/>
              <w:bottom w:val="single" w:color="auto" w:sz="12" w:space="0"/>
              <w:right w:val="nil"/>
            </w:tcBorders>
            <w:shd w:val="clear" w:color="auto" w:fill="auto"/>
            <w:vAlign w:val="center"/>
          </w:tcPr>
          <w:p>
            <w:pPr>
              <w:autoSpaceDE w:val="0"/>
              <w:autoSpaceDN w:val="0"/>
              <w:adjustRightInd w:val="0"/>
              <w:jc w:val="center"/>
              <w:rPr>
                <w:kern w:val="0"/>
                <w:szCs w:val="21"/>
              </w:rPr>
            </w:pPr>
            <w:r>
              <w:rPr>
                <w:kern w:val="0"/>
                <w:szCs w:val="21"/>
              </w:rPr>
              <w:t>1,240</w:t>
            </w:r>
          </w:p>
        </w:tc>
        <w:tc>
          <w:tcPr>
            <w:tcW w:w="1008" w:type="dxa"/>
            <w:tcBorders>
              <w:top w:val="nil"/>
              <w:left w:val="nil"/>
              <w:bottom w:val="single" w:color="auto" w:sz="12" w:space="0"/>
              <w:right w:val="nil"/>
            </w:tcBorders>
            <w:shd w:val="clear" w:color="auto" w:fill="auto"/>
          </w:tcPr>
          <w:p>
            <w:pPr>
              <w:autoSpaceDE w:val="0"/>
              <w:autoSpaceDN w:val="0"/>
              <w:adjustRightInd w:val="0"/>
              <w:jc w:val="center"/>
              <w:rPr>
                <w:kern w:val="0"/>
                <w:szCs w:val="21"/>
              </w:rPr>
            </w:pPr>
            <w:r>
              <w:rPr>
                <w:kern w:val="0"/>
                <w:szCs w:val="21"/>
              </w:rPr>
              <w:t>1.821</w:t>
            </w:r>
          </w:p>
        </w:tc>
        <w:tc>
          <w:tcPr>
            <w:tcW w:w="1008" w:type="dxa"/>
            <w:tcBorders>
              <w:top w:val="nil"/>
              <w:left w:val="nil"/>
              <w:bottom w:val="single" w:color="auto" w:sz="12" w:space="0"/>
              <w:right w:val="nil"/>
            </w:tcBorders>
            <w:shd w:val="clear" w:color="auto" w:fill="auto"/>
            <w:vAlign w:val="center"/>
          </w:tcPr>
          <w:p>
            <w:pPr>
              <w:autoSpaceDE w:val="0"/>
              <w:autoSpaceDN w:val="0"/>
              <w:adjustRightInd w:val="0"/>
              <w:jc w:val="center"/>
              <w:rPr>
                <w:kern w:val="0"/>
                <w:szCs w:val="21"/>
              </w:rPr>
            </w:pPr>
            <w:r>
              <w:rPr>
                <w:rFonts w:hint="eastAsia"/>
                <w:kern w:val="0"/>
                <w:szCs w:val="21"/>
              </w:rPr>
              <w:t>1.569</w:t>
            </w:r>
          </w:p>
        </w:tc>
        <w:tc>
          <w:tcPr>
            <w:tcW w:w="1008" w:type="dxa"/>
            <w:tcBorders>
              <w:top w:val="nil"/>
              <w:left w:val="nil"/>
              <w:bottom w:val="single" w:color="auto" w:sz="12" w:space="0"/>
              <w:right w:val="nil"/>
            </w:tcBorders>
            <w:shd w:val="clear" w:color="auto" w:fill="auto"/>
            <w:vAlign w:val="center"/>
          </w:tcPr>
          <w:p>
            <w:pPr>
              <w:autoSpaceDE w:val="0"/>
              <w:autoSpaceDN w:val="0"/>
              <w:adjustRightInd w:val="0"/>
              <w:jc w:val="center"/>
              <w:rPr>
                <w:kern w:val="0"/>
                <w:szCs w:val="21"/>
              </w:rPr>
            </w:pPr>
            <w:r>
              <w:rPr>
                <w:rFonts w:hint="eastAsia"/>
                <w:kern w:val="0"/>
                <w:szCs w:val="21"/>
              </w:rPr>
              <w:t>2.184</w:t>
            </w:r>
          </w:p>
        </w:tc>
        <w:tc>
          <w:tcPr>
            <w:tcW w:w="1008" w:type="dxa"/>
            <w:tcBorders>
              <w:top w:val="nil"/>
              <w:left w:val="nil"/>
              <w:bottom w:val="single" w:color="auto" w:sz="12" w:space="0"/>
              <w:right w:val="nil"/>
            </w:tcBorders>
            <w:shd w:val="clear" w:color="auto" w:fill="auto"/>
          </w:tcPr>
          <w:p>
            <w:pPr>
              <w:autoSpaceDE w:val="0"/>
              <w:autoSpaceDN w:val="0"/>
              <w:adjustRightInd w:val="0"/>
              <w:jc w:val="center"/>
              <w:rPr>
                <w:kern w:val="0"/>
                <w:szCs w:val="21"/>
              </w:rPr>
            </w:pPr>
            <w:r>
              <w:rPr>
                <w:kern w:val="0"/>
                <w:szCs w:val="21"/>
              </w:rPr>
              <w:t>1.169</w:t>
            </w:r>
          </w:p>
        </w:tc>
        <w:tc>
          <w:tcPr>
            <w:tcW w:w="1152" w:type="dxa"/>
            <w:tcBorders>
              <w:top w:val="nil"/>
              <w:left w:val="nil"/>
              <w:bottom w:val="single" w:color="auto" w:sz="12" w:space="0"/>
              <w:right w:val="nil"/>
            </w:tcBorders>
            <w:shd w:val="clear" w:color="auto" w:fill="auto"/>
          </w:tcPr>
          <w:p>
            <w:pPr>
              <w:autoSpaceDE w:val="0"/>
              <w:autoSpaceDN w:val="0"/>
              <w:adjustRightInd w:val="0"/>
              <w:jc w:val="center"/>
              <w:rPr>
                <w:kern w:val="0"/>
                <w:szCs w:val="21"/>
              </w:rPr>
            </w:pPr>
            <w:r>
              <w:rPr>
                <w:kern w:val="0"/>
                <w:szCs w:val="21"/>
              </w:rPr>
              <w:t>0.363</w:t>
            </w:r>
          </w:p>
        </w:tc>
        <w:tc>
          <w:tcPr>
            <w:tcW w:w="864" w:type="dxa"/>
            <w:tcBorders>
              <w:top w:val="nil"/>
              <w:left w:val="nil"/>
              <w:bottom w:val="single" w:color="auto" w:sz="12" w:space="0"/>
              <w:right w:val="nil"/>
            </w:tcBorders>
            <w:shd w:val="clear" w:color="auto" w:fill="auto"/>
          </w:tcPr>
          <w:p>
            <w:pPr>
              <w:autoSpaceDE w:val="0"/>
              <w:autoSpaceDN w:val="0"/>
              <w:adjustRightInd w:val="0"/>
              <w:jc w:val="center"/>
              <w:rPr>
                <w:kern w:val="0"/>
                <w:szCs w:val="21"/>
              </w:rPr>
            </w:pPr>
            <w:r>
              <w:rPr>
                <w:kern w:val="0"/>
                <w:szCs w:val="21"/>
              </w:rPr>
              <w:t>7.277</w:t>
            </w:r>
          </w:p>
        </w:tc>
      </w:tr>
    </w:tbl>
    <w:p>
      <w:pPr>
        <w:spacing w:before="156" w:beforeLines="50" w:line="360" w:lineRule="auto"/>
        <w:ind w:firstLine="480" w:firstLineChars="200"/>
        <w:jc w:val="left"/>
        <w:rPr>
          <w:sz w:val="24"/>
          <w:szCs w:val="24"/>
        </w:rPr>
      </w:pPr>
      <w:r>
        <w:rPr>
          <w:rFonts w:hint="eastAsia"/>
          <w:sz w:val="24"/>
          <w:szCs w:val="24"/>
        </w:rPr>
        <w:t>首先关注被解释变量企业绿色技术创新水平。企业的绿色技术创新水平是由Ratio进行衡量。Greenp的最大值为8</w:t>
      </w:r>
      <w:r>
        <w:rPr>
          <w:sz w:val="24"/>
          <w:szCs w:val="24"/>
        </w:rPr>
        <w:t>4</w:t>
      </w:r>
      <w:r>
        <w:rPr>
          <w:rFonts w:hint="eastAsia"/>
          <w:sz w:val="24"/>
          <w:szCs w:val="24"/>
        </w:rPr>
        <w:t>，最小值为0，均值为</w:t>
      </w:r>
      <w:r>
        <w:rPr>
          <w:sz w:val="24"/>
          <w:szCs w:val="24"/>
        </w:rPr>
        <w:t>4.843</w:t>
      </w:r>
      <w:r>
        <w:rPr>
          <w:rFonts w:hint="eastAsia"/>
          <w:sz w:val="24"/>
          <w:szCs w:val="24"/>
        </w:rPr>
        <w:t>，中位数为1，7</w:t>
      </w:r>
      <w:r>
        <w:rPr>
          <w:sz w:val="24"/>
          <w:szCs w:val="24"/>
        </w:rPr>
        <w:t>5</w:t>
      </w:r>
      <w:r>
        <w:rPr>
          <w:rFonts w:hint="eastAsia"/>
          <w:sz w:val="24"/>
          <w:szCs w:val="24"/>
        </w:rPr>
        <w:t>分位数为4，标准差为</w:t>
      </w:r>
      <w:r>
        <w:rPr>
          <w:sz w:val="24"/>
          <w:szCs w:val="24"/>
        </w:rPr>
        <w:t>11.97</w:t>
      </w:r>
      <w:r>
        <w:rPr>
          <w:rFonts w:hint="eastAsia"/>
          <w:sz w:val="24"/>
          <w:szCs w:val="24"/>
        </w:rPr>
        <w:t>，这反映出不同企业的绿色专利申请数量相差较大，且绝大部分企业的</w:t>
      </w:r>
      <w:r>
        <w:rPr>
          <w:sz w:val="24"/>
          <w:szCs w:val="24"/>
        </w:rPr>
        <w:t>G</w:t>
      </w:r>
      <w:r>
        <w:rPr>
          <w:rFonts w:hint="eastAsia"/>
          <w:sz w:val="24"/>
          <w:szCs w:val="24"/>
        </w:rPr>
        <w:t>reenp数量很低；Allp的最大值为</w:t>
      </w:r>
      <w:r>
        <w:rPr>
          <w:sz w:val="24"/>
          <w:szCs w:val="24"/>
        </w:rPr>
        <w:t>915</w:t>
      </w:r>
      <w:r>
        <w:rPr>
          <w:rFonts w:hint="eastAsia"/>
          <w:sz w:val="24"/>
          <w:szCs w:val="24"/>
        </w:rPr>
        <w:t>，最小值为1，均值为</w:t>
      </w:r>
      <w:r>
        <w:rPr>
          <w:sz w:val="24"/>
          <w:szCs w:val="24"/>
        </w:rPr>
        <w:t>56.66</w:t>
      </w:r>
      <w:r>
        <w:rPr>
          <w:rFonts w:hint="eastAsia"/>
          <w:sz w:val="24"/>
          <w:szCs w:val="24"/>
        </w:rPr>
        <w:t>，中位数为2</w:t>
      </w:r>
      <w:r>
        <w:rPr>
          <w:sz w:val="24"/>
          <w:szCs w:val="24"/>
        </w:rPr>
        <w:t>2</w:t>
      </w:r>
      <w:r>
        <w:rPr>
          <w:rFonts w:hint="eastAsia"/>
          <w:sz w:val="24"/>
          <w:szCs w:val="24"/>
        </w:rPr>
        <w:t>，7</w:t>
      </w:r>
      <w:r>
        <w:rPr>
          <w:sz w:val="24"/>
          <w:szCs w:val="24"/>
        </w:rPr>
        <w:t>5</w:t>
      </w:r>
      <w:r>
        <w:rPr>
          <w:rFonts w:hint="eastAsia"/>
          <w:sz w:val="24"/>
          <w:szCs w:val="24"/>
        </w:rPr>
        <w:t>分位数为5</w:t>
      </w:r>
      <w:r>
        <w:rPr>
          <w:sz w:val="24"/>
          <w:szCs w:val="24"/>
        </w:rPr>
        <w:t>1</w:t>
      </w:r>
      <w:r>
        <w:rPr>
          <w:rFonts w:hint="eastAsia"/>
          <w:sz w:val="24"/>
          <w:szCs w:val="24"/>
        </w:rPr>
        <w:t>，中位数低于均值，体现出超过7</w:t>
      </w:r>
      <w:r>
        <w:rPr>
          <w:sz w:val="24"/>
          <w:szCs w:val="24"/>
        </w:rPr>
        <w:t>5%</w:t>
      </w:r>
      <w:r>
        <w:rPr>
          <w:rFonts w:hint="eastAsia"/>
          <w:sz w:val="24"/>
          <w:szCs w:val="24"/>
        </w:rPr>
        <w:t>的企业的专利申请数量达不到平均水平，标准差高达</w:t>
      </w:r>
      <w:r>
        <w:rPr>
          <w:sz w:val="24"/>
          <w:szCs w:val="24"/>
        </w:rPr>
        <w:t>127.9</w:t>
      </w:r>
      <w:r>
        <w:rPr>
          <w:rFonts w:hint="eastAsia"/>
          <w:sz w:val="24"/>
          <w:szCs w:val="24"/>
        </w:rPr>
        <w:t>，可见与Greenp趋势相似，不同企业的专利申请数量有较大差异。Ratio最大值为0</w:t>
      </w:r>
      <w:r>
        <w:rPr>
          <w:sz w:val="24"/>
          <w:szCs w:val="24"/>
        </w:rPr>
        <w:t>.727</w:t>
      </w:r>
      <w:r>
        <w:rPr>
          <w:rFonts w:hint="eastAsia"/>
          <w:sz w:val="24"/>
          <w:szCs w:val="24"/>
        </w:rPr>
        <w:t>，最小值为0，均值为</w:t>
      </w:r>
      <w:r>
        <w:rPr>
          <w:sz w:val="24"/>
          <w:szCs w:val="24"/>
        </w:rPr>
        <w:t>0.0958</w:t>
      </w:r>
      <w:r>
        <w:rPr>
          <w:rFonts w:hint="eastAsia"/>
          <w:sz w:val="24"/>
          <w:szCs w:val="24"/>
        </w:rPr>
        <w:t>，中位数为0</w:t>
      </w:r>
      <w:r>
        <w:rPr>
          <w:sz w:val="24"/>
          <w:szCs w:val="24"/>
        </w:rPr>
        <w:t>.041</w:t>
      </w:r>
      <w:r>
        <w:rPr>
          <w:rFonts w:hint="eastAsia"/>
          <w:sz w:val="24"/>
          <w:szCs w:val="24"/>
        </w:rPr>
        <w:t>，说明样本企业的绿色技术创新水平大部分处于较低水平。</w:t>
      </w:r>
    </w:p>
    <w:p>
      <w:pPr>
        <w:spacing w:line="360" w:lineRule="auto"/>
        <w:ind w:firstLine="480" w:firstLineChars="200"/>
        <w:jc w:val="left"/>
        <w:rPr>
          <w:sz w:val="24"/>
          <w:szCs w:val="24"/>
        </w:rPr>
      </w:pPr>
      <w:r>
        <w:rPr>
          <w:rFonts w:hint="eastAsia"/>
          <w:sz w:val="24"/>
          <w:szCs w:val="24"/>
        </w:rPr>
        <w:t>由于</w:t>
      </w:r>
      <w:r>
        <w:rPr>
          <w:sz w:val="24"/>
          <w:szCs w:val="24"/>
        </w:rPr>
        <w:t>T</w:t>
      </w:r>
      <w:r>
        <w:rPr>
          <w:rFonts w:hint="eastAsia"/>
          <w:sz w:val="24"/>
          <w:szCs w:val="24"/>
        </w:rPr>
        <w:t>reat和</w:t>
      </w:r>
      <w:r>
        <w:rPr>
          <w:sz w:val="24"/>
          <w:szCs w:val="24"/>
        </w:rPr>
        <w:t>P</w:t>
      </w:r>
      <w:r>
        <w:rPr>
          <w:rFonts w:hint="eastAsia"/>
          <w:sz w:val="24"/>
          <w:szCs w:val="24"/>
        </w:rPr>
        <w:t>ost为虚拟变量，交乘项表示的含义是是否进行政策试点，因此其相关统计数字没有实际意义。</w:t>
      </w:r>
    </w:p>
    <w:p>
      <w:pPr>
        <w:spacing w:line="360" w:lineRule="auto"/>
        <w:ind w:firstLine="480" w:firstLineChars="200"/>
        <w:jc w:val="left"/>
        <w:rPr>
          <w:sz w:val="24"/>
          <w:szCs w:val="24"/>
        </w:rPr>
      </w:pPr>
      <w:r>
        <w:rPr>
          <w:rFonts w:hint="eastAsia"/>
          <w:sz w:val="24"/>
          <w:szCs w:val="24"/>
        </w:rPr>
        <w:t>控制变量中，资本密集度（C</w:t>
      </w:r>
      <w:r>
        <w:rPr>
          <w:sz w:val="24"/>
          <w:szCs w:val="24"/>
        </w:rPr>
        <w:t>APT</w:t>
      </w:r>
      <w:r>
        <w:rPr>
          <w:rFonts w:hint="eastAsia"/>
          <w:sz w:val="24"/>
          <w:szCs w:val="24"/>
        </w:rPr>
        <w:t>）衡量着一个公司的经营效率。C</w:t>
      </w:r>
      <w:r>
        <w:rPr>
          <w:sz w:val="24"/>
          <w:szCs w:val="24"/>
        </w:rPr>
        <w:t>APT</w:t>
      </w:r>
      <w:r>
        <w:rPr>
          <w:rFonts w:hint="eastAsia"/>
          <w:sz w:val="24"/>
          <w:szCs w:val="24"/>
        </w:rPr>
        <w:t>的最大值为7</w:t>
      </w:r>
      <w:r>
        <w:rPr>
          <w:sz w:val="24"/>
          <w:szCs w:val="24"/>
        </w:rPr>
        <w:t>.277</w:t>
      </w:r>
      <w:r>
        <w:rPr>
          <w:rFonts w:hint="eastAsia"/>
          <w:sz w:val="24"/>
          <w:szCs w:val="24"/>
        </w:rPr>
        <w:t>，最小值为0</w:t>
      </w:r>
      <w:r>
        <w:rPr>
          <w:sz w:val="24"/>
          <w:szCs w:val="24"/>
        </w:rPr>
        <w:t>.363</w:t>
      </w:r>
      <w:r>
        <w:rPr>
          <w:rFonts w:hint="eastAsia"/>
          <w:sz w:val="24"/>
          <w:szCs w:val="24"/>
        </w:rPr>
        <w:t>，存在较大差异，均值为1</w:t>
      </w:r>
      <w:r>
        <w:rPr>
          <w:sz w:val="24"/>
          <w:szCs w:val="24"/>
        </w:rPr>
        <w:t>.821</w:t>
      </w:r>
      <w:r>
        <w:rPr>
          <w:rFonts w:hint="eastAsia"/>
          <w:sz w:val="24"/>
          <w:szCs w:val="24"/>
        </w:rPr>
        <w:t>，</w:t>
      </w:r>
      <w:r>
        <w:rPr>
          <w:sz w:val="24"/>
          <w:szCs w:val="24"/>
        </w:rPr>
        <w:t>中位</w:t>
      </w:r>
      <w:r>
        <w:rPr>
          <w:rFonts w:hint="eastAsia"/>
          <w:sz w:val="24"/>
          <w:szCs w:val="24"/>
        </w:rPr>
        <w:t>数与7</w:t>
      </w:r>
      <w:r>
        <w:rPr>
          <w:sz w:val="24"/>
          <w:szCs w:val="24"/>
        </w:rPr>
        <w:t>5</w:t>
      </w:r>
      <w:r>
        <w:rPr>
          <w:rFonts w:hint="eastAsia"/>
          <w:sz w:val="24"/>
          <w:szCs w:val="24"/>
        </w:rPr>
        <w:t>分位数分别是</w:t>
      </w:r>
      <w:r>
        <w:rPr>
          <w:sz w:val="24"/>
          <w:szCs w:val="24"/>
        </w:rPr>
        <w:t>1.569</w:t>
      </w:r>
      <w:r>
        <w:rPr>
          <w:rFonts w:hint="eastAsia"/>
          <w:sz w:val="24"/>
          <w:szCs w:val="24"/>
        </w:rPr>
        <w:t>和</w:t>
      </w:r>
      <w:r>
        <w:rPr>
          <w:sz w:val="24"/>
          <w:szCs w:val="24"/>
        </w:rPr>
        <w:t>2.184</w:t>
      </w:r>
      <w:r>
        <w:rPr>
          <w:rFonts w:hint="eastAsia"/>
          <w:sz w:val="24"/>
          <w:szCs w:val="24"/>
        </w:rPr>
        <w:t>，这反映出资源型与重污染型行业的公司的资本密集度普遍大于1，属于高投入类型的企业。公司效益（R</w:t>
      </w:r>
      <w:r>
        <w:rPr>
          <w:sz w:val="24"/>
          <w:szCs w:val="24"/>
        </w:rPr>
        <w:t>OA</w:t>
      </w:r>
      <w:r>
        <w:rPr>
          <w:rFonts w:hint="eastAsia"/>
          <w:sz w:val="24"/>
          <w:szCs w:val="24"/>
        </w:rPr>
        <w:t>），即公司的盈利能力，是由总资产净利润率进行度量。样本观测值中的最大值为0</w:t>
      </w:r>
      <w:r>
        <w:rPr>
          <w:sz w:val="24"/>
          <w:szCs w:val="24"/>
        </w:rPr>
        <w:t>.223</w:t>
      </w:r>
      <w:r>
        <w:rPr>
          <w:rFonts w:hint="eastAsia"/>
          <w:sz w:val="24"/>
          <w:szCs w:val="24"/>
        </w:rPr>
        <w:t>，最小值为-</w:t>
      </w:r>
      <w:r>
        <w:rPr>
          <w:sz w:val="24"/>
          <w:szCs w:val="24"/>
        </w:rPr>
        <w:t>0.127</w:t>
      </w:r>
      <w:r>
        <w:rPr>
          <w:rFonts w:hint="eastAsia"/>
          <w:sz w:val="24"/>
          <w:szCs w:val="24"/>
        </w:rPr>
        <w:t>，均值为0</w:t>
      </w:r>
      <w:r>
        <w:rPr>
          <w:sz w:val="24"/>
          <w:szCs w:val="24"/>
        </w:rPr>
        <w:t>.0369</w:t>
      </w:r>
      <w:r>
        <w:rPr>
          <w:rFonts w:hint="eastAsia"/>
          <w:sz w:val="24"/>
          <w:szCs w:val="24"/>
        </w:rPr>
        <w:t>，中位数为</w:t>
      </w:r>
      <w:r>
        <w:rPr>
          <w:sz w:val="24"/>
          <w:szCs w:val="24"/>
        </w:rPr>
        <w:t>0.026</w:t>
      </w:r>
      <w:r>
        <w:rPr>
          <w:rFonts w:hint="eastAsia"/>
          <w:sz w:val="24"/>
          <w:szCs w:val="24"/>
        </w:rPr>
        <w:t>，中位数低于均值水平，反映出大多数的企业的总资产净利润率低于平均水平。代理成本（Mfee）反映着公司的经营管理水平，可以衡量公司的管理效率，最小值为0</w:t>
      </w:r>
      <w:r>
        <w:rPr>
          <w:sz w:val="24"/>
          <w:szCs w:val="24"/>
        </w:rPr>
        <w:t>.00935</w:t>
      </w:r>
      <w:r>
        <w:rPr>
          <w:rFonts w:hint="eastAsia"/>
          <w:sz w:val="24"/>
          <w:szCs w:val="24"/>
        </w:rPr>
        <w:t>，最大值为0</w:t>
      </w:r>
      <w:r>
        <w:rPr>
          <w:sz w:val="24"/>
          <w:szCs w:val="24"/>
        </w:rPr>
        <w:t>.261</w:t>
      </w:r>
      <w:r>
        <w:rPr>
          <w:rFonts w:hint="eastAsia"/>
          <w:sz w:val="24"/>
          <w:szCs w:val="24"/>
        </w:rPr>
        <w:t>，均值为0</w:t>
      </w:r>
      <w:r>
        <w:rPr>
          <w:sz w:val="24"/>
          <w:szCs w:val="24"/>
        </w:rPr>
        <w:t>.0763</w:t>
      </w:r>
      <w:r>
        <w:rPr>
          <w:rFonts w:hint="eastAsia"/>
          <w:sz w:val="24"/>
          <w:szCs w:val="24"/>
        </w:rPr>
        <w:t>，中位数为0</w:t>
      </w:r>
      <w:r>
        <w:rPr>
          <w:sz w:val="24"/>
          <w:szCs w:val="24"/>
        </w:rPr>
        <w:t>.067</w:t>
      </w:r>
      <w:r>
        <w:rPr>
          <w:rFonts w:hint="eastAsia"/>
          <w:sz w:val="24"/>
          <w:szCs w:val="24"/>
        </w:rPr>
        <w:t>，中位数略低于均值，可以认为大部分企业的管理效率较高，高于平均水平。</w:t>
      </w:r>
    </w:p>
    <w:p>
      <w:pPr>
        <w:spacing w:before="156" w:beforeLines="50" w:after="156" w:afterLines="50"/>
        <w:jc w:val="left"/>
        <w:outlineLvl w:val="1"/>
        <w:rPr>
          <w:rFonts w:ascii="黑体" w:eastAsia="黑体"/>
          <w:b/>
          <w:sz w:val="28"/>
          <w:szCs w:val="28"/>
        </w:rPr>
      </w:pPr>
      <w:bookmarkStart w:id="102" w:name="_Toc104375937"/>
      <w:bookmarkStart w:id="103" w:name="_Toc17187"/>
      <w:bookmarkStart w:id="104" w:name="_Toc100181285"/>
      <w:bookmarkStart w:id="105" w:name="_Toc100181862"/>
      <w:r>
        <w:rPr>
          <w:b/>
          <w:sz w:val="28"/>
          <w:szCs w:val="28"/>
        </w:rPr>
        <w:t>4.2</w:t>
      </w:r>
      <w:r>
        <w:rPr>
          <w:rFonts w:hint="eastAsia" w:ascii="黑体" w:eastAsia="黑体"/>
          <w:b/>
          <w:sz w:val="28"/>
          <w:szCs w:val="28"/>
        </w:rPr>
        <w:t xml:space="preserve"> 相关性分析</w:t>
      </w:r>
      <w:bookmarkEnd w:id="102"/>
      <w:bookmarkEnd w:id="103"/>
      <w:bookmarkEnd w:id="104"/>
      <w:bookmarkEnd w:id="105"/>
    </w:p>
    <w:p>
      <w:pPr>
        <w:spacing w:line="360" w:lineRule="auto"/>
        <w:ind w:firstLine="480" w:firstLineChars="200"/>
        <w:jc w:val="left"/>
        <w:rPr>
          <w:sz w:val="24"/>
          <w:szCs w:val="24"/>
        </w:rPr>
      </w:pPr>
      <w:r>
        <w:rPr>
          <w:rFonts w:hint="eastAsia"/>
          <w:sz w:val="24"/>
          <w:szCs w:val="24"/>
        </w:rPr>
        <w:t>在上文描述性统计的分析基础之上，本文对主要变量的相关性进行分析。本文主要变量的相关性水平如表4</w:t>
      </w:r>
      <w:r>
        <w:rPr>
          <w:sz w:val="24"/>
          <w:szCs w:val="24"/>
        </w:rPr>
        <w:t>-2</w:t>
      </w:r>
      <w:r>
        <w:rPr>
          <w:rFonts w:hint="eastAsia"/>
          <w:sz w:val="24"/>
          <w:szCs w:val="24"/>
        </w:rPr>
        <w:t>所示。</w:t>
      </w:r>
    </w:p>
    <w:p>
      <w:pPr>
        <w:spacing w:line="360" w:lineRule="auto"/>
        <w:ind w:firstLine="480" w:firstLineChars="200"/>
        <w:jc w:val="left"/>
        <w:rPr>
          <w:sz w:val="24"/>
          <w:szCs w:val="24"/>
        </w:rPr>
      </w:pPr>
      <w:r>
        <w:rPr>
          <w:rFonts w:hint="eastAsia"/>
          <w:sz w:val="24"/>
          <w:szCs w:val="24"/>
        </w:rPr>
        <w:t>本文采用了皮尔逊相关性分析，从表</w:t>
      </w:r>
      <w:r>
        <w:rPr>
          <w:sz w:val="24"/>
          <w:szCs w:val="24"/>
        </w:rPr>
        <w:t>4-2</w:t>
      </w:r>
      <w:r>
        <w:rPr>
          <w:rFonts w:hint="eastAsia"/>
          <w:sz w:val="24"/>
          <w:szCs w:val="24"/>
        </w:rPr>
        <w:t>中数据可以看出，审计政策试点（Treat</w:t>
      </w:r>
      <w:r>
        <w:rPr>
          <w:sz w:val="24"/>
          <w:szCs w:val="24"/>
        </w:rPr>
        <w:t>*</w:t>
      </w:r>
      <w:r>
        <w:rPr>
          <w:rFonts w:hint="eastAsia"/>
          <w:sz w:val="24"/>
          <w:szCs w:val="24"/>
        </w:rPr>
        <w:t>Post）与否和企业绿色技术创新水平Ratio在</w:t>
      </w:r>
      <w:r>
        <w:rPr>
          <w:sz w:val="24"/>
          <w:szCs w:val="24"/>
        </w:rPr>
        <w:t>1%</w:t>
      </w:r>
      <w:r>
        <w:rPr>
          <w:rFonts w:hint="eastAsia"/>
          <w:sz w:val="24"/>
          <w:szCs w:val="24"/>
        </w:rPr>
        <w:t>水平上显著正相关，相关系数为0</w:t>
      </w:r>
      <w:r>
        <w:rPr>
          <w:sz w:val="24"/>
          <w:szCs w:val="24"/>
        </w:rPr>
        <w:t>.077</w:t>
      </w:r>
      <w:r>
        <w:rPr>
          <w:rFonts w:hint="eastAsia"/>
          <w:sz w:val="24"/>
          <w:szCs w:val="24"/>
        </w:rPr>
        <w:t>，因此可以初步认为该审计政策的实施有利于企业绿色技术创新水平的发展。</w:t>
      </w:r>
    </w:p>
    <w:p>
      <w:pPr>
        <w:spacing w:line="360" w:lineRule="auto"/>
        <w:ind w:firstLine="480" w:firstLineChars="200"/>
        <w:jc w:val="left"/>
        <w:rPr>
          <w:sz w:val="24"/>
          <w:szCs w:val="24"/>
        </w:rPr>
      </w:pPr>
      <w:r>
        <w:rPr>
          <w:rFonts w:hint="eastAsia"/>
          <w:sz w:val="24"/>
          <w:szCs w:val="24"/>
        </w:rPr>
        <w:t>大部分控制变量均与被解释变量显著相关，因此可以认为本文的控制变量选择具有一定的代表性。虽然Firm</w:t>
      </w:r>
      <w:r>
        <w:rPr>
          <w:sz w:val="24"/>
          <w:szCs w:val="24"/>
        </w:rPr>
        <w:t>A</w:t>
      </w:r>
      <w:r>
        <w:rPr>
          <w:rFonts w:hint="eastAsia"/>
          <w:sz w:val="24"/>
          <w:szCs w:val="24"/>
        </w:rPr>
        <w:t>ge、Top1、CAPT在相关性上并没有表现出与Ratio的显著相关，但是以往学者在研究时考虑了此类影响，所以仍然选择其为控制变量。控制变量之间的相关系数的绝对值最大为0</w:t>
      </w:r>
      <w:r>
        <w:rPr>
          <w:sz w:val="24"/>
          <w:szCs w:val="24"/>
        </w:rPr>
        <w:t>.588</w:t>
      </w:r>
      <w:r>
        <w:rPr>
          <w:rFonts w:hint="eastAsia"/>
          <w:sz w:val="24"/>
          <w:szCs w:val="24"/>
        </w:rPr>
        <w:t>，可以认为各控制变量之间的相关性较弱，不存在严重的多重共线性。</w:t>
      </w:r>
    </w:p>
    <w:p>
      <w:pPr>
        <w:spacing w:line="360" w:lineRule="auto"/>
        <w:ind w:firstLine="480" w:firstLineChars="200"/>
        <w:jc w:val="left"/>
        <w:rPr>
          <w:sz w:val="24"/>
          <w:szCs w:val="24"/>
        </w:rPr>
        <w:sectPr>
          <w:footerReference r:id="rId13" w:type="default"/>
          <w:type w:val="nextColumn"/>
          <w:pgSz w:w="11906" w:h="16838"/>
          <w:pgMar w:top="1440" w:right="1800" w:bottom="1440" w:left="1800" w:header="851" w:footer="992" w:gutter="0"/>
          <w:pgNumType w:fmt="decimal" w:start="1"/>
          <w:cols w:space="720" w:num="1"/>
          <w:docGrid w:type="lines" w:linePitch="312" w:charSpace="0"/>
        </w:sectPr>
      </w:pPr>
    </w:p>
    <w:p>
      <w:pPr>
        <w:pStyle w:val="4"/>
        <w:spacing w:after="156"/>
      </w:pPr>
      <w:bookmarkStart w:id="106" w:name="_Toc102926853"/>
      <w:bookmarkStart w:id="107" w:name="_Toc104376092"/>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2</w:t>
      </w:r>
      <w:r>
        <w:fldChar w:fldCharType="end"/>
      </w:r>
      <w:r>
        <w:t xml:space="preserve"> </w:t>
      </w:r>
      <w:r>
        <w:rPr>
          <w:rFonts w:hint="eastAsia"/>
        </w:rPr>
        <w:t>变量的相关性分析</w:t>
      </w:r>
      <w:bookmarkEnd w:id="106"/>
      <w:bookmarkEnd w:id="107"/>
    </w:p>
    <w:tbl>
      <w:tblPr>
        <w:tblStyle w:val="14"/>
        <w:tblW w:w="1326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7"/>
        <w:gridCol w:w="1304"/>
        <w:gridCol w:w="1417"/>
        <w:gridCol w:w="1304"/>
        <w:gridCol w:w="1304"/>
        <w:gridCol w:w="1304"/>
        <w:gridCol w:w="1304"/>
        <w:gridCol w:w="1304"/>
        <w:gridCol w:w="1304"/>
        <w:gridCol w:w="130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tcBorders>
              <w:top w:val="single" w:color="auto" w:sz="12" w:space="0"/>
              <w:bottom w:val="single" w:color="auto" w:sz="4" w:space="0"/>
            </w:tcBorders>
            <w:shd w:val="clear" w:color="auto" w:fill="auto"/>
            <w:noWrap/>
            <w:vAlign w:val="center"/>
          </w:tcPr>
          <w:p>
            <w:pPr>
              <w:widowControl/>
              <w:jc w:val="center"/>
              <w:rPr>
                <w:rFonts w:ascii="宋体" w:hAnsi="宋体" w:cs="宋体"/>
                <w:kern w:val="0"/>
                <w:szCs w:val="21"/>
              </w:rPr>
            </w:pP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Ratio</w:t>
            </w:r>
          </w:p>
        </w:tc>
        <w:tc>
          <w:tcPr>
            <w:tcW w:w="1417"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rFonts w:hint="eastAsia"/>
                <w:color w:val="000000"/>
                <w:kern w:val="0"/>
                <w:szCs w:val="21"/>
              </w:rPr>
              <w:t>Treat</w:t>
            </w:r>
            <w:r>
              <w:rPr>
                <w:color w:val="000000"/>
                <w:kern w:val="0"/>
                <w:szCs w:val="21"/>
              </w:rPr>
              <w:t>*P</w:t>
            </w:r>
            <w:r>
              <w:rPr>
                <w:rFonts w:hint="eastAsia"/>
                <w:color w:val="000000"/>
                <w:kern w:val="0"/>
                <w:szCs w:val="21"/>
              </w:rPr>
              <w:t>ost</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S</w:t>
            </w:r>
            <w:r>
              <w:rPr>
                <w:rFonts w:hint="eastAsia"/>
                <w:color w:val="000000"/>
                <w:kern w:val="0"/>
                <w:szCs w:val="21"/>
              </w:rPr>
              <w:t>ize</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Lev</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ROA</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Mfee</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FirmAge</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Top1</w:t>
            </w:r>
          </w:p>
        </w:tc>
        <w:tc>
          <w:tcPr>
            <w:tcW w:w="1304" w:type="dxa"/>
            <w:tcBorders>
              <w:top w:val="single" w:color="auto" w:sz="12" w:space="0"/>
              <w:bottom w:val="single" w:color="auto" w:sz="4" w:space="0"/>
            </w:tcBorders>
            <w:shd w:val="clear" w:color="auto" w:fill="auto"/>
            <w:vAlign w:val="center"/>
          </w:tcPr>
          <w:p>
            <w:pPr>
              <w:widowControl/>
              <w:jc w:val="center"/>
              <w:rPr>
                <w:color w:val="000000"/>
                <w:kern w:val="0"/>
                <w:szCs w:val="21"/>
              </w:rPr>
            </w:pPr>
            <w:r>
              <w:rPr>
                <w:color w:val="000000"/>
                <w:kern w:val="0"/>
                <w:szCs w:val="21"/>
              </w:rPr>
              <w:t>CAPT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tcBorders>
              <w:top w:val="single" w:color="auto" w:sz="4" w:space="0"/>
            </w:tcBorders>
            <w:shd w:val="clear" w:color="auto" w:fill="auto"/>
            <w:vAlign w:val="center"/>
          </w:tcPr>
          <w:p>
            <w:pPr>
              <w:widowControl/>
              <w:jc w:val="center"/>
              <w:rPr>
                <w:color w:val="000000"/>
                <w:kern w:val="0"/>
                <w:szCs w:val="21"/>
              </w:rPr>
            </w:pPr>
            <w:r>
              <w:rPr>
                <w:color w:val="000000"/>
                <w:kern w:val="0"/>
                <w:szCs w:val="21"/>
              </w:rPr>
              <w:t>Ratio</w:t>
            </w:r>
          </w:p>
        </w:tc>
        <w:tc>
          <w:tcPr>
            <w:tcW w:w="1304" w:type="dxa"/>
            <w:tcBorders>
              <w:top w:val="single" w:color="auto" w:sz="4" w:space="0"/>
            </w:tcBorders>
            <w:shd w:val="clear" w:color="auto" w:fill="auto"/>
            <w:vAlign w:val="center"/>
          </w:tcPr>
          <w:p>
            <w:pPr>
              <w:widowControl/>
              <w:jc w:val="center"/>
              <w:rPr>
                <w:color w:val="000000"/>
                <w:kern w:val="0"/>
                <w:szCs w:val="21"/>
              </w:rPr>
            </w:pPr>
            <w:r>
              <w:rPr>
                <w:color w:val="000000"/>
                <w:kern w:val="0"/>
                <w:szCs w:val="21"/>
              </w:rPr>
              <w:t>1</w:t>
            </w:r>
          </w:p>
        </w:tc>
        <w:tc>
          <w:tcPr>
            <w:tcW w:w="1417" w:type="dxa"/>
            <w:tcBorders>
              <w:top w:val="single" w:color="auto" w:sz="4" w:space="0"/>
            </w:tcBorders>
            <w:shd w:val="clear" w:color="auto" w:fill="auto"/>
            <w:vAlign w:val="center"/>
          </w:tcPr>
          <w:p>
            <w:pPr>
              <w:widowControl/>
              <w:jc w:val="center"/>
              <w:rPr>
                <w:rFonts w:eastAsia="Times New Roman"/>
                <w:kern w:val="0"/>
                <w:szCs w:val="21"/>
              </w:rPr>
            </w:pPr>
          </w:p>
        </w:tc>
        <w:tc>
          <w:tcPr>
            <w:tcW w:w="1304" w:type="dxa"/>
            <w:tcBorders>
              <w:top w:val="single" w:color="auto" w:sz="4" w:space="0"/>
            </w:tcBorders>
            <w:shd w:val="clear" w:color="auto" w:fill="auto"/>
            <w:vAlign w:val="center"/>
          </w:tcPr>
          <w:p>
            <w:pPr>
              <w:widowControl/>
              <w:jc w:val="center"/>
              <w:rPr>
                <w:rFonts w:eastAsia="Times New Roman"/>
                <w:kern w:val="0"/>
                <w:szCs w:val="21"/>
              </w:rPr>
            </w:pPr>
          </w:p>
        </w:tc>
        <w:tc>
          <w:tcPr>
            <w:tcW w:w="1304" w:type="dxa"/>
            <w:tcBorders>
              <w:top w:val="single" w:color="auto" w:sz="4" w:space="0"/>
            </w:tcBorders>
            <w:shd w:val="clear" w:color="auto" w:fill="auto"/>
            <w:vAlign w:val="center"/>
          </w:tcPr>
          <w:p>
            <w:pPr>
              <w:widowControl/>
              <w:jc w:val="center"/>
              <w:rPr>
                <w:rFonts w:eastAsia="Times New Roman"/>
                <w:kern w:val="0"/>
                <w:szCs w:val="21"/>
              </w:rPr>
            </w:pPr>
          </w:p>
        </w:tc>
        <w:tc>
          <w:tcPr>
            <w:tcW w:w="1304" w:type="dxa"/>
            <w:tcBorders>
              <w:top w:val="single" w:color="auto" w:sz="4" w:space="0"/>
            </w:tcBorders>
            <w:shd w:val="clear" w:color="auto" w:fill="auto"/>
            <w:vAlign w:val="center"/>
          </w:tcPr>
          <w:p>
            <w:pPr>
              <w:widowControl/>
              <w:jc w:val="center"/>
              <w:rPr>
                <w:rFonts w:eastAsia="Times New Roman"/>
                <w:kern w:val="0"/>
                <w:szCs w:val="21"/>
              </w:rPr>
            </w:pPr>
          </w:p>
        </w:tc>
        <w:tc>
          <w:tcPr>
            <w:tcW w:w="1304" w:type="dxa"/>
            <w:tcBorders>
              <w:top w:val="single" w:color="auto" w:sz="4" w:space="0"/>
            </w:tcBorders>
            <w:shd w:val="clear" w:color="auto" w:fill="auto"/>
            <w:vAlign w:val="center"/>
          </w:tcPr>
          <w:p>
            <w:pPr>
              <w:widowControl/>
              <w:jc w:val="center"/>
              <w:rPr>
                <w:rFonts w:eastAsia="Times New Roman"/>
                <w:kern w:val="0"/>
                <w:szCs w:val="21"/>
              </w:rPr>
            </w:pPr>
          </w:p>
        </w:tc>
        <w:tc>
          <w:tcPr>
            <w:tcW w:w="1304" w:type="dxa"/>
            <w:tcBorders>
              <w:top w:val="single" w:color="auto" w:sz="4" w:space="0"/>
            </w:tcBorders>
            <w:shd w:val="clear" w:color="auto" w:fill="auto"/>
            <w:noWrap/>
            <w:vAlign w:val="center"/>
          </w:tcPr>
          <w:p>
            <w:pPr>
              <w:widowControl/>
              <w:jc w:val="center"/>
              <w:rPr>
                <w:rFonts w:eastAsia="Times New Roman"/>
                <w:kern w:val="0"/>
                <w:szCs w:val="21"/>
              </w:rPr>
            </w:pPr>
          </w:p>
        </w:tc>
        <w:tc>
          <w:tcPr>
            <w:tcW w:w="1304" w:type="dxa"/>
            <w:tcBorders>
              <w:top w:val="single" w:color="auto" w:sz="4" w:space="0"/>
            </w:tcBorders>
            <w:shd w:val="clear" w:color="auto" w:fill="auto"/>
            <w:noWrap/>
            <w:vAlign w:val="center"/>
          </w:tcPr>
          <w:p>
            <w:pPr>
              <w:widowControl/>
              <w:jc w:val="center"/>
              <w:rPr>
                <w:rFonts w:eastAsia="Times New Roman"/>
                <w:kern w:val="0"/>
                <w:szCs w:val="21"/>
              </w:rPr>
            </w:pPr>
          </w:p>
        </w:tc>
        <w:tc>
          <w:tcPr>
            <w:tcW w:w="1304" w:type="dxa"/>
            <w:tcBorders>
              <w:top w:val="single" w:color="auto" w:sz="4" w:space="0"/>
            </w:tcBorders>
            <w:shd w:val="clear" w:color="auto" w:fill="auto"/>
            <w:noWrap/>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rFonts w:hint="eastAsia"/>
                <w:color w:val="000000"/>
                <w:kern w:val="0"/>
                <w:szCs w:val="21"/>
              </w:rPr>
              <w:t>Treat</w:t>
            </w:r>
            <w:r>
              <w:rPr>
                <w:color w:val="000000"/>
                <w:kern w:val="0"/>
                <w:szCs w:val="21"/>
              </w:rPr>
              <w:t>*P</w:t>
            </w:r>
            <w:r>
              <w:rPr>
                <w:rFonts w:hint="eastAsia"/>
                <w:color w:val="000000"/>
                <w:kern w:val="0"/>
                <w:szCs w:val="21"/>
              </w:rPr>
              <w:t>ost</w:t>
            </w:r>
          </w:p>
        </w:tc>
        <w:tc>
          <w:tcPr>
            <w:tcW w:w="1304" w:type="dxa"/>
            <w:shd w:val="clear" w:color="auto" w:fill="auto"/>
            <w:vAlign w:val="center"/>
          </w:tcPr>
          <w:p>
            <w:pPr>
              <w:widowControl/>
              <w:jc w:val="center"/>
              <w:rPr>
                <w:color w:val="000000"/>
                <w:kern w:val="0"/>
                <w:szCs w:val="21"/>
              </w:rPr>
            </w:pPr>
            <w:r>
              <w:rPr>
                <w:color w:val="000000"/>
                <w:kern w:val="0"/>
                <w:szCs w:val="21"/>
              </w:rPr>
              <w:t>0.077***</w:t>
            </w:r>
          </w:p>
        </w:tc>
        <w:tc>
          <w:tcPr>
            <w:tcW w:w="1417"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vAlign w:val="center"/>
          </w:tcPr>
          <w:p>
            <w:pPr>
              <w:widowControl/>
              <w:jc w:val="center"/>
              <w:rPr>
                <w:color w:val="000000"/>
                <w:kern w:val="0"/>
                <w:szCs w:val="21"/>
              </w:rPr>
            </w:pPr>
          </w:p>
        </w:tc>
        <w:tc>
          <w:tcPr>
            <w:tcW w:w="1304" w:type="dxa"/>
            <w:shd w:val="clear" w:color="auto" w:fill="auto"/>
            <w:vAlign w:val="center"/>
          </w:tcPr>
          <w:p>
            <w:pPr>
              <w:widowControl/>
              <w:jc w:val="center"/>
              <w:rPr>
                <w:rFonts w:eastAsia="Times New Roman"/>
                <w:kern w:val="0"/>
                <w:szCs w:val="21"/>
              </w:rPr>
            </w:pPr>
          </w:p>
        </w:tc>
        <w:tc>
          <w:tcPr>
            <w:tcW w:w="1304" w:type="dxa"/>
            <w:shd w:val="clear" w:color="auto" w:fill="auto"/>
            <w:vAlign w:val="center"/>
          </w:tcPr>
          <w:p>
            <w:pPr>
              <w:widowControl/>
              <w:jc w:val="center"/>
              <w:rPr>
                <w:rFonts w:eastAsia="Times New Roman"/>
                <w:kern w:val="0"/>
                <w:szCs w:val="21"/>
              </w:rPr>
            </w:pPr>
          </w:p>
        </w:tc>
        <w:tc>
          <w:tcPr>
            <w:tcW w:w="1304" w:type="dxa"/>
            <w:shd w:val="clear" w:color="auto" w:fill="auto"/>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S</w:t>
            </w:r>
            <w:r>
              <w:rPr>
                <w:rFonts w:hint="eastAsia"/>
                <w:color w:val="000000"/>
                <w:kern w:val="0"/>
                <w:szCs w:val="21"/>
              </w:rPr>
              <w:t>ize</w:t>
            </w:r>
          </w:p>
        </w:tc>
        <w:tc>
          <w:tcPr>
            <w:tcW w:w="1304" w:type="dxa"/>
            <w:shd w:val="clear" w:color="auto" w:fill="auto"/>
            <w:vAlign w:val="center"/>
          </w:tcPr>
          <w:p>
            <w:pPr>
              <w:widowControl/>
              <w:jc w:val="center"/>
              <w:rPr>
                <w:color w:val="000000"/>
                <w:kern w:val="0"/>
                <w:szCs w:val="21"/>
              </w:rPr>
            </w:pPr>
            <w:r>
              <w:rPr>
                <w:color w:val="000000"/>
                <w:kern w:val="0"/>
                <w:szCs w:val="21"/>
              </w:rPr>
              <w:t>0.163***</w:t>
            </w:r>
          </w:p>
        </w:tc>
        <w:tc>
          <w:tcPr>
            <w:tcW w:w="1417" w:type="dxa"/>
            <w:shd w:val="clear" w:color="auto" w:fill="auto"/>
            <w:vAlign w:val="center"/>
          </w:tcPr>
          <w:p>
            <w:pPr>
              <w:widowControl/>
              <w:jc w:val="center"/>
              <w:rPr>
                <w:color w:val="000000"/>
                <w:kern w:val="0"/>
                <w:szCs w:val="21"/>
              </w:rPr>
            </w:pPr>
            <w:r>
              <w:rPr>
                <w:color w:val="000000"/>
                <w:kern w:val="0"/>
                <w:szCs w:val="21"/>
              </w:rPr>
              <w:t>-0.008</w:t>
            </w:r>
          </w:p>
        </w:tc>
        <w:tc>
          <w:tcPr>
            <w:tcW w:w="1304"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vAlign w:val="center"/>
          </w:tcPr>
          <w:p>
            <w:pPr>
              <w:widowControl/>
              <w:jc w:val="center"/>
              <w:rPr>
                <w:color w:val="000000"/>
                <w:kern w:val="0"/>
                <w:szCs w:val="21"/>
              </w:rPr>
            </w:pPr>
          </w:p>
        </w:tc>
        <w:tc>
          <w:tcPr>
            <w:tcW w:w="1304" w:type="dxa"/>
            <w:shd w:val="clear" w:color="auto" w:fill="auto"/>
            <w:vAlign w:val="center"/>
          </w:tcPr>
          <w:p>
            <w:pPr>
              <w:widowControl/>
              <w:jc w:val="center"/>
              <w:rPr>
                <w:rFonts w:eastAsia="Times New Roman"/>
                <w:kern w:val="0"/>
                <w:szCs w:val="21"/>
              </w:rPr>
            </w:pPr>
          </w:p>
        </w:tc>
        <w:tc>
          <w:tcPr>
            <w:tcW w:w="1304" w:type="dxa"/>
            <w:shd w:val="clear" w:color="auto" w:fill="auto"/>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Lev</w:t>
            </w:r>
          </w:p>
        </w:tc>
        <w:tc>
          <w:tcPr>
            <w:tcW w:w="1304" w:type="dxa"/>
            <w:shd w:val="clear" w:color="auto" w:fill="auto"/>
            <w:vAlign w:val="center"/>
          </w:tcPr>
          <w:p>
            <w:pPr>
              <w:widowControl/>
              <w:jc w:val="center"/>
              <w:rPr>
                <w:color w:val="000000"/>
                <w:kern w:val="0"/>
                <w:szCs w:val="21"/>
              </w:rPr>
            </w:pPr>
            <w:r>
              <w:rPr>
                <w:color w:val="000000"/>
                <w:kern w:val="0"/>
                <w:szCs w:val="21"/>
              </w:rPr>
              <w:t>0.151***</w:t>
            </w:r>
          </w:p>
        </w:tc>
        <w:tc>
          <w:tcPr>
            <w:tcW w:w="1417" w:type="dxa"/>
            <w:shd w:val="clear" w:color="auto" w:fill="auto"/>
            <w:vAlign w:val="center"/>
          </w:tcPr>
          <w:p>
            <w:pPr>
              <w:widowControl/>
              <w:jc w:val="center"/>
              <w:rPr>
                <w:color w:val="000000"/>
                <w:kern w:val="0"/>
                <w:szCs w:val="21"/>
              </w:rPr>
            </w:pPr>
            <w:r>
              <w:rPr>
                <w:color w:val="000000"/>
                <w:kern w:val="0"/>
                <w:szCs w:val="21"/>
              </w:rPr>
              <w:t>-0.003</w:t>
            </w:r>
          </w:p>
        </w:tc>
        <w:tc>
          <w:tcPr>
            <w:tcW w:w="1304" w:type="dxa"/>
            <w:shd w:val="clear" w:color="auto" w:fill="auto"/>
            <w:vAlign w:val="center"/>
          </w:tcPr>
          <w:p>
            <w:pPr>
              <w:widowControl/>
              <w:jc w:val="center"/>
              <w:rPr>
                <w:color w:val="000000"/>
                <w:kern w:val="0"/>
                <w:szCs w:val="21"/>
              </w:rPr>
            </w:pPr>
            <w:r>
              <w:rPr>
                <w:color w:val="000000"/>
                <w:kern w:val="0"/>
                <w:szCs w:val="21"/>
              </w:rPr>
              <w:t>0.431***</w:t>
            </w:r>
          </w:p>
        </w:tc>
        <w:tc>
          <w:tcPr>
            <w:tcW w:w="1304"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vAlign w:val="center"/>
          </w:tcPr>
          <w:p>
            <w:pPr>
              <w:widowControl/>
              <w:jc w:val="center"/>
              <w:rPr>
                <w:color w:val="000000"/>
                <w:kern w:val="0"/>
                <w:szCs w:val="21"/>
              </w:rPr>
            </w:pPr>
          </w:p>
        </w:tc>
        <w:tc>
          <w:tcPr>
            <w:tcW w:w="1304" w:type="dxa"/>
            <w:shd w:val="clear" w:color="auto" w:fill="auto"/>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ROA</w:t>
            </w:r>
          </w:p>
        </w:tc>
        <w:tc>
          <w:tcPr>
            <w:tcW w:w="1304" w:type="dxa"/>
            <w:shd w:val="clear" w:color="auto" w:fill="auto"/>
            <w:vAlign w:val="center"/>
          </w:tcPr>
          <w:p>
            <w:pPr>
              <w:widowControl/>
              <w:jc w:val="center"/>
              <w:rPr>
                <w:color w:val="000000"/>
                <w:kern w:val="0"/>
                <w:szCs w:val="21"/>
              </w:rPr>
            </w:pPr>
            <w:r>
              <w:rPr>
                <w:color w:val="000000"/>
                <w:kern w:val="0"/>
                <w:szCs w:val="21"/>
              </w:rPr>
              <w:t>-0.114***</w:t>
            </w:r>
          </w:p>
        </w:tc>
        <w:tc>
          <w:tcPr>
            <w:tcW w:w="1417" w:type="dxa"/>
            <w:shd w:val="clear" w:color="auto" w:fill="auto"/>
            <w:vAlign w:val="center"/>
          </w:tcPr>
          <w:p>
            <w:pPr>
              <w:widowControl/>
              <w:jc w:val="center"/>
              <w:rPr>
                <w:color w:val="000000"/>
                <w:kern w:val="0"/>
                <w:szCs w:val="21"/>
              </w:rPr>
            </w:pPr>
            <w:r>
              <w:rPr>
                <w:color w:val="000000"/>
                <w:kern w:val="0"/>
                <w:szCs w:val="21"/>
              </w:rPr>
              <w:t>-0.024</w:t>
            </w:r>
          </w:p>
        </w:tc>
        <w:tc>
          <w:tcPr>
            <w:tcW w:w="1304" w:type="dxa"/>
            <w:shd w:val="clear" w:color="auto" w:fill="auto"/>
            <w:vAlign w:val="center"/>
          </w:tcPr>
          <w:p>
            <w:pPr>
              <w:widowControl/>
              <w:jc w:val="center"/>
              <w:rPr>
                <w:color w:val="000000"/>
                <w:kern w:val="0"/>
                <w:szCs w:val="21"/>
              </w:rPr>
            </w:pPr>
            <w:r>
              <w:rPr>
                <w:color w:val="000000"/>
                <w:kern w:val="0"/>
                <w:szCs w:val="21"/>
              </w:rPr>
              <w:t>-0.127***</w:t>
            </w:r>
          </w:p>
        </w:tc>
        <w:tc>
          <w:tcPr>
            <w:tcW w:w="1304" w:type="dxa"/>
            <w:shd w:val="clear" w:color="auto" w:fill="auto"/>
            <w:vAlign w:val="center"/>
          </w:tcPr>
          <w:p>
            <w:pPr>
              <w:widowControl/>
              <w:jc w:val="center"/>
              <w:rPr>
                <w:color w:val="000000"/>
                <w:kern w:val="0"/>
                <w:szCs w:val="21"/>
              </w:rPr>
            </w:pPr>
            <w:r>
              <w:rPr>
                <w:color w:val="000000"/>
                <w:kern w:val="0"/>
                <w:szCs w:val="21"/>
              </w:rPr>
              <w:t>-0.588***</w:t>
            </w:r>
          </w:p>
        </w:tc>
        <w:tc>
          <w:tcPr>
            <w:tcW w:w="1304"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vAlign w:val="center"/>
          </w:tcPr>
          <w:p>
            <w:pPr>
              <w:widowControl/>
              <w:jc w:val="center"/>
              <w:rPr>
                <w:color w:val="000000"/>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Mfee</w:t>
            </w:r>
          </w:p>
        </w:tc>
        <w:tc>
          <w:tcPr>
            <w:tcW w:w="1304" w:type="dxa"/>
            <w:shd w:val="clear" w:color="auto" w:fill="auto"/>
            <w:vAlign w:val="center"/>
          </w:tcPr>
          <w:p>
            <w:pPr>
              <w:widowControl/>
              <w:jc w:val="center"/>
              <w:rPr>
                <w:color w:val="000000"/>
                <w:kern w:val="0"/>
                <w:szCs w:val="21"/>
              </w:rPr>
            </w:pPr>
            <w:r>
              <w:rPr>
                <w:color w:val="000000"/>
                <w:kern w:val="0"/>
                <w:szCs w:val="21"/>
              </w:rPr>
              <w:t>-0.150***</w:t>
            </w:r>
          </w:p>
        </w:tc>
        <w:tc>
          <w:tcPr>
            <w:tcW w:w="1417" w:type="dxa"/>
            <w:shd w:val="clear" w:color="auto" w:fill="auto"/>
            <w:vAlign w:val="center"/>
          </w:tcPr>
          <w:p>
            <w:pPr>
              <w:widowControl/>
              <w:jc w:val="center"/>
              <w:rPr>
                <w:color w:val="000000"/>
                <w:kern w:val="0"/>
                <w:szCs w:val="21"/>
              </w:rPr>
            </w:pPr>
            <w:r>
              <w:rPr>
                <w:color w:val="000000"/>
                <w:kern w:val="0"/>
                <w:szCs w:val="21"/>
              </w:rPr>
              <w:t>0.026</w:t>
            </w:r>
          </w:p>
        </w:tc>
        <w:tc>
          <w:tcPr>
            <w:tcW w:w="1304" w:type="dxa"/>
            <w:shd w:val="clear" w:color="auto" w:fill="auto"/>
            <w:vAlign w:val="center"/>
          </w:tcPr>
          <w:p>
            <w:pPr>
              <w:widowControl/>
              <w:jc w:val="center"/>
              <w:rPr>
                <w:color w:val="000000"/>
                <w:kern w:val="0"/>
                <w:szCs w:val="21"/>
              </w:rPr>
            </w:pPr>
            <w:r>
              <w:rPr>
                <w:color w:val="000000"/>
                <w:kern w:val="0"/>
                <w:szCs w:val="21"/>
              </w:rPr>
              <w:t>-0.393***</w:t>
            </w:r>
          </w:p>
        </w:tc>
        <w:tc>
          <w:tcPr>
            <w:tcW w:w="1304" w:type="dxa"/>
            <w:shd w:val="clear" w:color="auto" w:fill="auto"/>
            <w:vAlign w:val="center"/>
          </w:tcPr>
          <w:p>
            <w:pPr>
              <w:widowControl/>
              <w:jc w:val="center"/>
              <w:rPr>
                <w:color w:val="000000"/>
                <w:kern w:val="0"/>
                <w:szCs w:val="21"/>
              </w:rPr>
            </w:pPr>
            <w:r>
              <w:rPr>
                <w:color w:val="000000"/>
                <w:kern w:val="0"/>
                <w:szCs w:val="21"/>
              </w:rPr>
              <w:t>-0.289***</w:t>
            </w:r>
          </w:p>
        </w:tc>
        <w:tc>
          <w:tcPr>
            <w:tcW w:w="1304" w:type="dxa"/>
            <w:shd w:val="clear" w:color="auto" w:fill="auto"/>
            <w:vAlign w:val="center"/>
          </w:tcPr>
          <w:p>
            <w:pPr>
              <w:widowControl/>
              <w:jc w:val="center"/>
              <w:rPr>
                <w:color w:val="000000"/>
                <w:kern w:val="0"/>
                <w:szCs w:val="21"/>
              </w:rPr>
            </w:pPr>
            <w:r>
              <w:rPr>
                <w:color w:val="000000"/>
                <w:kern w:val="0"/>
                <w:szCs w:val="21"/>
              </w:rPr>
              <w:t>0.117***</w:t>
            </w:r>
          </w:p>
        </w:tc>
        <w:tc>
          <w:tcPr>
            <w:tcW w:w="1304"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noWrap/>
            <w:vAlign w:val="center"/>
          </w:tcPr>
          <w:p>
            <w:pPr>
              <w:widowControl/>
              <w:jc w:val="center"/>
              <w:rPr>
                <w:color w:val="000000"/>
                <w:kern w:val="0"/>
                <w:szCs w:val="21"/>
              </w:rPr>
            </w:pPr>
          </w:p>
        </w:tc>
        <w:tc>
          <w:tcPr>
            <w:tcW w:w="1304" w:type="dxa"/>
            <w:shd w:val="clear" w:color="auto" w:fill="auto"/>
            <w:noWrap/>
            <w:vAlign w:val="center"/>
          </w:tcPr>
          <w:p>
            <w:pPr>
              <w:widowControl/>
              <w:jc w:val="center"/>
              <w:rPr>
                <w:rFonts w:eastAsia="Times New Roman"/>
                <w:kern w:val="0"/>
                <w:szCs w:val="21"/>
              </w:rPr>
            </w:pPr>
          </w:p>
        </w:tc>
        <w:tc>
          <w:tcPr>
            <w:tcW w:w="1304" w:type="dxa"/>
            <w:shd w:val="clear" w:color="auto" w:fill="auto"/>
            <w:noWrap/>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FirmAge</w:t>
            </w:r>
          </w:p>
        </w:tc>
        <w:tc>
          <w:tcPr>
            <w:tcW w:w="1304" w:type="dxa"/>
            <w:shd w:val="clear" w:color="auto" w:fill="auto"/>
            <w:vAlign w:val="center"/>
          </w:tcPr>
          <w:p>
            <w:pPr>
              <w:widowControl/>
              <w:jc w:val="center"/>
              <w:rPr>
                <w:color w:val="000000"/>
                <w:kern w:val="0"/>
                <w:szCs w:val="21"/>
              </w:rPr>
            </w:pPr>
            <w:r>
              <w:rPr>
                <w:color w:val="000000"/>
                <w:kern w:val="0"/>
                <w:szCs w:val="21"/>
              </w:rPr>
              <w:t>-0.031</w:t>
            </w:r>
          </w:p>
        </w:tc>
        <w:tc>
          <w:tcPr>
            <w:tcW w:w="1417" w:type="dxa"/>
            <w:shd w:val="clear" w:color="auto" w:fill="auto"/>
            <w:vAlign w:val="center"/>
          </w:tcPr>
          <w:p>
            <w:pPr>
              <w:widowControl/>
              <w:jc w:val="center"/>
              <w:rPr>
                <w:color w:val="000000"/>
                <w:kern w:val="0"/>
                <w:szCs w:val="21"/>
              </w:rPr>
            </w:pPr>
            <w:r>
              <w:rPr>
                <w:color w:val="000000"/>
                <w:kern w:val="0"/>
                <w:szCs w:val="21"/>
              </w:rPr>
              <w:t>0.005</w:t>
            </w:r>
          </w:p>
        </w:tc>
        <w:tc>
          <w:tcPr>
            <w:tcW w:w="1304" w:type="dxa"/>
            <w:shd w:val="clear" w:color="auto" w:fill="auto"/>
            <w:vAlign w:val="center"/>
          </w:tcPr>
          <w:p>
            <w:pPr>
              <w:widowControl/>
              <w:jc w:val="center"/>
              <w:rPr>
                <w:color w:val="000000"/>
                <w:kern w:val="0"/>
                <w:szCs w:val="21"/>
              </w:rPr>
            </w:pPr>
            <w:r>
              <w:rPr>
                <w:color w:val="000000"/>
                <w:kern w:val="0"/>
                <w:szCs w:val="21"/>
              </w:rPr>
              <w:t>0.061**</w:t>
            </w:r>
          </w:p>
        </w:tc>
        <w:tc>
          <w:tcPr>
            <w:tcW w:w="1304" w:type="dxa"/>
            <w:shd w:val="clear" w:color="auto" w:fill="auto"/>
            <w:vAlign w:val="center"/>
          </w:tcPr>
          <w:p>
            <w:pPr>
              <w:widowControl/>
              <w:jc w:val="center"/>
              <w:rPr>
                <w:color w:val="000000"/>
                <w:kern w:val="0"/>
                <w:szCs w:val="21"/>
              </w:rPr>
            </w:pPr>
            <w:r>
              <w:rPr>
                <w:color w:val="000000"/>
                <w:kern w:val="0"/>
                <w:szCs w:val="21"/>
              </w:rPr>
              <w:t>0.108***</w:t>
            </w:r>
          </w:p>
        </w:tc>
        <w:tc>
          <w:tcPr>
            <w:tcW w:w="1304" w:type="dxa"/>
            <w:shd w:val="clear" w:color="auto" w:fill="auto"/>
            <w:vAlign w:val="center"/>
          </w:tcPr>
          <w:p>
            <w:pPr>
              <w:widowControl/>
              <w:jc w:val="center"/>
              <w:rPr>
                <w:color w:val="000000"/>
                <w:kern w:val="0"/>
                <w:szCs w:val="21"/>
              </w:rPr>
            </w:pPr>
            <w:r>
              <w:rPr>
                <w:color w:val="000000"/>
                <w:kern w:val="0"/>
                <w:szCs w:val="21"/>
              </w:rPr>
              <w:t>-0.082***</w:t>
            </w:r>
          </w:p>
        </w:tc>
        <w:tc>
          <w:tcPr>
            <w:tcW w:w="1304" w:type="dxa"/>
            <w:shd w:val="clear" w:color="auto" w:fill="auto"/>
            <w:vAlign w:val="center"/>
          </w:tcPr>
          <w:p>
            <w:pPr>
              <w:widowControl/>
              <w:jc w:val="center"/>
              <w:rPr>
                <w:color w:val="000000"/>
                <w:kern w:val="0"/>
                <w:szCs w:val="21"/>
              </w:rPr>
            </w:pPr>
            <w:r>
              <w:rPr>
                <w:color w:val="000000"/>
                <w:kern w:val="0"/>
                <w:szCs w:val="21"/>
              </w:rPr>
              <w:t>0.013</w:t>
            </w:r>
          </w:p>
        </w:tc>
        <w:tc>
          <w:tcPr>
            <w:tcW w:w="1304"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vAlign w:val="center"/>
          </w:tcPr>
          <w:p>
            <w:pPr>
              <w:widowControl/>
              <w:jc w:val="center"/>
              <w:rPr>
                <w:color w:val="000000"/>
                <w:kern w:val="0"/>
                <w:szCs w:val="21"/>
              </w:rPr>
            </w:pPr>
          </w:p>
        </w:tc>
        <w:tc>
          <w:tcPr>
            <w:tcW w:w="1304" w:type="dxa"/>
            <w:shd w:val="clear" w:color="auto" w:fill="auto"/>
            <w:vAlign w:val="center"/>
          </w:tcPr>
          <w:p>
            <w:pPr>
              <w:widowControl/>
              <w:jc w:val="center"/>
              <w:rPr>
                <w:rFonts w:eastAsia="Times New Roman"/>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Top1</w:t>
            </w:r>
          </w:p>
        </w:tc>
        <w:tc>
          <w:tcPr>
            <w:tcW w:w="1304" w:type="dxa"/>
            <w:shd w:val="clear" w:color="auto" w:fill="auto"/>
            <w:vAlign w:val="center"/>
          </w:tcPr>
          <w:p>
            <w:pPr>
              <w:widowControl/>
              <w:jc w:val="center"/>
              <w:rPr>
                <w:color w:val="000000"/>
                <w:kern w:val="0"/>
                <w:szCs w:val="21"/>
              </w:rPr>
            </w:pPr>
            <w:r>
              <w:rPr>
                <w:color w:val="000000"/>
                <w:kern w:val="0"/>
                <w:szCs w:val="21"/>
              </w:rPr>
              <w:t>0.019</w:t>
            </w:r>
          </w:p>
        </w:tc>
        <w:tc>
          <w:tcPr>
            <w:tcW w:w="1417" w:type="dxa"/>
            <w:shd w:val="clear" w:color="auto" w:fill="auto"/>
            <w:vAlign w:val="center"/>
          </w:tcPr>
          <w:p>
            <w:pPr>
              <w:widowControl/>
              <w:jc w:val="center"/>
              <w:rPr>
                <w:color w:val="000000"/>
                <w:kern w:val="0"/>
                <w:szCs w:val="21"/>
              </w:rPr>
            </w:pPr>
            <w:r>
              <w:rPr>
                <w:color w:val="000000"/>
                <w:kern w:val="0"/>
                <w:szCs w:val="21"/>
              </w:rPr>
              <w:t>0.02</w:t>
            </w:r>
          </w:p>
        </w:tc>
        <w:tc>
          <w:tcPr>
            <w:tcW w:w="1304" w:type="dxa"/>
            <w:shd w:val="clear" w:color="auto" w:fill="auto"/>
            <w:vAlign w:val="center"/>
          </w:tcPr>
          <w:p>
            <w:pPr>
              <w:widowControl/>
              <w:jc w:val="center"/>
              <w:rPr>
                <w:color w:val="000000"/>
                <w:kern w:val="0"/>
                <w:szCs w:val="21"/>
              </w:rPr>
            </w:pPr>
            <w:r>
              <w:rPr>
                <w:color w:val="000000"/>
                <w:kern w:val="0"/>
                <w:szCs w:val="21"/>
              </w:rPr>
              <w:t>0.457***</w:t>
            </w:r>
          </w:p>
        </w:tc>
        <w:tc>
          <w:tcPr>
            <w:tcW w:w="1304" w:type="dxa"/>
            <w:shd w:val="clear" w:color="auto" w:fill="auto"/>
            <w:vAlign w:val="center"/>
          </w:tcPr>
          <w:p>
            <w:pPr>
              <w:widowControl/>
              <w:jc w:val="center"/>
              <w:rPr>
                <w:color w:val="000000"/>
                <w:kern w:val="0"/>
                <w:szCs w:val="21"/>
              </w:rPr>
            </w:pPr>
            <w:r>
              <w:rPr>
                <w:color w:val="000000"/>
                <w:kern w:val="0"/>
                <w:szCs w:val="21"/>
              </w:rPr>
              <w:t>0.129***</w:t>
            </w:r>
          </w:p>
        </w:tc>
        <w:tc>
          <w:tcPr>
            <w:tcW w:w="1304" w:type="dxa"/>
            <w:shd w:val="clear" w:color="auto" w:fill="auto"/>
            <w:vAlign w:val="center"/>
          </w:tcPr>
          <w:p>
            <w:pPr>
              <w:widowControl/>
              <w:jc w:val="center"/>
              <w:rPr>
                <w:color w:val="000000"/>
                <w:kern w:val="0"/>
                <w:szCs w:val="21"/>
              </w:rPr>
            </w:pPr>
            <w:r>
              <w:rPr>
                <w:color w:val="000000"/>
                <w:kern w:val="0"/>
                <w:szCs w:val="21"/>
              </w:rPr>
              <w:t>-0.02</w:t>
            </w:r>
          </w:p>
        </w:tc>
        <w:tc>
          <w:tcPr>
            <w:tcW w:w="1304" w:type="dxa"/>
            <w:shd w:val="clear" w:color="auto" w:fill="auto"/>
            <w:vAlign w:val="center"/>
          </w:tcPr>
          <w:p>
            <w:pPr>
              <w:widowControl/>
              <w:jc w:val="center"/>
              <w:rPr>
                <w:color w:val="000000"/>
                <w:kern w:val="0"/>
                <w:szCs w:val="21"/>
              </w:rPr>
            </w:pPr>
            <w:r>
              <w:rPr>
                <w:color w:val="000000"/>
                <w:kern w:val="0"/>
                <w:szCs w:val="21"/>
              </w:rPr>
              <w:t>-0.296***</w:t>
            </w:r>
          </w:p>
        </w:tc>
        <w:tc>
          <w:tcPr>
            <w:tcW w:w="1304" w:type="dxa"/>
            <w:shd w:val="clear" w:color="auto" w:fill="auto"/>
            <w:vAlign w:val="center"/>
          </w:tcPr>
          <w:p>
            <w:pPr>
              <w:widowControl/>
              <w:jc w:val="center"/>
              <w:rPr>
                <w:color w:val="000000"/>
                <w:kern w:val="0"/>
                <w:szCs w:val="21"/>
              </w:rPr>
            </w:pPr>
            <w:r>
              <w:rPr>
                <w:color w:val="000000"/>
                <w:kern w:val="0"/>
                <w:szCs w:val="21"/>
              </w:rPr>
              <w:t>-0.225***</w:t>
            </w:r>
          </w:p>
        </w:tc>
        <w:tc>
          <w:tcPr>
            <w:tcW w:w="1304" w:type="dxa"/>
            <w:shd w:val="clear" w:color="auto" w:fill="auto"/>
            <w:vAlign w:val="center"/>
          </w:tcPr>
          <w:p>
            <w:pPr>
              <w:widowControl/>
              <w:jc w:val="center"/>
              <w:rPr>
                <w:color w:val="000000"/>
                <w:kern w:val="0"/>
                <w:szCs w:val="21"/>
              </w:rPr>
            </w:pPr>
            <w:r>
              <w:rPr>
                <w:color w:val="000000"/>
                <w:kern w:val="0"/>
                <w:szCs w:val="21"/>
              </w:rPr>
              <w:t>1</w:t>
            </w:r>
          </w:p>
        </w:tc>
        <w:tc>
          <w:tcPr>
            <w:tcW w:w="1304" w:type="dxa"/>
            <w:shd w:val="clear" w:color="auto" w:fill="auto"/>
            <w:vAlign w:val="center"/>
          </w:tcPr>
          <w:p>
            <w:pPr>
              <w:widowControl/>
              <w:jc w:val="center"/>
              <w:rPr>
                <w:color w:val="000000"/>
                <w:kern w:val="0"/>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1417" w:type="dxa"/>
            <w:shd w:val="clear" w:color="auto" w:fill="auto"/>
            <w:vAlign w:val="center"/>
          </w:tcPr>
          <w:p>
            <w:pPr>
              <w:widowControl/>
              <w:jc w:val="center"/>
              <w:rPr>
                <w:color w:val="000000"/>
                <w:kern w:val="0"/>
                <w:szCs w:val="21"/>
              </w:rPr>
            </w:pPr>
            <w:r>
              <w:rPr>
                <w:color w:val="000000"/>
                <w:kern w:val="0"/>
                <w:szCs w:val="21"/>
              </w:rPr>
              <w:t>CAPT</w:t>
            </w:r>
          </w:p>
        </w:tc>
        <w:tc>
          <w:tcPr>
            <w:tcW w:w="1304" w:type="dxa"/>
            <w:shd w:val="clear" w:color="auto" w:fill="auto"/>
            <w:vAlign w:val="center"/>
          </w:tcPr>
          <w:p>
            <w:pPr>
              <w:widowControl/>
              <w:jc w:val="center"/>
              <w:rPr>
                <w:color w:val="000000"/>
                <w:kern w:val="0"/>
                <w:szCs w:val="21"/>
              </w:rPr>
            </w:pPr>
            <w:r>
              <w:rPr>
                <w:color w:val="000000"/>
                <w:kern w:val="0"/>
                <w:szCs w:val="21"/>
              </w:rPr>
              <w:t>0.031</w:t>
            </w:r>
          </w:p>
        </w:tc>
        <w:tc>
          <w:tcPr>
            <w:tcW w:w="1417" w:type="dxa"/>
            <w:shd w:val="clear" w:color="auto" w:fill="auto"/>
            <w:vAlign w:val="center"/>
          </w:tcPr>
          <w:p>
            <w:pPr>
              <w:widowControl/>
              <w:jc w:val="center"/>
              <w:rPr>
                <w:color w:val="000000"/>
                <w:kern w:val="0"/>
                <w:szCs w:val="21"/>
              </w:rPr>
            </w:pPr>
            <w:r>
              <w:rPr>
                <w:color w:val="000000"/>
                <w:kern w:val="0"/>
                <w:szCs w:val="21"/>
              </w:rPr>
              <w:t>0.009</w:t>
            </w:r>
          </w:p>
        </w:tc>
        <w:tc>
          <w:tcPr>
            <w:tcW w:w="1304" w:type="dxa"/>
            <w:shd w:val="clear" w:color="auto" w:fill="auto"/>
            <w:vAlign w:val="center"/>
          </w:tcPr>
          <w:p>
            <w:pPr>
              <w:widowControl/>
              <w:jc w:val="center"/>
              <w:rPr>
                <w:color w:val="000000"/>
                <w:kern w:val="0"/>
                <w:szCs w:val="21"/>
              </w:rPr>
            </w:pPr>
            <w:r>
              <w:rPr>
                <w:color w:val="000000"/>
                <w:kern w:val="0"/>
                <w:szCs w:val="21"/>
              </w:rPr>
              <w:t>0.063**</w:t>
            </w:r>
          </w:p>
        </w:tc>
        <w:tc>
          <w:tcPr>
            <w:tcW w:w="1304" w:type="dxa"/>
            <w:shd w:val="clear" w:color="auto" w:fill="auto"/>
            <w:vAlign w:val="center"/>
          </w:tcPr>
          <w:p>
            <w:pPr>
              <w:widowControl/>
              <w:jc w:val="center"/>
              <w:rPr>
                <w:color w:val="000000"/>
                <w:kern w:val="0"/>
                <w:szCs w:val="21"/>
              </w:rPr>
            </w:pPr>
            <w:r>
              <w:rPr>
                <w:color w:val="000000"/>
                <w:kern w:val="0"/>
                <w:szCs w:val="21"/>
              </w:rPr>
              <w:t>0.026</w:t>
            </w:r>
          </w:p>
        </w:tc>
        <w:tc>
          <w:tcPr>
            <w:tcW w:w="1304" w:type="dxa"/>
            <w:shd w:val="clear" w:color="auto" w:fill="auto"/>
            <w:vAlign w:val="center"/>
          </w:tcPr>
          <w:p>
            <w:pPr>
              <w:widowControl/>
              <w:jc w:val="center"/>
              <w:rPr>
                <w:color w:val="000000"/>
                <w:kern w:val="0"/>
                <w:szCs w:val="21"/>
              </w:rPr>
            </w:pPr>
            <w:r>
              <w:rPr>
                <w:color w:val="000000"/>
                <w:kern w:val="0"/>
                <w:szCs w:val="21"/>
              </w:rPr>
              <w:t>-0.091***</w:t>
            </w:r>
          </w:p>
        </w:tc>
        <w:tc>
          <w:tcPr>
            <w:tcW w:w="1304" w:type="dxa"/>
            <w:shd w:val="clear" w:color="auto" w:fill="auto"/>
            <w:vAlign w:val="center"/>
          </w:tcPr>
          <w:p>
            <w:pPr>
              <w:widowControl/>
              <w:jc w:val="center"/>
              <w:rPr>
                <w:color w:val="000000"/>
                <w:kern w:val="0"/>
                <w:szCs w:val="21"/>
              </w:rPr>
            </w:pPr>
            <w:r>
              <w:rPr>
                <w:color w:val="000000"/>
                <w:kern w:val="0"/>
                <w:szCs w:val="21"/>
              </w:rPr>
              <w:t>0.469***</w:t>
            </w:r>
          </w:p>
        </w:tc>
        <w:tc>
          <w:tcPr>
            <w:tcW w:w="1304" w:type="dxa"/>
            <w:shd w:val="clear" w:color="auto" w:fill="auto"/>
            <w:vAlign w:val="center"/>
          </w:tcPr>
          <w:p>
            <w:pPr>
              <w:widowControl/>
              <w:jc w:val="center"/>
              <w:rPr>
                <w:color w:val="000000"/>
                <w:kern w:val="0"/>
                <w:szCs w:val="21"/>
              </w:rPr>
            </w:pPr>
            <w:r>
              <w:rPr>
                <w:color w:val="000000"/>
                <w:kern w:val="0"/>
                <w:szCs w:val="21"/>
              </w:rPr>
              <w:t>0.106***</w:t>
            </w:r>
          </w:p>
        </w:tc>
        <w:tc>
          <w:tcPr>
            <w:tcW w:w="1304" w:type="dxa"/>
            <w:shd w:val="clear" w:color="auto" w:fill="auto"/>
            <w:vAlign w:val="center"/>
          </w:tcPr>
          <w:p>
            <w:pPr>
              <w:widowControl/>
              <w:jc w:val="center"/>
              <w:rPr>
                <w:color w:val="000000"/>
                <w:kern w:val="0"/>
                <w:szCs w:val="21"/>
              </w:rPr>
            </w:pPr>
            <w:r>
              <w:rPr>
                <w:color w:val="000000"/>
                <w:kern w:val="0"/>
                <w:szCs w:val="21"/>
              </w:rPr>
              <w:t>-0.111***</w:t>
            </w:r>
          </w:p>
        </w:tc>
        <w:tc>
          <w:tcPr>
            <w:tcW w:w="1304" w:type="dxa"/>
            <w:shd w:val="clear" w:color="auto" w:fill="auto"/>
            <w:vAlign w:val="center"/>
          </w:tcPr>
          <w:p>
            <w:pPr>
              <w:widowControl/>
              <w:jc w:val="center"/>
              <w:rPr>
                <w:color w:val="000000"/>
                <w:kern w:val="0"/>
                <w:szCs w:val="21"/>
              </w:rPr>
            </w:pPr>
            <w:r>
              <w:rPr>
                <w:color w:val="000000"/>
                <w:kern w:val="0"/>
                <w:szCs w:val="21"/>
              </w:rPr>
              <w:t>1</w:t>
            </w:r>
          </w:p>
        </w:tc>
      </w:tr>
    </w:tbl>
    <w:p/>
    <w:p>
      <w:r>
        <w:tab/>
      </w:r>
      <w:r>
        <w:tab/>
      </w:r>
      <w:r>
        <w:rPr>
          <w:rFonts w:hint="eastAsia"/>
        </w:rPr>
        <w:t>注：本表过宽故单独一页展示。***表示在1%水平上显著，**表示在5%水平上显著，*表示在10%水平上显著,</w:t>
      </w:r>
      <w:r>
        <w:t>下同</w:t>
      </w:r>
    </w:p>
    <w:p/>
    <w:p>
      <w:pPr>
        <w:sectPr>
          <w:footerReference r:id="rId14" w:type="default"/>
          <w:pgSz w:w="16838" w:h="11906" w:orient="landscape"/>
          <w:pgMar w:top="1800" w:right="1440" w:bottom="1800" w:left="1440" w:header="851" w:footer="992" w:gutter="0"/>
          <w:pgNumType w:fmt="decimal"/>
          <w:cols w:space="720" w:num="1"/>
          <w:docGrid w:type="lines" w:linePitch="312" w:charSpace="0"/>
        </w:sectPr>
      </w:pPr>
    </w:p>
    <w:p>
      <w:pPr>
        <w:spacing w:before="156" w:beforeLines="50" w:after="156" w:afterLines="50"/>
        <w:jc w:val="left"/>
        <w:outlineLvl w:val="1"/>
        <w:rPr>
          <w:rFonts w:ascii="黑体" w:eastAsia="黑体"/>
          <w:b/>
          <w:sz w:val="28"/>
          <w:szCs w:val="28"/>
        </w:rPr>
      </w:pPr>
      <w:bookmarkStart w:id="108" w:name="_Toc100181863"/>
      <w:bookmarkStart w:id="109" w:name="_Toc100181286"/>
      <w:bookmarkStart w:id="110" w:name="_Toc12213"/>
      <w:bookmarkStart w:id="111" w:name="_Toc104375938"/>
      <w:r>
        <w:rPr>
          <w:b/>
          <w:sz w:val="28"/>
          <w:szCs w:val="28"/>
        </w:rPr>
        <w:t>4.3</w:t>
      </w:r>
      <w:r>
        <w:rPr>
          <w:rFonts w:hint="eastAsia" w:ascii="黑体" w:eastAsia="黑体"/>
          <w:b/>
          <w:sz w:val="28"/>
          <w:szCs w:val="28"/>
        </w:rPr>
        <w:t xml:space="preserve"> 双重差分回归结果与分析</w:t>
      </w:r>
      <w:bookmarkEnd w:id="108"/>
      <w:bookmarkEnd w:id="109"/>
      <w:bookmarkEnd w:id="110"/>
      <w:bookmarkEnd w:id="111"/>
    </w:p>
    <w:p>
      <w:pPr>
        <w:spacing w:line="360" w:lineRule="auto"/>
        <w:ind w:firstLine="480" w:firstLineChars="200"/>
        <w:jc w:val="left"/>
        <w:rPr>
          <w:sz w:val="24"/>
          <w:szCs w:val="24"/>
        </w:rPr>
      </w:pPr>
      <w:r>
        <w:rPr>
          <w:rFonts w:hint="eastAsia"/>
          <w:sz w:val="24"/>
          <w:szCs w:val="24"/>
        </w:rPr>
        <w:t>双重差分回归模型下（</w:t>
      </w:r>
      <w:r>
        <w:rPr>
          <w:sz w:val="24"/>
          <w:szCs w:val="24"/>
        </w:rPr>
        <w:t>3-1</w:t>
      </w:r>
      <w:r>
        <w:rPr>
          <w:rFonts w:hint="eastAsia"/>
          <w:sz w:val="24"/>
          <w:szCs w:val="24"/>
        </w:rPr>
        <w:t>）的回归结果如下表4</w:t>
      </w:r>
      <w:r>
        <w:rPr>
          <w:sz w:val="24"/>
          <w:szCs w:val="24"/>
        </w:rPr>
        <w:t>-</w:t>
      </w:r>
      <w:r>
        <w:rPr>
          <w:rFonts w:hint="eastAsia"/>
          <w:sz w:val="24"/>
          <w:szCs w:val="24"/>
        </w:rPr>
        <w:t>3所示，从回归结果可以看出，审计政策试点对于Ratio的回归系数为0</w:t>
      </w:r>
      <w:r>
        <w:rPr>
          <w:sz w:val="24"/>
          <w:szCs w:val="24"/>
        </w:rPr>
        <w:t>.051</w:t>
      </w:r>
      <w:r>
        <w:rPr>
          <w:rFonts w:hint="eastAsia"/>
          <w:sz w:val="24"/>
          <w:szCs w:val="24"/>
        </w:rPr>
        <w:t>，在1</w:t>
      </w:r>
      <w:r>
        <w:rPr>
          <w:sz w:val="24"/>
          <w:szCs w:val="24"/>
        </w:rPr>
        <w:t>%</w:t>
      </w:r>
      <w:r>
        <w:rPr>
          <w:rFonts w:hint="eastAsia"/>
          <w:sz w:val="24"/>
          <w:szCs w:val="24"/>
        </w:rPr>
        <w:t>水平上显著为正，因此回归结果验证了本文的研究假设H，即：自然资源离任审计的试点会促进被试点地区企业绿色技术创新水平的显著提升。</w:t>
      </w:r>
    </w:p>
    <w:p>
      <w:pPr>
        <w:spacing w:line="360" w:lineRule="auto"/>
        <w:ind w:firstLine="480" w:firstLineChars="200"/>
        <w:jc w:val="left"/>
        <w:rPr>
          <w:sz w:val="24"/>
          <w:szCs w:val="24"/>
        </w:rPr>
      </w:pPr>
      <w:r>
        <w:rPr>
          <w:rFonts w:hint="eastAsia"/>
          <w:sz w:val="24"/>
          <w:szCs w:val="24"/>
        </w:rPr>
        <w:t>在其他控制变量中，资本密集度（C</w:t>
      </w:r>
      <w:r>
        <w:rPr>
          <w:sz w:val="24"/>
          <w:szCs w:val="24"/>
        </w:rPr>
        <w:t>APT</w:t>
      </w:r>
      <w:r>
        <w:rPr>
          <w:rFonts w:hint="eastAsia"/>
          <w:sz w:val="24"/>
          <w:szCs w:val="24"/>
        </w:rPr>
        <w:t>）对于Ratio的回归系数在1</w:t>
      </w:r>
      <w:r>
        <w:rPr>
          <w:sz w:val="24"/>
          <w:szCs w:val="24"/>
        </w:rPr>
        <w:t>0%</w:t>
      </w:r>
      <w:r>
        <w:rPr>
          <w:rFonts w:hint="eastAsia"/>
          <w:sz w:val="24"/>
          <w:szCs w:val="24"/>
        </w:rPr>
        <w:t>水平上显著为正，这可能是因为样本企业均属于资源型与重污染型企业，具有资源密集型与劳动力密集型的特质，需要大量的资产储备，因此在这种情况下，更高的资本密集度意味着企业有更多的资产作为支撑，从而有利于企业进行绿色生产技术的研发。</w:t>
      </w:r>
    </w:p>
    <w:p>
      <w:pPr>
        <w:pStyle w:val="4"/>
        <w:spacing w:after="156"/>
      </w:pPr>
      <w:bookmarkStart w:id="112" w:name="_Toc102926855"/>
      <w:bookmarkStart w:id="113" w:name="_Toc104376093"/>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3</w:t>
      </w:r>
      <w:r>
        <w:fldChar w:fldCharType="end"/>
      </w:r>
      <w:r>
        <w:t xml:space="preserve"> </w:t>
      </w:r>
      <w:r>
        <w:rPr>
          <w:rFonts w:hint="eastAsia"/>
        </w:rPr>
        <w:t>主回归结果</w:t>
      </w:r>
      <w:bookmarkEnd w:id="112"/>
      <w:bookmarkEnd w:id="113"/>
    </w:p>
    <w:tbl>
      <w:tblPr>
        <w:tblStyle w:val="14"/>
        <w:tblW w:w="0" w:type="auto"/>
        <w:jc w:val="center"/>
        <w:tblLayout w:type="fixed"/>
        <w:tblCellMar>
          <w:top w:w="0" w:type="dxa"/>
          <w:left w:w="75" w:type="dxa"/>
          <w:bottom w:w="0" w:type="dxa"/>
          <w:right w:w="75" w:type="dxa"/>
        </w:tblCellMar>
      </w:tblPr>
      <w:tblGrid>
        <w:gridCol w:w="3685"/>
        <w:gridCol w:w="3685"/>
      </w:tblGrid>
      <w:tr>
        <w:tblPrEx>
          <w:tblCellMar>
            <w:top w:w="0" w:type="dxa"/>
            <w:left w:w="75" w:type="dxa"/>
            <w:bottom w:w="0" w:type="dxa"/>
            <w:right w:w="75" w:type="dxa"/>
          </w:tblCellMar>
        </w:tblPrEx>
        <w:trPr>
          <w:jc w:val="center"/>
        </w:trPr>
        <w:tc>
          <w:tcPr>
            <w:tcW w:w="3685"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变量名</w:t>
            </w:r>
          </w:p>
        </w:tc>
        <w:tc>
          <w:tcPr>
            <w:tcW w:w="3685"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Ratio</w:t>
            </w:r>
          </w:p>
        </w:tc>
      </w:tr>
      <w:tr>
        <w:tblPrEx>
          <w:tblCellMar>
            <w:top w:w="0" w:type="dxa"/>
            <w:left w:w="75" w:type="dxa"/>
            <w:bottom w:w="0" w:type="dxa"/>
            <w:right w:w="75" w:type="dxa"/>
          </w:tblCellMar>
        </w:tblPrEx>
        <w:trPr>
          <w:jc w:val="center"/>
        </w:trPr>
        <w:tc>
          <w:tcPr>
            <w:tcW w:w="3685" w:type="dxa"/>
            <w:vMerge w:val="restart"/>
            <w:tcBorders>
              <w:top w:val="single" w:color="auto" w:sz="4" w:space="0"/>
              <w:left w:val="nil"/>
              <w:right w:val="nil"/>
            </w:tcBorders>
            <w:vAlign w:val="center"/>
          </w:tcPr>
          <w:p>
            <w:pPr>
              <w:autoSpaceDE w:val="0"/>
              <w:autoSpaceDN w:val="0"/>
              <w:adjustRightInd w:val="0"/>
              <w:jc w:val="center"/>
              <w:rPr>
                <w:kern w:val="0"/>
                <w:szCs w:val="21"/>
              </w:rPr>
            </w:pPr>
            <w:r>
              <w:rPr>
                <w:kern w:val="0"/>
                <w:szCs w:val="21"/>
              </w:rPr>
              <w:t>Treat*Post</w:t>
            </w:r>
          </w:p>
        </w:tc>
        <w:tc>
          <w:tcPr>
            <w:tcW w:w="3685"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0.051***</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(2.78)</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Size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0.002</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(0.14)</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Lev</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-0.066</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(-0.95)</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ROA</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-0.161</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(-1.32)</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Mfee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-0.225</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(-1.25)</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FirmAge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0.098</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(0.78)</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Top1</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-0.019</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(-0.21)</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CAPT</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0.019*</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(1.74)</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Constant</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-0.207</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(-0.40)</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Observations</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1,240</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R-squared</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0.648</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code FE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year FE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r2_a</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0.526</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3685"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F</w:t>
            </w:r>
          </w:p>
        </w:tc>
        <w:tc>
          <w:tcPr>
            <w:tcW w:w="3685"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1.827</w:t>
            </w:r>
          </w:p>
        </w:tc>
      </w:tr>
    </w:tbl>
    <w:p>
      <w:pPr>
        <w:ind w:left="240" w:firstLine="240"/>
        <w:jc w:val="left"/>
      </w:pPr>
      <w:r>
        <w:rPr>
          <w:szCs w:val="21"/>
        </w:rPr>
        <w:t>注：括号内为调整后的t值，下同</w:t>
      </w:r>
    </w:p>
    <w:p>
      <w:pPr>
        <w:spacing w:before="156" w:beforeLines="50" w:after="156" w:afterLines="50"/>
        <w:jc w:val="left"/>
        <w:outlineLvl w:val="1"/>
        <w:rPr>
          <w:rFonts w:ascii="黑体" w:eastAsia="黑体"/>
          <w:b/>
          <w:sz w:val="28"/>
          <w:szCs w:val="28"/>
        </w:rPr>
      </w:pPr>
      <w:bookmarkStart w:id="114" w:name="_Toc104375939"/>
      <w:bookmarkStart w:id="115" w:name="_Toc27292"/>
      <w:r>
        <w:rPr>
          <w:b/>
          <w:sz w:val="28"/>
          <w:szCs w:val="28"/>
        </w:rPr>
        <w:t>4.4</w:t>
      </w:r>
      <w:r>
        <w:rPr>
          <w:rFonts w:hint="eastAsia" w:ascii="黑体" w:eastAsia="黑体"/>
          <w:b/>
          <w:sz w:val="28"/>
          <w:szCs w:val="28"/>
        </w:rPr>
        <w:t xml:space="preserve"> 稳健性检验</w:t>
      </w:r>
      <w:bookmarkEnd w:id="114"/>
      <w:bookmarkEnd w:id="115"/>
    </w:p>
    <w:p>
      <w:pPr>
        <w:autoSpaceDE w:val="0"/>
        <w:autoSpaceDN w:val="0"/>
        <w:adjustRightInd w:val="0"/>
        <w:spacing w:line="360" w:lineRule="auto"/>
        <w:ind w:firstLine="480" w:firstLineChars="200"/>
        <w:rPr>
          <w:rFonts w:eastAsia="等线"/>
          <w:kern w:val="0"/>
          <w:sz w:val="24"/>
          <w:szCs w:val="24"/>
        </w:rPr>
      </w:pPr>
      <w:r>
        <w:rPr>
          <w:rFonts w:hint="eastAsia"/>
          <w:sz w:val="24"/>
          <w:szCs w:val="24"/>
        </w:rPr>
        <w:t>为了确保双重差分主回归模型结果的可靠性，本文将采用平行趋势检验以及替换被解释变量的方式来进行稳健性检验。</w:t>
      </w:r>
    </w:p>
    <w:p>
      <w:pPr>
        <w:spacing w:before="156" w:beforeLines="50" w:after="156" w:afterLines="50"/>
        <w:jc w:val="left"/>
        <w:outlineLvl w:val="2"/>
        <w:rPr>
          <w:rFonts w:ascii="黑体" w:eastAsia="黑体"/>
          <w:b/>
          <w:sz w:val="24"/>
        </w:rPr>
      </w:pPr>
      <w:bookmarkStart w:id="116" w:name="_Toc100181288"/>
      <w:bookmarkStart w:id="117" w:name="_Toc100181865"/>
      <w:r>
        <w:rPr>
          <w:b/>
          <w:sz w:val="24"/>
        </w:rPr>
        <w:t>4.4.1</w:t>
      </w:r>
      <w:r>
        <w:rPr>
          <w:rFonts w:hint="eastAsia" w:ascii="黑体" w:eastAsia="黑体"/>
          <w:b/>
          <w:sz w:val="24"/>
        </w:rPr>
        <w:t xml:space="preserve"> 平行趋势检验</w:t>
      </w:r>
      <w:bookmarkEnd w:id="116"/>
      <w:bookmarkEnd w:id="117"/>
    </w:p>
    <w:p>
      <w:pPr>
        <w:spacing w:line="360" w:lineRule="auto"/>
        <w:ind w:firstLine="480" w:firstLineChars="200"/>
        <w:jc w:val="left"/>
        <w:rPr>
          <w:sz w:val="24"/>
          <w:szCs w:val="24"/>
        </w:rPr>
      </w:pPr>
      <w:r>
        <w:rPr>
          <w:rFonts w:hint="eastAsia"/>
          <w:sz w:val="24"/>
          <w:szCs w:val="24"/>
        </w:rPr>
        <w:t>使用双重差分方法的重要前提即是实验组与控制组在政策发生之前必须具有可比性，即实验组和控制组在政策实施之前不能存在显著差异，因此通过平行趋势检验的要求即为事前不显著，本文的平行趋势检验结果如表4</w:t>
      </w:r>
      <w:r>
        <w:rPr>
          <w:sz w:val="24"/>
          <w:szCs w:val="24"/>
        </w:rPr>
        <w:t>-4</w:t>
      </w:r>
      <w:r>
        <w:rPr>
          <w:rFonts w:hint="eastAsia"/>
          <w:sz w:val="24"/>
          <w:szCs w:val="24"/>
        </w:rPr>
        <w:t>所示。</w:t>
      </w:r>
      <w:r>
        <w:rPr>
          <w:sz w:val="24"/>
          <w:szCs w:val="24"/>
        </w:rPr>
        <w:t xml:space="preserve"> </w:t>
      </w:r>
    </w:p>
    <w:p>
      <w:pPr>
        <w:pStyle w:val="4"/>
        <w:spacing w:after="156"/>
      </w:pPr>
      <w:bookmarkStart w:id="118" w:name="_Toc104376094"/>
      <w:bookmarkStart w:id="119" w:name="_Toc102926856"/>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4</w:t>
      </w:r>
      <w:r>
        <w:fldChar w:fldCharType="end"/>
      </w:r>
      <w:r>
        <w:t xml:space="preserve"> </w:t>
      </w:r>
      <w:r>
        <w:rPr>
          <w:rFonts w:hint="eastAsia"/>
        </w:rPr>
        <w:t>平行趋势检验</w:t>
      </w:r>
      <w:bookmarkEnd w:id="118"/>
      <w:bookmarkEnd w:id="119"/>
    </w:p>
    <w:tbl>
      <w:tblPr>
        <w:tblStyle w:val="14"/>
        <w:tblW w:w="0" w:type="auto"/>
        <w:jc w:val="center"/>
        <w:tblLayout w:type="fixed"/>
        <w:tblCellMar>
          <w:top w:w="0" w:type="dxa"/>
          <w:left w:w="75" w:type="dxa"/>
          <w:bottom w:w="0" w:type="dxa"/>
          <w:right w:w="75" w:type="dxa"/>
        </w:tblCellMar>
      </w:tblPr>
      <w:tblGrid>
        <w:gridCol w:w="3685"/>
        <w:gridCol w:w="3685"/>
      </w:tblGrid>
      <w:tr>
        <w:tblPrEx>
          <w:tblCellMar>
            <w:top w:w="0" w:type="dxa"/>
            <w:left w:w="75" w:type="dxa"/>
            <w:bottom w:w="0" w:type="dxa"/>
            <w:right w:w="75" w:type="dxa"/>
          </w:tblCellMar>
        </w:tblPrEx>
        <w:trPr>
          <w:jc w:val="center"/>
        </w:trPr>
        <w:tc>
          <w:tcPr>
            <w:tcW w:w="3685"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变量名</w:t>
            </w:r>
          </w:p>
        </w:tc>
        <w:tc>
          <w:tcPr>
            <w:tcW w:w="3685"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Ratio</w:t>
            </w:r>
          </w:p>
        </w:tc>
      </w:tr>
      <w:tr>
        <w:tblPrEx>
          <w:tblCellMar>
            <w:top w:w="0" w:type="dxa"/>
            <w:left w:w="75" w:type="dxa"/>
            <w:bottom w:w="0" w:type="dxa"/>
            <w:right w:w="75" w:type="dxa"/>
          </w:tblCellMar>
        </w:tblPrEx>
        <w:trPr>
          <w:jc w:val="center"/>
        </w:trPr>
        <w:tc>
          <w:tcPr>
            <w:tcW w:w="3685" w:type="dxa"/>
            <w:vMerge w:val="restart"/>
            <w:tcBorders>
              <w:top w:val="single" w:color="auto" w:sz="4" w:space="0"/>
              <w:left w:val="nil"/>
              <w:right w:val="nil"/>
            </w:tcBorders>
            <w:vAlign w:val="center"/>
          </w:tcPr>
          <w:p>
            <w:pPr>
              <w:autoSpaceDE w:val="0"/>
              <w:autoSpaceDN w:val="0"/>
              <w:adjustRightInd w:val="0"/>
              <w:jc w:val="center"/>
              <w:rPr>
                <w:kern w:val="0"/>
                <w:szCs w:val="21"/>
              </w:rPr>
            </w:pPr>
            <w:r>
              <w:rPr>
                <w:kern w:val="0"/>
                <w:szCs w:val="21"/>
              </w:rPr>
              <w:t>Pre_1</w:t>
            </w:r>
          </w:p>
        </w:tc>
        <w:tc>
          <w:tcPr>
            <w:tcW w:w="3685"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0.014</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(0.57)</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Current</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0.039</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(1.37)</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Post_1</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0.078***</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(2.99)</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S</w:t>
            </w:r>
            <w:r>
              <w:rPr>
                <w:rFonts w:hint="eastAsia"/>
                <w:kern w:val="0"/>
                <w:szCs w:val="21"/>
              </w:rPr>
              <w:t>ize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0.002</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(0.10)</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Lev</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-0.067</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(-0.97)</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ROA</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-0.156</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(-1.28)</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Mfee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-0.231</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(-1.28)</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FirmAge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0.095</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(0.75)</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CAPT</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0.020*</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(1.75)</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Top1</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-0.020</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(-0.22)</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Constant</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-0.184</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kern w:val="0"/>
                <w:szCs w:val="21"/>
              </w:rPr>
            </w:pP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(-0.36)</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Observations</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1,240</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R-squared</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0.649</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code FE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year FE</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r2_a</w:t>
            </w:r>
          </w:p>
        </w:tc>
        <w:tc>
          <w:tcPr>
            <w:tcW w:w="3685"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0.526</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3685"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F</w:t>
            </w:r>
          </w:p>
        </w:tc>
        <w:tc>
          <w:tcPr>
            <w:tcW w:w="3685"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1.906</w:t>
            </w:r>
          </w:p>
        </w:tc>
      </w:tr>
    </w:tbl>
    <w:p>
      <w:pPr>
        <w:spacing w:before="156" w:beforeLines="50" w:line="360" w:lineRule="auto"/>
        <w:ind w:firstLine="480" w:firstLineChars="200"/>
        <w:jc w:val="left"/>
        <w:rPr>
          <w:b/>
          <w:sz w:val="24"/>
        </w:rPr>
      </w:pPr>
      <w:bookmarkStart w:id="120" w:name="_Toc100181289"/>
      <w:bookmarkStart w:id="121" w:name="_Toc100181866"/>
      <w:r>
        <w:rPr>
          <w:rFonts w:hint="eastAsia"/>
          <w:sz w:val="24"/>
          <w:szCs w:val="24"/>
        </w:rPr>
        <w:t>从表4</w:t>
      </w:r>
      <w:r>
        <w:rPr>
          <w:sz w:val="24"/>
          <w:szCs w:val="24"/>
        </w:rPr>
        <w:t>-4</w:t>
      </w:r>
      <w:r>
        <w:rPr>
          <w:rFonts w:hint="eastAsia"/>
          <w:sz w:val="24"/>
          <w:szCs w:val="24"/>
        </w:rPr>
        <w:t>可以看出政策实施之前Ratio的回归系数不显著，故可以认为控制组与实验组在政策冲击之前不存在显著差异，因此该模型通过了平行趋势检验。</w:t>
      </w:r>
    </w:p>
    <w:p>
      <w:pPr>
        <w:spacing w:before="156" w:beforeLines="50" w:after="156" w:afterLines="50"/>
        <w:jc w:val="left"/>
        <w:outlineLvl w:val="2"/>
        <w:rPr>
          <w:rFonts w:ascii="黑体" w:eastAsia="黑体"/>
          <w:b/>
          <w:sz w:val="24"/>
        </w:rPr>
      </w:pPr>
      <w:r>
        <w:rPr>
          <w:b/>
          <w:sz w:val="24"/>
        </w:rPr>
        <w:t>4.4.2</w:t>
      </w:r>
      <w:r>
        <w:rPr>
          <w:rFonts w:hint="eastAsia" w:ascii="黑体" w:eastAsia="黑体"/>
          <w:b/>
          <w:sz w:val="24"/>
        </w:rPr>
        <w:t xml:space="preserve"> </w:t>
      </w:r>
      <w:bookmarkEnd w:id="120"/>
      <w:bookmarkEnd w:id="121"/>
      <w:r>
        <w:rPr>
          <w:rFonts w:hint="eastAsia" w:ascii="黑体" w:eastAsia="黑体"/>
          <w:b/>
          <w:sz w:val="24"/>
        </w:rPr>
        <w:t>替换变量法</w:t>
      </w:r>
    </w:p>
    <w:p>
      <w:pPr>
        <w:spacing w:line="360" w:lineRule="auto"/>
        <w:ind w:firstLine="480" w:firstLineChars="200"/>
        <w:jc w:val="left"/>
        <w:rPr>
          <w:rFonts w:ascii="黑体" w:eastAsia="黑体"/>
          <w:b/>
          <w:sz w:val="24"/>
        </w:rPr>
      </w:pPr>
      <w:r>
        <w:rPr>
          <w:rFonts w:hint="eastAsia"/>
          <w:sz w:val="24"/>
          <w:szCs w:val="24"/>
        </w:rPr>
        <w:t>本文采用更换被解释变量的衡量方式对模型的稳健性进行进一步检验，采用于连超（2</w:t>
      </w:r>
      <w:r>
        <w:rPr>
          <w:sz w:val="24"/>
          <w:szCs w:val="24"/>
        </w:rPr>
        <w:t>019</w:t>
      </w:r>
      <w:r>
        <w:rPr>
          <w:rFonts w:hint="eastAsia"/>
          <w:sz w:val="24"/>
          <w:szCs w:val="24"/>
        </w:rPr>
        <w:t>）的测度方式，选取单位研发投入的绿色专利申请量的自然对数作为被解释变量重新进行回归，回归结果如表4</w:t>
      </w:r>
      <w:r>
        <w:rPr>
          <w:sz w:val="24"/>
          <w:szCs w:val="24"/>
        </w:rPr>
        <w:t>-5</w:t>
      </w:r>
      <w:r>
        <w:rPr>
          <w:rFonts w:hint="eastAsia"/>
          <w:sz w:val="24"/>
          <w:szCs w:val="24"/>
        </w:rPr>
        <w:t>所示，可以看出替换被解释变量后，审计试点与绿色技术创新在5</w:t>
      </w:r>
      <w:r>
        <w:rPr>
          <w:sz w:val="24"/>
          <w:szCs w:val="24"/>
        </w:rPr>
        <w:t>%</w:t>
      </w:r>
      <w:r>
        <w:rPr>
          <w:rFonts w:hint="eastAsia"/>
          <w:sz w:val="24"/>
          <w:szCs w:val="24"/>
        </w:rPr>
        <w:t>水平上显著正相关，因此可以认为模型是稳健的。</w:t>
      </w:r>
    </w:p>
    <w:p>
      <w:pPr>
        <w:pStyle w:val="4"/>
        <w:spacing w:after="156"/>
      </w:pPr>
      <w:bookmarkStart w:id="122" w:name="_Toc104376095"/>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5</w:t>
      </w:r>
      <w:r>
        <w:fldChar w:fldCharType="end"/>
      </w:r>
      <w:r>
        <w:t xml:space="preserve"> </w:t>
      </w:r>
      <w:r>
        <w:rPr>
          <w:rFonts w:hint="eastAsia"/>
        </w:rPr>
        <w:t>替换被解释变量</w:t>
      </w:r>
      <w:bookmarkEnd w:id="122"/>
    </w:p>
    <w:tbl>
      <w:tblPr>
        <w:tblStyle w:val="14"/>
        <w:tblW w:w="0" w:type="auto"/>
        <w:jc w:val="center"/>
        <w:tblLayout w:type="fixed"/>
        <w:tblCellMar>
          <w:top w:w="0" w:type="dxa"/>
          <w:left w:w="75" w:type="dxa"/>
          <w:bottom w:w="0" w:type="dxa"/>
          <w:right w:w="75" w:type="dxa"/>
        </w:tblCellMar>
      </w:tblPr>
      <w:tblGrid>
        <w:gridCol w:w="3685"/>
        <w:gridCol w:w="3685"/>
      </w:tblGrid>
      <w:tr>
        <w:tblPrEx>
          <w:tblCellMar>
            <w:top w:w="0" w:type="dxa"/>
            <w:left w:w="75" w:type="dxa"/>
            <w:bottom w:w="0" w:type="dxa"/>
            <w:right w:w="75" w:type="dxa"/>
          </w:tblCellMar>
        </w:tblPrEx>
        <w:trPr>
          <w:jc w:val="center"/>
        </w:trPr>
        <w:tc>
          <w:tcPr>
            <w:tcW w:w="3685" w:type="dxa"/>
            <w:tcBorders>
              <w:top w:val="single" w:color="auto" w:sz="12" w:space="0"/>
              <w:left w:val="nil"/>
              <w:bottom w:val="single" w:color="auto" w:sz="4" w:space="0"/>
              <w:right w:val="nil"/>
            </w:tcBorders>
            <w:vAlign w:val="center"/>
          </w:tcPr>
          <w:p>
            <w:pPr>
              <w:autoSpaceDE w:val="0"/>
              <w:autoSpaceDN w:val="0"/>
              <w:adjustRightInd w:val="0"/>
              <w:jc w:val="center"/>
              <w:rPr>
                <w:rFonts w:eastAsia="华文中宋"/>
                <w:kern w:val="0"/>
                <w:szCs w:val="21"/>
              </w:rPr>
            </w:pPr>
            <w:r>
              <w:rPr>
                <w:rFonts w:eastAsia="华文中宋"/>
                <w:kern w:val="0"/>
                <w:szCs w:val="21"/>
              </w:rPr>
              <w:t>变量名</w:t>
            </w:r>
          </w:p>
        </w:tc>
        <w:tc>
          <w:tcPr>
            <w:tcW w:w="3685" w:type="dxa"/>
            <w:tcBorders>
              <w:top w:val="single" w:color="auto" w:sz="12" w:space="0"/>
              <w:left w:val="nil"/>
              <w:bottom w:val="single" w:color="auto" w:sz="4" w:space="0"/>
              <w:right w:val="nil"/>
            </w:tcBorders>
            <w:vAlign w:val="center"/>
          </w:tcPr>
          <w:p>
            <w:pPr>
              <w:autoSpaceDE w:val="0"/>
              <w:autoSpaceDN w:val="0"/>
              <w:adjustRightInd w:val="0"/>
              <w:jc w:val="center"/>
              <w:rPr>
                <w:rFonts w:eastAsia="华文中宋"/>
                <w:kern w:val="0"/>
                <w:szCs w:val="21"/>
              </w:rPr>
            </w:pPr>
            <w:r>
              <w:rPr>
                <w:rFonts w:eastAsia="华文中宋"/>
                <w:kern w:val="0"/>
                <w:szCs w:val="21"/>
              </w:rPr>
              <w:t>Rat</w:t>
            </w:r>
            <w:r>
              <w:rPr>
                <w:rFonts w:hint="eastAsia" w:eastAsia="华文中宋"/>
                <w:kern w:val="0"/>
                <w:szCs w:val="21"/>
              </w:rPr>
              <w:t>e</w:t>
            </w:r>
          </w:p>
        </w:tc>
      </w:tr>
      <w:tr>
        <w:tblPrEx>
          <w:tblCellMar>
            <w:top w:w="0" w:type="dxa"/>
            <w:left w:w="75" w:type="dxa"/>
            <w:bottom w:w="0" w:type="dxa"/>
            <w:right w:w="75" w:type="dxa"/>
          </w:tblCellMar>
        </w:tblPrEx>
        <w:trPr>
          <w:jc w:val="center"/>
        </w:trPr>
        <w:tc>
          <w:tcPr>
            <w:tcW w:w="3685" w:type="dxa"/>
            <w:vMerge w:val="restart"/>
            <w:tcBorders>
              <w:top w:val="single" w:color="auto" w:sz="4" w:space="0"/>
              <w:left w:val="nil"/>
              <w:right w:val="nil"/>
            </w:tcBorders>
            <w:vAlign w:val="center"/>
          </w:tcPr>
          <w:p>
            <w:pPr>
              <w:autoSpaceDE w:val="0"/>
              <w:autoSpaceDN w:val="0"/>
              <w:adjustRightInd w:val="0"/>
              <w:jc w:val="center"/>
              <w:rPr>
                <w:rFonts w:eastAsia="等线"/>
                <w:kern w:val="0"/>
                <w:szCs w:val="21"/>
              </w:rPr>
            </w:pPr>
            <w:r>
              <w:rPr>
                <w:rFonts w:eastAsia="华文中宋"/>
                <w:kern w:val="0"/>
                <w:szCs w:val="21"/>
              </w:rPr>
              <w:t>Treat*Post</w:t>
            </w:r>
          </w:p>
        </w:tc>
        <w:tc>
          <w:tcPr>
            <w:tcW w:w="3685" w:type="dxa"/>
            <w:tcBorders>
              <w:top w:val="single" w:color="auto" w:sz="4" w:space="0"/>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0.075**</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(2.45)</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S</w:t>
            </w:r>
            <w:r>
              <w:rPr>
                <w:rFonts w:hint="eastAsia" w:eastAsia="等线"/>
                <w:kern w:val="0"/>
                <w:szCs w:val="21"/>
              </w:rPr>
              <w:t>ize</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-0.019</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(-1.02)</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Lev</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-0.067</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(-0.92)</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ROA</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-0.243</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(-1.57)</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Mfee</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-0.017</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(-0.10)</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FirmAge</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0.274</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(1.54)</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Top1</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-0.062</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(-0.50)</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CAPT</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-0.003</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(-0.27)</w:t>
            </w:r>
          </w:p>
        </w:tc>
      </w:tr>
      <w:tr>
        <w:tblPrEx>
          <w:tblCellMar>
            <w:top w:w="0" w:type="dxa"/>
            <w:left w:w="75" w:type="dxa"/>
            <w:bottom w:w="0" w:type="dxa"/>
            <w:right w:w="75" w:type="dxa"/>
          </w:tblCellMar>
        </w:tblPrEx>
        <w:trPr>
          <w:jc w:val="center"/>
        </w:trPr>
        <w:tc>
          <w:tcPr>
            <w:tcW w:w="3685" w:type="dxa"/>
            <w:vMerge w:val="restart"/>
            <w:tcBorders>
              <w:top w:val="nil"/>
              <w:left w:val="nil"/>
              <w:right w:val="nil"/>
            </w:tcBorders>
            <w:vAlign w:val="center"/>
          </w:tcPr>
          <w:p>
            <w:pPr>
              <w:autoSpaceDE w:val="0"/>
              <w:autoSpaceDN w:val="0"/>
              <w:adjustRightInd w:val="0"/>
              <w:jc w:val="center"/>
              <w:rPr>
                <w:rFonts w:eastAsia="等线"/>
                <w:kern w:val="0"/>
                <w:szCs w:val="21"/>
              </w:rPr>
            </w:pPr>
            <w:r>
              <w:rPr>
                <w:rFonts w:eastAsia="等线"/>
                <w:kern w:val="0"/>
                <w:szCs w:val="21"/>
              </w:rPr>
              <w:t>Constant</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-0.186</w:t>
            </w:r>
          </w:p>
        </w:tc>
      </w:tr>
      <w:tr>
        <w:tblPrEx>
          <w:tblCellMar>
            <w:top w:w="0" w:type="dxa"/>
            <w:left w:w="75" w:type="dxa"/>
            <w:bottom w:w="0" w:type="dxa"/>
            <w:right w:w="75" w:type="dxa"/>
          </w:tblCellMar>
        </w:tblPrEx>
        <w:trPr>
          <w:jc w:val="center"/>
        </w:trPr>
        <w:tc>
          <w:tcPr>
            <w:tcW w:w="3685" w:type="dxa"/>
            <w:vMerge w:val="continue"/>
            <w:tcBorders>
              <w:left w:val="nil"/>
              <w:bottom w:val="nil"/>
              <w:right w:val="nil"/>
            </w:tcBorders>
            <w:vAlign w:val="center"/>
          </w:tcPr>
          <w:p>
            <w:pPr>
              <w:autoSpaceDE w:val="0"/>
              <w:autoSpaceDN w:val="0"/>
              <w:adjustRightInd w:val="0"/>
              <w:jc w:val="center"/>
              <w:rPr>
                <w:rFonts w:eastAsia="等线"/>
                <w:kern w:val="0"/>
                <w:szCs w:val="21"/>
              </w:rPr>
            </w:pP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(-0.30)</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Observations</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1,240</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R-squared</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0.660</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code FE</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YES</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year FE</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YES</w:t>
            </w:r>
          </w:p>
        </w:tc>
      </w:tr>
      <w:tr>
        <w:tblPrEx>
          <w:tblCellMar>
            <w:top w:w="0" w:type="dxa"/>
            <w:left w:w="75" w:type="dxa"/>
            <w:bottom w:w="0" w:type="dxa"/>
            <w:right w:w="75" w:type="dxa"/>
          </w:tblCellMar>
        </w:tblPrEx>
        <w:trPr>
          <w:jc w:val="center"/>
        </w:trPr>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r2_a</w:t>
            </w:r>
          </w:p>
        </w:tc>
        <w:tc>
          <w:tcPr>
            <w:tcW w:w="3685" w:type="dxa"/>
            <w:tcBorders>
              <w:top w:val="nil"/>
              <w:left w:val="nil"/>
              <w:bottom w:val="nil"/>
              <w:right w:val="nil"/>
            </w:tcBorders>
            <w:vAlign w:val="center"/>
          </w:tcPr>
          <w:p>
            <w:pPr>
              <w:autoSpaceDE w:val="0"/>
              <w:autoSpaceDN w:val="0"/>
              <w:adjustRightInd w:val="0"/>
              <w:jc w:val="center"/>
              <w:rPr>
                <w:rFonts w:eastAsia="等线"/>
                <w:kern w:val="0"/>
                <w:szCs w:val="21"/>
              </w:rPr>
            </w:pPr>
            <w:r>
              <w:rPr>
                <w:rFonts w:eastAsia="等线"/>
                <w:kern w:val="0"/>
                <w:szCs w:val="21"/>
              </w:rPr>
              <w:t>0.542</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3685" w:type="dxa"/>
            <w:tcBorders>
              <w:top w:val="nil"/>
              <w:left w:val="nil"/>
              <w:bottom w:val="single" w:color="auto" w:sz="12" w:space="0"/>
              <w:right w:val="nil"/>
            </w:tcBorders>
            <w:vAlign w:val="center"/>
          </w:tcPr>
          <w:p>
            <w:pPr>
              <w:autoSpaceDE w:val="0"/>
              <w:autoSpaceDN w:val="0"/>
              <w:adjustRightInd w:val="0"/>
              <w:jc w:val="center"/>
              <w:rPr>
                <w:rFonts w:eastAsia="等线"/>
                <w:kern w:val="0"/>
                <w:szCs w:val="21"/>
              </w:rPr>
            </w:pPr>
            <w:r>
              <w:rPr>
                <w:rFonts w:eastAsia="等线"/>
                <w:kern w:val="0"/>
                <w:szCs w:val="21"/>
              </w:rPr>
              <w:t>F</w:t>
            </w:r>
          </w:p>
        </w:tc>
        <w:tc>
          <w:tcPr>
            <w:tcW w:w="3685" w:type="dxa"/>
            <w:tcBorders>
              <w:top w:val="nil"/>
              <w:left w:val="nil"/>
              <w:bottom w:val="single" w:color="auto" w:sz="12" w:space="0"/>
              <w:right w:val="nil"/>
            </w:tcBorders>
            <w:vAlign w:val="center"/>
          </w:tcPr>
          <w:p>
            <w:pPr>
              <w:autoSpaceDE w:val="0"/>
              <w:autoSpaceDN w:val="0"/>
              <w:adjustRightInd w:val="0"/>
              <w:jc w:val="center"/>
              <w:rPr>
                <w:rFonts w:eastAsia="等线"/>
                <w:kern w:val="0"/>
                <w:szCs w:val="21"/>
              </w:rPr>
            </w:pPr>
            <w:r>
              <w:rPr>
                <w:rFonts w:eastAsia="等线"/>
                <w:kern w:val="0"/>
                <w:szCs w:val="21"/>
              </w:rPr>
              <w:t>1.797</w:t>
            </w:r>
          </w:p>
        </w:tc>
      </w:tr>
    </w:tbl>
    <w:p>
      <w:pPr>
        <w:spacing w:before="156" w:beforeLines="50" w:after="156" w:afterLines="50"/>
        <w:jc w:val="left"/>
        <w:outlineLvl w:val="1"/>
        <w:rPr>
          <w:rFonts w:ascii="黑体" w:eastAsia="黑体"/>
          <w:b/>
          <w:sz w:val="28"/>
          <w:szCs w:val="28"/>
        </w:rPr>
      </w:pPr>
      <w:bookmarkStart w:id="123" w:name="_Toc104375940"/>
      <w:bookmarkStart w:id="124" w:name="_Toc18948"/>
      <w:r>
        <w:rPr>
          <w:b/>
          <w:sz w:val="28"/>
          <w:szCs w:val="28"/>
        </w:rPr>
        <w:t>4.5</w:t>
      </w:r>
      <w:r>
        <w:rPr>
          <w:rFonts w:hint="eastAsia" w:ascii="黑体" w:eastAsia="黑体"/>
          <w:b/>
          <w:sz w:val="28"/>
          <w:szCs w:val="28"/>
        </w:rPr>
        <w:t xml:space="preserve"> 进一步分析</w:t>
      </w:r>
      <w:bookmarkEnd w:id="123"/>
      <w:bookmarkEnd w:id="124"/>
    </w:p>
    <w:p>
      <w:pPr>
        <w:spacing w:before="156" w:beforeLines="50" w:after="156" w:afterLines="50"/>
        <w:jc w:val="left"/>
        <w:outlineLvl w:val="2"/>
        <w:rPr>
          <w:rFonts w:ascii="黑体" w:eastAsia="黑体"/>
          <w:b/>
          <w:sz w:val="24"/>
        </w:rPr>
      </w:pPr>
      <w:r>
        <w:rPr>
          <w:b/>
          <w:sz w:val="24"/>
        </w:rPr>
        <w:t>4.5.1</w:t>
      </w:r>
      <w:r>
        <w:rPr>
          <w:rFonts w:hint="eastAsia" w:ascii="黑体" w:eastAsia="黑体"/>
          <w:b/>
          <w:sz w:val="24"/>
        </w:rPr>
        <w:t xml:space="preserve"> 专利类型的异质性分析</w:t>
      </w:r>
    </w:p>
    <w:p>
      <w:pPr>
        <w:spacing w:line="360" w:lineRule="auto"/>
        <w:ind w:firstLine="480" w:firstLineChars="200"/>
        <w:jc w:val="left"/>
        <w:rPr>
          <w:sz w:val="24"/>
          <w:szCs w:val="24"/>
        </w:rPr>
      </w:pPr>
      <w:r>
        <w:rPr>
          <w:rFonts w:hint="eastAsia"/>
          <w:sz w:val="24"/>
          <w:szCs w:val="24"/>
        </w:rPr>
        <w:t>绿色专利可以被分为两类，分别是绿色发明专利和绿色实用新型专利，其中绿色发明专利对创新程度的要求更高，具有更高的研发难度和创造性，而实用新型专利的创造性低，审批更容易。分别对绿色发明专利的占比与实用新型专利占比的影响程度进行比较，可以得出政策对于绿色技术创新程度的影响。为探究自然资源离任审计政策对企业绿色技术创新程度的影响，本文针对专利的类型进行了异质性分析，回归结果如表</w:t>
      </w:r>
      <w:r>
        <w:rPr>
          <w:sz w:val="24"/>
          <w:szCs w:val="24"/>
        </w:rPr>
        <w:t>4-6</w:t>
      </w:r>
      <w:r>
        <w:rPr>
          <w:rFonts w:hint="eastAsia"/>
          <w:sz w:val="24"/>
          <w:szCs w:val="24"/>
        </w:rPr>
        <w:t>所示。</w:t>
      </w:r>
    </w:p>
    <w:p>
      <w:pPr>
        <w:pStyle w:val="4"/>
        <w:spacing w:after="156"/>
      </w:pPr>
      <w:bookmarkStart w:id="125" w:name="_Toc102926862"/>
      <w:bookmarkStart w:id="126" w:name="_Toc104376096"/>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6</w:t>
      </w:r>
      <w:r>
        <w:fldChar w:fldCharType="end"/>
      </w:r>
      <w:r>
        <w:t xml:space="preserve"> 专利类型的异质性</w:t>
      </w:r>
      <w:bookmarkEnd w:id="125"/>
      <w:bookmarkEnd w:id="126"/>
    </w:p>
    <w:tbl>
      <w:tblPr>
        <w:tblStyle w:val="14"/>
        <w:tblW w:w="0" w:type="auto"/>
        <w:jc w:val="center"/>
        <w:tblLayout w:type="fixed"/>
        <w:tblCellMar>
          <w:top w:w="0" w:type="dxa"/>
          <w:left w:w="75" w:type="dxa"/>
          <w:bottom w:w="0" w:type="dxa"/>
          <w:right w:w="75" w:type="dxa"/>
        </w:tblCellMar>
      </w:tblPr>
      <w:tblGrid>
        <w:gridCol w:w="2835"/>
        <w:gridCol w:w="2268"/>
        <w:gridCol w:w="2268"/>
      </w:tblGrid>
      <w:tr>
        <w:tblPrEx>
          <w:tblCellMar>
            <w:top w:w="0" w:type="dxa"/>
            <w:left w:w="75" w:type="dxa"/>
            <w:bottom w:w="0" w:type="dxa"/>
            <w:right w:w="75" w:type="dxa"/>
          </w:tblCellMar>
        </w:tblPrEx>
        <w:trPr>
          <w:jc w:val="center"/>
        </w:trPr>
        <w:tc>
          <w:tcPr>
            <w:tcW w:w="2835"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变量名</w:t>
            </w:r>
          </w:p>
        </w:tc>
        <w:tc>
          <w:tcPr>
            <w:tcW w:w="2268"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绿色发明专利</w:t>
            </w:r>
          </w:p>
        </w:tc>
        <w:tc>
          <w:tcPr>
            <w:tcW w:w="2268" w:type="dxa"/>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绿色实用新型专利</w:t>
            </w:r>
          </w:p>
        </w:tc>
      </w:tr>
      <w:tr>
        <w:tblPrEx>
          <w:tblCellMar>
            <w:top w:w="0" w:type="dxa"/>
            <w:left w:w="75" w:type="dxa"/>
            <w:bottom w:w="0" w:type="dxa"/>
            <w:right w:w="75" w:type="dxa"/>
          </w:tblCellMar>
        </w:tblPrEx>
        <w:trPr>
          <w:jc w:val="center"/>
        </w:trPr>
        <w:tc>
          <w:tcPr>
            <w:tcW w:w="2835" w:type="dxa"/>
            <w:vMerge w:val="restart"/>
            <w:tcBorders>
              <w:top w:val="single" w:color="auto" w:sz="4" w:space="0"/>
              <w:left w:val="nil"/>
              <w:right w:val="nil"/>
            </w:tcBorders>
            <w:vAlign w:val="center"/>
          </w:tcPr>
          <w:p>
            <w:pPr>
              <w:autoSpaceDE w:val="0"/>
              <w:autoSpaceDN w:val="0"/>
              <w:adjustRightInd w:val="0"/>
              <w:jc w:val="center"/>
              <w:rPr>
                <w:kern w:val="0"/>
                <w:szCs w:val="21"/>
              </w:rPr>
            </w:pPr>
            <w:r>
              <w:rPr>
                <w:kern w:val="0"/>
                <w:szCs w:val="21"/>
              </w:rPr>
              <w:t>Treat*Post</w:t>
            </w:r>
          </w:p>
        </w:tc>
        <w:tc>
          <w:tcPr>
            <w:tcW w:w="2268"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0.027*</w:t>
            </w:r>
          </w:p>
        </w:tc>
        <w:tc>
          <w:tcPr>
            <w:tcW w:w="2268"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0.027**</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(1.69)</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(2.50)</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Size</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-0.003</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0.006</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(-0.23)</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(0.50)</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Lev</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-0.035</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-0.062*</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(-0.53)</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(-1.70)</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ROA</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-0.107</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-0.058</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(-0.86)</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(-0.88)</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Mfee</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-0.095</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-0.155</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(-0.63)</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(-1.39)</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FirmAge</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0.091</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-0.020</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(0.98)</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(-0.25)</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Top1</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0.011</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-0.032</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(0.21)</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(-0.47)</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CAPT</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-0.000</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0.021**</w:t>
            </w:r>
          </w:p>
        </w:tc>
      </w:tr>
      <w:tr>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(-0.08)</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(2.17)</w:t>
            </w:r>
          </w:p>
        </w:tc>
      </w:tr>
      <w:tr>
        <w:tblPrEx>
          <w:tblCellMar>
            <w:top w:w="0" w:type="dxa"/>
            <w:left w:w="75" w:type="dxa"/>
            <w:bottom w:w="0" w:type="dxa"/>
            <w:right w:w="75" w:type="dxa"/>
          </w:tblCellMar>
        </w:tblPrEx>
        <w:trPr>
          <w:jc w:val="center"/>
        </w:trPr>
        <w:tc>
          <w:tcPr>
            <w:tcW w:w="2835"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Constant</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-0.113</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-0.011</w:t>
            </w:r>
          </w:p>
        </w:tc>
      </w:tr>
      <w:tr>
        <w:tblPrEx>
          <w:tblCellMar>
            <w:top w:w="0" w:type="dxa"/>
            <w:left w:w="75" w:type="dxa"/>
            <w:bottom w:w="0" w:type="dxa"/>
            <w:right w:w="75" w:type="dxa"/>
          </w:tblCellMar>
        </w:tblPrEx>
        <w:trPr>
          <w:jc w:val="center"/>
        </w:trPr>
        <w:tc>
          <w:tcPr>
            <w:tcW w:w="2835" w:type="dxa"/>
            <w:vMerge w:val="continue"/>
            <w:tcBorders>
              <w:left w:val="nil"/>
              <w:bottom w:val="nil"/>
              <w:right w:val="nil"/>
            </w:tcBorders>
            <w:vAlign w:val="center"/>
          </w:tcPr>
          <w:p>
            <w:pPr>
              <w:autoSpaceDE w:val="0"/>
              <w:autoSpaceDN w:val="0"/>
              <w:adjustRightInd w:val="0"/>
              <w:jc w:val="center"/>
              <w:rPr>
                <w:kern w:val="0"/>
                <w:szCs w:val="21"/>
              </w:rPr>
            </w:pP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(-0.29)</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w:t>
            </w:r>
          </w:p>
        </w:tc>
      </w:tr>
      <w:tr>
        <w:tblPrEx>
          <w:tblCellMar>
            <w:top w:w="0" w:type="dxa"/>
            <w:left w:w="75" w:type="dxa"/>
            <w:bottom w:w="0" w:type="dxa"/>
            <w:right w:w="75" w:type="dxa"/>
          </w:tblCellMar>
        </w:tblPrEx>
        <w:trPr>
          <w:jc w:val="center"/>
        </w:trPr>
        <w:tc>
          <w:tcPr>
            <w:tcW w:w="2835" w:type="dxa"/>
            <w:tcBorders>
              <w:top w:val="nil"/>
              <w:left w:val="nil"/>
              <w:bottom w:val="nil"/>
              <w:right w:val="nil"/>
            </w:tcBorders>
            <w:vAlign w:val="center"/>
          </w:tcPr>
          <w:p>
            <w:pPr>
              <w:autoSpaceDE w:val="0"/>
              <w:autoSpaceDN w:val="0"/>
              <w:adjustRightInd w:val="0"/>
              <w:jc w:val="center"/>
              <w:rPr>
                <w:kern w:val="0"/>
                <w:szCs w:val="21"/>
              </w:rPr>
            </w:pPr>
            <w:r>
              <w:rPr>
                <w:kern w:val="0"/>
                <w:szCs w:val="21"/>
              </w:rPr>
              <w:t>Observations</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1,240</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1,240</w:t>
            </w:r>
          </w:p>
        </w:tc>
      </w:tr>
      <w:tr>
        <w:tblPrEx>
          <w:tblCellMar>
            <w:top w:w="0" w:type="dxa"/>
            <w:left w:w="75" w:type="dxa"/>
            <w:bottom w:w="0" w:type="dxa"/>
            <w:right w:w="75" w:type="dxa"/>
          </w:tblCellMar>
        </w:tblPrEx>
        <w:trPr>
          <w:jc w:val="center"/>
        </w:trPr>
        <w:tc>
          <w:tcPr>
            <w:tcW w:w="2835" w:type="dxa"/>
            <w:tcBorders>
              <w:top w:val="nil"/>
              <w:left w:val="nil"/>
              <w:bottom w:val="nil"/>
              <w:right w:val="nil"/>
            </w:tcBorders>
            <w:vAlign w:val="center"/>
          </w:tcPr>
          <w:p>
            <w:pPr>
              <w:autoSpaceDE w:val="0"/>
              <w:autoSpaceDN w:val="0"/>
              <w:adjustRightInd w:val="0"/>
              <w:jc w:val="center"/>
              <w:rPr>
                <w:kern w:val="0"/>
                <w:szCs w:val="21"/>
              </w:rPr>
            </w:pPr>
            <w:r>
              <w:rPr>
                <w:kern w:val="0"/>
                <w:szCs w:val="21"/>
              </w:rPr>
              <w:t>R-squared</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0.643</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0.500</w:t>
            </w:r>
          </w:p>
        </w:tc>
      </w:tr>
      <w:tr>
        <w:tblPrEx>
          <w:tblCellMar>
            <w:top w:w="0" w:type="dxa"/>
            <w:left w:w="75" w:type="dxa"/>
            <w:bottom w:w="0" w:type="dxa"/>
            <w:right w:w="75" w:type="dxa"/>
          </w:tblCellMar>
        </w:tblPrEx>
        <w:trPr>
          <w:jc w:val="center"/>
        </w:trPr>
        <w:tc>
          <w:tcPr>
            <w:tcW w:w="2835" w:type="dxa"/>
            <w:tcBorders>
              <w:top w:val="nil"/>
              <w:left w:val="nil"/>
              <w:bottom w:val="nil"/>
              <w:right w:val="nil"/>
            </w:tcBorders>
            <w:vAlign w:val="center"/>
          </w:tcPr>
          <w:p>
            <w:pPr>
              <w:autoSpaceDE w:val="0"/>
              <w:autoSpaceDN w:val="0"/>
              <w:adjustRightInd w:val="0"/>
              <w:jc w:val="center"/>
              <w:rPr>
                <w:kern w:val="0"/>
                <w:szCs w:val="21"/>
              </w:rPr>
            </w:pPr>
            <w:r>
              <w:rPr>
                <w:kern w:val="0"/>
                <w:szCs w:val="21"/>
              </w:rPr>
              <w:t>code FE</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2835"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year FE</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2835" w:type="dxa"/>
            <w:tcBorders>
              <w:top w:val="nil"/>
              <w:left w:val="nil"/>
              <w:bottom w:val="nil"/>
              <w:right w:val="nil"/>
            </w:tcBorders>
            <w:vAlign w:val="center"/>
          </w:tcPr>
          <w:p>
            <w:pPr>
              <w:autoSpaceDE w:val="0"/>
              <w:autoSpaceDN w:val="0"/>
              <w:adjustRightInd w:val="0"/>
              <w:jc w:val="center"/>
              <w:rPr>
                <w:kern w:val="0"/>
                <w:szCs w:val="21"/>
              </w:rPr>
            </w:pPr>
            <w:r>
              <w:rPr>
                <w:kern w:val="0"/>
                <w:szCs w:val="21"/>
              </w:rPr>
              <w:t>r2_a</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0.518</w:t>
            </w:r>
          </w:p>
        </w:tc>
        <w:tc>
          <w:tcPr>
            <w:tcW w:w="2268"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0.326</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2835"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F</w:t>
            </w:r>
          </w:p>
        </w:tc>
        <w:tc>
          <w:tcPr>
            <w:tcW w:w="2268"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0.705</w:t>
            </w:r>
          </w:p>
        </w:tc>
        <w:tc>
          <w:tcPr>
            <w:tcW w:w="2268"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1.875</w:t>
            </w:r>
          </w:p>
        </w:tc>
      </w:tr>
    </w:tbl>
    <w:p>
      <w:pPr>
        <w:autoSpaceDE w:val="0"/>
        <w:autoSpaceDN w:val="0"/>
        <w:adjustRightInd w:val="0"/>
        <w:spacing w:before="156" w:beforeLines="50" w:line="360" w:lineRule="auto"/>
        <w:ind w:firstLine="480" w:firstLineChars="200"/>
        <w:jc w:val="left"/>
        <w:rPr>
          <w:rFonts w:eastAsia="等线"/>
          <w:kern w:val="0"/>
          <w:sz w:val="24"/>
          <w:szCs w:val="24"/>
        </w:rPr>
      </w:pPr>
      <w:r>
        <w:rPr>
          <w:rFonts w:hint="eastAsia"/>
          <w:sz w:val="24"/>
          <w:szCs w:val="24"/>
        </w:rPr>
        <w:t>从表4</w:t>
      </w:r>
      <w:r>
        <w:rPr>
          <w:sz w:val="24"/>
          <w:szCs w:val="24"/>
        </w:rPr>
        <w:t>-6</w:t>
      </w:r>
      <w:r>
        <w:rPr>
          <w:rFonts w:hint="eastAsia"/>
          <w:sz w:val="24"/>
          <w:szCs w:val="24"/>
        </w:rPr>
        <w:t>中数据可以看出，政策的试点对绿色发明专利的影响在1</w:t>
      </w:r>
      <w:r>
        <w:rPr>
          <w:sz w:val="24"/>
          <w:szCs w:val="24"/>
        </w:rPr>
        <w:t>0%</w:t>
      </w:r>
      <w:r>
        <w:rPr>
          <w:rFonts w:hint="eastAsia"/>
          <w:sz w:val="24"/>
          <w:szCs w:val="24"/>
        </w:rPr>
        <w:t>水平上显著，而对绿色实用新型专利的影响在</w:t>
      </w:r>
      <w:r>
        <w:rPr>
          <w:sz w:val="24"/>
          <w:szCs w:val="24"/>
        </w:rPr>
        <w:t>5%</w:t>
      </w:r>
      <w:r>
        <w:rPr>
          <w:rFonts w:hint="eastAsia"/>
          <w:sz w:val="24"/>
          <w:szCs w:val="24"/>
        </w:rPr>
        <w:t>水平上显著正相关，审计政策的实施均可以提升企业的绿色发明专利占比以及绿色实用新型专利，但是对绿色实用新型专利水平的提升更有效果，这可能是因为申请绿色发明专利对创新要求更高，难度更大，审批的流程也更复杂，因此企业在审计政策试点的两年时间内尚且无法迅速完成对绿色发明专利的研究，所以先进行了难度更低、更容易出效果的实用新型专利的研发，所以回归结果显示政策的试点对难度更低的实用新型专利效果更加显著。</w:t>
      </w:r>
    </w:p>
    <w:p>
      <w:pPr>
        <w:spacing w:before="156" w:beforeLines="50" w:after="156" w:afterLines="50"/>
        <w:jc w:val="left"/>
        <w:outlineLvl w:val="2"/>
        <w:rPr>
          <w:rFonts w:ascii="黑体" w:eastAsia="黑体"/>
          <w:b/>
          <w:color w:val="FF0000"/>
          <w:sz w:val="24"/>
        </w:rPr>
      </w:pPr>
      <w:r>
        <w:rPr>
          <w:b/>
          <w:sz w:val="24"/>
        </w:rPr>
        <w:t>4.5.2</w:t>
      </w:r>
      <w:r>
        <w:rPr>
          <w:rFonts w:hint="eastAsia" w:ascii="黑体" w:eastAsia="黑体"/>
          <w:b/>
          <w:sz w:val="24"/>
        </w:rPr>
        <w:t xml:space="preserve"> 排污费与企业绿色技术创新</w:t>
      </w:r>
    </w:p>
    <w:p>
      <w:pPr>
        <w:widowControl/>
        <w:spacing w:line="360" w:lineRule="auto"/>
        <w:ind w:firstLine="480" w:firstLineChars="200"/>
        <w:jc w:val="left"/>
        <w:rPr>
          <w:rFonts w:ascii="黑体" w:eastAsia="黑体"/>
          <w:b/>
          <w:color w:val="FF0000"/>
          <w:sz w:val="24"/>
        </w:rPr>
      </w:pPr>
      <w:r>
        <w:rPr>
          <w:rFonts w:hint="eastAsia" w:ascii="宋体" w:hAnsi="宋体" w:cs="宋体"/>
          <w:color w:val="000000"/>
          <w:kern w:val="0"/>
          <w:sz w:val="24"/>
          <w:szCs w:val="24"/>
        </w:rPr>
        <w:t>排污费制度是政府对于企业污染防治可采取的一项具体的环境规制政策，根据国家要求，向环境中排放污染物的企业需要缴纳一定的排污费。在离任审计的试点之下，地方政府为提升辖区企业的环境治理意愿，很可能会通过对排污费的缴纳管理来反向促使企业的绿色技术创新水平，为验证排污费对政策效应的影响，本文根据有无排污费作为分组标准，将样本企业分为有排污费与无排污费两组分别进行回归，</w:t>
      </w:r>
      <w:r>
        <w:rPr>
          <w:rFonts w:hint="eastAsia"/>
          <w:sz w:val="24"/>
          <w:szCs w:val="24"/>
        </w:rPr>
        <w:t>回归结果如表4</w:t>
      </w:r>
      <w:r>
        <w:rPr>
          <w:sz w:val="24"/>
          <w:szCs w:val="24"/>
        </w:rPr>
        <w:t>-7</w:t>
      </w:r>
      <w:r>
        <w:rPr>
          <w:rFonts w:hint="eastAsia"/>
          <w:sz w:val="24"/>
          <w:szCs w:val="24"/>
        </w:rPr>
        <w:t>所示。</w:t>
      </w:r>
    </w:p>
    <w:p>
      <w:pPr>
        <w:pStyle w:val="4"/>
        <w:spacing w:after="156"/>
      </w:pPr>
      <w:bookmarkStart w:id="127" w:name="_Toc104376097"/>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7</w:t>
      </w:r>
      <w:r>
        <w:fldChar w:fldCharType="end"/>
      </w:r>
      <w:r>
        <w:t xml:space="preserve"> </w:t>
      </w:r>
      <w:r>
        <w:rPr>
          <w:rFonts w:hint="eastAsia"/>
        </w:rPr>
        <w:t>排污费与企业绿色技术创新</w:t>
      </w:r>
      <w:bookmarkEnd w:id="127"/>
    </w:p>
    <w:tbl>
      <w:tblPr>
        <w:tblStyle w:val="14"/>
        <w:tblW w:w="7821"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75" w:type="dxa"/>
          <w:bottom w:w="0" w:type="dxa"/>
          <w:right w:w="75" w:type="dxa"/>
        </w:tblCellMar>
      </w:tblPr>
      <w:tblGrid>
        <w:gridCol w:w="1701"/>
        <w:gridCol w:w="1020"/>
        <w:gridCol w:w="1020"/>
        <w:gridCol w:w="1020"/>
        <w:gridCol w:w="1020"/>
        <w:gridCol w:w="1020"/>
        <w:gridCol w:w="10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tcBorders>
              <w:top w:val="single" w:color="auto" w:sz="12" w:space="0"/>
              <w:bottom w:val="nil"/>
            </w:tcBorders>
            <w:vAlign w:val="center"/>
          </w:tcPr>
          <w:p>
            <w:pPr>
              <w:autoSpaceDE w:val="0"/>
              <w:autoSpaceDN w:val="0"/>
              <w:adjustRightInd w:val="0"/>
              <w:jc w:val="center"/>
              <w:rPr>
                <w:kern w:val="0"/>
                <w:szCs w:val="21"/>
              </w:rPr>
            </w:pPr>
            <w:r>
              <w:rPr>
                <w:rFonts w:hint="eastAsia"/>
                <w:kern w:val="0"/>
                <w:szCs w:val="21"/>
              </w:rPr>
              <w:t>变量名</w:t>
            </w:r>
          </w:p>
        </w:tc>
        <w:tc>
          <w:tcPr>
            <w:tcW w:w="1020" w:type="dxa"/>
            <w:vMerge w:val="restart"/>
            <w:tcBorders>
              <w:top w:val="single" w:color="auto" w:sz="12" w:space="0"/>
              <w:bottom w:val="nil"/>
            </w:tcBorders>
            <w:vAlign w:val="center"/>
          </w:tcPr>
          <w:p>
            <w:pPr>
              <w:autoSpaceDE w:val="0"/>
              <w:autoSpaceDN w:val="0"/>
              <w:adjustRightInd w:val="0"/>
              <w:jc w:val="center"/>
              <w:rPr>
                <w:kern w:val="0"/>
                <w:szCs w:val="21"/>
              </w:rPr>
            </w:pPr>
            <w:r>
              <w:rPr>
                <w:rFonts w:hint="eastAsia"/>
                <w:kern w:val="0"/>
                <w:szCs w:val="21"/>
              </w:rPr>
              <w:t>有排污费</w:t>
            </w:r>
          </w:p>
        </w:tc>
        <w:tc>
          <w:tcPr>
            <w:tcW w:w="1020" w:type="dxa"/>
            <w:vMerge w:val="restart"/>
            <w:tcBorders>
              <w:top w:val="single" w:color="auto" w:sz="12" w:space="0"/>
              <w:bottom w:val="nil"/>
            </w:tcBorders>
            <w:vAlign w:val="center"/>
          </w:tcPr>
          <w:p>
            <w:pPr>
              <w:autoSpaceDE w:val="0"/>
              <w:autoSpaceDN w:val="0"/>
              <w:adjustRightInd w:val="0"/>
              <w:jc w:val="center"/>
              <w:rPr>
                <w:kern w:val="0"/>
                <w:szCs w:val="21"/>
              </w:rPr>
            </w:pPr>
            <w:r>
              <w:rPr>
                <w:rFonts w:hint="eastAsia"/>
                <w:kern w:val="0"/>
                <w:szCs w:val="21"/>
              </w:rPr>
              <w:t>无排污费</w:t>
            </w:r>
          </w:p>
        </w:tc>
        <w:tc>
          <w:tcPr>
            <w:tcW w:w="2040" w:type="dxa"/>
            <w:gridSpan w:val="2"/>
            <w:tcBorders>
              <w:top w:val="single" w:color="auto" w:sz="12" w:space="0"/>
              <w:bottom w:val="single" w:color="auto" w:sz="4" w:space="0"/>
            </w:tcBorders>
            <w:vAlign w:val="center"/>
          </w:tcPr>
          <w:p>
            <w:pPr>
              <w:autoSpaceDE w:val="0"/>
              <w:autoSpaceDN w:val="0"/>
              <w:adjustRightInd w:val="0"/>
              <w:jc w:val="center"/>
              <w:rPr>
                <w:kern w:val="0"/>
                <w:szCs w:val="21"/>
              </w:rPr>
            </w:pPr>
            <w:r>
              <w:rPr>
                <w:rFonts w:hint="eastAsia"/>
                <w:kern w:val="0"/>
                <w:szCs w:val="21"/>
              </w:rPr>
              <w:t>有排污费</w:t>
            </w:r>
          </w:p>
        </w:tc>
        <w:tc>
          <w:tcPr>
            <w:tcW w:w="2040" w:type="dxa"/>
            <w:gridSpan w:val="2"/>
            <w:tcBorders>
              <w:top w:val="single" w:color="auto" w:sz="12" w:space="0"/>
              <w:bottom w:val="single" w:color="auto" w:sz="4" w:space="0"/>
            </w:tcBorders>
            <w:vAlign w:val="center"/>
          </w:tcPr>
          <w:p>
            <w:pPr>
              <w:autoSpaceDE w:val="0"/>
              <w:autoSpaceDN w:val="0"/>
              <w:adjustRightInd w:val="0"/>
              <w:jc w:val="center"/>
              <w:rPr>
                <w:kern w:val="0"/>
                <w:szCs w:val="21"/>
              </w:rPr>
            </w:pPr>
            <w:r>
              <w:rPr>
                <w:rFonts w:hint="eastAsia"/>
                <w:kern w:val="0"/>
                <w:szCs w:val="21"/>
              </w:rPr>
              <w:t>无排污费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tcBorders>
              <w:top w:val="nil"/>
              <w:bottom w:val="single" w:color="auto" w:sz="4" w:space="0"/>
            </w:tcBorders>
            <w:vAlign w:val="center"/>
          </w:tcPr>
          <w:p>
            <w:pPr>
              <w:autoSpaceDE w:val="0"/>
              <w:autoSpaceDN w:val="0"/>
              <w:adjustRightInd w:val="0"/>
              <w:jc w:val="center"/>
              <w:rPr>
                <w:kern w:val="0"/>
                <w:szCs w:val="21"/>
              </w:rPr>
            </w:pPr>
          </w:p>
        </w:tc>
        <w:tc>
          <w:tcPr>
            <w:tcW w:w="1020" w:type="dxa"/>
            <w:vMerge w:val="continue"/>
            <w:tcBorders>
              <w:top w:val="nil"/>
              <w:bottom w:val="single" w:color="auto" w:sz="4" w:space="0"/>
            </w:tcBorders>
            <w:vAlign w:val="center"/>
          </w:tcPr>
          <w:p>
            <w:pPr>
              <w:autoSpaceDE w:val="0"/>
              <w:autoSpaceDN w:val="0"/>
              <w:adjustRightInd w:val="0"/>
              <w:jc w:val="center"/>
              <w:rPr>
                <w:kern w:val="0"/>
                <w:szCs w:val="21"/>
              </w:rPr>
            </w:pPr>
          </w:p>
        </w:tc>
        <w:tc>
          <w:tcPr>
            <w:tcW w:w="1020" w:type="dxa"/>
            <w:vMerge w:val="continue"/>
            <w:tcBorders>
              <w:top w:val="nil"/>
              <w:bottom w:val="single" w:color="auto" w:sz="4" w:space="0"/>
            </w:tcBorders>
            <w:vAlign w:val="center"/>
          </w:tcPr>
          <w:p>
            <w:pPr>
              <w:autoSpaceDE w:val="0"/>
              <w:autoSpaceDN w:val="0"/>
              <w:adjustRightInd w:val="0"/>
              <w:jc w:val="center"/>
              <w:rPr>
                <w:kern w:val="0"/>
                <w:szCs w:val="21"/>
              </w:rPr>
            </w:pPr>
          </w:p>
        </w:tc>
        <w:tc>
          <w:tcPr>
            <w:tcW w:w="1020" w:type="dxa"/>
            <w:tcBorders>
              <w:top w:val="single" w:color="auto" w:sz="4" w:space="0"/>
              <w:bottom w:val="single" w:color="auto" w:sz="4" w:space="0"/>
            </w:tcBorders>
            <w:vAlign w:val="center"/>
          </w:tcPr>
          <w:p>
            <w:pPr>
              <w:autoSpaceDE w:val="0"/>
              <w:autoSpaceDN w:val="0"/>
              <w:adjustRightInd w:val="0"/>
              <w:jc w:val="center"/>
              <w:rPr>
                <w:kern w:val="0"/>
                <w:szCs w:val="21"/>
              </w:rPr>
            </w:pPr>
            <w:r>
              <w:rPr>
                <w:kern w:val="0"/>
                <w:szCs w:val="21"/>
              </w:rPr>
              <w:t>绿色发明</w:t>
            </w:r>
          </w:p>
        </w:tc>
        <w:tc>
          <w:tcPr>
            <w:tcW w:w="1020" w:type="dxa"/>
            <w:tcBorders>
              <w:top w:val="single" w:color="auto" w:sz="4" w:space="0"/>
              <w:bottom w:val="single" w:color="auto" w:sz="4" w:space="0"/>
            </w:tcBorders>
            <w:vAlign w:val="center"/>
          </w:tcPr>
          <w:p>
            <w:pPr>
              <w:autoSpaceDE w:val="0"/>
              <w:autoSpaceDN w:val="0"/>
              <w:adjustRightInd w:val="0"/>
              <w:jc w:val="center"/>
              <w:rPr>
                <w:kern w:val="0"/>
                <w:szCs w:val="21"/>
              </w:rPr>
            </w:pPr>
            <w:r>
              <w:rPr>
                <w:kern w:val="0"/>
                <w:szCs w:val="21"/>
              </w:rPr>
              <w:t>实用新型</w:t>
            </w:r>
          </w:p>
        </w:tc>
        <w:tc>
          <w:tcPr>
            <w:tcW w:w="1020" w:type="dxa"/>
            <w:tcBorders>
              <w:top w:val="single" w:color="auto" w:sz="4" w:space="0"/>
              <w:bottom w:val="single" w:color="auto" w:sz="4" w:space="0"/>
            </w:tcBorders>
            <w:vAlign w:val="center"/>
          </w:tcPr>
          <w:p>
            <w:pPr>
              <w:autoSpaceDE w:val="0"/>
              <w:autoSpaceDN w:val="0"/>
              <w:adjustRightInd w:val="0"/>
              <w:jc w:val="center"/>
              <w:rPr>
                <w:kern w:val="0"/>
                <w:szCs w:val="21"/>
              </w:rPr>
            </w:pPr>
            <w:r>
              <w:rPr>
                <w:kern w:val="0"/>
                <w:szCs w:val="21"/>
              </w:rPr>
              <w:t>绿色发明</w:t>
            </w:r>
          </w:p>
        </w:tc>
        <w:tc>
          <w:tcPr>
            <w:tcW w:w="1020" w:type="dxa"/>
            <w:tcBorders>
              <w:top w:val="single" w:color="auto" w:sz="4" w:space="0"/>
              <w:bottom w:val="single" w:color="auto" w:sz="4" w:space="0"/>
            </w:tcBorders>
            <w:vAlign w:val="center"/>
          </w:tcPr>
          <w:p>
            <w:pPr>
              <w:autoSpaceDE w:val="0"/>
              <w:autoSpaceDN w:val="0"/>
              <w:adjustRightInd w:val="0"/>
              <w:jc w:val="center"/>
              <w:rPr>
                <w:kern w:val="0"/>
                <w:szCs w:val="21"/>
              </w:rPr>
            </w:pPr>
            <w:r>
              <w:rPr>
                <w:kern w:val="0"/>
                <w:szCs w:val="21"/>
              </w:rPr>
              <w:t>实用新型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tcBorders>
              <w:top w:val="single" w:color="auto" w:sz="4" w:space="0"/>
            </w:tcBorders>
            <w:vAlign w:val="center"/>
          </w:tcPr>
          <w:p>
            <w:pPr>
              <w:autoSpaceDE w:val="0"/>
              <w:autoSpaceDN w:val="0"/>
              <w:adjustRightInd w:val="0"/>
              <w:jc w:val="center"/>
              <w:rPr>
                <w:kern w:val="0"/>
                <w:szCs w:val="21"/>
              </w:rPr>
            </w:pPr>
            <w:r>
              <w:rPr>
                <w:kern w:val="0"/>
                <w:szCs w:val="21"/>
              </w:rPr>
              <w:t>Treat*Post</w:t>
            </w:r>
          </w:p>
        </w:tc>
        <w:tc>
          <w:tcPr>
            <w:tcW w:w="1020" w:type="dxa"/>
            <w:tcBorders>
              <w:top w:val="single" w:color="auto" w:sz="4" w:space="0"/>
            </w:tcBorders>
            <w:vAlign w:val="center"/>
          </w:tcPr>
          <w:p>
            <w:pPr>
              <w:autoSpaceDE w:val="0"/>
              <w:autoSpaceDN w:val="0"/>
              <w:adjustRightInd w:val="0"/>
              <w:jc w:val="center"/>
              <w:rPr>
                <w:kern w:val="0"/>
                <w:szCs w:val="21"/>
              </w:rPr>
            </w:pPr>
            <w:r>
              <w:rPr>
                <w:kern w:val="0"/>
                <w:szCs w:val="21"/>
              </w:rPr>
              <w:t>0.145*</w:t>
            </w:r>
          </w:p>
        </w:tc>
        <w:tc>
          <w:tcPr>
            <w:tcW w:w="1020" w:type="dxa"/>
            <w:tcBorders>
              <w:top w:val="single" w:color="auto" w:sz="4" w:space="0"/>
            </w:tcBorders>
            <w:vAlign w:val="center"/>
          </w:tcPr>
          <w:p>
            <w:pPr>
              <w:autoSpaceDE w:val="0"/>
              <w:autoSpaceDN w:val="0"/>
              <w:adjustRightInd w:val="0"/>
              <w:jc w:val="center"/>
              <w:rPr>
                <w:kern w:val="0"/>
                <w:szCs w:val="21"/>
              </w:rPr>
            </w:pPr>
            <w:r>
              <w:rPr>
                <w:kern w:val="0"/>
                <w:szCs w:val="21"/>
              </w:rPr>
              <w:t>0.024</w:t>
            </w:r>
          </w:p>
        </w:tc>
        <w:tc>
          <w:tcPr>
            <w:tcW w:w="1020" w:type="dxa"/>
            <w:tcBorders>
              <w:top w:val="single" w:color="auto" w:sz="4" w:space="0"/>
            </w:tcBorders>
            <w:vAlign w:val="center"/>
          </w:tcPr>
          <w:p>
            <w:pPr>
              <w:autoSpaceDE w:val="0"/>
              <w:autoSpaceDN w:val="0"/>
              <w:adjustRightInd w:val="0"/>
              <w:jc w:val="center"/>
              <w:rPr>
                <w:kern w:val="0"/>
                <w:szCs w:val="21"/>
              </w:rPr>
            </w:pPr>
            <w:r>
              <w:rPr>
                <w:kern w:val="0"/>
                <w:szCs w:val="21"/>
              </w:rPr>
              <w:t>0.080</w:t>
            </w:r>
          </w:p>
        </w:tc>
        <w:tc>
          <w:tcPr>
            <w:tcW w:w="1020" w:type="dxa"/>
            <w:tcBorders>
              <w:top w:val="single" w:color="auto" w:sz="4" w:space="0"/>
            </w:tcBorders>
            <w:vAlign w:val="center"/>
          </w:tcPr>
          <w:p>
            <w:pPr>
              <w:autoSpaceDE w:val="0"/>
              <w:autoSpaceDN w:val="0"/>
              <w:adjustRightInd w:val="0"/>
              <w:jc w:val="center"/>
              <w:rPr>
                <w:kern w:val="0"/>
                <w:szCs w:val="21"/>
              </w:rPr>
            </w:pPr>
            <w:r>
              <w:rPr>
                <w:kern w:val="0"/>
                <w:szCs w:val="21"/>
              </w:rPr>
              <w:t>0.071*</w:t>
            </w:r>
          </w:p>
        </w:tc>
        <w:tc>
          <w:tcPr>
            <w:tcW w:w="1020" w:type="dxa"/>
            <w:tcBorders>
              <w:top w:val="single" w:color="auto" w:sz="4" w:space="0"/>
            </w:tcBorders>
            <w:vAlign w:val="center"/>
          </w:tcPr>
          <w:p>
            <w:pPr>
              <w:autoSpaceDE w:val="0"/>
              <w:autoSpaceDN w:val="0"/>
              <w:adjustRightInd w:val="0"/>
              <w:jc w:val="center"/>
              <w:rPr>
                <w:kern w:val="0"/>
                <w:szCs w:val="21"/>
              </w:rPr>
            </w:pPr>
            <w:r>
              <w:rPr>
                <w:kern w:val="0"/>
                <w:szCs w:val="21"/>
              </w:rPr>
              <w:t>0.015</w:t>
            </w:r>
          </w:p>
        </w:tc>
        <w:tc>
          <w:tcPr>
            <w:tcW w:w="1020" w:type="dxa"/>
            <w:tcBorders>
              <w:top w:val="single" w:color="auto" w:sz="4" w:space="0"/>
            </w:tcBorders>
            <w:vAlign w:val="center"/>
          </w:tcPr>
          <w:p>
            <w:pPr>
              <w:autoSpaceDE w:val="0"/>
              <w:autoSpaceDN w:val="0"/>
              <w:adjustRightInd w:val="0"/>
              <w:jc w:val="center"/>
              <w:rPr>
                <w:kern w:val="0"/>
                <w:szCs w:val="21"/>
              </w:rPr>
            </w:pPr>
            <w:r>
              <w:rPr>
                <w:kern w:val="0"/>
                <w:szCs w:val="21"/>
              </w:rPr>
              <w:t>0.014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(1.72)</w:t>
            </w:r>
          </w:p>
        </w:tc>
        <w:tc>
          <w:tcPr>
            <w:tcW w:w="1020" w:type="dxa"/>
            <w:vAlign w:val="center"/>
          </w:tcPr>
          <w:p>
            <w:pPr>
              <w:autoSpaceDE w:val="0"/>
              <w:autoSpaceDN w:val="0"/>
              <w:adjustRightInd w:val="0"/>
              <w:jc w:val="center"/>
              <w:rPr>
                <w:kern w:val="0"/>
                <w:szCs w:val="21"/>
              </w:rPr>
            </w:pPr>
            <w:r>
              <w:rPr>
                <w:kern w:val="0"/>
                <w:szCs w:val="21"/>
              </w:rPr>
              <w:t>(1.63)</w:t>
            </w:r>
          </w:p>
        </w:tc>
        <w:tc>
          <w:tcPr>
            <w:tcW w:w="1020" w:type="dxa"/>
            <w:vAlign w:val="center"/>
          </w:tcPr>
          <w:p>
            <w:pPr>
              <w:autoSpaceDE w:val="0"/>
              <w:autoSpaceDN w:val="0"/>
              <w:adjustRightInd w:val="0"/>
              <w:jc w:val="center"/>
              <w:rPr>
                <w:kern w:val="0"/>
                <w:szCs w:val="21"/>
              </w:rPr>
            </w:pPr>
            <w:r>
              <w:rPr>
                <w:kern w:val="0"/>
                <w:szCs w:val="21"/>
              </w:rPr>
              <w:t>(1.03)</w:t>
            </w:r>
          </w:p>
        </w:tc>
        <w:tc>
          <w:tcPr>
            <w:tcW w:w="1020" w:type="dxa"/>
            <w:vAlign w:val="center"/>
          </w:tcPr>
          <w:p>
            <w:pPr>
              <w:autoSpaceDE w:val="0"/>
              <w:autoSpaceDN w:val="0"/>
              <w:adjustRightInd w:val="0"/>
              <w:jc w:val="center"/>
              <w:rPr>
                <w:kern w:val="0"/>
                <w:szCs w:val="21"/>
              </w:rPr>
            </w:pPr>
            <w:r>
              <w:rPr>
                <w:kern w:val="0"/>
                <w:szCs w:val="21"/>
              </w:rPr>
              <w:t>(1.97)</w:t>
            </w:r>
          </w:p>
        </w:tc>
        <w:tc>
          <w:tcPr>
            <w:tcW w:w="1020" w:type="dxa"/>
            <w:vAlign w:val="center"/>
          </w:tcPr>
          <w:p>
            <w:pPr>
              <w:autoSpaceDE w:val="0"/>
              <w:autoSpaceDN w:val="0"/>
              <w:adjustRightInd w:val="0"/>
              <w:jc w:val="center"/>
              <w:rPr>
                <w:kern w:val="0"/>
                <w:szCs w:val="21"/>
              </w:rPr>
            </w:pPr>
            <w:r>
              <w:rPr>
                <w:kern w:val="0"/>
                <w:szCs w:val="21"/>
              </w:rPr>
              <w:t>(1.20)</w:t>
            </w:r>
          </w:p>
        </w:tc>
        <w:tc>
          <w:tcPr>
            <w:tcW w:w="1020" w:type="dxa"/>
            <w:vAlign w:val="center"/>
          </w:tcPr>
          <w:p>
            <w:pPr>
              <w:autoSpaceDE w:val="0"/>
              <w:autoSpaceDN w:val="0"/>
              <w:adjustRightInd w:val="0"/>
              <w:jc w:val="center"/>
              <w:rPr>
                <w:kern w:val="0"/>
                <w:szCs w:val="21"/>
              </w:rPr>
            </w:pPr>
            <w:r>
              <w:rPr>
                <w:kern w:val="0"/>
                <w:szCs w:val="21"/>
              </w:rPr>
              <w:t>(1.33)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S</w:t>
            </w:r>
            <w:r>
              <w:rPr>
                <w:rFonts w:hint="eastAsia"/>
                <w:kern w:val="0"/>
                <w:szCs w:val="21"/>
              </w:rPr>
              <w:t>ize</w:t>
            </w:r>
          </w:p>
        </w:tc>
        <w:tc>
          <w:tcPr>
            <w:tcW w:w="1020" w:type="dxa"/>
            <w:vAlign w:val="center"/>
          </w:tcPr>
          <w:p>
            <w:pPr>
              <w:autoSpaceDE w:val="0"/>
              <w:autoSpaceDN w:val="0"/>
              <w:adjustRightInd w:val="0"/>
              <w:jc w:val="center"/>
              <w:rPr>
                <w:kern w:val="0"/>
                <w:szCs w:val="21"/>
              </w:rPr>
            </w:pPr>
            <w:r>
              <w:rPr>
                <w:kern w:val="0"/>
                <w:szCs w:val="21"/>
              </w:rPr>
              <w:t>0.038</w:t>
            </w:r>
          </w:p>
        </w:tc>
        <w:tc>
          <w:tcPr>
            <w:tcW w:w="1020" w:type="dxa"/>
            <w:vAlign w:val="center"/>
          </w:tcPr>
          <w:p>
            <w:pPr>
              <w:autoSpaceDE w:val="0"/>
              <w:autoSpaceDN w:val="0"/>
              <w:adjustRightInd w:val="0"/>
              <w:jc w:val="center"/>
              <w:rPr>
                <w:kern w:val="0"/>
                <w:szCs w:val="21"/>
              </w:rPr>
            </w:pPr>
            <w:r>
              <w:rPr>
                <w:kern w:val="0"/>
                <w:szCs w:val="21"/>
              </w:rPr>
              <w:t>-0.001</w:t>
            </w:r>
          </w:p>
        </w:tc>
        <w:tc>
          <w:tcPr>
            <w:tcW w:w="1020" w:type="dxa"/>
            <w:vAlign w:val="center"/>
          </w:tcPr>
          <w:p>
            <w:pPr>
              <w:autoSpaceDE w:val="0"/>
              <w:autoSpaceDN w:val="0"/>
              <w:adjustRightInd w:val="0"/>
              <w:jc w:val="center"/>
              <w:rPr>
                <w:kern w:val="0"/>
                <w:szCs w:val="21"/>
              </w:rPr>
            </w:pPr>
            <w:r>
              <w:rPr>
                <w:kern w:val="0"/>
                <w:szCs w:val="21"/>
              </w:rPr>
              <w:t>-0.001</w:t>
            </w:r>
          </w:p>
        </w:tc>
        <w:tc>
          <w:tcPr>
            <w:tcW w:w="1020" w:type="dxa"/>
            <w:vAlign w:val="center"/>
          </w:tcPr>
          <w:p>
            <w:pPr>
              <w:autoSpaceDE w:val="0"/>
              <w:autoSpaceDN w:val="0"/>
              <w:adjustRightInd w:val="0"/>
              <w:jc w:val="center"/>
              <w:rPr>
                <w:kern w:val="0"/>
                <w:szCs w:val="21"/>
              </w:rPr>
            </w:pPr>
            <w:r>
              <w:rPr>
                <w:kern w:val="0"/>
                <w:szCs w:val="21"/>
              </w:rPr>
              <w:t>0.038</w:t>
            </w:r>
          </w:p>
        </w:tc>
        <w:tc>
          <w:tcPr>
            <w:tcW w:w="1020" w:type="dxa"/>
            <w:vAlign w:val="center"/>
          </w:tcPr>
          <w:p>
            <w:pPr>
              <w:autoSpaceDE w:val="0"/>
              <w:autoSpaceDN w:val="0"/>
              <w:adjustRightInd w:val="0"/>
              <w:jc w:val="center"/>
              <w:rPr>
                <w:kern w:val="0"/>
                <w:szCs w:val="21"/>
              </w:rPr>
            </w:pPr>
            <w:r>
              <w:rPr>
                <w:kern w:val="0"/>
                <w:szCs w:val="21"/>
              </w:rPr>
              <w:t>-0.004</w:t>
            </w:r>
          </w:p>
        </w:tc>
        <w:tc>
          <w:tcPr>
            <w:tcW w:w="1020" w:type="dxa"/>
            <w:vAlign w:val="center"/>
          </w:tcPr>
          <w:p>
            <w:pPr>
              <w:autoSpaceDE w:val="0"/>
              <w:autoSpaceDN w:val="0"/>
              <w:adjustRightInd w:val="0"/>
              <w:jc w:val="center"/>
              <w:rPr>
                <w:kern w:val="0"/>
                <w:szCs w:val="21"/>
              </w:rPr>
            </w:pPr>
            <w:r>
              <w:rPr>
                <w:kern w:val="0"/>
                <w:szCs w:val="21"/>
              </w:rPr>
              <w:t>0.002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(0.92)</w:t>
            </w:r>
          </w:p>
        </w:tc>
        <w:tc>
          <w:tcPr>
            <w:tcW w:w="1020" w:type="dxa"/>
            <w:vAlign w:val="center"/>
          </w:tcPr>
          <w:p>
            <w:pPr>
              <w:autoSpaceDE w:val="0"/>
              <w:autoSpaceDN w:val="0"/>
              <w:adjustRightInd w:val="0"/>
              <w:jc w:val="center"/>
              <w:rPr>
                <w:kern w:val="0"/>
                <w:szCs w:val="21"/>
              </w:rPr>
            </w:pPr>
            <w:r>
              <w:rPr>
                <w:kern w:val="0"/>
                <w:szCs w:val="21"/>
              </w:rPr>
              <w:t>(-0.08)</w:t>
            </w:r>
          </w:p>
        </w:tc>
        <w:tc>
          <w:tcPr>
            <w:tcW w:w="1020" w:type="dxa"/>
            <w:vAlign w:val="center"/>
          </w:tcPr>
          <w:p>
            <w:pPr>
              <w:autoSpaceDE w:val="0"/>
              <w:autoSpaceDN w:val="0"/>
              <w:adjustRightInd w:val="0"/>
              <w:jc w:val="center"/>
              <w:rPr>
                <w:kern w:val="0"/>
                <w:szCs w:val="21"/>
              </w:rPr>
            </w:pPr>
            <w:r>
              <w:rPr>
                <w:kern w:val="0"/>
                <w:szCs w:val="21"/>
              </w:rPr>
              <w:t>(-0.02)</w:t>
            </w:r>
          </w:p>
        </w:tc>
        <w:tc>
          <w:tcPr>
            <w:tcW w:w="1020" w:type="dxa"/>
            <w:vAlign w:val="center"/>
          </w:tcPr>
          <w:p>
            <w:pPr>
              <w:autoSpaceDE w:val="0"/>
              <w:autoSpaceDN w:val="0"/>
              <w:adjustRightInd w:val="0"/>
              <w:jc w:val="center"/>
              <w:rPr>
                <w:kern w:val="0"/>
                <w:szCs w:val="21"/>
              </w:rPr>
            </w:pPr>
            <w:r>
              <w:rPr>
                <w:kern w:val="0"/>
                <w:szCs w:val="21"/>
              </w:rPr>
              <w:t>(1.19)</w:t>
            </w:r>
          </w:p>
        </w:tc>
        <w:tc>
          <w:tcPr>
            <w:tcW w:w="1020" w:type="dxa"/>
            <w:vAlign w:val="center"/>
          </w:tcPr>
          <w:p>
            <w:pPr>
              <w:autoSpaceDE w:val="0"/>
              <w:autoSpaceDN w:val="0"/>
              <w:adjustRightInd w:val="0"/>
              <w:jc w:val="center"/>
              <w:rPr>
                <w:kern w:val="0"/>
                <w:szCs w:val="21"/>
              </w:rPr>
            </w:pPr>
            <w:r>
              <w:rPr>
                <w:kern w:val="0"/>
                <w:szCs w:val="21"/>
              </w:rPr>
              <w:t>(-0.37)</w:t>
            </w:r>
          </w:p>
        </w:tc>
        <w:tc>
          <w:tcPr>
            <w:tcW w:w="1020" w:type="dxa"/>
            <w:vAlign w:val="center"/>
          </w:tcPr>
          <w:p>
            <w:pPr>
              <w:autoSpaceDE w:val="0"/>
              <w:autoSpaceDN w:val="0"/>
              <w:adjustRightInd w:val="0"/>
              <w:jc w:val="center"/>
              <w:rPr>
                <w:kern w:val="0"/>
                <w:szCs w:val="21"/>
              </w:rPr>
            </w:pPr>
            <w:r>
              <w:rPr>
                <w:kern w:val="0"/>
                <w:szCs w:val="21"/>
              </w:rPr>
              <w:t>(0.21)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Lev</w:t>
            </w:r>
          </w:p>
        </w:tc>
        <w:tc>
          <w:tcPr>
            <w:tcW w:w="1020" w:type="dxa"/>
            <w:vAlign w:val="center"/>
          </w:tcPr>
          <w:p>
            <w:pPr>
              <w:autoSpaceDE w:val="0"/>
              <w:autoSpaceDN w:val="0"/>
              <w:adjustRightInd w:val="0"/>
              <w:jc w:val="center"/>
              <w:rPr>
                <w:kern w:val="0"/>
                <w:szCs w:val="21"/>
              </w:rPr>
            </w:pPr>
            <w:r>
              <w:rPr>
                <w:kern w:val="0"/>
                <w:szCs w:val="21"/>
              </w:rPr>
              <w:t>-0.317*</w:t>
            </w:r>
          </w:p>
        </w:tc>
        <w:tc>
          <w:tcPr>
            <w:tcW w:w="1020" w:type="dxa"/>
            <w:vAlign w:val="center"/>
          </w:tcPr>
          <w:p>
            <w:pPr>
              <w:autoSpaceDE w:val="0"/>
              <w:autoSpaceDN w:val="0"/>
              <w:adjustRightInd w:val="0"/>
              <w:jc w:val="center"/>
              <w:rPr>
                <w:kern w:val="0"/>
                <w:szCs w:val="21"/>
              </w:rPr>
            </w:pPr>
            <w:r>
              <w:rPr>
                <w:kern w:val="0"/>
                <w:szCs w:val="21"/>
              </w:rPr>
              <w:t>0.021</w:t>
            </w:r>
          </w:p>
        </w:tc>
        <w:tc>
          <w:tcPr>
            <w:tcW w:w="1020" w:type="dxa"/>
            <w:vAlign w:val="center"/>
          </w:tcPr>
          <w:p>
            <w:pPr>
              <w:autoSpaceDE w:val="0"/>
              <w:autoSpaceDN w:val="0"/>
              <w:adjustRightInd w:val="0"/>
              <w:jc w:val="center"/>
              <w:rPr>
                <w:kern w:val="0"/>
                <w:szCs w:val="21"/>
              </w:rPr>
            </w:pPr>
            <w:r>
              <w:rPr>
                <w:kern w:val="0"/>
                <w:szCs w:val="21"/>
              </w:rPr>
              <w:t>-0.230</w:t>
            </w:r>
          </w:p>
        </w:tc>
        <w:tc>
          <w:tcPr>
            <w:tcW w:w="1020" w:type="dxa"/>
            <w:vAlign w:val="center"/>
          </w:tcPr>
          <w:p>
            <w:pPr>
              <w:autoSpaceDE w:val="0"/>
              <w:autoSpaceDN w:val="0"/>
              <w:adjustRightInd w:val="0"/>
              <w:jc w:val="center"/>
              <w:rPr>
                <w:kern w:val="0"/>
                <w:szCs w:val="21"/>
              </w:rPr>
            </w:pPr>
            <w:r>
              <w:rPr>
                <w:kern w:val="0"/>
                <w:szCs w:val="21"/>
              </w:rPr>
              <w:t>-0.208*</w:t>
            </w:r>
          </w:p>
        </w:tc>
        <w:tc>
          <w:tcPr>
            <w:tcW w:w="1020" w:type="dxa"/>
            <w:vAlign w:val="center"/>
          </w:tcPr>
          <w:p>
            <w:pPr>
              <w:autoSpaceDE w:val="0"/>
              <w:autoSpaceDN w:val="0"/>
              <w:adjustRightInd w:val="0"/>
              <w:jc w:val="center"/>
              <w:rPr>
                <w:kern w:val="0"/>
                <w:szCs w:val="21"/>
              </w:rPr>
            </w:pPr>
            <w:r>
              <w:rPr>
                <w:kern w:val="0"/>
                <w:szCs w:val="21"/>
              </w:rPr>
              <w:t>0.019</w:t>
            </w:r>
          </w:p>
        </w:tc>
        <w:tc>
          <w:tcPr>
            <w:tcW w:w="1020" w:type="dxa"/>
            <w:vAlign w:val="center"/>
          </w:tcPr>
          <w:p>
            <w:pPr>
              <w:autoSpaceDE w:val="0"/>
              <w:autoSpaceDN w:val="0"/>
              <w:adjustRightInd w:val="0"/>
              <w:jc w:val="center"/>
              <w:rPr>
                <w:kern w:val="0"/>
                <w:szCs w:val="21"/>
              </w:rPr>
            </w:pPr>
            <w:r>
              <w:rPr>
                <w:kern w:val="0"/>
                <w:szCs w:val="21"/>
              </w:rPr>
              <w:t>-0.010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(-1.69)</w:t>
            </w:r>
          </w:p>
        </w:tc>
        <w:tc>
          <w:tcPr>
            <w:tcW w:w="1020" w:type="dxa"/>
            <w:vAlign w:val="center"/>
          </w:tcPr>
          <w:p>
            <w:pPr>
              <w:autoSpaceDE w:val="0"/>
              <w:autoSpaceDN w:val="0"/>
              <w:adjustRightInd w:val="0"/>
              <w:jc w:val="center"/>
              <w:rPr>
                <w:kern w:val="0"/>
                <w:szCs w:val="21"/>
              </w:rPr>
            </w:pPr>
            <w:r>
              <w:rPr>
                <w:kern w:val="0"/>
                <w:szCs w:val="21"/>
              </w:rPr>
              <w:t>(0.32)</w:t>
            </w:r>
          </w:p>
        </w:tc>
        <w:tc>
          <w:tcPr>
            <w:tcW w:w="1020" w:type="dxa"/>
            <w:vAlign w:val="center"/>
          </w:tcPr>
          <w:p>
            <w:pPr>
              <w:autoSpaceDE w:val="0"/>
              <w:autoSpaceDN w:val="0"/>
              <w:adjustRightInd w:val="0"/>
              <w:jc w:val="center"/>
              <w:rPr>
                <w:kern w:val="0"/>
                <w:szCs w:val="21"/>
              </w:rPr>
            </w:pPr>
            <w:r>
              <w:rPr>
                <w:kern w:val="0"/>
                <w:szCs w:val="21"/>
              </w:rPr>
              <w:t>(-1.31)</w:t>
            </w:r>
          </w:p>
        </w:tc>
        <w:tc>
          <w:tcPr>
            <w:tcW w:w="1020" w:type="dxa"/>
            <w:vAlign w:val="center"/>
          </w:tcPr>
          <w:p>
            <w:pPr>
              <w:autoSpaceDE w:val="0"/>
              <w:autoSpaceDN w:val="0"/>
              <w:adjustRightInd w:val="0"/>
              <w:jc w:val="center"/>
              <w:rPr>
                <w:kern w:val="0"/>
                <w:szCs w:val="21"/>
              </w:rPr>
            </w:pPr>
            <w:r>
              <w:rPr>
                <w:kern w:val="0"/>
                <w:szCs w:val="21"/>
              </w:rPr>
              <w:t>(-1.83)</w:t>
            </w:r>
          </w:p>
        </w:tc>
        <w:tc>
          <w:tcPr>
            <w:tcW w:w="1020" w:type="dxa"/>
            <w:vAlign w:val="center"/>
          </w:tcPr>
          <w:p>
            <w:pPr>
              <w:autoSpaceDE w:val="0"/>
              <w:autoSpaceDN w:val="0"/>
              <w:adjustRightInd w:val="0"/>
              <w:jc w:val="center"/>
              <w:rPr>
                <w:kern w:val="0"/>
                <w:szCs w:val="21"/>
              </w:rPr>
            </w:pPr>
            <w:r>
              <w:rPr>
                <w:kern w:val="0"/>
                <w:szCs w:val="21"/>
              </w:rPr>
              <w:t>(0.36)</w:t>
            </w:r>
          </w:p>
        </w:tc>
        <w:tc>
          <w:tcPr>
            <w:tcW w:w="1020" w:type="dxa"/>
            <w:vAlign w:val="center"/>
          </w:tcPr>
          <w:p>
            <w:pPr>
              <w:autoSpaceDE w:val="0"/>
              <w:autoSpaceDN w:val="0"/>
              <w:adjustRightInd w:val="0"/>
              <w:jc w:val="center"/>
              <w:rPr>
                <w:kern w:val="0"/>
                <w:szCs w:val="21"/>
              </w:rPr>
            </w:pPr>
            <w:r>
              <w:rPr>
                <w:kern w:val="0"/>
                <w:szCs w:val="21"/>
              </w:rPr>
              <w:t>(-0.29)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ROA</w:t>
            </w:r>
          </w:p>
        </w:tc>
        <w:tc>
          <w:tcPr>
            <w:tcW w:w="1020" w:type="dxa"/>
            <w:vAlign w:val="center"/>
          </w:tcPr>
          <w:p>
            <w:pPr>
              <w:autoSpaceDE w:val="0"/>
              <w:autoSpaceDN w:val="0"/>
              <w:adjustRightInd w:val="0"/>
              <w:jc w:val="center"/>
              <w:rPr>
                <w:kern w:val="0"/>
                <w:szCs w:val="21"/>
              </w:rPr>
            </w:pPr>
            <w:r>
              <w:rPr>
                <w:kern w:val="0"/>
                <w:szCs w:val="21"/>
              </w:rPr>
              <w:t>-0.350</w:t>
            </w:r>
          </w:p>
        </w:tc>
        <w:tc>
          <w:tcPr>
            <w:tcW w:w="1020" w:type="dxa"/>
            <w:vAlign w:val="center"/>
          </w:tcPr>
          <w:p>
            <w:pPr>
              <w:autoSpaceDE w:val="0"/>
              <w:autoSpaceDN w:val="0"/>
              <w:adjustRightInd w:val="0"/>
              <w:jc w:val="center"/>
              <w:rPr>
                <w:kern w:val="0"/>
                <w:szCs w:val="21"/>
              </w:rPr>
            </w:pPr>
            <w:r>
              <w:rPr>
                <w:kern w:val="0"/>
                <w:szCs w:val="21"/>
              </w:rPr>
              <w:t>-0.019</w:t>
            </w:r>
          </w:p>
        </w:tc>
        <w:tc>
          <w:tcPr>
            <w:tcW w:w="1020" w:type="dxa"/>
            <w:vAlign w:val="center"/>
          </w:tcPr>
          <w:p>
            <w:pPr>
              <w:autoSpaceDE w:val="0"/>
              <w:autoSpaceDN w:val="0"/>
              <w:adjustRightInd w:val="0"/>
              <w:jc w:val="center"/>
              <w:rPr>
                <w:kern w:val="0"/>
                <w:szCs w:val="21"/>
              </w:rPr>
            </w:pPr>
            <w:r>
              <w:rPr>
                <w:kern w:val="0"/>
                <w:szCs w:val="21"/>
              </w:rPr>
              <w:t>-0.065</w:t>
            </w:r>
          </w:p>
        </w:tc>
        <w:tc>
          <w:tcPr>
            <w:tcW w:w="1020" w:type="dxa"/>
            <w:vAlign w:val="center"/>
          </w:tcPr>
          <w:p>
            <w:pPr>
              <w:autoSpaceDE w:val="0"/>
              <w:autoSpaceDN w:val="0"/>
              <w:adjustRightInd w:val="0"/>
              <w:jc w:val="center"/>
              <w:rPr>
                <w:kern w:val="0"/>
                <w:szCs w:val="21"/>
              </w:rPr>
            </w:pPr>
            <w:r>
              <w:rPr>
                <w:kern w:val="0"/>
                <w:szCs w:val="21"/>
              </w:rPr>
              <w:t>-0.333*</w:t>
            </w:r>
          </w:p>
        </w:tc>
        <w:tc>
          <w:tcPr>
            <w:tcW w:w="1020" w:type="dxa"/>
            <w:vAlign w:val="center"/>
          </w:tcPr>
          <w:p>
            <w:pPr>
              <w:autoSpaceDE w:val="0"/>
              <w:autoSpaceDN w:val="0"/>
              <w:adjustRightInd w:val="0"/>
              <w:jc w:val="center"/>
              <w:rPr>
                <w:kern w:val="0"/>
                <w:szCs w:val="21"/>
              </w:rPr>
            </w:pPr>
            <w:r>
              <w:rPr>
                <w:kern w:val="0"/>
                <w:szCs w:val="21"/>
              </w:rPr>
              <w:t>-0.034</w:t>
            </w:r>
          </w:p>
        </w:tc>
        <w:tc>
          <w:tcPr>
            <w:tcW w:w="1020" w:type="dxa"/>
            <w:vAlign w:val="center"/>
          </w:tcPr>
          <w:p>
            <w:pPr>
              <w:autoSpaceDE w:val="0"/>
              <w:autoSpaceDN w:val="0"/>
              <w:adjustRightInd w:val="0"/>
              <w:jc w:val="center"/>
              <w:rPr>
                <w:kern w:val="0"/>
                <w:szCs w:val="21"/>
              </w:rPr>
            </w:pPr>
            <w:r>
              <w:rPr>
                <w:kern w:val="0"/>
                <w:szCs w:val="21"/>
              </w:rPr>
              <w:t>0.024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(-1.22)</w:t>
            </w:r>
          </w:p>
        </w:tc>
        <w:tc>
          <w:tcPr>
            <w:tcW w:w="1020" w:type="dxa"/>
            <w:vAlign w:val="center"/>
          </w:tcPr>
          <w:p>
            <w:pPr>
              <w:autoSpaceDE w:val="0"/>
              <w:autoSpaceDN w:val="0"/>
              <w:adjustRightInd w:val="0"/>
              <w:jc w:val="center"/>
              <w:rPr>
                <w:kern w:val="0"/>
                <w:szCs w:val="21"/>
              </w:rPr>
            </w:pPr>
            <w:r>
              <w:rPr>
                <w:kern w:val="0"/>
                <w:szCs w:val="21"/>
              </w:rPr>
              <w:t>(-0.18)</w:t>
            </w:r>
          </w:p>
        </w:tc>
        <w:tc>
          <w:tcPr>
            <w:tcW w:w="1020" w:type="dxa"/>
            <w:vAlign w:val="center"/>
          </w:tcPr>
          <w:p>
            <w:pPr>
              <w:autoSpaceDE w:val="0"/>
              <w:autoSpaceDN w:val="0"/>
              <w:adjustRightInd w:val="0"/>
              <w:jc w:val="center"/>
              <w:rPr>
                <w:kern w:val="0"/>
                <w:szCs w:val="21"/>
              </w:rPr>
            </w:pPr>
            <w:r>
              <w:rPr>
                <w:kern w:val="0"/>
                <w:szCs w:val="21"/>
              </w:rPr>
              <w:t>(-0.28)</w:t>
            </w:r>
          </w:p>
        </w:tc>
        <w:tc>
          <w:tcPr>
            <w:tcW w:w="1020" w:type="dxa"/>
            <w:vAlign w:val="center"/>
          </w:tcPr>
          <w:p>
            <w:pPr>
              <w:autoSpaceDE w:val="0"/>
              <w:autoSpaceDN w:val="0"/>
              <w:adjustRightInd w:val="0"/>
              <w:jc w:val="center"/>
              <w:rPr>
                <w:kern w:val="0"/>
                <w:szCs w:val="21"/>
              </w:rPr>
            </w:pPr>
            <w:r>
              <w:rPr>
                <w:kern w:val="0"/>
                <w:szCs w:val="21"/>
              </w:rPr>
              <w:t>(-1.84)</w:t>
            </w:r>
          </w:p>
        </w:tc>
        <w:tc>
          <w:tcPr>
            <w:tcW w:w="1020" w:type="dxa"/>
            <w:vAlign w:val="center"/>
          </w:tcPr>
          <w:p>
            <w:pPr>
              <w:autoSpaceDE w:val="0"/>
              <w:autoSpaceDN w:val="0"/>
              <w:adjustRightInd w:val="0"/>
              <w:jc w:val="center"/>
              <w:rPr>
                <w:kern w:val="0"/>
                <w:szCs w:val="21"/>
              </w:rPr>
            </w:pPr>
            <w:r>
              <w:rPr>
                <w:kern w:val="0"/>
                <w:szCs w:val="21"/>
              </w:rPr>
              <w:t>(-0.45)</w:t>
            </w:r>
          </w:p>
        </w:tc>
        <w:tc>
          <w:tcPr>
            <w:tcW w:w="1020" w:type="dxa"/>
            <w:vAlign w:val="center"/>
          </w:tcPr>
          <w:p>
            <w:pPr>
              <w:autoSpaceDE w:val="0"/>
              <w:autoSpaceDN w:val="0"/>
              <w:adjustRightInd w:val="0"/>
              <w:jc w:val="center"/>
              <w:rPr>
                <w:kern w:val="0"/>
                <w:szCs w:val="21"/>
              </w:rPr>
            </w:pPr>
            <w:r>
              <w:rPr>
                <w:kern w:val="0"/>
                <w:szCs w:val="21"/>
              </w:rPr>
              <w:t>(0.32)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Mfee</w:t>
            </w:r>
          </w:p>
        </w:tc>
        <w:tc>
          <w:tcPr>
            <w:tcW w:w="1020" w:type="dxa"/>
            <w:vAlign w:val="center"/>
          </w:tcPr>
          <w:p>
            <w:pPr>
              <w:autoSpaceDE w:val="0"/>
              <w:autoSpaceDN w:val="0"/>
              <w:adjustRightInd w:val="0"/>
              <w:jc w:val="center"/>
              <w:rPr>
                <w:kern w:val="0"/>
                <w:szCs w:val="21"/>
              </w:rPr>
            </w:pPr>
            <w:r>
              <w:rPr>
                <w:kern w:val="0"/>
                <w:szCs w:val="21"/>
              </w:rPr>
              <w:t>-1.018**</w:t>
            </w:r>
          </w:p>
        </w:tc>
        <w:tc>
          <w:tcPr>
            <w:tcW w:w="1020" w:type="dxa"/>
            <w:vAlign w:val="center"/>
          </w:tcPr>
          <w:p>
            <w:pPr>
              <w:autoSpaceDE w:val="0"/>
              <w:autoSpaceDN w:val="0"/>
              <w:adjustRightInd w:val="0"/>
              <w:jc w:val="center"/>
              <w:rPr>
                <w:kern w:val="0"/>
                <w:szCs w:val="21"/>
              </w:rPr>
            </w:pPr>
            <w:r>
              <w:rPr>
                <w:kern w:val="0"/>
                <w:szCs w:val="21"/>
              </w:rPr>
              <w:t>0.023</w:t>
            </w:r>
          </w:p>
        </w:tc>
        <w:tc>
          <w:tcPr>
            <w:tcW w:w="1020" w:type="dxa"/>
            <w:vAlign w:val="center"/>
          </w:tcPr>
          <w:p>
            <w:pPr>
              <w:autoSpaceDE w:val="0"/>
              <w:autoSpaceDN w:val="0"/>
              <w:adjustRightInd w:val="0"/>
              <w:jc w:val="center"/>
              <w:rPr>
                <w:kern w:val="0"/>
                <w:szCs w:val="21"/>
              </w:rPr>
            </w:pPr>
            <w:r>
              <w:rPr>
                <w:kern w:val="0"/>
                <w:szCs w:val="21"/>
              </w:rPr>
              <w:t>-0.344</w:t>
            </w:r>
          </w:p>
        </w:tc>
        <w:tc>
          <w:tcPr>
            <w:tcW w:w="1020" w:type="dxa"/>
            <w:vAlign w:val="center"/>
          </w:tcPr>
          <w:p>
            <w:pPr>
              <w:autoSpaceDE w:val="0"/>
              <w:autoSpaceDN w:val="0"/>
              <w:adjustRightInd w:val="0"/>
              <w:jc w:val="center"/>
              <w:rPr>
                <w:kern w:val="0"/>
                <w:szCs w:val="21"/>
              </w:rPr>
            </w:pPr>
            <w:r>
              <w:rPr>
                <w:kern w:val="0"/>
                <w:szCs w:val="21"/>
              </w:rPr>
              <w:t>-0.734**</w:t>
            </w:r>
          </w:p>
        </w:tc>
        <w:tc>
          <w:tcPr>
            <w:tcW w:w="1020" w:type="dxa"/>
            <w:vAlign w:val="center"/>
          </w:tcPr>
          <w:p>
            <w:pPr>
              <w:autoSpaceDE w:val="0"/>
              <w:autoSpaceDN w:val="0"/>
              <w:adjustRightInd w:val="0"/>
              <w:jc w:val="center"/>
              <w:rPr>
                <w:kern w:val="0"/>
                <w:szCs w:val="21"/>
              </w:rPr>
            </w:pPr>
            <w:r>
              <w:rPr>
                <w:kern w:val="0"/>
                <w:szCs w:val="21"/>
              </w:rPr>
              <w:t>0.002</w:t>
            </w:r>
          </w:p>
        </w:tc>
        <w:tc>
          <w:tcPr>
            <w:tcW w:w="1020" w:type="dxa"/>
            <w:vAlign w:val="center"/>
          </w:tcPr>
          <w:p>
            <w:pPr>
              <w:autoSpaceDE w:val="0"/>
              <w:autoSpaceDN w:val="0"/>
              <w:adjustRightInd w:val="0"/>
              <w:jc w:val="center"/>
              <w:rPr>
                <w:kern w:val="0"/>
                <w:szCs w:val="21"/>
              </w:rPr>
            </w:pPr>
            <w:r>
              <w:rPr>
                <w:kern w:val="0"/>
                <w:szCs w:val="21"/>
              </w:rPr>
              <w:t>0.012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(-2.56)</w:t>
            </w:r>
          </w:p>
        </w:tc>
        <w:tc>
          <w:tcPr>
            <w:tcW w:w="1020" w:type="dxa"/>
            <w:vAlign w:val="center"/>
          </w:tcPr>
          <w:p>
            <w:pPr>
              <w:autoSpaceDE w:val="0"/>
              <w:autoSpaceDN w:val="0"/>
              <w:adjustRightInd w:val="0"/>
              <w:jc w:val="center"/>
              <w:rPr>
                <w:kern w:val="0"/>
                <w:szCs w:val="21"/>
              </w:rPr>
            </w:pPr>
            <w:r>
              <w:rPr>
                <w:kern w:val="0"/>
                <w:szCs w:val="21"/>
              </w:rPr>
              <w:t>(0.12)</w:t>
            </w:r>
          </w:p>
        </w:tc>
        <w:tc>
          <w:tcPr>
            <w:tcW w:w="1020" w:type="dxa"/>
            <w:vAlign w:val="center"/>
          </w:tcPr>
          <w:p>
            <w:pPr>
              <w:autoSpaceDE w:val="0"/>
              <w:autoSpaceDN w:val="0"/>
              <w:adjustRightInd w:val="0"/>
              <w:jc w:val="center"/>
              <w:rPr>
                <w:kern w:val="0"/>
                <w:szCs w:val="21"/>
              </w:rPr>
            </w:pPr>
            <w:r>
              <w:rPr>
                <w:kern w:val="0"/>
                <w:szCs w:val="21"/>
              </w:rPr>
              <w:t>(-1.02)</w:t>
            </w:r>
          </w:p>
        </w:tc>
        <w:tc>
          <w:tcPr>
            <w:tcW w:w="1020" w:type="dxa"/>
            <w:vAlign w:val="center"/>
          </w:tcPr>
          <w:p>
            <w:pPr>
              <w:autoSpaceDE w:val="0"/>
              <w:autoSpaceDN w:val="0"/>
              <w:adjustRightInd w:val="0"/>
              <w:jc w:val="center"/>
              <w:rPr>
                <w:kern w:val="0"/>
                <w:szCs w:val="21"/>
              </w:rPr>
            </w:pPr>
            <w:r>
              <w:rPr>
                <w:kern w:val="0"/>
                <w:szCs w:val="21"/>
              </w:rPr>
              <w:t>(-2.30)</w:t>
            </w:r>
          </w:p>
        </w:tc>
        <w:tc>
          <w:tcPr>
            <w:tcW w:w="1020" w:type="dxa"/>
            <w:vAlign w:val="center"/>
          </w:tcPr>
          <w:p>
            <w:pPr>
              <w:autoSpaceDE w:val="0"/>
              <w:autoSpaceDN w:val="0"/>
              <w:adjustRightInd w:val="0"/>
              <w:jc w:val="center"/>
              <w:rPr>
                <w:kern w:val="0"/>
                <w:szCs w:val="21"/>
              </w:rPr>
            </w:pPr>
            <w:r>
              <w:rPr>
                <w:kern w:val="0"/>
                <w:szCs w:val="21"/>
              </w:rPr>
              <w:t>(0.01)</w:t>
            </w:r>
          </w:p>
        </w:tc>
        <w:tc>
          <w:tcPr>
            <w:tcW w:w="1020" w:type="dxa"/>
            <w:vAlign w:val="center"/>
          </w:tcPr>
          <w:p>
            <w:pPr>
              <w:autoSpaceDE w:val="0"/>
              <w:autoSpaceDN w:val="0"/>
              <w:adjustRightInd w:val="0"/>
              <w:jc w:val="center"/>
              <w:rPr>
                <w:kern w:val="0"/>
                <w:szCs w:val="21"/>
              </w:rPr>
            </w:pPr>
            <w:r>
              <w:rPr>
                <w:kern w:val="0"/>
                <w:szCs w:val="21"/>
              </w:rPr>
              <w:t>(0.10)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FirmAge</w:t>
            </w:r>
          </w:p>
        </w:tc>
        <w:tc>
          <w:tcPr>
            <w:tcW w:w="1020" w:type="dxa"/>
            <w:vAlign w:val="center"/>
          </w:tcPr>
          <w:p>
            <w:pPr>
              <w:autoSpaceDE w:val="0"/>
              <w:autoSpaceDN w:val="0"/>
              <w:adjustRightInd w:val="0"/>
              <w:jc w:val="center"/>
              <w:rPr>
                <w:kern w:val="0"/>
                <w:szCs w:val="21"/>
              </w:rPr>
            </w:pPr>
            <w:r>
              <w:rPr>
                <w:kern w:val="0"/>
                <w:szCs w:val="21"/>
              </w:rPr>
              <w:t>0.364</w:t>
            </w:r>
          </w:p>
        </w:tc>
        <w:tc>
          <w:tcPr>
            <w:tcW w:w="1020" w:type="dxa"/>
            <w:vAlign w:val="center"/>
          </w:tcPr>
          <w:p>
            <w:pPr>
              <w:autoSpaceDE w:val="0"/>
              <w:autoSpaceDN w:val="0"/>
              <w:adjustRightInd w:val="0"/>
              <w:jc w:val="center"/>
              <w:rPr>
                <w:kern w:val="0"/>
                <w:szCs w:val="21"/>
              </w:rPr>
            </w:pPr>
            <w:r>
              <w:rPr>
                <w:kern w:val="0"/>
                <w:szCs w:val="21"/>
              </w:rPr>
              <w:t>0.017</w:t>
            </w:r>
          </w:p>
        </w:tc>
        <w:tc>
          <w:tcPr>
            <w:tcW w:w="1020" w:type="dxa"/>
            <w:vAlign w:val="center"/>
          </w:tcPr>
          <w:p>
            <w:pPr>
              <w:autoSpaceDE w:val="0"/>
              <w:autoSpaceDN w:val="0"/>
              <w:adjustRightInd w:val="0"/>
              <w:jc w:val="center"/>
              <w:rPr>
                <w:kern w:val="0"/>
                <w:szCs w:val="21"/>
              </w:rPr>
            </w:pPr>
            <w:r>
              <w:rPr>
                <w:kern w:val="0"/>
                <w:szCs w:val="21"/>
              </w:rPr>
              <w:t>0.162</w:t>
            </w:r>
          </w:p>
        </w:tc>
        <w:tc>
          <w:tcPr>
            <w:tcW w:w="1020" w:type="dxa"/>
            <w:vAlign w:val="center"/>
          </w:tcPr>
          <w:p>
            <w:pPr>
              <w:autoSpaceDE w:val="0"/>
              <w:autoSpaceDN w:val="0"/>
              <w:adjustRightInd w:val="0"/>
              <w:jc w:val="center"/>
              <w:rPr>
                <w:kern w:val="0"/>
                <w:szCs w:val="21"/>
              </w:rPr>
            </w:pPr>
            <w:r>
              <w:rPr>
                <w:kern w:val="0"/>
                <w:szCs w:val="21"/>
              </w:rPr>
              <w:t>0.112</w:t>
            </w:r>
          </w:p>
        </w:tc>
        <w:tc>
          <w:tcPr>
            <w:tcW w:w="1020" w:type="dxa"/>
            <w:vAlign w:val="center"/>
          </w:tcPr>
          <w:p>
            <w:pPr>
              <w:autoSpaceDE w:val="0"/>
              <w:autoSpaceDN w:val="0"/>
              <w:adjustRightInd w:val="0"/>
              <w:jc w:val="center"/>
              <w:rPr>
                <w:kern w:val="0"/>
                <w:szCs w:val="21"/>
              </w:rPr>
            </w:pPr>
            <w:r>
              <w:rPr>
                <w:kern w:val="0"/>
                <w:szCs w:val="21"/>
              </w:rPr>
              <w:t>0.098</w:t>
            </w:r>
          </w:p>
        </w:tc>
        <w:tc>
          <w:tcPr>
            <w:tcW w:w="1020" w:type="dxa"/>
            <w:vAlign w:val="center"/>
          </w:tcPr>
          <w:p>
            <w:pPr>
              <w:autoSpaceDE w:val="0"/>
              <w:autoSpaceDN w:val="0"/>
              <w:adjustRightInd w:val="0"/>
              <w:jc w:val="center"/>
              <w:rPr>
                <w:kern w:val="0"/>
                <w:szCs w:val="21"/>
              </w:rPr>
            </w:pPr>
            <w:r>
              <w:rPr>
                <w:kern w:val="0"/>
                <w:szCs w:val="21"/>
              </w:rPr>
              <w:t>-0.101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(0.99)</w:t>
            </w:r>
          </w:p>
        </w:tc>
        <w:tc>
          <w:tcPr>
            <w:tcW w:w="1020" w:type="dxa"/>
            <w:vAlign w:val="center"/>
          </w:tcPr>
          <w:p>
            <w:pPr>
              <w:autoSpaceDE w:val="0"/>
              <w:autoSpaceDN w:val="0"/>
              <w:adjustRightInd w:val="0"/>
              <w:jc w:val="center"/>
              <w:rPr>
                <w:kern w:val="0"/>
                <w:szCs w:val="21"/>
              </w:rPr>
            </w:pPr>
            <w:r>
              <w:rPr>
                <w:kern w:val="0"/>
                <w:szCs w:val="21"/>
              </w:rPr>
              <w:t>(0.14)</w:t>
            </w:r>
          </w:p>
        </w:tc>
        <w:tc>
          <w:tcPr>
            <w:tcW w:w="1020" w:type="dxa"/>
            <w:vAlign w:val="center"/>
          </w:tcPr>
          <w:p>
            <w:pPr>
              <w:autoSpaceDE w:val="0"/>
              <w:autoSpaceDN w:val="0"/>
              <w:adjustRightInd w:val="0"/>
              <w:jc w:val="center"/>
              <w:rPr>
                <w:kern w:val="0"/>
                <w:szCs w:val="21"/>
              </w:rPr>
            </w:pPr>
            <w:r>
              <w:rPr>
                <w:kern w:val="0"/>
                <w:szCs w:val="21"/>
              </w:rPr>
              <w:t>(0.72)</w:t>
            </w:r>
          </w:p>
        </w:tc>
        <w:tc>
          <w:tcPr>
            <w:tcW w:w="1020" w:type="dxa"/>
            <w:vAlign w:val="center"/>
          </w:tcPr>
          <w:p>
            <w:pPr>
              <w:autoSpaceDE w:val="0"/>
              <w:autoSpaceDN w:val="0"/>
              <w:adjustRightInd w:val="0"/>
              <w:jc w:val="center"/>
              <w:rPr>
                <w:kern w:val="0"/>
                <w:szCs w:val="21"/>
              </w:rPr>
            </w:pPr>
            <w:r>
              <w:rPr>
                <w:kern w:val="0"/>
                <w:szCs w:val="21"/>
              </w:rPr>
              <w:t>(0.47)</w:t>
            </w:r>
          </w:p>
        </w:tc>
        <w:tc>
          <w:tcPr>
            <w:tcW w:w="1020" w:type="dxa"/>
            <w:vAlign w:val="center"/>
          </w:tcPr>
          <w:p>
            <w:pPr>
              <w:autoSpaceDE w:val="0"/>
              <w:autoSpaceDN w:val="0"/>
              <w:adjustRightInd w:val="0"/>
              <w:jc w:val="center"/>
              <w:rPr>
                <w:kern w:val="0"/>
                <w:szCs w:val="21"/>
              </w:rPr>
            </w:pPr>
            <w:r>
              <w:rPr>
                <w:kern w:val="0"/>
                <w:szCs w:val="21"/>
              </w:rPr>
              <w:t>(1.05)</w:t>
            </w:r>
          </w:p>
        </w:tc>
        <w:tc>
          <w:tcPr>
            <w:tcW w:w="1020" w:type="dxa"/>
            <w:vAlign w:val="center"/>
          </w:tcPr>
          <w:p>
            <w:pPr>
              <w:autoSpaceDE w:val="0"/>
              <w:autoSpaceDN w:val="0"/>
              <w:adjustRightInd w:val="0"/>
              <w:jc w:val="center"/>
              <w:rPr>
                <w:kern w:val="0"/>
                <w:szCs w:val="21"/>
              </w:rPr>
            </w:pPr>
            <w:r>
              <w:rPr>
                <w:kern w:val="0"/>
                <w:szCs w:val="21"/>
              </w:rPr>
              <w:t>(-1.36)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Top1</w:t>
            </w:r>
          </w:p>
        </w:tc>
        <w:tc>
          <w:tcPr>
            <w:tcW w:w="1020" w:type="dxa"/>
            <w:vAlign w:val="center"/>
          </w:tcPr>
          <w:p>
            <w:pPr>
              <w:autoSpaceDE w:val="0"/>
              <w:autoSpaceDN w:val="0"/>
              <w:adjustRightInd w:val="0"/>
              <w:jc w:val="center"/>
              <w:rPr>
                <w:kern w:val="0"/>
                <w:szCs w:val="21"/>
              </w:rPr>
            </w:pPr>
            <w:r>
              <w:rPr>
                <w:kern w:val="0"/>
                <w:szCs w:val="21"/>
              </w:rPr>
              <w:t>0.040</w:t>
            </w:r>
          </w:p>
        </w:tc>
        <w:tc>
          <w:tcPr>
            <w:tcW w:w="1020" w:type="dxa"/>
            <w:vAlign w:val="center"/>
          </w:tcPr>
          <w:p>
            <w:pPr>
              <w:autoSpaceDE w:val="0"/>
              <w:autoSpaceDN w:val="0"/>
              <w:adjustRightInd w:val="0"/>
              <w:jc w:val="center"/>
              <w:rPr>
                <w:kern w:val="0"/>
                <w:szCs w:val="21"/>
              </w:rPr>
            </w:pPr>
            <w:r>
              <w:rPr>
                <w:kern w:val="0"/>
                <w:szCs w:val="21"/>
              </w:rPr>
              <w:t>0.033</w:t>
            </w:r>
          </w:p>
        </w:tc>
        <w:tc>
          <w:tcPr>
            <w:tcW w:w="1020" w:type="dxa"/>
            <w:vAlign w:val="center"/>
          </w:tcPr>
          <w:p>
            <w:pPr>
              <w:autoSpaceDE w:val="0"/>
              <w:autoSpaceDN w:val="0"/>
              <w:adjustRightInd w:val="0"/>
              <w:jc w:val="center"/>
              <w:rPr>
                <w:kern w:val="0"/>
                <w:szCs w:val="21"/>
              </w:rPr>
            </w:pPr>
            <w:r>
              <w:rPr>
                <w:kern w:val="0"/>
                <w:szCs w:val="21"/>
              </w:rPr>
              <w:t>0.026</w:t>
            </w:r>
          </w:p>
        </w:tc>
        <w:tc>
          <w:tcPr>
            <w:tcW w:w="1020" w:type="dxa"/>
            <w:vAlign w:val="center"/>
          </w:tcPr>
          <w:p>
            <w:pPr>
              <w:autoSpaceDE w:val="0"/>
              <w:autoSpaceDN w:val="0"/>
              <w:adjustRightInd w:val="0"/>
              <w:jc w:val="center"/>
              <w:rPr>
                <w:kern w:val="0"/>
                <w:szCs w:val="21"/>
              </w:rPr>
            </w:pPr>
            <w:r>
              <w:rPr>
                <w:kern w:val="0"/>
                <w:szCs w:val="21"/>
              </w:rPr>
              <w:t>0.013</w:t>
            </w:r>
          </w:p>
        </w:tc>
        <w:tc>
          <w:tcPr>
            <w:tcW w:w="1020" w:type="dxa"/>
            <w:vAlign w:val="center"/>
          </w:tcPr>
          <w:p>
            <w:pPr>
              <w:autoSpaceDE w:val="0"/>
              <w:autoSpaceDN w:val="0"/>
              <w:adjustRightInd w:val="0"/>
              <w:jc w:val="center"/>
              <w:rPr>
                <w:kern w:val="0"/>
                <w:szCs w:val="21"/>
              </w:rPr>
            </w:pPr>
            <w:r>
              <w:rPr>
                <w:kern w:val="0"/>
                <w:szCs w:val="21"/>
              </w:rPr>
              <w:t>0.042</w:t>
            </w:r>
          </w:p>
        </w:tc>
        <w:tc>
          <w:tcPr>
            <w:tcW w:w="1020" w:type="dxa"/>
            <w:vAlign w:val="center"/>
          </w:tcPr>
          <w:p>
            <w:pPr>
              <w:autoSpaceDE w:val="0"/>
              <w:autoSpaceDN w:val="0"/>
              <w:adjustRightInd w:val="0"/>
              <w:jc w:val="center"/>
              <w:rPr>
                <w:kern w:val="0"/>
                <w:szCs w:val="21"/>
              </w:rPr>
            </w:pPr>
            <w:r>
              <w:rPr>
                <w:kern w:val="0"/>
                <w:szCs w:val="21"/>
              </w:rPr>
              <w:t>-0.013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(0.47)</w:t>
            </w:r>
          </w:p>
        </w:tc>
        <w:tc>
          <w:tcPr>
            <w:tcW w:w="1020" w:type="dxa"/>
            <w:vAlign w:val="center"/>
          </w:tcPr>
          <w:p>
            <w:pPr>
              <w:autoSpaceDE w:val="0"/>
              <w:autoSpaceDN w:val="0"/>
              <w:adjustRightInd w:val="0"/>
              <w:jc w:val="center"/>
              <w:rPr>
                <w:kern w:val="0"/>
                <w:szCs w:val="21"/>
              </w:rPr>
            </w:pPr>
            <w:r>
              <w:rPr>
                <w:kern w:val="0"/>
                <w:szCs w:val="21"/>
              </w:rPr>
              <w:t>(0.27)</w:t>
            </w:r>
          </w:p>
        </w:tc>
        <w:tc>
          <w:tcPr>
            <w:tcW w:w="1020" w:type="dxa"/>
            <w:vAlign w:val="center"/>
          </w:tcPr>
          <w:p>
            <w:pPr>
              <w:autoSpaceDE w:val="0"/>
              <w:autoSpaceDN w:val="0"/>
              <w:adjustRightInd w:val="0"/>
              <w:jc w:val="center"/>
              <w:rPr>
                <w:kern w:val="0"/>
                <w:szCs w:val="21"/>
              </w:rPr>
            </w:pPr>
            <w:r>
              <w:rPr>
                <w:kern w:val="0"/>
                <w:szCs w:val="21"/>
              </w:rPr>
              <w:t>(0.34)</w:t>
            </w:r>
          </w:p>
        </w:tc>
        <w:tc>
          <w:tcPr>
            <w:tcW w:w="1020" w:type="dxa"/>
            <w:vAlign w:val="center"/>
          </w:tcPr>
          <w:p>
            <w:pPr>
              <w:autoSpaceDE w:val="0"/>
              <w:autoSpaceDN w:val="0"/>
              <w:adjustRightInd w:val="0"/>
              <w:jc w:val="center"/>
              <w:rPr>
                <w:kern w:val="0"/>
                <w:szCs w:val="21"/>
              </w:rPr>
            </w:pPr>
            <w:r>
              <w:rPr>
                <w:kern w:val="0"/>
                <w:szCs w:val="21"/>
              </w:rPr>
              <w:t>(0.24)</w:t>
            </w:r>
          </w:p>
        </w:tc>
        <w:tc>
          <w:tcPr>
            <w:tcW w:w="1020" w:type="dxa"/>
            <w:vAlign w:val="center"/>
          </w:tcPr>
          <w:p>
            <w:pPr>
              <w:autoSpaceDE w:val="0"/>
              <w:autoSpaceDN w:val="0"/>
              <w:adjustRightInd w:val="0"/>
              <w:jc w:val="center"/>
              <w:rPr>
                <w:kern w:val="0"/>
                <w:szCs w:val="21"/>
              </w:rPr>
            </w:pPr>
            <w:r>
              <w:rPr>
                <w:kern w:val="0"/>
                <w:szCs w:val="21"/>
              </w:rPr>
              <w:t>(0.69)</w:t>
            </w:r>
          </w:p>
        </w:tc>
        <w:tc>
          <w:tcPr>
            <w:tcW w:w="1020" w:type="dxa"/>
            <w:vAlign w:val="center"/>
          </w:tcPr>
          <w:p>
            <w:pPr>
              <w:autoSpaceDE w:val="0"/>
              <w:autoSpaceDN w:val="0"/>
              <w:adjustRightInd w:val="0"/>
              <w:jc w:val="center"/>
              <w:rPr>
                <w:kern w:val="0"/>
                <w:szCs w:val="21"/>
              </w:rPr>
            </w:pPr>
            <w:r>
              <w:rPr>
                <w:kern w:val="0"/>
                <w:szCs w:val="21"/>
              </w:rPr>
              <w:t>(-0.13)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CAPT</w:t>
            </w:r>
          </w:p>
        </w:tc>
        <w:tc>
          <w:tcPr>
            <w:tcW w:w="1020" w:type="dxa"/>
            <w:vAlign w:val="center"/>
          </w:tcPr>
          <w:p>
            <w:pPr>
              <w:autoSpaceDE w:val="0"/>
              <w:autoSpaceDN w:val="0"/>
              <w:adjustRightInd w:val="0"/>
              <w:jc w:val="center"/>
              <w:rPr>
                <w:kern w:val="0"/>
                <w:szCs w:val="21"/>
              </w:rPr>
            </w:pPr>
            <w:r>
              <w:rPr>
                <w:kern w:val="0"/>
                <w:szCs w:val="21"/>
              </w:rPr>
              <w:t>0.007</w:t>
            </w:r>
          </w:p>
        </w:tc>
        <w:tc>
          <w:tcPr>
            <w:tcW w:w="1020" w:type="dxa"/>
            <w:vAlign w:val="center"/>
          </w:tcPr>
          <w:p>
            <w:pPr>
              <w:autoSpaceDE w:val="0"/>
              <w:autoSpaceDN w:val="0"/>
              <w:adjustRightInd w:val="0"/>
              <w:jc w:val="center"/>
              <w:rPr>
                <w:kern w:val="0"/>
                <w:szCs w:val="21"/>
              </w:rPr>
            </w:pPr>
            <w:r>
              <w:rPr>
                <w:kern w:val="0"/>
                <w:szCs w:val="21"/>
              </w:rPr>
              <w:t>0.021</w:t>
            </w:r>
          </w:p>
        </w:tc>
        <w:tc>
          <w:tcPr>
            <w:tcW w:w="1020" w:type="dxa"/>
            <w:vAlign w:val="center"/>
          </w:tcPr>
          <w:p>
            <w:pPr>
              <w:autoSpaceDE w:val="0"/>
              <w:autoSpaceDN w:val="0"/>
              <w:adjustRightInd w:val="0"/>
              <w:jc w:val="center"/>
              <w:rPr>
                <w:kern w:val="0"/>
                <w:szCs w:val="21"/>
              </w:rPr>
            </w:pPr>
            <w:r>
              <w:rPr>
                <w:kern w:val="0"/>
                <w:szCs w:val="21"/>
              </w:rPr>
              <w:t>-0.002</w:t>
            </w:r>
          </w:p>
        </w:tc>
        <w:tc>
          <w:tcPr>
            <w:tcW w:w="1020" w:type="dxa"/>
            <w:vAlign w:val="center"/>
          </w:tcPr>
          <w:p>
            <w:pPr>
              <w:autoSpaceDE w:val="0"/>
              <w:autoSpaceDN w:val="0"/>
              <w:adjustRightInd w:val="0"/>
              <w:jc w:val="center"/>
              <w:rPr>
                <w:kern w:val="0"/>
                <w:szCs w:val="21"/>
              </w:rPr>
            </w:pPr>
            <w:r>
              <w:rPr>
                <w:kern w:val="0"/>
                <w:szCs w:val="21"/>
              </w:rPr>
              <w:t>0.015</w:t>
            </w:r>
          </w:p>
        </w:tc>
        <w:tc>
          <w:tcPr>
            <w:tcW w:w="1020" w:type="dxa"/>
            <w:vAlign w:val="center"/>
          </w:tcPr>
          <w:p>
            <w:pPr>
              <w:autoSpaceDE w:val="0"/>
              <w:autoSpaceDN w:val="0"/>
              <w:adjustRightInd w:val="0"/>
              <w:jc w:val="center"/>
              <w:rPr>
                <w:kern w:val="0"/>
                <w:szCs w:val="21"/>
              </w:rPr>
            </w:pPr>
            <w:r>
              <w:rPr>
                <w:kern w:val="0"/>
                <w:szCs w:val="21"/>
              </w:rPr>
              <w:t>-0.000</w:t>
            </w:r>
          </w:p>
        </w:tc>
        <w:tc>
          <w:tcPr>
            <w:tcW w:w="1020" w:type="dxa"/>
            <w:vAlign w:val="center"/>
          </w:tcPr>
          <w:p>
            <w:pPr>
              <w:autoSpaceDE w:val="0"/>
              <w:autoSpaceDN w:val="0"/>
              <w:adjustRightInd w:val="0"/>
              <w:jc w:val="center"/>
              <w:rPr>
                <w:kern w:val="0"/>
                <w:szCs w:val="21"/>
              </w:rPr>
            </w:pPr>
            <w:r>
              <w:rPr>
                <w:kern w:val="0"/>
                <w:szCs w:val="21"/>
              </w:rPr>
              <w:t>0.020*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(0.37)</w:t>
            </w:r>
          </w:p>
        </w:tc>
        <w:tc>
          <w:tcPr>
            <w:tcW w:w="1020" w:type="dxa"/>
            <w:vAlign w:val="center"/>
          </w:tcPr>
          <w:p>
            <w:pPr>
              <w:autoSpaceDE w:val="0"/>
              <w:autoSpaceDN w:val="0"/>
              <w:adjustRightInd w:val="0"/>
              <w:jc w:val="center"/>
              <w:rPr>
                <w:kern w:val="0"/>
                <w:szCs w:val="21"/>
              </w:rPr>
            </w:pPr>
            <w:r>
              <w:rPr>
                <w:kern w:val="0"/>
                <w:szCs w:val="21"/>
              </w:rPr>
              <w:t>(1.56)</w:t>
            </w:r>
          </w:p>
        </w:tc>
        <w:tc>
          <w:tcPr>
            <w:tcW w:w="1020" w:type="dxa"/>
            <w:vAlign w:val="center"/>
          </w:tcPr>
          <w:p>
            <w:pPr>
              <w:autoSpaceDE w:val="0"/>
              <w:autoSpaceDN w:val="0"/>
              <w:adjustRightInd w:val="0"/>
              <w:jc w:val="center"/>
              <w:rPr>
                <w:kern w:val="0"/>
                <w:szCs w:val="21"/>
              </w:rPr>
            </w:pPr>
            <w:r>
              <w:rPr>
                <w:kern w:val="0"/>
                <w:szCs w:val="21"/>
              </w:rPr>
              <w:t>(-0.21)</w:t>
            </w:r>
          </w:p>
        </w:tc>
        <w:tc>
          <w:tcPr>
            <w:tcW w:w="1020" w:type="dxa"/>
            <w:vAlign w:val="center"/>
          </w:tcPr>
          <w:p>
            <w:pPr>
              <w:autoSpaceDE w:val="0"/>
              <w:autoSpaceDN w:val="0"/>
              <w:adjustRightInd w:val="0"/>
              <w:jc w:val="center"/>
              <w:rPr>
                <w:kern w:val="0"/>
                <w:szCs w:val="21"/>
              </w:rPr>
            </w:pPr>
            <w:r>
              <w:rPr>
                <w:kern w:val="0"/>
                <w:szCs w:val="21"/>
              </w:rPr>
              <w:t>(1.02)</w:t>
            </w:r>
          </w:p>
        </w:tc>
        <w:tc>
          <w:tcPr>
            <w:tcW w:w="1020" w:type="dxa"/>
            <w:vAlign w:val="center"/>
          </w:tcPr>
          <w:p>
            <w:pPr>
              <w:autoSpaceDE w:val="0"/>
              <w:autoSpaceDN w:val="0"/>
              <w:adjustRightInd w:val="0"/>
              <w:jc w:val="center"/>
              <w:rPr>
                <w:kern w:val="0"/>
                <w:szCs w:val="21"/>
              </w:rPr>
            </w:pPr>
            <w:r>
              <w:rPr>
                <w:kern w:val="0"/>
                <w:szCs w:val="21"/>
              </w:rPr>
              <w:t>(-0.07)</w:t>
            </w:r>
          </w:p>
        </w:tc>
        <w:tc>
          <w:tcPr>
            <w:tcW w:w="1020" w:type="dxa"/>
            <w:vAlign w:val="center"/>
          </w:tcPr>
          <w:p>
            <w:pPr>
              <w:autoSpaceDE w:val="0"/>
              <w:autoSpaceDN w:val="0"/>
              <w:adjustRightInd w:val="0"/>
              <w:jc w:val="center"/>
              <w:rPr>
                <w:kern w:val="0"/>
                <w:szCs w:val="21"/>
              </w:rPr>
            </w:pPr>
            <w:r>
              <w:rPr>
                <w:kern w:val="0"/>
                <w:szCs w:val="21"/>
              </w:rPr>
              <w:t>(1.72)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restart"/>
            <w:vAlign w:val="center"/>
          </w:tcPr>
          <w:p>
            <w:pPr>
              <w:autoSpaceDE w:val="0"/>
              <w:autoSpaceDN w:val="0"/>
              <w:adjustRightInd w:val="0"/>
              <w:jc w:val="center"/>
              <w:rPr>
                <w:kern w:val="0"/>
                <w:szCs w:val="21"/>
              </w:rPr>
            </w:pPr>
            <w:r>
              <w:rPr>
                <w:kern w:val="0"/>
                <w:szCs w:val="21"/>
              </w:rPr>
              <w:t>Constant</w:t>
            </w:r>
          </w:p>
        </w:tc>
        <w:tc>
          <w:tcPr>
            <w:tcW w:w="1020" w:type="dxa"/>
            <w:vAlign w:val="center"/>
          </w:tcPr>
          <w:p>
            <w:pPr>
              <w:autoSpaceDE w:val="0"/>
              <w:autoSpaceDN w:val="0"/>
              <w:adjustRightInd w:val="0"/>
              <w:jc w:val="center"/>
              <w:rPr>
                <w:kern w:val="0"/>
                <w:szCs w:val="21"/>
              </w:rPr>
            </w:pPr>
            <w:r>
              <w:rPr>
                <w:kern w:val="0"/>
                <w:szCs w:val="21"/>
              </w:rPr>
              <w:t>-1.561</w:t>
            </w:r>
          </w:p>
        </w:tc>
        <w:tc>
          <w:tcPr>
            <w:tcW w:w="1020" w:type="dxa"/>
            <w:vAlign w:val="center"/>
          </w:tcPr>
          <w:p>
            <w:pPr>
              <w:autoSpaceDE w:val="0"/>
              <w:autoSpaceDN w:val="0"/>
              <w:adjustRightInd w:val="0"/>
              <w:jc w:val="center"/>
              <w:rPr>
                <w:kern w:val="0"/>
                <w:szCs w:val="21"/>
              </w:rPr>
            </w:pPr>
            <w:r>
              <w:rPr>
                <w:kern w:val="0"/>
                <w:szCs w:val="21"/>
              </w:rPr>
              <w:t>0.008</w:t>
            </w:r>
          </w:p>
        </w:tc>
        <w:tc>
          <w:tcPr>
            <w:tcW w:w="1020" w:type="dxa"/>
            <w:vAlign w:val="center"/>
          </w:tcPr>
          <w:p>
            <w:pPr>
              <w:autoSpaceDE w:val="0"/>
              <w:autoSpaceDN w:val="0"/>
              <w:adjustRightInd w:val="0"/>
              <w:jc w:val="center"/>
              <w:rPr>
                <w:kern w:val="0"/>
                <w:szCs w:val="21"/>
              </w:rPr>
            </w:pPr>
            <w:r>
              <w:rPr>
                <w:kern w:val="0"/>
                <w:szCs w:val="21"/>
              </w:rPr>
              <w:t>-0.225</w:t>
            </w:r>
          </w:p>
        </w:tc>
        <w:tc>
          <w:tcPr>
            <w:tcW w:w="1020" w:type="dxa"/>
            <w:vAlign w:val="center"/>
          </w:tcPr>
          <w:p>
            <w:pPr>
              <w:autoSpaceDE w:val="0"/>
              <w:autoSpaceDN w:val="0"/>
              <w:adjustRightInd w:val="0"/>
              <w:jc w:val="center"/>
              <w:rPr>
                <w:kern w:val="0"/>
                <w:szCs w:val="21"/>
              </w:rPr>
            </w:pPr>
            <w:r>
              <w:rPr>
                <w:kern w:val="0"/>
                <w:szCs w:val="21"/>
              </w:rPr>
              <w:t>-0.989</w:t>
            </w:r>
          </w:p>
        </w:tc>
        <w:tc>
          <w:tcPr>
            <w:tcW w:w="1020" w:type="dxa"/>
            <w:vAlign w:val="center"/>
          </w:tcPr>
          <w:p>
            <w:pPr>
              <w:autoSpaceDE w:val="0"/>
              <w:autoSpaceDN w:val="0"/>
              <w:adjustRightInd w:val="0"/>
              <w:jc w:val="center"/>
              <w:rPr>
                <w:kern w:val="0"/>
                <w:szCs w:val="21"/>
              </w:rPr>
            </w:pPr>
            <w:r>
              <w:rPr>
                <w:kern w:val="0"/>
                <w:szCs w:val="21"/>
              </w:rPr>
              <w:t>-0.147</w:t>
            </w:r>
          </w:p>
        </w:tc>
        <w:tc>
          <w:tcPr>
            <w:tcW w:w="1020" w:type="dxa"/>
            <w:vAlign w:val="center"/>
          </w:tcPr>
          <w:p>
            <w:pPr>
              <w:autoSpaceDE w:val="0"/>
              <w:autoSpaceDN w:val="0"/>
              <w:adjustRightInd w:val="0"/>
              <w:jc w:val="center"/>
              <w:rPr>
                <w:kern w:val="0"/>
                <w:szCs w:val="21"/>
              </w:rPr>
            </w:pPr>
            <w:r>
              <w:rPr>
                <w:kern w:val="0"/>
                <w:szCs w:val="21"/>
              </w:rPr>
              <w:t>0.234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Merge w:val="continue"/>
            <w:vAlign w:val="center"/>
          </w:tcPr>
          <w:p>
            <w:pPr>
              <w:autoSpaceDE w:val="0"/>
              <w:autoSpaceDN w:val="0"/>
              <w:adjustRightInd w:val="0"/>
              <w:jc w:val="center"/>
              <w:rPr>
                <w:kern w:val="0"/>
                <w:szCs w:val="21"/>
              </w:rPr>
            </w:pPr>
          </w:p>
        </w:tc>
        <w:tc>
          <w:tcPr>
            <w:tcW w:w="1020" w:type="dxa"/>
            <w:vAlign w:val="center"/>
          </w:tcPr>
          <w:p>
            <w:pPr>
              <w:autoSpaceDE w:val="0"/>
              <w:autoSpaceDN w:val="0"/>
              <w:adjustRightInd w:val="0"/>
              <w:jc w:val="center"/>
              <w:rPr>
                <w:kern w:val="0"/>
                <w:szCs w:val="21"/>
              </w:rPr>
            </w:pPr>
            <w:r>
              <w:rPr>
                <w:kern w:val="0"/>
                <w:szCs w:val="21"/>
              </w:rPr>
              <w:t>(-1.34)</w:t>
            </w:r>
          </w:p>
        </w:tc>
        <w:tc>
          <w:tcPr>
            <w:tcW w:w="1020" w:type="dxa"/>
            <w:vAlign w:val="center"/>
          </w:tcPr>
          <w:p>
            <w:pPr>
              <w:autoSpaceDE w:val="0"/>
              <w:autoSpaceDN w:val="0"/>
              <w:adjustRightInd w:val="0"/>
              <w:jc w:val="center"/>
              <w:rPr>
                <w:kern w:val="0"/>
                <w:szCs w:val="21"/>
              </w:rPr>
            </w:pPr>
            <w:r>
              <w:rPr>
                <w:kern w:val="0"/>
                <w:szCs w:val="21"/>
              </w:rPr>
              <w:t>(0.01)</w:t>
            </w:r>
          </w:p>
        </w:tc>
        <w:tc>
          <w:tcPr>
            <w:tcW w:w="1020" w:type="dxa"/>
            <w:vAlign w:val="center"/>
          </w:tcPr>
          <w:p>
            <w:pPr>
              <w:autoSpaceDE w:val="0"/>
              <w:autoSpaceDN w:val="0"/>
              <w:adjustRightInd w:val="0"/>
              <w:jc w:val="center"/>
              <w:rPr>
                <w:kern w:val="0"/>
                <w:szCs w:val="21"/>
              </w:rPr>
            </w:pPr>
            <w:r>
              <w:rPr>
                <w:kern w:val="0"/>
                <w:szCs w:val="21"/>
              </w:rPr>
              <w:t>(-0.27)</w:t>
            </w:r>
          </w:p>
        </w:tc>
        <w:tc>
          <w:tcPr>
            <w:tcW w:w="1020" w:type="dxa"/>
            <w:vAlign w:val="center"/>
          </w:tcPr>
          <w:p>
            <w:pPr>
              <w:autoSpaceDE w:val="0"/>
              <w:autoSpaceDN w:val="0"/>
              <w:adjustRightInd w:val="0"/>
              <w:jc w:val="center"/>
              <w:rPr>
                <w:kern w:val="0"/>
                <w:szCs w:val="21"/>
              </w:rPr>
            </w:pPr>
            <w:r>
              <w:rPr>
                <w:kern w:val="0"/>
                <w:szCs w:val="21"/>
              </w:rPr>
              <w:t>(-1.13)</w:t>
            </w:r>
          </w:p>
        </w:tc>
        <w:tc>
          <w:tcPr>
            <w:tcW w:w="1020" w:type="dxa"/>
            <w:vAlign w:val="center"/>
          </w:tcPr>
          <w:p>
            <w:pPr>
              <w:autoSpaceDE w:val="0"/>
              <w:autoSpaceDN w:val="0"/>
              <w:adjustRightInd w:val="0"/>
              <w:jc w:val="center"/>
              <w:rPr>
                <w:kern w:val="0"/>
                <w:szCs w:val="21"/>
              </w:rPr>
            </w:pPr>
            <w:r>
              <w:rPr>
                <w:kern w:val="0"/>
                <w:szCs w:val="21"/>
              </w:rPr>
              <w:t>(-0.36)</w:t>
            </w:r>
          </w:p>
        </w:tc>
        <w:tc>
          <w:tcPr>
            <w:tcW w:w="1020" w:type="dxa"/>
            <w:vAlign w:val="center"/>
          </w:tcPr>
          <w:p>
            <w:pPr>
              <w:autoSpaceDE w:val="0"/>
              <w:autoSpaceDN w:val="0"/>
              <w:adjustRightInd w:val="0"/>
              <w:jc w:val="center"/>
              <w:rPr>
                <w:kern w:val="0"/>
                <w:szCs w:val="21"/>
              </w:rPr>
            </w:pPr>
            <w:r>
              <w:rPr>
                <w:kern w:val="0"/>
                <w:szCs w:val="21"/>
              </w:rPr>
              <w:t>(0.67)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Align w:val="center"/>
          </w:tcPr>
          <w:p>
            <w:pPr>
              <w:autoSpaceDE w:val="0"/>
              <w:autoSpaceDN w:val="0"/>
              <w:adjustRightInd w:val="0"/>
              <w:jc w:val="center"/>
              <w:rPr>
                <w:kern w:val="0"/>
                <w:szCs w:val="21"/>
              </w:rPr>
            </w:pPr>
            <w:r>
              <w:rPr>
                <w:kern w:val="0"/>
                <w:szCs w:val="21"/>
              </w:rPr>
              <w:t>Observations</w:t>
            </w:r>
          </w:p>
        </w:tc>
        <w:tc>
          <w:tcPr>
            <w:tcW w:w="1020" w:type="dxa"/>
            <w:vAlign w:val="center"/>
          </w:tcPr>
          <w:p>
            <w:pPr>
              <w:autoSpaceDE w:val="0"/>
              <w:autoSpaceDN w:val="0"/>
              <w:adjustRightInd w:val="0"/>
              <w:jc w:val="center"/>
              <w:rPr>
                <w:kern w:val="0"/>
                <w:szCs w:val="21"/>
              </w:rPr>
            </w:pPr>
            <w:r>
              <w:rPr>
                <w:kern w:val="0"/>
                <w:szCs w:val="21"/>
              </w:rPr>
              <w:t>350</w:t>
            </w:r>
          </w:p>
        </w:tc>
        <w:tc>
          <w:tcPr>
            <w:tcW w:w="1020" w:type="dxa"/>
            <w:vAlign w:val="center"/>
          </w:tcPr>
          <w:p>
            <w:pPr>
              <w:autoSpaceDE w:val="0"/>
              <w:autoSpaceDN w:val="0"/>
              <w:adjustRightInd w:val="0"/>
              <w:jc w:val="center"/>
              <w:rPr>
                <w:kern w:val="0"/>
                <w:szCs w:val="21"/>
              </w:rPr>
            </w:pPr>
            <w:r>
              <w:rPr>
                <w:kern w:val="0"/>
                <w:szCs w:val="21"/>
              </w:rPr>
              <w:t>880</w:t>
            </w:r>
          </w:p>
        </w:tc>
        <w:tc>
          <w:tcPr>
            <w:tcW w:w="1020" w:type="dxa"/>
            <w:vAlign w:val="center"/>
          </w:tcPr>
          <w:p>
            <w:pPr>
              <w:autoSpaceDE w:val="0"/>
              <w:autoSpaceDN w:val="0"/>
              <w:adjustRightInd w:val="0"/>
              <w:jc w:val="center"/>
              <w:rPr>
                <w:kern w:val="0"/>
                <w:szCs w:val="21"/>
              </w:rPr>
            </w:pPr>
            <w:r>
              <w:rPr>
                <w:kern w:val="0"/>
                <w:szCs w:val="21"/>
              </w:rPr>
              <w:t>350</w:t>
            </w:r>
          </w:p>
        </w:tc>
        <w:tc>
          <w:tcPr>
            <w:tcW w:w="1020" w:type="dxa"/>
            <w:vAlign w:val="center"/>
          </w:tcPr>
          <w:p>
            <w:pPr>
              <w:autoSpaceDE w:val="0"/>
              <w:autoSpaceDN w:val="0"/>
              <w:adjustRightInd w:val="0"/>
              <w:jc w:val="center"/>
              <w:rPr>
                <w:kern w:val="0"/>
                <w:szCs w:val="21"/>
              </w:rPr>
            </w:pPr>
            <w:r>
              <w:rPr>
                <w:kern w:val="0"/>
                <w:szCs w:val="21"/>
              </w:rPr>
              <w:t>350</w:t>
            </w:r>
          </w:p>
        </w:tc>
        <w:tc>
          <w:tcPr>
            <w:tcW w:w="1020" w:type="dxa"/>
            <w:vAlign w:val="center"/>
          </w:tcPr>
          <w:p>
            <w:pPr>
              <w:autoSpaceDE w:val="0"/>
              <w:autoSpaceDN w:val="0"/>
              <w:adjustRightInd w:val="0"/>
              <w:jc w:val="center"/>
              <w:rPr>
                <w:kern w:val="0"/>
                <w:szCs w:val="21"/>
              </w:rPr>
            </w:pPr>
            <w:r>
              <w:rPr>
                <w:kern w:val="0"/>
                <w:szCs w:val="21"/>
              </w:rPr>
              <w:t>880</w:t>
            </w:r>
          </w:p>
        </w:tc>
        <w:tc>
          <w:tcPr>
            <w:tcW w:w="1020" w:type="dxa"/>
            <w:vAlign w:val="center"/>
          </w:tcPr>
          <w:p>
            <w:pPr>
              <w:autoSpaceDE w:val="0"/>
              <w:autoSpaceDN w:val="0"/>
              <w:adjustRightInd w:val="0"/>
              <w:jc w:val="center"/>
              <w:rPr>
                <w:kern w:val="0"/>
                <w:szCs w:val="21"/>
              </w:rPr>
            </w:pPr>
            <w:r>
              <w:rPr>
                <w:kern w:val="0"/>
                <w:szCs w:val="21"/>
              </w:rPr>
              <w:t>880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Align w:val="center"/>
          </w:tcPr>
          <w:p>
            <w:pPr>
              <w:autoSpaceDE w:val="0"/>
              <w:autoSpaceDN w:val="0"/>
              <w:adjustRightInd w:val="0"/>
              <w:jc w:val="center"/>
              <w:rPr>
                <w:kern w:val="0"/>
                <w:szCs w:val="21"/>
              </w:rPr>
            </w:pPr>
            <w:r>
              <w:rPr>
                <w:kern w:val="0"/>
                <w:szCs w:val="21"/>
              </w:rPr>
              <w:t>R-squared</w:t>
            </w:r>
          </w:p>
        </w:tc>
        <w:tc>
          <w:tcPr>
            <w:tcW w:w="1020" w:type="dxa"/>
            <w:vAlign w:val="center"/>
          </w:tcPr>
          <w:p>
            <w:pPr>
              <w:autoSpaceDE w:val="0"/>
              <w:autoSpaceDN w:val="0"/>
              <w:adjustRightInd w:val="0"/>
              <w:jc w:val="center"/>
              <w:rPr>
                <w:kern w:val="0"/>
                <w:szCs w:val="21"/>
              </w:rPr>
            </w:pPr>
            <w:r>
              <w:rPr>
                <w:kern w:val="0"/>
                <w:szCs w:val="21"/>
              </w:rPr>
              <w:t>0.598</w:t>
            </w:r>
          </w:p>
        </w:tc>
        <w:tc>
          <w:tcPr>
            <w:tcW w:w="1020" w:type="dxa"/>
            <w:vAlign w:val="center"/>
          </w:tcPr>
          <w:p>
            <w:pPr>
              <w:autoSpaceDE w:val="0"/>
              <w:autoSpaceDN w:val="0"/>
              <w:adjustRightInd w:val="0"/>
              <w:jc w:val="center"/>
              <w:rPr>
                <w:kern w:val="0"/>
                <w:szCs w:val="21"/>
              </w:rPr>
            </w:pPr>
            <w:r>
              <w:rPr>
                <w:kern w:val="0"/>
                <w:szCs w:val="21"/>
              </w:rPr>
              <w:t>0.708</w:t>
            </w:r>
          </w:p>
        </w:tc>
        <w:tc>
          <w:tcPr>
            <w:tcW w:w="1020" w:type="dxa"/>
            <w:vAlign w:val="center"/>
          </w:tcPr>
          <w:p>
            <w:pPr>
              <w:autoSpaceDE w:val="0"/>
              <w:autoSpaceDN w:val="0"/>
              <w:adjustRightInd w:val="0"/>
              <w:jc w:val="center"/>
              <w:rPr>
                <w:kern w:val="0"/>
                <w:szCs w:val="21"/>
              </w:rPr>
            </w:pPr>
            <w:r>
              <w:rPr>
                <w:kern w:val="0"/>
                <w:szCs w:val="21"/>
              </w:rPr>
              <w:t>0.638</w:t>
            </w:r>
          </w:p>
        </w:tc>
        <w:tc>
          <w:tcPr>
            <w:tcW w:w="1020" w:type="dxa"/>
            <w:vAlign w:val="center"/>
          </w:tcPr>
          <w:p>
            <w:pPr>
              <w:autoSpaceDE w:val="0"/>
              <w:autoSpaceDN w:val="0"/>
              <w:adjustRightInd w:val="0"/>
              <w:jc w:val="center"/>
              <w:rPr>
                <w:kern w:val="0"/>
                <w:szCs w:val="21"/>
              </w:rPr>
            </w:pPr>
            <w:r>
              <w:rPr>
                <w:kern w:val="0"/>
                <w:szCs w:val="21"/>
              </w:rPr>
              <w:t>0.475</w:t>
            </w:r>
          </w:p>
        </w:tc>
        <w:tc>
          <w:tcPr>
            <w:tcW w:w="1020" w:type="dxa"/>
            <w:vAlign w:val="center"/>
          </w:tcPr>
          <w:p>
            <w:pPr>
              <w:autoSpaceDE w:val="0"/>
              <w:autoSpaceDN w:val="0"/>
              <w:adjustRightInd w:val="0"/>
              <w:jc w:val="center"/>
              <w:rPr>
                <w:kern w:val="0"/>
                <w:szCs w:val="21"/>
              </w:rPr>
            </w:pPr>
            <w:r>
              <w:rPr>
                <w:kern w:val="0"/>
                <w:szCs w:val="21"/>
              </w:rPr>
              <w:t>0.703</w:t>
            </w:r>
          </w:p>
        </w:tc>
        <w:tc>
          <w:tcPr>
            <w:tcW w:w="1020" w:type="dxa"/>
            <w:vAlign w:val="center"/>
          </w:tcPr>
          <w:p>
            <w:pPr>
              <w:autoSpaceDE w:val="0"/>
              <w:autoSpaceDN w:val="0"/>
              <w:adjustRightInd w:val="0"/>
              <w:jc w:val="center"/>
              <w:rPr>
                <w:kern w:val="0"/>
                <w:szCs w:val="21"/>
              </w:rPr>
            </w:pPr>
            <w:r>
              <w:rPr>
                <w:kern w:val="0"/>
                <w:szCs w:val="21"/>
              </w:rPr>
              <w:t>0.534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Align w:val="center"/>
          </w:tcPr>
          <w:p>
            <w:pPr>
              <w:autoSpaceDE w:val="0"/>
              <w:autoSpaceDN w:val="0"/>
              <w:adjustRightInd w:val="0"/>
              <w:jc w:val="center"/>
              <w:rPr>
                <w:kern w:val="0"/>
                <w:szCs w:val="21"/>
              </w:rPr>
            </w:pPr>
            <w:r>
              <w:rPr>
                <w:kern w:val="0"/>
                <w:szCs w:val="21"/>
              </w:rPr>
              <w:t>code FE</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Align w:val="center"/>
          </w:tcPr>
          <w:p>
            <w:pPr>
              <w:autoSpaceDE w:val="0"/>
              <w:autoSpaceDN w:val="0"/>
              <w:adjustRightInd w:val="0"/>
              <w:jc w:val="center"/>
              <w:rPr>
                <w:kern w:val="0"/>
                <w:szCs w:val="21"/>
              </w:rPr>
            </w:pPr>
            <w:r>
              <w:rPr>
                <w:kern w:val="0"/>
                <w:szCs w:val="21"/>
              </w:rPr>
              <w:t>year FE</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c>
          <w:tcPr>
            <w:tcW w:w="1020" w:type="dxa"/>
            <w:vAlign w:val="center"/>
          </w:tcPr>
          <w:p>
            <w:pPr>
              <w:autoSpaceDE w:val="0"/>
              <w:autoSpaceDN w:val="0"/>
              <w:adjustRightInd w:val="0"/>
              <w:jc w:val="center"/>
              <w:rPr>
                <w:kern w:val="0"/>
                <w:szCs w:val="21"/>
              </w:rPr>
            </w:pPr>
            <w:r>
              <w:rPr>
                <w:kern w:val="0"/>
                <w:szCs w:val="21"/>
              </w:rPr>
              <w:t>YES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Align w:val="center"/>
          </w:tcPr>
          <w:p>
            <w:pPr>
              <w:autoSpaceDE w:val="0"/>
              <w:autoSpaceDN w:val="0"/>
              <w:adjustRightInd w:val="0"/>
              <w:jc w:val="center"/>
              <w:rPr>
                <w:kern w:val="0"/>
                <w:szCs w:val="21"/>
              </w:rPr>
            </w:pPr>
            <w:r>
              <w:rPr>
                <w:kern w:val="0"/>
                <w:szCs w:val="21"/>
              </w:rPr>
              <w:t>r2_a</w:t>
            </w:r>
          </w:p>
        </w:tc>
        <w:tc>
          <w:tcPr>
            <w:tcW w:w="1020" w:type="dxa"/>
            <w:vAlign w:val="center"/>
          </w:tcPr>
          <w:p>
            <w:pPr>
              <w:autoSpaceDE w:val="0"/>
              <w:autoSpaceDN w:val="0"/>
              <w:adjustRightInd w:val="0"/>
              <w:jc w:val="center"/>
              <w:rPr>
                <w:kern w:val="0"/>
                <w:szCs w:val="21"/>
              </w:rPr>
            </w:pPr>
            <w:r>
              <w:rPr>
                <w:kern w:val="0"/>
                <w:szCs w:val="21"/>
              </w:rPr>
              <w:t>0.425</w:t>
            </w:r>
          </w:p>
        </w:tc>
        <w:tc>
          <w:tcPr>
            <w:tcW w:w="1020" w:type="dxa"/>
            <w:vAlign w:val="center"/>
          </w:tcPr>
          <w:p>
            <w:pPr>
              <w:autoSpaceDE w:val="0"/>
              <w:autoSpaceDN w:val="0"/>
              <w:adjustRightInd w:val="0"/>
              <w:jc w:val="center"/>
              <w:rPr>
                <w:kern w:val="0"/>
                <w:szCs w:val="21"/>
              </w:rPr>
            </w:pPr>
            <w:r>
              <w:rPr>
                <w:kern w:val="0"/>
                <w:szCs w:val="21"/>
              </w:rPr>
              <w:t>0.600</w:t>
            </w:r>
          </w:p>
        </w:tc>
        <w:tc>
          <w:tcPr>
            <w:tcW w:w="1020" w:type="dxa"/>
            <w:vAlign w:val="center"/>
          </w:tcPr>
          <w:p>
            <w:pPr>
              <w:autoSpaceDE w:val="0"/>
              <w:autoSpaceDN w:val="0"/>
              <w:adjustRightInd w:val="0"/>
              <w:jc w:val="center"/>
              <w:rPr>
                <w:kern w:val="0"/>
                <w:szCs w:val="21"/>
              </w:rPr>
            </w:pPr>
            <w:r>
              <w:rPr>
                <w:kern w:val="0"/>
                <w:szCs w:val="21"/>
              </w:rPr>
              <w:t>0.482</w:t>
            </w:r>
          </w:p>
        </w:tc>
        <w:tc>
          <w:tcPr>
            <w:tcW w:w="1020" w:type="dxa"/>
            <w:vAlign w:val="center"/>
          </w:tcPr>
          <w:p>
            <w:pPr>
              <w:autoSpaceDE w:val="0"/>
              <w:autoSpaceDN w:val="0"/>
              <w:adjustRightInd w:val="0"/>
              <w:jc w:val="center"/>
              <w:rPr>
                <w:kern w:val="0"/>
                <w:szCs w:val="21"/>
              </w:rPr>
            </w:pPr>
            <w:r>
              <w:rPr>
                <w:kern w:val="0"/>
                <w:szCs w:val="21"/>
              </w:rPr>
              <w:t>0.250</w:t>
            </w:r>
          </w:p>
        </w:tc>
        <w:tc>
          <w:tcPr>
            <w:tcW w:w="1020" w:type="dxa"/>
            <w:vAlign w:val="center"/>
          </w:tcPr>
          <w:p>
            <w:pPr>
              <w:autoSpaceDE w:val="0"/>
              <w:autoSpaceDN w:val="0"/>
              <w:adjustRightInd w:val="0"/>
              <w:jc w:val="center"/>
              <w:rPr>
                <w:kern w:val="0"/>
                <w:szCs w:val="21"/>
              </w:rPr>
            </w:pPr>
            <w:r>
              <w:rPr>
                <w:kern w:val="0"/>
                <w:szCs w:val="21"/>
              </w:rPr>
              <w:t>0.593</w:t>
            </w:r>
          </w:p>
        </w:tc>
        <w:tc>
          <w:tcPr>
            <w:tcW w:w="1020" w:type="dxa"/>
            <w:vAlign w:val="center"/>
          </w:tcPr>
          <w:p>
            <w:pPr>
              <w:autoSpaceDE w:val="0"/>
              <w:autoSpaceDN w:val="0"/>
              <w:adjustRightInd w:val="0"/>
              <w:jc w:val="center"/>
              <w:rPr>
                <w:kern w:val="0"/>
                <w:szCs w:val="21"/>
              </w:rPr>
            </w:pPr>
            <w:r>
              <w:rPr>
                <w:kern w:val="0"/>
                <w:szCs w:val="21"/>
              </w:rPr>
              <w:t>0.362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vAlign w:val="center"/>
          </w:tcPr>
          <w:p>
            <w:pPr>
              <w:autoSpaceDE w:val="0"/>
              <w:autoSpaceDN w:val="0"/>
              <w:adjustRightInd w:val="0"/>
              <w:jc w:val="center"/>
              <w:rPr>
                <w:kern w:val="0"/>
                <w:szCs w:val="21"/>
              </w:rPr>
            </w:pPr>
            <w:r>
              <w:rPr>
                <w:kern w:val="0"/>
                <w:szCs w:val="21"/>
              </w:rPr>
              <w:t>F</w:t>
            </w:r>
          </w:p>
        </w:tc>
        <w:tc>
          <w:tcPr>
            <w:tcW w:w="1020" w:type="dxa"/>
            <w:vAlign w:val="center"/>
          </w:tcPr>
          <w:p>
            <w:pPr>
              <w:autoSpaceDE w:val="0"/>
              <w:autoSpaceDN w:val="0"/>
              <w:adjustRightInd w:val="0"/>
              <w:jc w:val="center"/>
              <w:rPr>
                <w:kern w:val="0"/>
                <w:szCs w:val="21"/>
              </w:rPr>
            </w:pPr>
            <w:r>
              <w:rPr>
                <w:kern w:val="0"/>
                <w:szCs w:val="21"/>
              </w:rPr>
              <w:t>1.950</w:t>
            </w:r>
          </w:p>
        </w:tc>
        <w:tc>
          <w:tcPr>
            <w:tcW w:w="1020" w:type="dxa"/>
            <w:vAlign w:val="center"/>
          </w:tcPr>
          <w:p>
            <w:pPr>
              <w:autoSpaceDE w:val="0"/>
              <w:autoSpaceDN w:val="0"/>
              <w:adjustRightInd w:val="0"/>
              <w:jc w:val="center"/>
              <w:rPr>
                <w:kern w:val="0"/>
                <w:szCs w:val="21"/>
              </w:rPr>
            </w:pPr>
            <w:r>
              <w:rPr>
                <w:kern w:val="0"/>
                <w:szCs w:val="21"/>
              </w:rPr>
              <w:t>1.079</w:t>
            </w:r>
          </w:p>
        </w:tc>
        <w:tc>
          <w:tcPr>
            <w:tcW w:w="1020" w:type="dxa"/>
            <w:vAlign w:val="center"/>
          </w:tcPr>
          <w:p>
            <w:pPr>
              <w:autoSpaceDE w:val="0"/>
              <w:autoSpaceDN w:val="0"/>
              <w:adjustRightInd w:val="0"/>
              <w:jc w:val="center"/>
              <w:rPr>
                <w:kern w:val="0"/>
                <w:szCs w:val="21"/>
              </w:rPr>
            </w:pPr>
            <w:r>
              <w:rPr>
                <w:kern w:val="0"/>
                <w:szCs w:val="21"/>
              </w:rPr>
              <w:t>1.191</w:t>
            </w:r>
          </w:p>
        </w:tc>
        <w:tc>
          <w:tcPr>
            <w:tcW w:w="1020" w:type="dxa"/>
            <w:vAlign w:val="center"/>
          </w:tcPr>
          <w:p>
            <w:pPr>
              <w:autoSpaceDE w:val="0"/>
              <w:autoSpaceDN w:val="0"/>
              <w:adjustRightInd w:val="0"/>
              <w:jc w:val="center"/>
              <w:rPr>
                <w:kern w:val="0"/>
                <w:szCs w:val="21"/>
              </w:rPr>
            </w:pPr>
            <w:r>
              <w:rPr>
                <w:kern w:val="0"/>
                <w:szCs w:val="21"/>
              </w:rPr>
              <w:t>1.597</w:t>
            </w:r>
          </w:p>
        </w:tc>
        <w:tc>
          <w:tcPr>
            <w:tcW w:w="1020" w:type="dxa"/>
            <w:vAlign w:val="center"/>
          </w:tcPr>
          <w:p>
            <w:pPr>
              <w:autoSpaceDE w:val="0"/>
              <w:autoSpaceDN w:val="0"/>
              <w:adjustRightInd w:val="0"/>
              <w:jc w:val="center"/>
              <w:rPr>
                <w:kern w:val="0"/>
                <w:szCs w:val="21"/>
              </w:rPr>
            </w:pPr>
            <w:r>
              <w:rPr>
                <w:kern w:val="0"/>
                <w:szCs w:val="21"/>
              </w:rPr>
              <w:t>0.499</w:t>
            </w:r>
          </w:p>
        </w:tc>
        <w:tc>
          <w:tcPr>
            <w:tcW w:w="1020" w:type="dxa"/>
            <w:vAlign w:val="center"/>
          </w:tcPr>
          <w:p>
            <w:pPr>
              <w:autoSpaceDE w:val="0"/>
              <w:autoSpaceDN w:val="0"/>
              <w:adjustRightInd w:val="0"/>
              <w:jc w:val="center"/>
              <w:rPr>
                <w:kern w:val="0"/>
                <w:szCs w:val="21"/>
              </w:rPr>
            </w:pPr>
            <w:r>
              <w:rPr>
                <w:kern w:val="0"/>
                <w:szCs w:val="21"/>
              </w:rPr>
              <w:t>1.455</w:t>
            </w:r>
          </w:p>
        </w:tc>
      </w:tr>
    </w:tbl>
    <w:p>
      <w:pPr>
        <w:spacing w:line="360" w:lineRule="auto"/>
        <w:ind w:firstLine="420" w:firstLineChars="200"/>
        <w:jc w:val="left"/>
        <w:rPr>
          <w:szCs w:val="24"/>
        </w:rPr>
      </w:pPr>
      <w:r>
        <w:rPr>
          <w:rFonts w:hint="eastAsia"/>
          <w:szCs w:val="24"/>
        </w:rPr>
        <w:t>注：已通过费舍尔组合检验，组间系数差异显著，下同</w:t>
      </w:r>
    </w:p>
    <w:p>
      <w:pPr>
        <w:spacing w:line="360" w:lineRule="auto"/>
        <w:ind w:firstLine="480" w:firstLineChars="200"/>
        <w:jc w:val="left"/>
        <w:rPr>
          <w:b/>
          <w:sz w:val="24"/>
        </w:rPr>
      </w:pPr>
      <w:r>
        <w:rPr>
          <w:rFonts w:hint="eastAsia"/>
          <w:sz w:val="24"/>
          <w:szCs w:val="24"/>
        </w:rPr>
        <w:t>根据表4</w:t>
      </w:r>
      <w:r>
        <w:rPr>
          <w:sz w:val="24"/>
          <w:szCs w:val="24"/>
        </w:rPr>
        <w:t>-7</w:t>
      </w:r>
      <w:r>
        <w:rPr>
          <w:rFonts w:hint="eastAsia"/>
          <w:sz w:val="24"/>
          <w:szCs w:val="24"/>
        </w:rPr>
        <w:t>结果显示，有排污费组的企业中审计试点与企业绿色技术创新与企业绿色技术创新在</w:t>
      </w:r>
      <w:r>
        <w:rPr>
          <w:sz w:val="24"/>
          <w:szCs w:val="24"/>
        </w:rPr>
        <w:t>10%</w:t>
      </w:r>
      <w:r>
        <w:rPr>
          <w:rFonts w:hint="eastAsia"/>
          <w:sz w:val="24"/>
          <w:szCs w:val="24"/>
        </w:rPr>
        <w:t>水平上显著正相关，而无排污费组则没能通过显著性检验。因此可以认为要缴纳的排污费金额会提升企业为规避这项潜在的未来支出，进行绿色技术创新转型的意愿，从而促进了企业的绿色技术创新水平。进一步考虑专利的异质性后，发现有排污费组中审计试点对技术难度更低的绿色实用新型专利的反应更加显著。</w:t>
      </w:r>
    </w:p>
    <w:p>
      <w:pPr>
        <w:spacing w:before="156" w:beforeLines="50" w:after="156" w:afterLines="50"/>
        <w:jc w:val="left"/>
        <w:outlineLvl w:val="2"/>
        <w:rPr>
          <w:rFonts w:ascii="黑体" w:eastAsia="黑体"/>
          <w:b/>
          <w:sz w:val="24"/>
        </w:rPr>
      </w:pPr>
      <w:r>
        <w:rPr>
          <w:b/>
          <w:sz w:val="24"/>
        </w:rPr>
        <w:t>4.5.3</w:t>
      </w:r>
      <w:r>
        <w:rPr>
          <w:rFonts w:hint="eastAsia" w:ascii="黑体" w:eastAsia="黑体"/>
          <w:b/>
          <w:sz w:val="24"/>
        </w:rPr>
        <w:t xml:space="preserve"> 政府研发补助与企业绿色技术创新</w:t>
      </w:r>
    </w:p>
    <w:p>
      <w:pPr>
        <w:spacing w:line="360" w:lineRule="auto"/>
        <w:ind w:firstLine="480" w:firstLineChars="200"/>
        <w:jc w:val="left"/>
        <w:rPr>
          <w:sz w:val="24"/>
          <w:szCs w:val="24"/>
        </w:rPr>
      </w:pPr>
      <w:r>
        <w:rPr>
          <w:rFonts w:hint="eastAsia"/>
          <w:sz w:val="24"/>
          <w:szCs w:val="24"/>
        </w:rPr>
        <w:t>为鼓励企业积极主动进行技术研发，政府会通过各项财政支持计划向企业提供资金支持，一方面补充企业所需的研发资金，另一方面也可以降低企业管理层所需承担的风险责任，但是这种研发补贴的有效性却有待商榷，根据李万福（2017）和曹阳等学者（2018）研究，政府研发补助对于企业技术创新的影响并非是正向的，这是因为政府补助缺乏监管，资金不一定能得到有效利用，且政府补助会导致企业研发风险与成本降低，从而降低企业想要实现研发成功的压力，研发效率反而下降。同时存在另一种解释的可能，即受到更高研发补助的企业往往与当地政府具有更强的政治关联度，根据全进（2</w:t>
      </w:r>
      <w:r>
        <w:rPr>
          <w:sz w:val="24"/>
          <w:szCs w:val="24"/>
        </w:rPr>
        <w:t>018</w:t>
      </w:r>
      <w:r>
        <w:rPr>
          <w:rFonts w:hint="eastAsia"/>
          <w:sz w:val="24"/>
          <w:szCs w:val="24"/>
        </w:rPr>
        <w:t>）研究认为政治关联会弱化该离任审计政策对企业的影响，因此低研发补助反而可能会更多受审计试点的影响，提升企业的绿色技术创新水平。</w:t>
      </w:r>
      <w:r>
        <w:rPr>
          <w:rFonts w:hint="eastAsia" w:ascii="宋体" w:hAnsi="宋体" w:cs="宋体"/>
          <w:color w:val="000000"/>
          <w:kern w:val="0"/>
          <w:sz w:val="24"/>
          <w:szCs w:val="24"/>
        </w:rPr>
        <w:t>本文根据政府研发补助的自然对数的中位数作为分组标准，</w:t>
      </w:r>
      <w:r>
        <w:rPr>
          <w:rFonts w:hint="eastAsia"/>
          <w:sz w:val="24"/>
          <w:szCs w:val="24"/>
        </w:rPr>
        <w:t>分为低研发补助与高研发补助两组。回归结果如表4</w:t>
      </w:r>
      <w:r>
        <w:rPr>
          <w:sz w:val="24"/>
          <w:szCs w:val="24"/>
        </w:rPr>
        <w:t>-8</w:t>
      </w:r>
      <w:r>
        <w:rPr>
          <w:rFonts w:hint="eastAsia"/>
          <w:sz w:val="24"/>
          <w:szCs w:val="24"/>
        </w:rPr>
        <w:t>所示。</w:t>
      </w:r>
    </w:p>
    <w:p>
      <w:pPr>
        <w:spacing w:line="360" w:lineRule="auto"/>
        <w:ind w:firstLine="480" w:firstLineChars="200"/>
        <w:jc w:val="left"/>
        <w:rPr>
          <w:sz w:val="24"/>
          <w:szCs w:val="24"/>
        </w:rPr>
      </w:pPr>
      <w:r>
        <w:rPr>
          <w:rFonts w:hint="eastAsia"/>
          <w:sz w:val="24"/>
          <w:szCs w:val="24"/>
        </w:rPr>
        <w:t>回归结果显示，低研发补助组的审计试点对于企业绿色技术创新在1</w:t>
      </w:r>
      <w:r>
        <w:rPr>
          <w:sz w:val="24"/>
          <w:szCs w:val="24"/>
        </w:rPr>
        <w:t>%</w:t>
      </w:r>
      <w:r>
        <w:rPr>
          <w:rFonts w:hint="eastAsia"/>
          <w:sz w:val="24"/>
          <w:szCs w:val="24"/>
        </w:rPr>
        <w:t>水平上显著正相关，而高研发补助组则没能通过显著性检验，这说明高研发补助反而会因为企业技术研发压力降低以及资金缺乏监管等原因抑制企业进行技术研发，而低研发补助组一方面出于公司希望成功研发的压力，一方面因为较弱的政治关联，因此对于审计试点的反应更加显著，这种反应同时体现在难度更高的绿色发明专利上，也体现在难度相对较低的绿色实用新型专利，但是对绿色实用新型专利的反应更加显著。</w:t>
      </w:r>
    </w:p>
    <w:p>
      <w:pPr>
        <w:widowControl/>
        <w:jc w:val="left"/>
        <w:rPr>
          <w:sz w:val="24"/>
          <w:szCs w:val="24"/>
        </w:rPr>
      </w:pPr>
      <w:r>
        <w:rPr>
          <w:sz w:val="24"/>
          <w:szCs w:val="24"/>
        </w:rPr>
        <w:br w:type="page"/>
      </w:r>
    </w:p>
    <w:p>
      <w:pPr>
        <w:pStyle w:val="4"/>
        <w:spacing w:after="156"/>
      </w:pPr>
      <w:bookmarkStart w:id="128" w:name="_Toc104376098"/>
      <w:r>
        <w:rPr>
          <w:rFonts w:hint="eastAsia"/>
        </w:rPr>
        <w:t>表4-</w:t>
      </w:r>
      <w:r>
        <w:fldChar w:fldCharType="begin"/>
      </w:r>
      <w:r>
        <w:instrText xml:space="preserve"> </w:instrText>
      </w:r>
      <w:r>
        <w:rPr>
          <w:rFonts w:hint="eastAsia"/>
        </w:rPr>
        <w:instrText xml:space="preserve">SEQ 表4- \* ARABIC</w:instrText>
      </w:r>
      <w:r>
        <w:instrText xml:space="preserve"> </w:instrText>
      </w:r>
      <w:r>
        <w:fldChar w:fldCharType="separate"/>
      </w:r>
      <w:r>
        <w:t>8</w:t>
      </w:r>
      <w:r>
        <w:fldChar w:fldCharType="end"/>
      </w:r>
      <w:r>
        <w:t xml:space="preserve"> </w:t>
      </w:r>
      <w:r>
        <w:rPr>
          <w:rFonts w:hint="eastAsia"/>
        </w:rPr>
        <w:t>政府研发补助与企业绿色技术创新</w:t>
      </w:r>
      <w:bookmarkEnd w:id="128"/>
    </w:p>
    <w:tbl>
      <w:tblPr>
        <w:tblStyle w:val="14"/>
        <w:tblW w:w="7821" w:type="dxa"/>
        <w:jc w:val="center"/>
        <w:tblLayout w:type="fixed"/>
        <w:tblCellMar>
          <w:top w:w="0" w:type="dxa"/>
          <w:left w:w="75" w:type="dxa"/>
          <w:bottom w:w="0" w:type="dxa"/>
          <w:right w:w="75" w:type="dxa"/>
        </w:tblCellMar>
      </w:tblPr>
      <w:tblGrid>
        <w:gridCol w:w="1701"/>
        <w:gridCol w:w="1020"/>
        <w:gridCol w:w="1020"/>
        <w:gridCol w:w="1020"/>
        <w:gridCol w:w="1020"/>
        <w:gridCol w:w="1020"/>
        <w:gridCol w:w="1020"/>
      </w:tblGrid>
      <w:tr>
        <w:tblPrEx>
          <w:tblCellMar>
            <w:top w:w="0" w:type="dxa"/>
            <w:left w:w="75" w:type="dxa"/>
            <w:bottom w:w="0" w:type="dxa"/>
            <w:right w:w="75" w:type="dxa"/>
          </w:tblCellMar>
        </w:tblPrEx>
        <w:trPr>
          <w:jc w:val="center"/>
        </w:trPr>
        <w:tc>
          <w:tcPr>
            <w:tcW w:w="1701" w:type="dxa"/>
            <w:vMerge w:val="restart"/>
            <w:tcBorders>
              <w:top w:val="single" w:color="auto" w:sz="12" w:space="0"/>
              <w:left w:val="nil"/>
              <w:right w:val="nil"/>
            </w:tcBorders>
            <w:vAlign w:val="center"/>
          </w:tcPr>
          <w:p>
            <w:pPr>
              <w:autoSpaceDE w:val="0"/>
              <w:autoSpaceDN w:val="0"/>
              <w:adjustRightInd w:val="0"/>
              <w:jc w:val="center"/>
              <w:rPr>
                <w:kern w:val="0"/>
                <w:szCs w:val="21"/>
              </w:rPr>
            </w:pPr>
            <w:r>
              <w:rPr>
                <w:rFonts w:hint="eastAsia"/>
                <w:kern w:val="0"/>
                <w:szCs w:val="21"/>
              </w:rPr>
              <w:t>变量名</w:t>
            </w:r>
          </w:p>
        </w:tc>
        <w:tc>
          <w:tcPr>
            <w:tcW w:w="1020" w:type="dxa"/>
            <w:vMerge w:val="restart"/>
            <w:tcBorders>
              <w:top w:val="single" w:color="auto" w:sz="12" w:space="0"/>
              <w:left w:val="nil"/>
              <w:right w:val="nil"/>
            </w:tcBorders>
            <w:vAlign w:val="center"/>
          </w:tcPr>
          <w:p>
            <w:pPr>
              <w:autoSpaceDE w:val="0"/>
              <w:autoSpaceDN w:val="0"/>
              <w:adjustRightInd w:val="0"/>
              <w:jc w:val="center"/>
              <w:rPr>
                <w:kern w:val="0"/>
                <w:szCs w:val="21"/>
              </w:rPr>
            </w:pPr>
            <w:r>
              <w:rPr>
                <w:kern w:val="0"/>
                <w:szCs w:val="21"/>
              </w:rPr>
              <w:t>低补助</w:t>
            </w:r>
          </w:p>
        </w:tc>
        <w:tc>
          <w:tcPr>
            <w:tcW w:w="1020" w:type="dxa"/>
            <w:vMerge w:val="restart"/>
            <w:tcBorders>
              <w:top w:val="single" w:color="auto" w:sz="12" w:space="0"/>
              <w:left w:val="nil"/>
              <w:right w:val="nil"/>
            </w:tcBorders>
            <w:vAlign w:val="center"/>
          </w:tcPr>
          <w:p>
            <w:pPr>
              <w:autoSpaceDE w:val="0"/>
              <w:autoSpaceDN w:val="0"/>
              <w:adjustRightInd w:val="0"/>
              <w:jc w:val="center"/>
              <w:rPr>
                <w:kern w:val="0"/>
                <w:szCs w:val="21"/>
              </w:rPr>
            </w:pPr>
            <w:r>
              <w:rPr>
                <w:kern w:val="0"/>
                <w:szCs w:val="21"/>
              </w:rPr>
              <w:t>高补助</w:t>
            </w:r>
          </w:p>
        </w:tc>
        <w:tc>
          <w:tcPr>
            <w:tcW w:w="2040" w:type="dxa"/>
            <w:gridSpan w:val="2"/>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低补助</w:t>
            </w:r>
          </w:p>
        </w:tc>
        <w:tc>
          <w:tcPr>
            <w:tcW w:w="2040" w:type="dxa"/>
            <w:gridSpan w:val="2"/>
            <w:tcBorders>
              <w:top w:val="single" w:color="auto" w:sz="12" w:space="0"/>
              <w:left w:val="nil"/>
              <w:bottom w:val="single" w:color="auto" w:sz="4" w:space="0"/>
            </w:tcBorders>
            <w:vAlign w:val="center"/>
          </w:tcPr>
          <w:p>
            <w:pPr>
              <w:autoSpaceDE w:val="0"/>
              <w:autoSpaceDN w:val="0"/>
              <w:adjustRightInd w:val="0"/>
              <w:jc w:val="center"/>
              <w:rPr>
                <w:kern w:val="0"/>
                <w:szCs w:val="21"/>
              </w:rPr>
            </w:pPr>
            <w:r>
              <w:rPr>
                <w:kern w:val="0"/>
                <w:szCs w:val="21"/>
              </w:rPr>
              <w:t>高补助</w:t>
            </w:r>
          </w:p>
        </w:tc>
      </w:tr>
      <w:tr>
        <w:tblPrEx>
          <w:tblCellMar>
            <w:top w:w="0" w:type="dxa"/>
            <w:left w:w="75" w:type="dxa"/>
            <w:bottom w:w="0" w:type="dxa"/>
            <w:right w:w="75" w:type="dxa"/>
          </w:tblCellMar>
        </w:tblPrEx>
        <w:trPr>
          <w:jc w:val="center"/>
        </w:trPr>
        <w:tc>
          <w:tcPr>
            <w:tcW w:w="1701" w:type="dxa"/>
            <w:vMerge w:val="continue"/>
            <w:tcBorders>
              <w:left w:val="nil"/>
              <w:bottom w:val="single" w:color="auto" w:sz="4" w:space="0"/>
              <w:right w:val="nil"/>
            </w:tcBorders>
            <w:vAlign w:val="center"/>
          </w:tcPr>
          <w:p>
            <w:pPr>
              <w:autoSpaceDE w:val="0"/>
              <w:autoSpaceDN w:val="0"/>
              <w:adjustRightInd w:val="0"/>
              <w:jc w:val="center"/>
              <w:rPr>
                <w:kern w:val="0"/>
                <w:szCs w:val="21"/>
              </w:rPr>
            </w:pPr>
          </w:p>
        </w:tc>
        <w:tc>
          <w:tcPr>
            <w:tcW w:w="1020" w:type="dxa"/>
            <w:vMerge w:val="continue"/>
            <w:tcBorders>
              <w:left w:val="nil"/>
              <w:bottom w:val="single" w:color="auto" w:sz="4" w:space="0"/>
              <w:right w:val="nil"/>
            </w:tcBorders>
            <w:vAlign w:val="center"/>
          </w:tcPr>
          <w:p>
            <w:pPr>
              <w:autoSpaceDE w:val="0"/>
              <w:autoSpaceDN w:val="0"/>
              <w:adjustRightInd w:val="0"/>
              <w:jc w:val="center"/>
              <w:rPr>
                <w:kern w:val="0"/>
                <w:szCs w:val="21"/>
              </w:rPr>
            </w:pPr>
          </w:p>
        </w:tc>
        <w:tc>
          <w:tcPr>
            <w:tcW w:w="1020" w:type="dxa"/>
            <w:vMerge w:val="continue"/>
            <w:tcBorders>
              <w:left w:val="nil"/>
              <w:bottom w:val="single" w:color="auto" w:sz="4" w:space="0"/>
              <w:right w:val="nil"/>
            </w:tcBorders>
            <w:vAlign w:val="center"/>
          </w:tcPr>
          <w:p>
            <w:pPr>
              <w:autoSpaceDE w:val="0"/>
              <w:autoSpaceDN w:val="0"/>
              <w:adjustRightInd w:val="0"/>
              <w:jc w:val="center"/>
              <w:rPr>
                <w:kern w:val="0"/>
                <w:szCs w:val="21"/>
              </w:rPr>
            </w:pPr>
          </w:p>
        </w:tc>
        <w:tc>
          <w:tcPr>
            <w:tcW w:w="1020"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绿色发明</w:t>
            </w:r>
          </w:p>
        </w:tc>
        <w:tc>
          <w:tcPr>
            <w:tcW w:w="1020"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实用新型</w:t>
            </w:r>
          </w:p>
        </w:tc>
        <w:tc>
          <w:tcPr>
            <w:tcW w:w="1020"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绿色发明</w:t>
            </w:r>
          </w:p>
        </w:tc>
        <w:tc>
          <w:tcPr>
            <w:tcW w:w="1020"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实用新型</w:t>
            </w:r>
          </w:p>
        </w:tc>
      </w:tr>
      <w:tr>
        <w:tblPrEx>
          <w:tblCellMar>
            <w:top w:w="0" w:type="dxa"/>
            <w:left w:w="75" w:type="dxa"/>
            <w:bottom w:w="0" w:type="dxa"/>
            <w:right w:w="75" w:type="dxa"/>
          </w:tblCellMar>
        </w:tblPrEx>
        <w:trPr>
          <w:jc w:val="center"/>
        </w:trPr>
        <w:tc>
          <w:tcPr>
            <w:tcW w:w="1701" w:type="dxa"/>
            <w:vMerge w:val="restart"/>
            <w:tcBorders>
              <w:top w:val="single" w:color="auto" w:sz="4" w:space="0"/>
              <w:left w:val="nil"/>
              <w:right w:val="nil"/>
            </w:tcBorders>
            <w:vAlign w:val="center"/>
          </w:tcPr>
          <w:p>
            <w:pPr>
              <w:autoSpaceDE w:val="0"/>
              <w:autoSpaceDN w:val="0"/>
              <w:adjustRightInd w:val="0"/>
              <w:jc w:val="center"/>
              <w:rPr>
                <w:kern w:val="0"/>
                <w:szCs w:val="21"/>
              </w:rPr>
            </w:pPr>
            <w:r>
              <w:rPr>
                <w:kern w:val="0"/>
                <w:szCs w:val="21"/>
              </w:rPr>
              <w:t>Treat*Post</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0.068***</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0.017</w:t>
            </w:r>
          </w:p>
        </w:tc>
        <w:tc>
          <w:tcPr>
            <w:tcW w:w="1020"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0.042*</w:t>
            </w:r>
          </w:p>
        </w:tc>
        <w:tc>
          <w:tcPr>
            <w:tcW w:w="1020"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0.039**</w:t>
            </w:r>
          </w:p>
        </w:tc>
        <w:tc>
          <w:tcPr>
            <w:tcW w:w="1020"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0.007</w:t>
            </w:r>
          </w:p>
        </w:tc>
        <w:tc>
          <w:tcPr>
            <w:tcW w:w="1020"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0.009</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(2.66)</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(0.61)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(2.22)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(0.57)</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Size</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0.014</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-0.012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-0.009</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-0.003</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(0.51)</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(-0.47)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(-0.40)</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(-0.16)</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Lev</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-0.112</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-0.134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-0.080</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-0.083</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(-1.10)</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(-1.06)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(-1.54)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(-1.33)</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ROA</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-0.233</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-0.064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-0.208</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-0.057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-0.007</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(-1.06)</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(-0.32)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Mfee</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0.097</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-1.073***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0.293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-0.129</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-0.764**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-0.387</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(0.37)</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(-3.35)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(1.30)</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(-0.89)</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(-2.15)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(-1.40)</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FirmAge</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0.231</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0.107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0.231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-0.009</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0.032</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(1.12)</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(0.44)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(1.47)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(0.21)</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Top1</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0.012</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0.135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0.047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0.112</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(0.12)</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(0.63)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(0.77)</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CAPT</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0.002</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0.019</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0.007</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(0.12)</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(1.44)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(-1.43)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(1.15)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(0.90)</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Constant</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-0.827</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0.143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-0.481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-0.439</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0.348</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0.027</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(-1.09)</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(0.15)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(-0.77)</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(-1.01)</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(0.45)</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(0.05)</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Observations</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614</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626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614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614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626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626</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R-squared</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0.691</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0.708</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0.692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0.544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0.646</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0.645</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code FE</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year FE</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r2_a</w:t>
            </w:r>
          </w:p>
        </w:tc>
        <w:tc>
          <w:tcPr>
            <w:tcW w:w="1020" w:type="dxa"/>
            <w:tcBorders>
              <w:top w:val="nil"/>
              <w:left w:val="nil"/>
              <w:right w:val="nil"/>
            </w:tcBorders>
          </w:tcPr>
          <w:p>
            <w:pPr>
              <w:autoSpaceDE w:val="0"/>
              <w:autoSpaceDN w:val="0"/>
              <w:adjustRightInd w:val="0"/>
              <w:jc w:val="center"/>
              <w:rPr>
                <w:kern w:val="0"/>
                <w:szCs w:val="21"/>
              </w:rPr>
            </w:pPr>
            <w:r>
              <w:rPr>
                <w:kern w:val="0"/>
                <w:szCs w:val="21"/>
              </w:rPr>
              <w:t>0.513</w:t>
            </w:r>
          </w:p>
        </w:tc>
        <w:tc>
          <w:tcPr>
            <w:tcW w:w="1020" w:type="dxa"/>
            <w:tcBorders>
              <w:top w:val="nil"/>
              <w:left w:val="nil"/>
              <w:right w:val="nil"/>
            </w:tcBorders>
          </w:tcPr>
          <w:p>
            <w:pPr>
              <w:autoSpaceDE w:val="0"/>
              <w:autoSpaceDN w:val="0"/>
              <w:adjustRightInd w:val="0"/>
              <w:jc w:val="center"/>
              <w:rPr>
                <w:kern w:val="0"/>
                <w:szCs w:val="21"/>
              </w:rPr>
            </w:pPr>
            <w:r>
              <w:rPr>
                <w:kern w:val="0"/>
                <w:szCs w:val="21"/>
              </w:rPr>
              <w:t>0.533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0.514</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0.282</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0.433</w:t>
            </w:r>
          </w:p>
        </w:tc>
        <w:tc>
          <w:tcPr>
            <w:tcW w:w="1020"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0.430</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701"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F</w:t>
            </w:r>
          </w:p>
        </w:tc>
        <w:tc>
          <w:tcPr>
            <w:tcW w:w="1020" w:type="dxa"/>
            <w:tcBorders>
              <w:top w:val="nil"/>
              <w:left w:val="nil"/>
              <w:bottom w:val="single" w:color="auto" w:sz="12" w:space="0"/>
              <w:right w:val="nil"/>
            </w:tcBorders>
          </w:tcPr>
          <w:p>
            <w:pPr>
              <w:autoSpaceDE w:val="0"/>
              <w:autoSpaceDN w:val="0"/>
              <w:adjustRightInd w:val="0"/>
              <w:jc w:val="center"/>
              <w:rPr>
                <w:kern w:val="0"/>
                <w:szCs w:val="21"/>
              </w:rPr>
            </w:pPr>
            <w:r>
              <w:rPr>
                <w:kern w:val="0"/>
                <w:szCs w:val="21"/>
              </w:rPr>
              <w:t>1.581</w:t>
            </w:r>
          </w:p>
        </w:tc>
        <w:tc>
          <w:tcPr>
            <w:tcW w:w="1020" w:type="dxa"/>
            <w:tcBorders>
              <w:top w:val="nil"/>
              <w:left w:val="nil"/>
              <w:bottom w:val="single" w:color="auto" w:sz="12" w:space="0"/>
              <w:right w:val="nil"/>
            </w:tcBorders>
          </w:tcPr>
          <w:p>
            <w:pPr>
              <w:autoSpaceDE w:val="0"/>
              <w:autoSpaceDN w:val="0"/>
              <w:adjustRightInd w:val="0"/>
              <w:jc w:val="center"/>
              <w:rPr>
                <w:kern w:val="0"/>
                <w:szCs w:val="21"/>
              </w:rPr>
            </w:pPr>
            <w:r>
              <w:rPr>
                <w:kern w:val="0"/>
                <w:szCs w:val="21"/>
              </w:rPr>
              <w:t>1.564</w:t>
            </w:r>
          </w:p>
        </w:tc>
        <w:tc>
          <w:tcPr>
            <w:tcW w:w="1020"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1.217</w:t>
            </w:r>
          </w:p>
        </w:tc>
        <w:tc>
          <w:tcPr>
            <w:tcW w:w="1020"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1.247</w:t>
            </w:r>
          </w:p>
        </w:tc>
        <w:tc>
          <w:tcPr>
            <w:tcW w:w="1020"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0.697</w:t>
            </w:r>
          </w:p>
        </w:tc>
        <w:tc>
          <w:tcPr>
            <w:tcW w:w="1020"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0.603</w:t>
            </w:r>
          </w:p>
        </w:tc>
      </w:tr>
    </w:tbl>
    <w:p>
      <w:pPr>
        <w:spacing w:before="156" w:beforeLines="50" w:after="156" w:afterLines="50"/>
        <w:jc w:val="left"/>
        <w:outlineLvl w:val="2"/>
        <w:rPr>
          <w:rFonts w:ascii="黑体" w:eastAsia="黑体"/>
          <w:b/>
          <w:sz w:val="24"/>
        </w:rPr>
      </w:pPr>
      <w:r>
        <w:rPr>
          <w:b/>
          <w:sz w:val="24"/>
        </w:rPr>
        <w:t>4.5.4</w:t>
      </w:r>
      <w:r>
        <w:rPr>
          <w:rFonts w:hint="eastAsia" w:ascii="黑体" w:eastAsia="黑体"/>
          <w:b/>
          <w:sz w:val="24"/>
        </w:rPr>
        <w:t xml:space="preserve"> 企业内部治理、外部监督与企业绿色技术创新</w:t>
      </w:r>
    </w:p>
    <w:p>
      <w:pPr>
        <w:spacing w:line="360" w:lineRule="auto"/>
        <w:ind w:firstLine="480" w:firstLineChars="200"/>
        <w:jc w:val="left"/>
        <w:rPr>
          <w:sz w:val="24"/>
          <w:szCs w:val="24"/>
        </w:rPr>
      </w:pPr>
      <w:r>
        <w:rPr>
          <w:rFonts w:hint="eastAsia"/>
          <w:sz w:val="24"/>
          <w:szCs w:val="24"/>
        </w:rPr>
        <w:t>企业内部治理结构的完善将会降低企业的代理成本，根据张晶（2</w:t>
      </w:r>
      <w:r>
        <w:rPr>
          <w:sz w:val="24"/>
          <w:szCs w:val="24"/>
        </w:rPr>
        <w:t>022</w:t>
      </w:r>
      <w:r>
        <w:rPr>
          <w:rFonts w:hint="eastAsia"/>
          <w:sz w:val="24"/>
          <w:szCs w:val="24"/>
        </w:rPr>
        <w:t>）和叶康涛（2</w:t>
      </w:r>
      <w:r>
        <w:rPr>
          <w:sz w:val="24"/>
          <w:szCs w:val="24"/>
        </w:rPr>
        <w:t>011</w:t>
      </w:r>
      <w:r>
        <w:rPr>
          <w:rFonts w:hint="eastAsia"/>
          <w:sz w:val="24"/>
          <w:szCs w:val="24"/>
        </w:rPr>
        <w:t>）的研究，由于其独立性，独立董事能够对企业进行有效的监督，优化企业的内部治理水平，因此会促进企业创新水平的提升。有效的外部监督可以降低企业的代理成本，对企业的资金使用、控制活动进行监督，本文通过是否为四大会计师事务所审计来衡量企业的外部监督情况。</w:t>
      </w:r>
    </w:p>
    <w:p>
      <w:pPr>
        <w:spacing w:line="360" w:lineRule="auto"/>
        <w:ind w:firstLine="480" w:firstLineChars="200"/>
        <w:jc w:val="left"/>
        <w:rPr>
          <w:sz w:val="24"/>
          <w:szCs w:val="24"/>
        </w:rPr>
      </w:pPr>
      <w:r>
        <w:rPr>
          <w:rFonts w:hint="eastAsia"/>
          <w:sz w:val="24"/>
          <w:szCs w:val="24"/>
        </w:rPr>
        <w:t>本文根据企业独立董事占比的均值以及是否为四大审计作为分组标准，分为独董比例低组和独董比例高组以及非四大审计组和四大审计组，分别进行回归以验证企业内部治理情况和外部监督对政策效应的影响，回归结果如表4</w:t>
      </w:r>
      <w:r>
        <w:rPr>
          <w:sz w:val="24"/>
          <w:szCs w:val="24"/>
        </w:rPr>
        <w:t>-9</w:t>
      </w:r>
      <w:r>
        <w:rPr>
          <w:rFonts w:hint="eastAsia"/>
          <w:sz w:val="24"/>
          <w:szCs w:val="24"/>
        </w:rPr>
        <w:t>所示。</w:t>
      </w:r>
    </w:p>
    <w:p>
      <w:pPr>
        <w:pStyle w:val="4"/>
        <w:spacing w:after="156"/>
        <w:rPr>
          <w:szCs w:val="24"/>
        </w:rPr>
      </w:pPr>
      <w:bookmarkStart w:id="129" w:name="_Toc102926861"/>
    </w:p>
    <w:p>
      <w:pPr>
        <w:pStyle w:val="4"/>
        <w:spacing w:after="156"/>
        <w:rPr>
          <w:rFonts w:hint="eastAsia"/>
          <w:szCs w:val="24"/>
        </w:rPr>
      </w:pPr>
      <w:bookmarkStart w:id="130" w:name="_Toc104376099"/>
    </w:p>
    <w:p>
      <w:pPr>
        <w:pStyle w:val="4"/>
        <w:spacing w:after="156"/>
        <w:rPr>
          <w:szCs w:val="24"/>
        </w:rPr>
      </w:pPr>
      <w:r>
        <w:rPr>
          <w:rFonts w:hint="eastAsia"/>
          <w:szCs w:val="24"/>
        </w:rPr>
        <w:t>表4-</w:t>
      </w:r>
      <w:r>
        <w:rPr>
          <w:szCs w:val="24"/>
        </w:rPr>
        <w:fldChar w:fldCharType="begin"/>
      </w:r>
      <w:r>
        <w:rPr>
          <w:szCs w:val="24"/>
        </w:rPr>
        <w:instrText xml:space="preserve"> </w:instrText>
      </w:r>
      <w:r>
        <w:rPr>
          <w:rFonts w:hint="eastAsia"/>
          <w:szCs w:val="24"/>
        </w:rPr>
        <w:instrText xml:space="preserve">SEQ 表4- \* ARABIC</w:instrText>
      </w:r>
      <w:r>
        <w:rPr>
          <w:szCs w:val="24"/>
        </w:rPr>
        <w:instrText xml:space="preserve"> </w:instrText>
      </w:r>
      <w:r>
        <w:rPr>
          <w:szCs w:val="24"/>
        </w:rPr>
        <w:fldChar w:fldCharType="separate"/>
      </w:r>
      <w:r>
        <w:rPr>
          <w:szCs w:val="24"/>
        </w:rPr>
        <w:t>9</w:t>
      </w:r>
      <w:r>
        <w:rPr>
          <w:szCs w:val="24"/>
        </w:rPr>
        <w:fldChar w:fldCharType="end"/>
      </w:r>
      <w:r>
        <w:rPr>
          <w:szCs w:val="24"/>
        </w:rPr>
        <w:t xml:space="preserve"> 企业内部治理</w:t>
      </w:r>
      <w:r>
        <w:rPr>
          <w:rFonts w:hint="eastAsia"/>
          <w:szCs w:val="24"/>
        </w:rPr>
        <w:t>、外部监督</w:t>
      </w:r>
      <w:r>
        <w:rPr>
          <w:szCs w:val="24"/>
        </w:rPr>
        <w:t>与</w:t>
      </w:r>
      <w:r>
        <w:rPr>
          <w:rFonts w:hint="eastAsia"/>
          <w:szCs w:val="24"/>
        </w:rPr>
        <w:t>企业绿色技术创新</w:t>
      </w:r>
      <w:bookmarkEnd w:id="129"/>
      <w:bookmarkEnd w:id="130"/>
    </w:p>
    <w:tbl>
      <w:tblPr>
        <w:tblStyle w:val="14"/>
        <w:tblW w:w="7258" w:type="dxa"/>
        <w:jc w:val="center"/>
        <w:tblLayout w:type="fixed"/>
        <w:tblCellMar>
          <w:top w:w="0" w:type="dxa"/>
          <w:left w:w="75" w:type="dxa"/>
          <w:bottom w:w="0" w:type="dxa"/>
          <w:right w:w="75" w:type="dxa"/>
        </w:tblCellMar>
      </w:tblPr>
      <w:tblGrid>
        <w:gridCol w:w="1814"/>
        <w:gridCol w:w="1361"/>
        <w:gridCol w:w="1361"/>
        <w:gridCol w:w="1361"/>
        <w:gridCol w:w="1361"/>
      </w:tblGrid>
      <w:tr>
        <w:trPr>
          <w:jc w:val="center"/>
        </w:trPr>
        <w:tc>
          <w:tcPr>
            <w:tcW w:w="1814" w:type="dxa"/>
            <w:vMerge w:val="restart"/>
            <w:tcBorders>
              <w:top w:val="single" w:color="auto" w:sz="12" w:space="0"/>
              <w:left w:val="nil"/>
              <w:right w:val="nil"/>
            </w:tcBorders>
            <w:vAlign w:val="center"/>
          </w:tcPr>
          <w:p>
            <w:pPr>
              <w:autoSpaceDE w:val="0"/>
              <w:autoSpaceDN w:val="0"/>
              <w:adjustRightInd w:val="0"/>
              <w:jc w:val="center"/>
              <w:rPr>
                <w:kern w:val="0"/>
                <w:szCs w:val="21"/>
              </w:rPr>
            </w:pPr>
            <w:r>
              <w:rPr>
                <w:kern w:val="0"/>
                <w:szCs w:val="21"/>
              </w:rPr>
              <w:t>变量名</w:t>
            </w:r>
          </w:p>
        </w:tc>
        <w:tc>
          <w:tcPr>
            <w:tcW w:w="2722" w:type="dxa"/>
            <w:gridSpan w:val="2"/>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独立董事比例</w:t>
            </w:r>
          </w:p>
        </w:tc>
        <w:tc>
          <w:tcPr>
            <w:tcW w:w="2722" w:type="dxa"/>
            <w:gridSpan w:val="2"/>
            <w:tcBorders>
              <w:top w:val="single" w:color="auto" w:sz="12" w:space="0"/>
              <w:left w:val="nil"/>
              <w:bottom w:val="single" w:color="auto" w:sz="4" w:space="0"/>
              <w:right w:val="nil"/>
            </w:tcBorders>
          </w:tcPr>
          <w:p>
            <w:pPr>
              <w:autoSpaceDE w:val="0"/>
              <w:autoSpaceDN w:val="0"/>
              <w:adjustRightInd w:val="0"/>
              <w:jc w:val="center"/>
              <w:rPr>
                <w:kern w:val="0"/>
                <w:szCs w:val="21"/>
              </w:rPr>
            </w:pPr>
            <w:r>
              <w:rPr>
                <w:kern w:val="0"/>
                <w:szCs w:val="21"/>
              </w:rPr>
              <w:t>四大</w:t>
            </w:r>
            <w:r>
              <w:rPr>
                <w:rFonts w:hint="eastAsia"/>
                <w:kern w:val="0"/>
                <w:szCs w:val="21"/>
              </w:rPr>
              <w:t>会计师事务所</w:t>
            </w:r>
            <w:r>
              <w:rPr>
                <w:kern w:val="0"/>
                <w:szCs w:val="21"/>
              </w:rPr>
              <w:t>审计</w:t>
            </w:r>
          </w:p>
        </w:tc>
      </w:tr>
      <w:tr>
        <w:trPr>
          <w:jc w:val="center"/>
        </w:trPr>
        <w:tc>
          <w:tcPr>
            <w:tcW w:w="1814" w:type="dxa"/>
            <w:vMerge w:val="continue"/>
            <w:tcBorders>
              <w:left w:val="nil"/>
              <w:bottom w:val="single" w:color="auto" w:sz="4" w:space="0"/>
              <w:right w:val="nil"/>
            </w:tcBorders>
            <w:vAlign w:val="center"/>
          </w:tcPr>
          <w:p>
            <w:pPr>
              <w:autoSpaceDE w:val="0"/>
              <w:autoSpaceDN w:val="0"/>
              <w:adjustRightInd w:val="0"/>
              <w:jc w:val="center"/>
              <w:rPr>
                <w:kern w:val="0"/>
                <w:szCs w:val="21"/>
              </w:rPr>
            </w:pPr>
          </w:p>
        </w:tc>
        <w:tc>
          <w:tcPr>
            <w:tcW w:w="1361"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低</w:t>
            </w:r>
          </w:p>
        </w:tc>
        <w:tc>
          <w:tcPr>
            <w:tcW w:w="1361"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高</w:t>
            </w:r>
          </w:p>
        </w:tc>
        <w:tc>
          <w:tcPr>
            <w:tcW w:w="1361" w:type="dxa"/>
            <w:tcBorders>
              <w:top w:val="single" w:color="auto" w:sz="4" w:space="0"/>
              <w:left w:val="nil"/>
              <w:bottom w:val="single" w:color="auto" w:sz="4" w:space="0"/>
              <w:right w:val="nil"/>
            </w:tcBorders>
          </w:tcPr>
          <w:p>
            <w:pPr>
              <w:autoSpaceDE w:val="0"/>
              <w:autoSpaceDN w:val="0"/>
              <w:adjustRightInd w:val="0"/>
              <w:jc w:val="center"/>
              <w:rPr>
                <w:kern w:val="0"/>
                <w:szCs w:val="21"/>
              </w:rPr>
            </w:pPr>
            <w:r>
              <w:rPr>
                <w:rFonts w:hint="eastAsia"/>
                <w:kern w:val="0"/>
                <w:szCs w:val="21"/>
              </w:rPr>
              <w:t>否</w:t>
            </w:r>
          </w:p>
        </w:tc>
        <w:tc>
          <w:tcPr>
            <w:tcW w:w="1361" w:type="dxa"/>
            <w:tcBorders>
              <w:top w:val="single" w:color="auto" w:sz="4" w:space="0"/>
              <w:left w:val="nil"/>
              <w:bottom w:val="single" w:color="auto" w:sz="4" w:space="0"/>
              <w:right w:val="nil"/>
            </w:tcBorders>
          </w:tcPr>
          <w:p>
            <w:pPr>
              <w:autoSpaceDE w:val="0"/>
              <w:autoSpaceDN w:val="0"/>
              <w:adjustRightInd w:val="0"/>
              <w:jc w:val="center"/>
              <w:rPr>
                <w:kern w:val="0"/>
                <w:szCs w:val="21"/>
              </w:rPr>
            </w:pPr>
            <w:r>
              <w:rPr>
                <w:rFonts w:hint="eastAsia"/>
                <w:kern w:val="0"/>
                <w:szCs w:val="21"/>
              </w:rPr>
              <w:t>是</w:t>
            </w:r>
          </w:p>
        </w:tc>
      </w:tr>
      <w:tr>
        <w:tblPrEx>
          <w:tblCellMar>
            <w:top w:w="0" w:type="dxa"/>
            <w:left w:w="75" w:type="dxa"/>
            <w:bottom w:w="0" w:type="dxa"/>
            <w:right w:w="75" w:type="dxa"/>
          </w:tblCellMar>
        </w:tblPrEx>
        <w:trPr>
          <w:trHeight w:val="133" w:hRule="atLeast"/>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Treat*Post</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0.044*</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0.074**</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0.059***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-0.008</w:t>
            </w:r>
          </w:p>
        </w:tc>
      </w:tr>
      <w:tr>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(1.71)</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(2.09)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(3.00)</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(-0.16)</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Size</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0.013</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0.040</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0.001</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0.050</w:t>
            </w:r>
          </w:p>
        </w:tc>
      </w:tr>
      <w:tr>
        <w:tblPrEx>
          <w:tblCellMar>
            <w:top w:w="0" w:type="dxa"/>
            <w:left w:w="75" w:type="dxa"/>
            <w:bottom w:w="0" w:type="dxa"/>
            <w:right w:w="75" w:type="dxa"/>
          </w:tblCellMar>
        </w:tblPrEx>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(0.70)</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(1.24)</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(0.05)</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(0.56)</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Lev</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-0.096</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-0.061</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-0.067</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0.015</w:t>
            </w:r>
          </w:p>
        </w:tc>
      </w:tr>
      <w:tr>
        <w:tblPrEx>
          <w:tblCellMar>
            <w:top w:w="0" w:type="dxa"/>
            <w:left w:w="75" w:type="dxa"/>
            <w:bottom w:w="0" w:type="dxa"/>
            <w:right w:w="75" w:type="dxa"/>
          </w:tblCellMar>
        </w:tblPrEx>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(-1.03)</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(-0.57)</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(-0.93)</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(0.06)</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ROA</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-0.139</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-0.272</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-0.175</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0.480</w:t>
            </w:r>
          </w:p>
        </w:tc>
      </w:tr>
      <w:tr>
        <w:tblPrEx>
          <w:tblCellMar>
            <w:top w:w="0" w:type="dxa"/>
            <w:left w:w="75" w:type="dxa"/>
            <w:bottom w:w="0" w:type="dxa"/>
            <w:right w:w="75" w:type="dxa"/>
          </w:tblCellMar>
        </w:tblPrEx>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(-0.91)</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(-1.03)</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(-1.36)</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(1.29)</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Mfee</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-0.301</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-0.306</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-0.259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0.876</w:t>
            </w:r>
          </w:p>
        </w:tc>
      </w:tr>
      <w:tr>
        <w:tblPrEx>
          <w:tblCellMar>
            <w:top w:w="0" w:type="dxa"/>
            <w:left w:w="75" w:type="dxa"/>
            <w:bottom w:w="0" w:type="dxa"/>
            <w:right w:w="75" w:type="dxa"/>
          </w:tblCellMar>
        </w:tblPrEx>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(-1.12)</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(-1.16)</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(-1.37)</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(0.75)</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FirmAge</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0.010</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0.174</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0.112</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0.214</w:t>
            </w:r>
          </w:p>
        </w:tc>
      </w:tr>
      <w:tr>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(0.05)</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(0.80)</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(0.77)</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(0.87)</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Top1</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0.080</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-0.079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-0.027</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0.705</w:t>
            </w:r>
          </w:p>
        </w:tc>
      </w:tr>
      <w:tr>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(0.73)</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(-0.67)</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(-0.29)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(1.10)</w:t>
            </w:r>
          </w:p>
        </w:tc>
      </w:tr>
      <w:tr>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CAPT</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0.015</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0.003</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0.021*</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0.006</w:t>
            </w:r>
          </w:p>
        </w:tc>
      </w:tr>
      <w:tr>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(1.01)</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(0.24)</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(1.74)</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(0.22)</w:t>
            </w:r>
          </w:p>
        </w:tc>
      </w:tr>
      <w:tr>
        <w:tblPrEx>
          <w:tblCellMar>
            <w:top w:w="0" w:type="dxa"/>
            <w:left w:w="75" w:type="dxa"/>
            <w:bottom w:w="0" w:type="dxa"/>
            <w:right w:w="75" w:type="dxa"/>
          </w:tblCellMar>
        </w:tblPrEx>
        <w:trPr>
          <w:jc w:val="center"/>
        </w:trPr>
        <w:tc>
          <w:tcPr>
            <w:tcW w:w="1814"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Constant</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-0.209</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-1.223</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-0.215</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-2.114</w:t>
            </w:r>
          </w:p>
        </w:tc>
      </w:tr>
      <w:tr>
        <w:tblPrEx>
          <w:tblCellMar>
            <w:top w:w="0" w:type="dxa"/>
            <w:left w:w="75" w:type="dxa"/>
            <w:bottom w:w="0" w:type="dxa"/>
            <w:right w:w="75" w:type="dxa"/>
          </w:tblCellMar>
        </w:tblPrEx>
        <w:trPr>
          <w:jc w:val="center"/>
        </w:trPr>
        <w:tc>
          <w:tcPr>
            <w:tcW w:w="1814" w:type="dxa"/>
            <w:vMerge w:val="continue"/>
            <w:tcBorders>
              <w:left w:val="nil"/>
              <w:bottom w:val="nil"/>
              <w:right w:val="nil"/>
            </w:tcBorders>
            <w:vAlign w:val="center"/>
          </w:tcPr>
          <w:p>
            <w:pPr>
              <w:autoSpaceDE w:val="0"/>
              <w:autoSpaceDN w:val="0"/>
              <w:adjustRightInd w:val="0"/>
              <w:jc w:val="center"/>
              <w:rPr>
                <w:kern w:val="0"/>
                <w:szCs w:val="21"/>
              </w:rPr>
            </w:pP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(-0.31)</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(-1.22)</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(-0.39)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(-0.93)</w:t>
            </w:r>
          </w:p>
        </w:tc>
      </w:tr>
      <w:tr>
        <w:trPr>
          <w:jc w:val="center"/>
        </w:trPr>
        <w:tc>
          <w:tcPr>
            <w:tcW w:w="1814" w:type="dxa"/>
            <w:tcBorders>
              <w:top w:val="nil"/>
              <w:left w:val="nil"/>
              <w:bottom w:val="nil"/>
              <w:right w:val="nil"/>
            </w:tcBorders>
            <w:vAlign w:val="center"/>
          </w:tcPr>
          <w:p>
            <w:pPr>
              <w:autoSpaceDE w:val="0"/>
              <w:autoSpaceDN w:val="0"/>
              <w:adjustRightInd w:val="0"/>
              <w:jc w:val="center"/>
              <w:rPr>
                <w:kern w:val="0"/>
                <w:szCs w:val="21"/>
              </w:rPr>
            </w:pPr>
            <w:r>
              <w:rPr>
                <w:kern w:val="0"/>
                <w:szCs w:val="21"/>
              </w:rPr>
              <w:t>Observations</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827</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413</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1,129</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110</w:t>
            </w:r>
          </w:p>
        </w:tc>
      </w:tr>
      <w:tr>
        <w:tblPrEx>
          <w:tblCellMar>
            <w:top w:w="0" w:type="dxa"/>
            <w:left w:w="75" w:type="dxa"/>
            <w:bottom w:w="0" w:type="dxa"/>
            <w:right w:w="75" w:type="dxa"/>
          </w:tblCellMar>
        </w:tblPrEx>
        <w:trPr>
          <w:jc w:val="center"/>
        </w:trPr>
        <w:tc>
          <w:tcPr>
            <w:tcW w:w="1814" w:type="dxa"/>
            <w:tcBorders>
              <w:top w:val="nil"/>
              <w:left w:val="nil"/>
              <w:bottom w:val="nil"/>
              <w:right w:val="nil"/>
            </w:tcBorders>
            <w:vAlign w:val="center"/>
          </w:tcPr>
          <w:p>
            <w:pPr>
              <w:autoSpaceDE w:val="0"/>
              <w:autoSpaceDN w:val="0"/>
              <w:adjustRightInd w:val="0"/>
              <w:jc w:val="center"/>
              <w:rPr>
                <w:kern w:val="0"/>
                <w:szCs w:val="21"/>
              </w:rPr>
            </w:pPr>
            <w:r>
              <w:rPr>
                <w:kern w:val="0"/>
                <w:szCs w:val="21"/>
              </w:rPr>
              <w:t>R-squared</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0.670</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0.766</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0.653</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0.623</w:t>
            </w:r>
          </w:p>
        </w:tc>
      </w:tr>
      <w:tr>
        <w:trPr>
          <w:jc w:val="center"/>
        </w:trPr>
        <w:tc>
          <w:tcPr>
            <w:tcW w:w="1814" w:type="dxa"/>
            <w:tcBorders>
              <w:top w:val="nil"/>
              <w:left w:val="nil"/>
              <w:bottom w:val="nil"/>
              <w:right w:val="nil"/>
            </w:tcBorders>
            <w:vAlign w:val="center"/>
          </w:tcPr>
          <w:p>
            <w:pPr>
              <w:autoSpaceDE w:val="0"/>
              <w:autoSpaceDN w:val="0"/>
              <w:adjustRightInd w:val="0"/>
              <w:jc w:val="center"/>
              <w:rPr>
                <w:kern w:val="0"/>
                <w:szCs w:val="21"/>
              </w:rPr>
            </w:pPr>
            <w:r>
              <w:rPr>
                <w:kern w:val="0"/>
                <w:szCs w:val="21"/>
              </w:rPr>
              <w:t>code FE</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YES</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1814"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year FE</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361"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YES</w:t>
            </w:r>
          </w:p>
        </w:tc>
        <w:tc>
          <w:tcPr>
            <w:tcW w:w="1361" w:type="dxa"/>
            <w:tcBorders>
              <w:top w:val="nil"/>
              <w:left w:val="nil"/>
              <w:bottom w:val="nil"/>
              <w:right w:val="nil"/>
            </w:tcBorders>
          </w:tcPr>
          <w:p>
            <w:pPr>
              <w:autoSpaceDE w:val="0"/>
              <w:autoSpaceDN w:val="0"/>
              <w:adjustRightInd w:val="0"/>
              <w:jc w:val="center"/>
              <w:rPr>
                <w:kern w:val="0"/>
                <w:szCs w:val="21"/>
              </w:rPr>
            </w:pPr>
            <w:r>
              <w:rPr>
                <w:kern w:val="0"/>
                <w:szCs w:val="21"/>
              </w:rPr>
              <w:t>YES</w:t>
            </w:r>
          </w:p>
        </w:tc>
      </w:tr>
      <w:tr>
        <w:tblPrEx>
          <w:tblCellMar>
            <w:top w:w="0" w:type="dxa"/>
            <w:left w:w="75" w:type="dxa"/>
            <w:bottom w:w="0" w:type="dxa"/>
            <w:right w:w="75" w:type="dxa"/>
          </w:tblCellMar>
        </w:tblPrEx>
        <w:trPr>
          <w:jc w:val="center"/>
        </w:trPr>
        <w:tc>
          <w:tcPr>
            <w:tcW w:w="1814" w:type="dxa"/>
            <w:tcBorders>
              <w:top w:val="nil"/>
              <w:left w:val="nil"/>
              <w:right w:val="nil"/>
            </w:tcBorders>
            <w:vAlign w:val="center"/>
          </w:tcPr>
          <w:p>
            <w:pPr>
              <w:autoSpaceDE w:val="0"/>
              <w:autoSpaceDN w:val="0"/>
              <w:adjustRightInd w:val="0"/>
              <w:jc w:val="center"/>
              <w:rPr>
                <w:kern w:val="0"/>
                <w:szCs w:val="21"/>
              </w:rPr>
            </w:pPr>
            <w:r>
              <w:rPr>
                <w:kern w:val="0"/>
                <w:szCs w:val="21"/>
              </w:rPr>
              <w:t>r2_a</w:t>
            </w:r>
          </w:p>
        </w:tc>
        <w:tc>
          <w:tcPr>
            <w:tcW w:w="1361" w:type="dxa"/>
            <w:tcBorders>
              <w:top w:val="nil"/>
              <w:left w:val="nil"/>
              <w:right w:val="nil"/>
            </w:tcBorders>
            <w:vAlign w:val="center"/>
          </w:tcPr>
          <w:p>
            <w:pPr>
              <w:autoSpaceDE w:val="0"/>
              <w:autoSpaceDN w:val="0"/>
              <w:adjustRightInd w:val="0"/>
              <w:jc w:val="center"/>
              <w:rPr>
                <w:kern w:val="0"/>
                <w:szCs w:val="21"/>
              </w:rPr>
            </w:pPr>
            <w:r>
              <w:rPr>
                <w:kern w:val="0"/>
                <w:szCs w:val="21"/>
              </w:rPr>
              <w:t>0.509</w:t>
            </w:r>
          </w:p>
        </w:tc>
        <w:tc>
          <w:tcPr>
            <w:tcW w:w="1361" w:type="dxa"/>
            <w:tcBorders>
              <w:top w:val="nil"/>
              <w:left w:val="nil"/>
              <w:right w:val="nil"/>
            </w:tcBorders>
            <w:vAlign w:val="center"/>
          </w:tcPr>
          <w:p>
            <w:pPr>
              <w:autoSpaceDE w:val="0"/>
              <w:autoSpaceDN w:val="0"/>
              <w:adjustRightInd w:val="0"/>
              <w:jc w:val="center"/>
              <w:rPr>
                <w:kern w:val="0"/>
                <w:szCs w:val="21"/>
              </w:rPr>
            </w:pPr>
            <w:r>
              <w:rPr>
                <w:kern w:val="0"/>
                <w:szCs w:val="21"/>
              </w:rPr>
              <w:t>0.556</w:t>
            </w:r>
          </w:p>
        </w:tc>
        <w:tc>
          <w:tcPr>
            <w:tcW w:w="1361" w:type="dxa"/>
            <w:tcBorders>
              <w:top w:val="nil"/>
              <w:left w:val="nil"/>
              <w:right w:val="nil"/>
            </w:tcBorders>
          </w:tcPr>
          <w:p>
            <w:pPr>
              <w:autoSpaceDE w:val="0"/>
              <w:autoSpaceDN w:val="0"/>
              <w:adjustRightInd w:val="0"/>
              <w:jc w:val="center"/>
              <w:rPr>
                <w:kern w:val="0"/>
                <w:szCs w:val="21"/>
              </w:rPr>
            </w:pPr>
            <w:r>
              <w:rPr>
                <w:kern w:val="0"/>
                <w:szCs w:val="21"/>
              </w:rPr>
              <w:t>0.530</w:t>
            </w:r>
          </w:p>
        </w:tc>
        <w:tc>
          <w:tcPr>
            <w:tcW w:w="1361" w:type="dxa"/>
            <w:tcBorders>
              <w:top w:val="nil"/>
              <w:left w:val="nil"/>
              <w:right w:val="nil"/>
            </w:tcBorders>
          </w:tcPr>
          <w:p>
            <w:pPr>
              <w:autoSpaceDE w:val="0"/>
              <w:autoSpaceDN w:val="0"/>
              <w:adjustRightInd w:val="0"/>
              <w:jc w:val="center"/>
              <w:rPr>
                <w:kern w:val="0"/>
                <w:szCs w:val="21"/>
              </w:rPr>
            </w:pPr>
            <w:r>
              <w:rPr>
                <w:kern w:val="0"/>
                <w:szCs w:val="21"/>
              </w:rPr>
              <w:t>0.404</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CellMar>
            <w:top w:w="0" w:type="dxa"/>
            <w:left w:w="75" w:type="dxa"/>
            <w:bottom w:w="0" w:type="dxa"/>
            <w:right w:w="75" w:type="dxa"/>
          </w:tblCellMar>
        </w:tblPrEx>
        <w:trPr>
          <w:jc w:val="center"/>
        </w:trPr>
        <w:tc>
          <w:tcPr>
            <w:tcW w:w="1814"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F</w:t>
            </w:r>
          </w:p>
        </w:tc>
        <w:tc>
          <w:tcPr>
            <w:tcW w:w="1361"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1.212</w:t>
            </w:r>
          </w:p>
        </w:tc>
        <w:tc>
          <w:tcPr>
            <w:tcW w:w="1361"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0.981</w:t>
            </w:r>
          </w:p>
        </w:tc>
        <w:tc>
          <w:tcPr>
            <w:tcW w:w="1361" w:type="dxa"/>
            <w:tcBorders>
              <w:top w:val="nil"/>
              <w:left w:val="nil"/>
              <w:bottom w:val="single" w:color="auto" w:sz="12" w:space="0"/>
              <w:right w:val="nil"/>
            </w:tcBorders>
          </w:tcPr>
          <w:p>
            <w:pPr>
              <w:autoSpaceDE w:val="0"/>
              <w:autoSpaceDN w:val="0"/>
              <w:adjustRightInd w:val="0"/>
              <w:jc w:val="center"/>
              <w:rPr>
                <w:kern w:val="0"/>
                <w:szCs w:val="21"/>
              </w:rPr>
            </w:pPr>
            <w:r>
              <w:rPr>
                <w:kern w:val="0"/>
                <w:szCs w:val="21"/>
              </w:rPr>
              <w:t>1.946</w:t>
            </w:r>
          </w:p>
        </w:tc>
        <w:tc>
          <w:tcPr>
            <w:tcW w:w="1361" w:type="dxa"/>
            <w:tcBorders>
              <w:top w:val="nil"/>
              <w:left w:val="nil"/>
              <w:bottom w:val="single" w:color="auto" w:sz="12" w:space="0"/>
              <w:right w:val="nil"/>
            </w:tcBorders>
          </w:tcPr>
          <w:p>
            <w:pPr>
              <w:autoSpaceDE w:val="0"/>
              <w:autoSpaceDN w:val="0"/>
              <w:adjustRightInd w:val="0"/>
              <w:jc w:val="center"/>
              <w:rPr>
                <w:kern w:val="0"/>
                <w:szCs w:val="21"/>
              </w:rPr>
            </w:pPr>
            <w:r>
              <w:rPr>
                <w:kern w:val="0"/>
                <w:szCs w:val="21"/>
              </w:rPr>
              <w:t>0.693</w:t>
            </w:r>
          </w:p>
        </w:tc>
      </w:tr>
    </w:tbl>
    <w:p>
      <w:pPr>
        <w:spacing w:before="156" w:beforeLines="50" w:line="360" w:lineRule="auto"/>
        <w:ind w:firstLine="480" w:firstLineChars="200"/>
        <w:jc w:val="left"/>
        <w:rPr>
          <w:sz w:val="24"/>
          <w:szCs w:val="24"/>
        </w:rPr>
      </w:pPr>
      <w:r>
        <w:rPr>
          <w:rFonts w:hint="eastAsia"/>
          <w:sz w:val="24"/>
          <w:szCs w:val="24"/>
        </w:rPr>
        <w:t>根据表4</w:t>
      </w:r>
      <w:r>
        <w:rPr>
          <w:sz w:val="24"/>
          <w:szCs w:val="24"/>
        </w:rPr>
        <w:t>-9</w:t>
      </w:r>
      <w:r>
        <w:rPr>
          <w:rFonts w:hint="eastAsia"/>
          <w:sz w:val="24"/>
          <w:szCs w:val="24"/>
        </w:rPr>
        <w:t>回归结果，可以发现无论独董高低审计试点都会促进企业绿色技术创新，但是独董比例更高的企业会更加显著，因此可以认为独立董事占比更高的企业具有更好的内部治理环境，从而更有利于绿色技术创新水平的提升；非四大审计组的审计试点政策对于企业绿色技术创新的提升更为显著，这可能是因为四大审计会对企业的研发资金投入进行有效的外部监督，从而促使形成一套完整稳定的研发投入体系，从而受外部政策的影响较小，因此技术创新提升的程度不明显，而非四大审计的企业在这方面研发管理上可能相对欠缺，在外部政策冲击下，更有动力做出改变。</w:t>
      </w:r>
    </w:p>
    <w:p>
      <w:pPr>
        <w:spacing w:before="156" w:beforeLines="50" w:after="156" w:afterLines="50"/>
        <w:jc w:val="left"/>
        <w:outlineLvl w:val="2"/>
        <w:rPr>
          <w:rFonts w:ascii="黑体" w:eastAsia="黑体"/>
          <w:b/>
          <w:color w:val="FF0000"/>
          <w:sz w:val="24"/>
        </w:rPr>
      </w:pPr>
      <w:r>
        <w:rPr>
          <w:b/>
          <w:sz w:val="24"/>
        </w:rPr>
        <w:t>4.5.4</w:t>
      </w:r>
      <w:r>
        <w:rPr>
          <w:rFonts w:hint="eastAsia" w:ascii="黑体" w:eastAsia="黑体"/>
          <w:b/>
          <w:sz w:val="24"/>
        </w:rPr>
        <w:t xml:space="preserve"> 企业股权结构与绿色技术创新</w:t>
      </w:r>
    </w:p>
    <w:p>
      <w:pPr>
        <w:spacing w:line="360" w:lineRule="auto"/>
        <w:ind w:firstLine="480" w:firstLineChars="200"/>
        <w:jc w:val="left"/>
        <w:rPr>
          <w:sz w:val="24"/>
          <w:szCs w:val="24"/>
        </w:rPr>
      </w:pPr>
      <w:r>
        <w:rPr>
          <w:rFonts w:hint="eastAsia"/>
          <w:sz w:val="24"/>
          <w:szCs w:val="24"/>
        </w:rPr>
        <w:t>根据吴育辉（2</w:t>
      </w:r>
      <w:r>
        <w:rPr>
          <w:sz w:val="24"/>
          <w:szCs w:val="24"/>
        </w:rPr>
        <w:t>011</w:t>
      </w:r>
      <w:r>
        <w:rPr>
          <w:rFonts w:hint="eastAsia"/>
          <w:sz w:val="24"/>
          <w:szCs w:val="24"/>
        </w:rPr>
        <w:t>）研究发现股权集中度越高时，控股股东受其他股东的约束越少，更有能力对管理层的行为进行有效监督，从而降低代理成本，沈毅（2</w:t>
      </w:r>
      <w:r>
        <w:rPr>
          <w:sz w:val="24"/>
          <w:szCs w:val="24"/>
        </w:rPr>
        <w:t>020</w:t>
      </w:r>
      <w:r>
        <w:rPr>
          <w:rFonts w:hint="eastAsia"/>
          <w:sz w:val="24"/>
          <w:szCs w:val="24"/>
        </w:rPr>
        <w:t>）也认为股权集中度越高会降低高管的道德风险，从而使研发资金可以得到有效利用。本文通过股权集中度（大股东持股占比）以及股权制衡度（第二到五大股东持股/第一大股东持股）对企业的股权结构进行衡量。</w:t>
      </w:r>
    </w:p>
    <w:p>
      <w:pPr>
        <w:spacing w:line="360" w:lineRule="auto"/>
        <w:ind w:firstLine="480" w:firstLineChars="200"/>
        <w:jc w:val="left"/>
        <w:rPr>
          <w:sz w:val="24"/>
          <w:szCs w:val="24"/>
        </w:rPr>
      </w:pPr>
      <w:r>
        <w:rPr>
          <w:rFonts w:hint="eastAsia"/>
          <w:sz w:val="24"/>
          <w:szCs w:val="24"/>
        </w:rPr>
        <w:t>本文使用股权集中度和股权制衡度的均值作为分组标准，将企业分为高股权集中度组和低股权集中度组以及高股权制衡度组和低股权制衡度组，分别进行回归，回归结果如表4</w:t>
      </w:r>
      <w:r>
        <w:rPr>
          <w:sz w:val="24"/>
          <w:szCs w:val="24"/>
        </w:rPr>
        <w:t>-10</w:t>
      </w:r>
      <w:r>
        <w:rPr>
          <w:rFonts w:hint="eastAsia"/>
          <w:sz w:val="24"/>
          <w:szCs w:val="24"/>
        </w:rPr>
        <w:t>所示。</w:t>
      </w:r>
    </w:p>
    <w:p>
      <w:pPr>
        <w:pStyle w:val="4"/>
        <w:spacing w:after="156"/>
        <w:rPr>
          <w:szCs w:val="24"/>
        </w:rPr>
      </w:pPr>
      <w:bookmarkStart w:id="131" w:name="_Toc104376100"/>
      <w:r>
        <w:rPr>
          <w:rFonts w:hint="eastAsia"/>
          <w:szCs w:val="24"/>
        </w:rPr>
        <w:t>表4-</w:t>
      </w:r>
      <w:r>
        <w:rPr>
          <w:szCs w:val="24"/>
        </w:rPr>
        <w:fldChar w:fldCharType="begin"/>
      </w:r>
      <w:r>
        <w:rPr>
          <w:szCs w:val="24"/>
        </w:rPr>
        <w:instrText xml:space="preserve"> </w:instrText>
      </w:r>
      <w:r>
        <w:rPr>
          <w:rFonts w:hint="eastAsia"/>
          <w:szCs w:val="24"/>
        </w:rPr>
        <w:instrText xml:space="preserve">SEQ 表4- \* ARABIC</w:instrText>
      </w:r>
      <w:r>
        <w:rPr>
          <w:szCs w:val="24"/>
        </w:rPr>
        <w:instrText xml:space="preserve"> </w:instrText>
      </w:r>
      <w:r>
        <w:rPr>
          <w:szCs w:val="24"/>
        </w:rPr>
        <w:fldChar w:fldCharType="separate"/>
      </w:r>
      <w:r>
        <w:rPr>
          <w:szCs w:val="24"/>
        </w:rPr>
        <w:t>10</w:t>
      </w:r>
      <w:r>
        <w:rPr>
          <w:szCs w:val="24"/>
        </w:rPr>
        <w:fldChar w:fldCharType="end"/>
      </w:r>
      <w:r>
        <w:rPr>
          <w:szCs w:val="24"/>
        </w:rPr>
        <w:t xml:space="preserve"> 企业</w:t>
      </w:r>
      <w:r>
        <w:rPr>
          <w:rFonts w:hint="eastAsia"/>
          <w:szCs w:val="24"/>
        </w:rPr>
        <w:t>股权结构</w:t>
      </w:r>
      <w:r>
        <w:rPr>
          <w:szCs w:val="24"/>
        </w:rPr>
        <w:t>与</w:t>
      </w:r>
      <w:r>
        <w:rPr>
          <w:rFonts w:hint="eastAsia"/>
          <w:szCs w:val="24"/>
        </w:rPr>
        <w:t>绿色技术创新</w:t>
      </w:r>
      <w:bookmarkEnd w:id="131"/>
    </w:p>
    <w:tbl>
      <w:tblPr>
        <w:tblStyle w:val="14"/>
        <w:tblW w:w="7369" w:type="dxa"/>
        <w:jc w:val="center"/>
        <w:tblLayout w:type="fixed"/>
        <w:tblCellMar>
          <w:top w:w="0" w:type="dxa"/>
          <w:left w:w="75" w:type="dxa"/>
          <w:bottom w:w="0" w:type="dxa"/>
          <w:right w:w="75" w:type="dxa"/>
        </w:tblCellMar>
      </w:tblPr>
      <w:tblGrid>
        <w:gridCol w:w="1701"/>
        <w:gridCol w:w="1417"/>
        <w:gridCol w:w="1417"/>
        <w:gridCol w:w="1417"/>
        <w:gridCol w:w="1417"/>
      </w:tblGrid>
      <w:tr>
        <w:tblPrEx>
          <w:tblCellMar>
            <w:top w:w="0" w:type="dxa"/>
            <w:left w:w="75" w:type="dxa"/>
            <w:bottom w:w="0" w:type="dxa"/>
            <w:right w:w="75" w:type="dxa"/>
          </w:tblCellMar>
        </w:tblPrEx>
        <w:trPr>
          <w:jc w:val="center"/>
        </w:trPr>
        <w:tc>
          <w:tcPr>
            <w:tcW w:w="1701" w:type="dxa"/>
            <w:vMerge w:val="restart"/>
            <w:tcBorders>
              <w:top w:val="single" w:color="auto" w:sz="12" w:space="0"/>
              <w:left w:val="nil"/>
              <w:right w:val="nil"/>
            </w:tcBorders>
            <w:vAlign w:val="center"/>
          </w:tcPr>
          <w:p>
            <w:pPr>
              <w:autoSpaceDE w:val="0"/>
              <w:autoSpaceDN w:val="0"/>
              <w:adjustRightInd w:val="0"/>
              <w:jc w:val="center"/>
              <w:rPr>
                <w:kern w:val="0"/>
                <w:szCs w:val="21"/>
              </w:rPr>
            </w:pPr>
            <w:r>
              <w:rPr>
                <w:kern w:val="0"/>
                <w:szCs w:val="21"/>
              </w:rPr>
              <w:t>变量名</w:t>
            </w:r>
          </w:p>
        </w:tc>
        <w:tc>
          <w:tcPr>
            <w:tcW w:w="2834" w:type="dxa"/>
            <w:gridSpan w:val="2"/>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股权集中度</w:t>
            </w:r>
          </w:p>
        </w:tc>
        <w:tc>
          <w:tcPr>
            <w:tcW w:w="2834" w:type="dxa"/>
            <w:gridSpan w:val="2"/>
            <w:tcBorders>
              <w:top w:val="single" w:color="auto" w:sz="12" w:space="0"/>
              <w:left w:val="nil"/>
              <w:bottom w:val="single" w:color="auto" w:sz="4" w:space="0"/>
              <w:right w:val="nil"/>
            </w:tcBorders>
            <w:vAlign w:val="center"/>
          </w:tcPr>
          <w:p>
            <w:pPr>
              <w:autoSpaceDE w:val="0"/>
              <w:autoSpaceDN w:val="0"/>
              <w:adjustRightInd w:val="0"/>
              <w:jc w:val="center"/>
              <w:rPr>
                <w:kern w:val="0"/>
                <w:szCs w:val="21"/>
              </w:rPr>
            </w:pPr>
            <w:r>
              <w:rPr>
                <w:kern w:val="0"/>
                <w:szCs w:val="21"/>
              </w:rPr>
              <w:t>股权制衡度</w:t>
            </w:r>
          </w:p>
        </w:tc>
      </w:tr>
      <w:tr>
        <w:tblPrEx>
          <w:tblCellMar>
            <w:top w:w="0" w:type="dxa"/>
            <w:left w:w="75" w:type="dxa"/>
            <w:bottom w:w="0" w:type="dxa"/>
            <w:right w:w="75" w:type="dxa"/>
          </w:tblCellMar>
        </w:tblPrEx>
        <w:trPr>
          <w:jc w:val="center"/>
        </w:trPr>
        <w:tc>
          <w:tcPr>
            <w:tcW w:w="1701" w:type="dxa"/>
            <w:vMerge w:val="continue"/>
            <w:tcBorders>
              <w:left w:val="nil"/>
              <w:bottom w:val="single" w:color="auto" w:sz="4" w:space="0"/>
              <w:right w:val="nil"/>
            </w:tcBorders>
            <w:vAlign w:val="center"/>
          </w:tcPr>
          <w:p>
            <w:pPr>
              <w:autoSpaceDE w:val="0"/>
              <w:autoSpaceDN w:val="0"/>
              <w:adjustRightInd w:val="0"/>
              <w:jc w:val="center"/>
              <w:rPr>
                <w:kern w:val="0"/>
                <w:szCs w:val="21"/>
              </w:rPr>
            </w:pPr>
          </w:p>
        </w:tc>
        <w:tc>
          <w:tcPr>
            <w:tcW w:w="1417"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高</w:t>
            </w:r>
          </w:p>
        </w:tc>
        <w:tc>
          <w:tcPr>
            <w:tcW w:w="1417"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低</w:t>
            </w:r>
          </w:p>
        </w:tc>
        <w:tc>
          <w:tcPr>
            <w:tcW w:w="1417"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高</w:t>
            </w:r>
          </w:p>
        </w:tc>
        <w:tc>
          <w:tcPr>
            <w:tcW w:w="1417" w:type="dxa"/>
            <w:tcBorders>
              <w:top w:val="single" w:color="auto" w:sz="4" w:space="0"/>
              <w:left w:val="nil"/>
              <w:bottom w:val="single" w:color="auto" w:sz="4" w:space="0"/>
              <w:right w:val="nil"/>
            </w:tcBorders>
            <w:vAlign w:val="center"/>
          </w:tcPr>
          <w:p>
            <w:pPr>
              <w:autoSpaceDE w:val="0"/>
              <w:autoSpaceDN w:val="0"/>
              <w:adjustRightInd w:val="0"/>
              <w:jc w:val="center"/>
              <w:rPr>
                <w:kern w:val="0"/>
                <w:szCs w:val="21"/>
              </w:rPr>
            </w:pPr>
            <w:r>
              <w:rPr>
                <w:rFonts w:hint="eastAsia"/>
                <w:kern w:val="0"/>
                <w:szCs w:val="21"/>
              </w:rPr>
              <w:t>低</w:t>
            </w:r>
          </w:p>
        </w:tc>
      </w:tr>
      <w:tr>
        <w:tblPrEx>
          <w:tblCellMar>
            <w:top w:w="0" w:type="dxa"/>
            <w:left w:w="75" w:type="dxa"/>
            <w:bottom w:w="0" w:type="dxa"/>
            <w:right w:w="75" w:type="dxa"/>
          </w:tblCellMar>
        </w:tblPrEx>
        <w:trPr>
          <w:jc w:val="center"/>
        </w:trPr>
        <w:tc>
          <w:tcPr>
            <w:tcW w:w="1701" w:type="dxa"/>
            <w:vMerge w:val="restart"/>
            <w:tcBorders>
              <w:top w:val="single" w:color="auto" w:sz="4" w:space="0"/>
              <w:left w:val="nil"/>
              <w:right w:val="nil"/>
            </w:tcBorders>
            <w:vAlign w:val="center"/>
          </w:tcPr>
          <w:p>
            <w:pPr>
              <w:autoSpaceDE w:val="0"/>
              <w:autoSpaceDN w:val="0"/>
              <w:adjustRightInd w:val="0"/>
              <w:jc w:val="center"/>
              <w:rPr>
                <w:kern w:val="0"/>
                <w:szCs w:val="21"/>
              </w:rPr>
            </w:pPr>
            <w:r>
              <w:rPr>
                <w:kern w:val="0"/>
                <w:szCs w:val="21"/>
              </w:rPr>
              <w:t>Treat*Post</w:t>
            </w:r>
          </w:p>
        </w:tc>
        <w:tc>
          <w:tcPr>
            <w:tcW w:w="1417"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0.062**</w:t>
            </w:r>
          </w:p>
        </w:tc>
        <w:tc>
          <w:tcPr>
            <w:tcW w:w="1417"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0.013</w:t>
            </w:r>
          </w:p>
        </w:tc>
        <w:tc>
          <w:tcPr>
            <w:tcW w:w="1417"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0.020</w:t>
            </w:r>
          </w:p>
        </w:tc>
        <w:tc>
          <w:tcPr>
            <w:tcW w:w="1417" w:type="dxa"/>
            <w:tcBorders>
              <w:top w:val="single" w:color="auto" w:sz="4" w:space="0"/>
              <w:left w:val="nil"/>
              <w:bottom w:val="nil"/>
              <w:right w:val="nil"/>
            </w:tcBorders>
            <w:vAlign w:val="center"/>
          </w:tcPr>
          <w:p>
            <w:pPr>
              <w:autoSpaceDE w:val="0"/>
              <w:autoSpaceDN w:val="0"/>
              <w:adjustRightInd w:val="0"/>
              <w:jc w:val="center"/>
              <w:rPr>
                <w:kern w:val="0"/>
                <w:szCs w:val="21"/>
              </w:rPr>
            </w:pPr>
            <w:r>
              <w:rPr>
                <w:kern w:val="0"/>
                <w:szCs w:val="21"/>
              </w:rPr>
              <w:t>0.051*</w:t>
            </w:r>
          </w:p>
        </w:tc>
      </w:tr>
      <w:tr>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(2.05)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(1.26)</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(1.76)</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Size</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-0.008</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-0.036</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0.020</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(1.51)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(0.93)</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Lev</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-0.042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-0.107</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0.111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-0.095</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(-0.44)</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(-0.99)</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(1.34)</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(-1.11)</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ROA</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-0.153</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-0.079</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0.062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-0.106</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(-1.05)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(-0.70)</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Mfee</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-0.085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-0.378</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-0.538**</w:t>
            </w:r>
          </w:p>
        </w:tc>
      </w:tr>
      <w:tr>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(-0.43)</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(-1.65)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(-0.18)</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(-2.31)</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FirmAge</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0.195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-0.006</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0.170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0.116</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(1.28)</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(-0.03)</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(1.20)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(0.55)</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Top1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-0.052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0.114</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0.156</w:t>
            </w:r>
          </w:p>
        </w:tc>
      </w:tr>
      <w:tr>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(1.03)</w:t>
            </w:r>
          </w:p>
        </w:tc>
      </w:tr>
      <w:tr>
        <w:tblPrEx>
          <w:tblCellMar>
            <w:top w:w="0" w:type="dxa"/>
            <w:left w:w="75" w:type="dxa"/>
            <w:bottom w:w="0" w:type="dxa"/>
            <w:right w:w="75" w:type="dxa"/>
          </w:tblCellMar>
        </w:tblPrEx>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CAPT</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-0.000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0.012</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(-0.02)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(0.91)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(0.80)</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(1.12)</w:t>
            </w:r>
          </w:p>
        </w:tc>
      </w:tr>
      <w:tr>
        <w:trPr>
          <w:jc w:val="center"/>
        </w:trPr>
        <w:tc>
          <w:tcPr>
            <w:tcW w:w="1701" w:type="dxa"/>
            <w:vMerge w:val="restart"/>
            <w:tcBorders>
              <w:top w:val="nil"/>
              <w:left w:val="nil"/>
              <w:right w:val="nil"/>
            </w:tcBorders>
            <w:vAlign w:val="center"/>
          </w:tcPr>
          <w:p>
            <w:pPr>
              <w:autoSpaceDE w:val="0"/>
              <w:autoSpaceDN w:val="0"/>
              <w:adjustRightInd w:val="0"/>
              <w:jc w:val="center"/>
              <w:rPr>
                <w:kern w:val="0"/>
                <w:szCs w:val="21"/>
              </w:rPr>
            </w:pPr>
            <w:r>
              <w:rPr>
                <w:kern w:val="0"/>
                <w:szCs w:val="21"/>
              </w:rPr>
              <w:t>Constant</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-1.135*</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0.327</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0.363</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-0.695</w:t>
            </w:r>
          </w:p>
        </w:tc>
      </w:tr>
      <w:tr>
        <w:tblPrEx>
          <w:tblCellMar>
            <w:top w:w="0" w:type="dxa"/>
            <w:left w:w="75" w:type="dxa"/>
            <w:bottom w:w="0" w:type="dxa"/>
            <w:right w:w="75" w:type="dxa"/>
          </w:tblCellMar>
        </w:tblPrEx>
        <w:trPr>
          <w:jc w:val="center"/>
        </w:trPr>
        <w:tc>
          <w:tcPr>
            <w:tcW w:w="1701" w:type="dxa"/>
            <w:vMerge w:val="continue"/>
            <w:tcBorders>
              <w:left w:val="nil"/>
              <w:bottom w:val="nil"/>
              <w:right w:val="nil"/>
            </w:tcBorders>
            <w:vAlign w:val="center"/>
          </w:tcPr>
          <w:p>
            <w:pPr>
              <w:autoSpaceDE w:val="0"/>
              <w:autoSpaceDN w:val="0"/>
              <w:adjustRightInd w:val="0"/>
              <w:jc w:val="center"/>
              <w:rPr>
                <w:kern w:val="0"/>
                <w:szCs w:val="21"/>
              </w:rPr>
            </w:pP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(-1.76)</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(0.43)</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(0.54)</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(-0.89)</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Observations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572</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641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429</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762</w:t>
            </w:r>
          </w:p>
        </w:tc>
      </w:tr>
      <w:tr>
        <w:tblPrEx>
          <w:tblCellMar>
            <w:top w:w="0" w:type="dxa"/>
            <w:left w:w="75" w:type="dxa"/>
            <w:bottom w:w="0" w:type="dxa"/>
            <w:right w:w="75" w:type="dxa"/>
          </w:tblCellMar>
        </w:tblPrEx>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R-squared</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0.664</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0.673</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0.736</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0.634</w:t>
            </w:r>
          </w:p>
        </w:tc>
      </w:tr>
      <w:tr>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code FE</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year FE</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YES</w:t>
            </w:r>
          </w:p>
        </w:tc>
      </w:tr>
      <w:tr>
        <w:trPr>
          <w:jc w:val="center"/>
        </w:trPr>
        <w:tc>
          <w:tcPr>
            <w:tcW w:w="1701" w:type="dxa"/>
            <w:tcBorders>
              <w:top w:val="nil"/>
              <w:left w:val="nil"/>
              <w:bottom w:val="nil"/>
              <w:right w:val="nil"/>
            </w:tcBorders>
            <w:vAlign w:val="center"/>
          </w:tcPr>
          <w:p>
            <w:pPr>
              <w:autoSpaceDE w:val="0"/>
              <w:autoSpaceDN w:val="0"/>
              <w:adjustRightInd w:val="0"/>
              <w:jc w:val="center"/>
              <w:rPr>
                <w:kern w:val="0"/>
                <w:szCs w:val="21"/>
              </w:rPr>
            </w:pPr>
            <w:r>
              <w:rPr>
                <w:kern w:val="0"/>
                <w:szCs w:val="21"/>
              </w:rPr>
              <w:t>r2_a</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0.531</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0.546</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0.618</w:t>
            </w:r>
          </w:p>
        </w:tc>
        <w:tc>
          <w:tcPr>
            <w:tcW w:w="1417" w:type="dxa"/>
            <w:tcBorders>
              <w:top w:val="nil"/>
              <w:left w:val="nil"/>
              <w:bottom w:val="nil"/>
              <w:right w:val="nil"/>
            </w:tcBorders>
            <w:vAlign w:val="center"/>
          </w:tcPr>
          <w:p>
            <w:pPr>
              <w:autoSpaceDE w:val="0"/>
              <w:autoSpaceDN w:val="0"/>
              <w:adjustRightInd w:val="0"/>
              <w:jc w:val="center"/>
              <w:rPr>
                <w:kern w:val="0"/>
                <w:szCs w:val="21"/>
              </w:rPr>
            </w:pPr>
            <w:r>
              <w:rPr>
                <w:kern w:val="0"/>
                <w:szCs w:val="21"/>
              </w:rPr>
              <w:t>0.487</w:t>
            </w:r>
          </w:p>
        </w:tc>
      </w:tr>
      <w:tr>
        <w:tblPrEx>
          <w:tblBorders>
            <w:top w:val="none" w:color="auto" w:sz="0" w:space="0"/>
            <w:left w:val="none" w:color="auto" w:sz="0" w:space="0"/>
            <w:bottom w:val="single" w:color="auto" w:sz="6" w:space="0"/>
            <w:right w:val="none" w:color="auto" w:sz="0" w:space="0"/>
            <w:insideH w:val="none" w:color="auto" w:sz="0" w:space="0"/>
            <w:insideV w:val="none" w:color="auto" w:sz="0" w:space="0"/>
          </w:tblBorders>
        </w:tblPrEx>
        <w:trPr>
          <w:jc w:val="center"/>
        </w:trPr>
        <w:tc>
          <w:tcPr>
            <w:tcW w:w="1701"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F</w:t>
            </w:r>
          </w:p>
        </w:tc>
        <w:tc>
          <w:tcPr>
            <w:tcW w:w="1417"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1.180</w:t>
            </w:r>
          </w:p>
        </w:tc>
        <w:tc>
          <w:tcPr>
            <w:tcW w:w="1417"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0.590</w:t>
            </w:r>
          </w:p>
        </w:tc>
        <w:tc>
          <w:tcPr>
            <w:tcW w:w="1417"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0.877</w:t>
            </w:r>
          </w:p>
        </w:tc>
        <w:tc>
          <w:tcPr>
            <w:tcW w:w="1417" w:type="dxa"/>
            <w:tcBorders>
              <w:top w:val="nil"/>
              <w:left w:val="nil"/>
              <w:bottom w:val="single" w:color="auto" w:sz="12" w:space="0"/>
              <w:right w:val="nil"/>
            </w:tcBorders>
            <w:vAlign w:val="center"/>
          </w:tcPr>
          <w:p>
            <w:pPr>
              <w:autoSpaceDE w:val="0"/>
              <w:autoSpaceDN w:val="0"/>
              <w:adjustRightInd w:val="0"/>
              <w:jc w:val="center"/>
              <w:rPr>
                <w:kern w:val="0"/>
                <w:szCs w:val="21"/>
              </w:rPr>
            </w:pPr>
            <w:r>
              <w:rPr>
                <w:kern w:val="0"/>
                <w:szCs w:val="21"/>
              </w:rPr>
              <w:t>1.630</w:t>
            </w:r>
          </w:p>
        </w:tc>
      </w:tr>
    </w:tbl>
    <w:p>
      <w:pPr>
        <w:spacing w:before="156" w:beforeLines="50" w:line="360" w:lineRule="auto"/>
        <w:ind w:firstLine="480" w:firstLineChars="200"/>
        <w:jc w:val="left"/>
        <w:rPr>
          <w:b/>
          <w:sz w:val="28"/>
          <w:szCs w:val="28"/>
        </w:rPr>
      </w:pPr>
      <w:r>
        <w:rPr>
          <w:rFonts w:hint="eastAsia"/>
          <w:sz w:val="24"/>
          <w:szCs w:val="24"/>
        </w:rPr>
        <w:t>根据表4</w:t>
      </w:r>
      <w:r>
        <w:rPr>
          <w:sz w:val="24"/>
          <w:szCs w:val="24"/>
        </w:rPr>
        <w:t>-10</w:t>
      </w:r>
      <w:r>
        <w:rPr>
          <w:rFonts w:hint="eastAsia"/>
          <w:sz w:val="24"/>
          <w:szCs w:val="24"/>
        </w:rPr>
        <w:t>回归结果显示，高股权集中度组以及低股权制衡度组对于审计试点的冲击在提升企业绿色技术创新层面的正向影响更为显著，这可能是因为高股权集中度、低股权制衡度的企业更有利于管理层和治理层实现意见一致，在面对外部政策冲击时，更有效率迅速作出反应，并且有效得以实施，从而绿色技术创新水平的提升效果更加明显。</w:t>
      </w:r>
    </w:p>
    <w:p>
      <w:pPr>
        <w:spacing w:before="156" w:beforeLines="50" w:after="156" w:afterLines="50"/>
        <w:jc w:val="left"/>
        <w:outlineLvl w:val="1"/>
        <w:rPr>
          <w:rFonts w:ascii="黑体" w:eastAsia="黑体"/>
          <w:b/>
          <w:sz w:val="28"/>
          <w:szCs w:val="28"/>
        </w:rPr>
      </w:pPr>
      <w:bookmarkStart w:id="132" w:name="_Toc1445"/>
      <w:bookmarkStart w:id="133" w:name="_Toc104375941"/>
      <w:r>
        <w:rPr>
          <w:b/>
          <w:sz w:val="28"/>
          <w:szCs w:val="28"/>
        </w:rPr>
        <w:t>4.6</w:t>
      </w:r>
      <w:r>
        <w:rPr>
          <w:rFonts w:hint="eastAsia" w:ascii="黑体" w:eastAsia="黑体"/>
          <w:b/>
          <w:sz w:val="28"/>
          <w:szCs w:val="28"/>
        </w:rPr>
        <w:t xml:space="preserve"> 本章小结</w:t>
      </w:r>
      <w:bookmarkEnd w:id="132"/>
      <w:bookmarkEnd w:id="133"/>
    </w:p>
    <w:p>
      <w:pPr>
        <w:spacing w:line="360" w:lineRule="auto"/>
        <w:ind w:firstLine="480" w:firstLineChars="200"/>
        <w:jc w:val="left"/>
        <w:rPr>
          <w:sz w:val="24"/>
          <w:szCs w:val="24"/>
        </w:rPr>
      </w:pPr>
      <w:r>
        <w:rPr>
          <w:rFonts w:hint="eastAsia"/>
          <w:sz w:val="24"/>
          <w:szCs w:val="24"/>
        </w:rPr>
        <w:t>本章通过双向固定效应的双重差分回归模型对离任审计对企业绿色技术创新的影响进行了实证分析。实证研究发现离任审计政策的试点可以显著提升试点地区企业的绿色技术创新水平，验证了本文的假设。在进一步分析中，本文发现政策对绿色发明专利以及绿色实用新型专利均存在促进作用，但是对于技术难度更低的绿色实用新型专利的促进效应更为明显；收取排污费以及获得更低的政府研发补助在离任审计对企业绿色技术创新的影响上更具有显著性；该审计政策对于内部治理环境更好而外部监督相对较弱的企业在绿色技术创新水平上的提升更为显著；而企业内部股权更为集中则更有利于面对政策更快更好地作出应对。</w:t>
      </w:r>
    </w:p>
    <w:p>
      <w:pPr>
        <w:widowControl/>
        <w:jc w:val="left"/>
        <w:rPr>
          <w:sz w:val="24"/>
        </w:rPr>
      </w:pPr>
      <w:r>
        <w:rPr>
          <w:sz w:val="24"/>
        </w:rPr>
        <w:br w:type="page"/>
      </w:r>
    </w:p>
    <w:p>
      <w:pPr>
        <w:spacing w:before="156" w:beforeLines="50" w:after="156" w:afterLines="50"/>
        <w:jc w:val="center"/>
        <w:outlineLvl w:val="0"/>
        <w:rPr>
          <w:rFonts w:eastAsia="黑体"/>
          <w:b/>
          <w:sz w:val="36"/>
          <w:szCs w:val="36"/>
        </w:rPr>
      </w:pPr>
      <w:bookmarkStart w:id="134" w:name="_Toc104375942"/>
      <w:bookmarkStart w:id="135" w:name="_Toc26276"/>
      <w:bookmarkStart w:id="136" w:name="_Toc100181290"/>
      <w:bookmarkStart w:id="137" w:name="_Toc100181867"/>
      <w:r>
        <w:rPr>
          <w:rFonts w:eastAsia="黑体"/>
          <w:b/>
          <w:sz w:val="36"/>
          <w:szCs w:val="36"/>
        </w:rPr>
        <w:t>5</w:t>
      </w:r>
      <w:r>
        <w:rPr>
          <w:rFonts w:hint="eastAsia" w:ascii="黑体" w:eastAsia="黑体"/>
          <w:b/>
          <w:sz w:val="36"/>
          <w:szCs w:val="36"/>
        </w:rPr>
        <w:t xml:space="preserve">  </w:t>
      </w:r>
      <w:r>
        <w:rPr>
          <w:rFonts w:hint="eastAsia" w:eastAsia="黑体"/>
          <w:b/>
          <w:sz w:val="36"/>
          <w:szCs w:val="36"/>
        </w:rPr>
        <w:t>结论与建议</w:t>
      </w:r>
      <w:bookmarkEnd w:id="134"/>
      <w:bookmarkEnd w:id="135"/>
      <w:bookmarkEnd w:id="136"/>
      <w:bookmarkEnd w:id="137"/>
    </w:p>
    <w:p>
      <w:pPr>
        <w:spacing w:before="156" w:beforeLines="50" w:after="156" w:afterLines="50"/>
        <w:jc w:val="left"/>
        <w:outlineLvl w:val="1"/>
        <w:rPr>
          <w:rFonts w:ascii="黑体" w:eastAsia="黑体"/>
          <w:b/>
          <w:sz w:val="28"/>
          <w:szCs w:val="28"/>
        </w:rPr>
      </w:pPr>
      <w:bookmarkStart w:id="138" w:name="_Toc25518"/>
      <w:bookmarkStart w:id="139" w:name="_Toc104375943"/>
      <w:r>
        <w:rPr>
          <w:b/>
          <w:sz w:val="28"/>
          <w:szCs w:val="28"/>
        </w:rPr>
        <w:t>5.1</w:t>
      </w:r>
      <w:r>
        <w:rPr>
          <w:rFonts w:hint="eastAsia" w:ascii="黑体" w:eastAsia="黑体"/>
          <w:b/>
          <w:sz w:val="28"/>
          <w:szCs w:val="28"/>
        </w:rPr>
        <w:t xml:space="preserve"> 研究结论</w:t>
      </w:r>
      <w:bookmarkEnd w:id="138"/>
      <w:bookmarkEnd w:id="139"/>
    </w:p>
    <w:p>
      <w:pPr>
        <w:spacing w:line="360" w:lineRule="auto"/>
        <w:ind w:firstLine="480" w:firstLineChars="200"/>
        <w:jc w:val="left"/>
        <w:rPr>
          <w:sz w:val="24"/>
          <w:szCs w:val="24"/>
        </w:rPr>
      </w:pPr>
      <w:r>
        <w:rPr>
          <w:rFonts w:hint="eastAsia"/>
          <w:sz w:val="24"/>
          <w:szCs w:val="24"/>
        </w:rPr>
        <w:t>本文选取所选择的1</w:t>
      </w:r>
      <w:r>
        <w:rPr>
          <w:sz w:val="24"/>
          <w:szCs w:val="24"/>
        </w:rPr>
        <w:t>8</w:t>
      </w:r>
      <w:r>
        <w:rPr>
          <w:rFonts w:hint="eastAsia"/>
          <w:sz w:val="24"/>
          <w:szCs w:val="24"/>
        </w:rPr>
        <w:t>个资源型与重污染型企业在2</w:t>
      </w:r>
      <w:r>
        <w:rPr>
          <w:sz w:val="24"/>
          <w:szCs w:val="24"/>
        </w:rPr>
        <w:t>012</w:t>
      </w:r>
      <w:r>
        <w:rPr>
          <w:rFonts w:hint="eastAsia"/>
          <w:sz w:val="24"/>
          <w:szCs w:val="24"/>
        </w:rPr>
        <w:t>年至2</w:t>
      </w:r>
      <w:r>
        <w:rPr>
          <w:sz w:val="24"/>
          <w:szCs w:val="24"/>
        </w:rPr>
        <w:t>015</w:t>
      </w:r>
      <w:r>
        <w:rPr>
          <w:rFonts w:hint="eastAsia"/>
          <w:sz w:val="24"/>
          <w:szCs w:val="24"/>
        </w:rPr>
        <w:t>年（即政策实施前后两年）的相关数据，针对离任审计政策的实施对于企业层级的绿色技术创新的影响进行实证分析，本文研究结论即：离任审计政策的实施对于企业层级的绿色技术创新水平的提高有显著正向作用。</w:t>
      </w:r>
    </w:p>
    <w:p>
      <w:pPr>
        <w:spacing w:line="360" w:lineRule="auto"/>
        <w:ind w:firstLine="480" w:firstLineChars="200"/>
        <w:jc w:val="left"/>
        <w:rPr>
          <w:sz w:val="24"/>
          <w:szCs w:val="24"/>
        </w:rPr>
      </w:pPr>
      <w:r>
        <w:rPr>
          <w:rFonts w:hint="eastAsia"/>
          <w:sz w:val="24"/>
          <w:szCs w:val="24"/>
        </w:rPr>
        <w:t>根据实证结果，自然资源离任审计的实施显著提升了被试点地区企业的绿色技术创新水平，审计试点与绿色技术创新水平在</w:t>
      </w:r>
      <w:r>
        <w:rPr>
          <w:sz w:val="24"/>
          <w:szCs w:val="24"/>
        </w:rPr>
        <w:t>1%</w:t>
      </w:r>
      <w:r>
        <w:rPr>
          <w:rFonts w:hint="eastAsia"/>
          <w:sz w:val="24"/>
          <w:szCs w:val="24"/>
        </w:rPr>
        <w:t>水平上显著为正。进一步分析中本文发现政策试点虽然可以促进绿色技术创新（绿色发明专利与绿色实用新型专利），但对于创新程度更低的绿色实用新型专利方面的反应更为显著；收取排污费的企业以及获得更低研发补助对于政策的反应更为显著，提升绿色技术创新水平的效应更为明显；该审计政策对于内部治理环境更好而外部监督相对较弱的企业在绿色技术创新水平上的提升更为显著；而企业内部股权更为集中则更有利于面对政策更快更好地作出应对。</w:t>
      </w:r>
    </w:p>
    <w:p>
      <w:pPr>
        <w:spacing w:line="360" w:lineRule="auto"/>
        <w:ind w:firstLine="480" w:firstLineChars="200"/>
        <w:rPr>
          <w:rFonts w:ascii="宋体" w:hAnsi="宋体"/>
          <w:sz w:val="24"/>
        </w:rPr>
      </w:pPr>
      <w:r>
        <w:rPr>
          <w:rFonts w:hint="eastAsia" w:ascii="宋体" w:hAnsi="宋体"/>
          <w:sz w:val="24"/>
        </w:rPr>
        <w:t>虽然本文在过去学者的研究基础上进行了一定的新的尝试，但由于时间限制，难免存在考虑不周的情况，也未能做出较为深入的研究，因此可以在日后的学习和研究中进一步讨论分析。</w:t>
      </w:r>
    </w:p>
    <w:p>
      <w:pPr>
        <w:spacing w:before="156" w:beforeLines="50" w:after="156" w:afterLines="50"/>
        <w:jc w:val="left"/>
        <w:outlineLvl w:val="1"/>
        <w:rPr>
          <w:rFonts w:ascii="黑体" w:eastAsia="黑体"/>
          <w:b/>
          <w:sz w:val="28"/>
          <w:szCs w:val="28"/>
        </w:rPr>
      </w:pPr>
      <w:bookmarkStart w:id="140" w:name="_Toc14702"/>
      <w:bookmarkStart w:id="141" w:name="_Toc104375944"/>
      <w:r>
        <w:rPr>
          <w:b/>
          <w:sz w:val="28"/>
          <w:szCs w:val="28"/>
        </w:rPr>
        <w:t>5.2</w:t>
      </w:r>
      <w:r>
        <w:rPr>
          <w:rFonts w:hint="eastAsia" w:ascii="黑体" w:eastAsia="黑体"/>
          <w:b/>
          <w:sz w:val="28"/>
          <w:szCs w:val="28"/>
        </w:rPr>
        <w:t xml:space="preserve"> 政策建议</w:t>
      </w:r>
      <w:bookmarkEnd w:id="140"/>
      <w:bookmarkEnd w:id="141"/>
    </w:p>
    <w:p>
      <w:pPr>
        <w:spacing w:before="156" w:beforeLines="50" w:after="156" w:afterLines="50"/>
        <w:jc w:val="left"/>
        <w:outlineLvl w:val="2"/>
        <w:rPr>
          <w:rFonts w:ascii="黑体" w:eastAsia="黑体"/>
          <w:b/>
          <w:sz w:val="24"/>
        </w:rPr>
      </w:pPr>
      <w:r>
        <w:rPr>
          <w:b/>
          <w:sz w:val="24"/>
        </w:rPr>
        <w:t>5.2.1</w:t>
      </w:r>
      <w:r>
        <w:rPr>
          <w:rFonts w:hint="eastAsia" w:ascii="黑体" w:eastAsia="黑体"/>
          <w:b/>
          <w:sz w:val="24"/>
        </w:rPr>
        <w:t xml:space="preserve"> 对审计制度层面的建议</w:t>
      </w:r>
    </w:p>
    <w:p>
      <w:pPr>
        <w:spacing w:line="360" w:lineRule="auto"/>
        <w:ind w:firstLine="480" w:firstLineChars="200"/>
        <w:jc w:val="left"/>
        <w:rPr>
          <w:sz w:val="24"/>
          <w:szCs w:val="24"/>
        </w:rPr>
      </w:pPr>
      <w:r>
        <w:rPr>
          <w:rFonts w:hint="eastAsia"/>
          <w:sz w:val="24"/>
          <w:szCs w:val="24"/>
        </w:rPr>
        <w:t>领导干部自然资源离任审计作为一种新兴的环境审计与经济责任审计交叉类审计制度，于2</w:t>
      </w:r>
      <w:r>
        <w:rPr>
          <w:sz w:val="24"/>
          <w:szCs w:val="24"/>
        </w:rPr>
        <w:t>014</w:t>
      </w:r>
      <w:r>
        <w:rPr>
          <w:rFonts w:hint="eastAsia"/>
          <w:sz w:val="24"/>
          <w:szCs w:val="24"/>
        </w:rPr>
        <w:t>年开始在部分地方试点，2</w:t>
      </w:r>
      <w:r>
        <w:rPr>
          <w:sz w:val="24"/>
          <w:szCs w:val="24"/>
        </w:rPr>
        <w:t>016</w:t>
      </w:r>
      <w:r>
        <w:rPr>
          <w:rFonts w:hint="eastAsia"/>
          <w:sz w:val="24"/>
          <w:szCs w:val="24"/>
        </w:rPr>
        <w:t>年进一步扩大了试点规模，在2</w:t>
      </w:r>
      <w:r>
        <w:rPr>
          <w:sz w:val="24"/>
          <w:szCs w:val="24"/>
        </w:rPr>
        <w:t>017</w:t>
      </w:r>
      <w:r>
        <w:rPr>
          <w:rFonts w:hint="eastAsia"/>
          <w:sz w:val="24"/>
          <w:szCs w:val="24"/>
        </w:rPr>
        <w:t>年6月起正式开始在全国施行。试点的经验证明了该政策可以有效提升当地政府官员的环境治理意愿，从而促进该地区的生态文明建设。由于政策的正式推行时间较短，因此还存在需要完善的地方。</w:t>
      </w:r>
    </w:p>
    <w:p>
      <w:pPr>
        <w:spacing w:line="360" w:lineRule="auto"/>
        <w:ind w:firstLine="480" w:firstLineChars="200"/>
        <w:jc w:val="left"/>
        <w:rPr>
          <w:sz w:val="24"/>
          <w:szCs w:val="24"/>
        </w:rPr>
      </w:pPr>
      <w:r>
        <w:rPr>
          <w:rFonts w:hint="eastAsia"/>
          <w:sz w:val="24"/>
          <w:szCs w:val="24"/>
        </w:rPr>
        <w:t>（１）完善政策具体实施细节。国务院虽然下发了政策实施的审计规定，并于2</w:t>
      </w:r>
      <w:r>
        <w:rPr>
          <w:sz w:val="24"/>
          <w:szCs w:val="24"/>
        </w:rPr>
        <w:t>021</w:t>
      </w:r>
      <w:r>
        <w:rPr>
          <w:rFonts w:hint="eastAsia"/>
          <w:sz w:val="24"/>
          <w:szCs w:val="24"/>
        </w:rPr>
        <w:t>年修订了《审计法》，为离任审计的实现提供了制度保障，要求领导干部离任时，应当接受自然资源资产离任审计，但是现有政府文件对具体的审计规定内容仍相对比较模糊，应该尽快出具对于审计主体、客体、内容、对象、方法以及审计评价指标的标准化模式，以确保审计人员在工作执行中有统一的标准，可以降低工作内容的主观性，使得作用结果更加客观具体。</w:t>
      </w:r>
    </w:p>
    <w:p>
      <w:pPr>
        <w:spacing w:line="360" w:lineRule="auto"/>
        <w:ind w:firstLine="480" w:firstLineChars="200"/>
        <w:jc w:val="left"/>
        <w:rPr>
          <w:sz w:val="24"/>
          <w:szCs w:val="24"/>
        </w:rPr>
      </w:pPr>
      <w:r>
        <w:rPr>
          <w:rFonts w:hint="eastAsia"/>
          <w:sz w:val="24"/>
          <w:szCs w:val="24"/>
        </w:rPr>
        <w:t>（２）完善自然资源资产产权制度。该审计政策的目标重点是对于自然资源资产以及生态环境保护相关资金开展审计工作，而目前我国的自然资源资产产权登记制度还不够完善，仍存在部分资产产权归属不够清晰的问题，这会对该审计政策的执行造成一定困难，因此应该进一步完善自然资源资产产权制度，进行自然资源资产登记，避免产权归属问题。</w:t>
      </w:r>
    </w:p>
    <w:p>
      <w:pPr>
        <w:spacing w:line="360" w:lineRule="auto"/>
        <w:ind w:firstLine="480" w:firstLineChars="200"/>
        <w:jc w:val="left"/>
        <w:rPr>
          <w:sz w:val="24"/>
          <w:szCs w:val="24"/>
        </w:rPr>
      </w:pPr>
      <w:r>
        <w:rPr>
          <w:rFonts w:hint="eastAsia"/>
          <w:sz w:val="24"/>
          <w:szCs w:val="24"/>
        </w:rPr>
        <w:t>（３）提升相关的信息公开度。目前该审计制度虽然已经全面推行，但社会公众对此的认识还比较少，对于其实施的意义也普遍缺乏了解，应该加强政策宣传，使该项政策得到普遍认知。另外应该完善信息披露，公开自然资源离任审计的结果，使媒体与社会公众也能普遍参与其中，保障其监督权，同时也增加了政府的透明度，增强了政府的公信力。</w:t>
      </w:r>
    </w:p>
    <w:p>
      <w:pPr>
        <w:spacing w:before="156" w:beforeLines="50" w:after="156" w:afterLines="50"/>
        <w:jc w:val="left"/>
        <w:outlineLvl w:val="2"/>
        <w:rPr>
          <w:rFonts w:ascii="黑体" w:eastAsia="黑体"/>
          <w:b/>
          <w:sz w:val="24"/>
        </w:rPr>
      </w:pPr>
      <w:r>
        <w:rPr>
          <w:b/>
          <w:sz w:val="24"/>
        </w:rPr>
        <w:t>5.2.2</w:t>
      </w:r>
      <w:r>
        <w:rPr>
          <w:rFonts w:hint="eastAsia" w:ascii="黑体" w:eastAsia="黑体"/>
          <w:b/>
          <w:sz w:val="24"/>
        </w:rPr>
        <w:t xml:space="preserve"> 对政府层面的建议</w:t>
      </w:r>
    </w:p>
    <w:p>
      <w:pPr>
        <w:spacing w:line="360" w:lineRule="auto"/>
        <w:ind w:firstLine="480" w:firstLineChars="200"/>
        <w:jc w:val="left"/>
        <w:rPr>
          <w:sz w:val="24"/>
          <w:szCs w:val="24"/>
        </w:rPr>
      </w:pPr>
      <w:r>
        <w:rPr>
          <w:rFonts w:hint="eastAsia"/>
          <w:sz w:val="24"/>
          <w:szCs w:val="24"/>
        </w:rPr>
        <w:t>政府应该根据政策引导，加强对辖区范围内企业的污染管控，促进其进行积极的绿色技术创新。领导干部对辖区具有强大的政治影响力，因此他们应该充分利用这种影响力来促进企业的绿色转型。</w:t>
      </w:r>
    </w:p>
    <w:p>
      <w:pPr>
        <w:spacing w:line="360" w:lineRule="auto"/>
        <w:ind w:firstLine="480" w:firstLineChars="200"/>
        <w:jc w:val="left"/>
        <w:rPr>
          <w:sz w:val="24"/>
          <w:szCs w:val="24"/>
        </w:rPr>
      </w:pPr>
      <w:r>
        <w:rPr>
          <w:rFonts w:hint="eastAsia"/>
          <w:sz w:val="24"/>
          <w:szCs w:val="24"/>
        </w:rPr>
        <w:t>（１）发挥政府职能，通过实施环境政策促进企业绿色技术革新。首先，重点关注辖区资源型与重污染型企业，根据本文研究表明，在离任审计政策影响下，排污费可以有效促进企业进行绿色技术创新，所以应该对这类企业制定明确的污染排放指标以及严格的超标惩罚规则，从而使企业优化生产技术，从根本上解决重污染与高排放问题；其次，应该对进行了绿色技术创新的企业给予一定的政策补贴并进行对于补助实施情况的严格监督，特别是创新程度较高的企业，应该获得更高的研发补助，从而既补充了部分企业研发资金匮乏，无力进行绿色研发的不足，又可以鼓励企业积极开展高水平的绿色技术创新，使研发资金可以得到有效地利用，从而提高了企业的绿色技术创新水平。</w:t>
      </w:r>
      <w:r>
        <w:rPr>
          <w:sz w:val="24"/>
          <w:szCs w:val="24"/>
        </w:rPr>
        <w:t xml:space="preserve"> </w:t>
      </w:r>
    </w:p>
    <w:p>
      <w:pPr>
        <w:spacing w:line="360" w:lineRule="auto"/>
        <w:ind w:firstLine="480" w:firstLineChars="200"/>
        <w:jc w:val="left"/>
        <w:rPr>
          <w:rFonts w:ascii="黑体" w:eastAsia="黑体"/>
          <w:b/>
          <w:sz w:val="24"/>
        </w:rPr>
      </w:pPr>
      <w:r>
        <w:rPr>
          <w:rFonts w:hint="eastAsia"/>
          <w:sz w:val="24"/>
          <w:szCs w:val="24"/>
        </w:rPr>
        <w:t>（２）善用舆论，在社会中倡导绿色发展理念。政府应该做出努力，使可持续发展的观念深入人心，使社会公众普遍树立绿色消费的正确观念，从而消费者会更偏好能生产绿色产品的企业，因此企业由于市场因素产生了绿色生产的需求，会自发迎合市场需要，提高自我的绿色技术创新，并且政府可以在舆论方面，对于在绿色技术上具有显著优势的企业进行褒奖和宣传，从而增加其社会荣誉以及知名度，鼓励其他企业朝这个方向发展。</w:t>
      </w:r>
    </w:p>
    <w:p>
      <w:pPr>
        <w:spacing w:before="156" w:beforeLines="50" w:after="156" w:afterLines="50"/>
        <w:jc w:val="left"/>
        <w:outlineLvl w:val="2"/>
        <w:rPr>
          <w:rFonts w:ascii="黑体" w:eastAsia="黑体"/>
          <w:b/>
          <w:sz w:val="24"/>
        </w:rPr>
      </w:pPr>
      <w:r>
        <w:rPr>
          <w:b/>
          <w:sz w:val="24"/>
        </w:rPr>
        <w:t>5.2.3</w:t>
      </w:r>
      <w:r>
        <w:rPr>
          <w:rFonts w:hint="eastAsia" w:ascii="黑体" w:eastAsia="黑体"/>
          <w:b/>
          <w:sz w:val="24"/>
        </w:rPr>
        <w:t xml:space="preserve"> 对企业层面的建议</w:t>
      </w:r>
    </w:p>
    <w:p>
      <w:pPr>
        <w:spacing w:line="360" w:lineRule="auto"/>
        <w:ind w:firstLine="480" w:firstLineChars="200"/>
        <w:jc w:val="left"/>
        <w:rPr>
          <w:sz w:val="24"/>
          <w:szCs w:val="24"/>
        </w:rPr>
      </w:pPr>
      <w:r>
        <w:rPr>
          <w:rFonts w:hint="eastAsia"/>
          <w:sz w:val="24"/>
          <w:szCs w:val="24"/>
        </w:rPr>
        <w:t>（１）树立绿色发展理念，向低排放、低能耗的绿色转型。企业要提高社会责任感，在企业内部鼓励绿色发展、创新发展的理念，积极响应政府政策，配合政府的监督与管理，向社会公众主动披露环境业绩相关事项，促进社会形象的树立。</w:t>
      </w:r>
    </w:p>
    <w:p>
      <w:pPr>
        <w:spacing w:line="360" w:lineRule="auto"/>
        <w:ind w:firstLine="480" w:firstLineChars="200"/>
        <w:jc w:val="left"/>
        <w:rPr>
          <w:sz w:val="24"/>
          <w:szCs w:val="24"/>
        </w:rPr>
      </w:pPr>
      <w:r>
        <w:rPr>
          <w:rFonts w:hint="eastAsia"/>
          <w:sz w:val="24"/>
          <w:szCs w:val="24"/>
        </w:rPr>
        <w:t>（２）加强绿色技术研发，实现企业绿色技术水平的高质量提升。一方面需要进一步加强资金投入，增加研发费用的投入，另一方面应该不拘一格引进相关人才，不断提高研发人员的占比，加强对技术研发的激励，奖励高水平层次的研发创新，从而真正将其转化为企业的绿色创新能力。</w:t>
      </w:r>
    </w:p>
    <w:p>
      <w:pPr>
        <w:spacing w:line="360" w:lineRule="auto"/>
        <w:ind w:firstLine="480" w:firstLineChars="200"/>
        <w:jc w:val="left"/>
        <w:rPr>
          <w:sz w:val="24"/>
          <w:szCs w:val="24"/>
        </w:rPr>
      </w:pPr>
      <w:r>
        <w:rPr>
          <w:rFonts w:hint="eastAsia"/>
          <w:sz w:val="24"/>
          <w:szCs w:val="24"/>
        </w:rPr>
        <w:t>（３）优化内部治理结构，降低代理成本。通过增加独立董事比例等方式不断优化企业内部的治理环境，使企业制定决策、决策执行的过程可以得到有效监督，确保研发资金可以得到有效利用，从而提升企业的绿色创新能力。</w:t>
      </w:r>
    </w:p>
    <w:p>
      <w:pPr>
        <w:spacing w:line="360" w:lineRule="auto"/>
        <w:ind w:firstLine="480" w:firstLineChars="200"/>
        <w:jc w:val="left"/>
        <w:rPr>
          <w:sz w:val="24"/>
          <w:szCs w:val="24"/>
        </w:rPr>
      </w:pPr>
      <w:r>
        <w:rPr>
          <w:rFonts w:hint="eastAsia"/>
          <w:sz w:val="24"/>
          <w:szCs w:val="24"/>
        </w:rPr>
        <w:t>（４）适度提高股权集中度，激发企业创新热情。可以根据企业具体经营管理情况，适当提升股权集中度，减少作出重要决策的大股东所受的其他约束，促进管理层治理层意见统一，有利于决策的顺利推行，从而有助于提升企业的绿色技术创新水平。</w:t>
      </w:r>
    </w:p>
    <w:p>
      <w:pPr>
        <w:widowControl/>
        <w:jc w:val="left"/>
        <w:rPr>
          <w:sz w:val="24"/>
        </w:rPr>
      </w:pPr>
      <w:r>
        <w:rPr>
          <w:sz w:val="24"/>
        </w:rPr>
        <w:br w:type="page"/>
      </w:r>
    </w:p>
    <w:p>
      <w:pPr>
        <w:spacing w:before="156" w:beforeLines="50" w:after="156" w:afterLines="50"/>
        <w:jc w:val="center"/>
        <w:outlineLvl w:val="0"/>
        <w:rPr>
          <w:rFonts w:ascii="黑体" w:eastAsia="黑体"/>
          <w:b/>
          <w:sz w:val="36"/>
          <w:szCs w:val="36"/>
        </w:rPr>
      </w:pPr>
      <w:bookmarkStart w:id="142" w:name="_Toc2761"/>
      <w:bookmarkStart w:id="143" w:name="_Toc100181868"/>
      <w:bookmarkStart w:id="144" w:name="_Toc100181291"/>
      <w:bookmarkStart w:id="145" w:name="_Toc104375945"/>
      <w:r>
        <w:rPr>
          <w:rFonts w:hint="eastAsia" w:ascii="黑体" w:eastAsia="黑体"/>
          <w:b/>
          <w:sz w:val="36"/>
          <w:szCs w:val="36"/>
        </w:rPr>
        <w:t>致谢</w:t>
      </w:r>
      <w:bookmarkEnd w:id="142"/>
      <w:bookmarkEnd w:id="143"/>
      <w:bookmarkEnd w:id="144"/>
      <w:bookmarkEnd w:id="145"/>
      <w:r>
        <w:rPr>
          <w:rFonts w:hint="eastAsia" w:ascii="黑体" w:eastAsia="黑体"/>
          <w:b/>
          <w:sz w:val="36"/>
          <w:szCs w:val="36"/>
        </w:rPr>
        <w:t xml:space="preserve"> </w:t>
      </w:r>
    </w:p>
    <w:p>
      <w:pPr>
        <w:spacing w:line="360" w:lineRule="auto"/>
        <w:ind w:firstLine="480" w:firstLineChars="200"/>
        <w:jc w:val="left"/>
        <w:rPr>
          <w:sz w:val="24"/>
          <w:szCs w:val="24"/>
        </w:rPr>
      </w:pPr>
      <w:r>
        <w:rPr>
          <w:rFonts w:hint="eastAsia"/>
          <w:sz w:val="24"/>
          <w:szCs w:val="24"/>
        </w:rPr>
        <w:t>不知不觉四年就这样匆匆而逝，没想到我们竟也走到了说再见的时刻，我想无论将来走到哪里，我都会难以忘记在华科求学的这段大学时光。</w:t>
      </w:r>
    </w:p>
    <w:p>
      <w:pPr>
        <w:spacing w:line="360" w:lineRule="auto"/>
        <w:ind w:firstLine="480" w:firstLineChars="200"/>
        <w:jc w:val="left"/>
        <w:rPr>
          <w:sz w:val="24"/>
          <w:szCs w:val="24"/>
        </w:rPr>
      </w:pPr>
      <w:r>
        <w:rPr>
          <w:rFonts w:hint="eastAsia"/>
          <w:sz w:val="24"/>
          <w:szCs w:val="24"/>
        </w:rPr>
        <w:t>我要对很多人表示感谢，感谢他们在大学时光里对我的支持，感谢他们在我完成毕业论文时对我的帮助。首先要感谢我的导师杨清香老师，她在论文修改方面给了我很大的指导；其次要感谢张浩淼学长对我的帮助，在进行实证研究时，新手的我遇到了很多困难，他在数据处理上给了我很多建议；感谢我的室友们，吃到雅雯每晚的橙子，跟着她学Word排版，和悦童、谢老板一起交流实证都让我在最后的大学关头感受到友谊和快乐；感谢我的好朋友雷洁，她陪伴了我的大部分晚饭时刻；感谢研支团的小伙伴，研支团丰富的活动点缀了我繁忙又枯燥的大学时光；感谢彭建辉女士曾经窝在床边教我数据透视表的使用，我在论文期间第一次感受到她所说的任何经历都是可以发挥用处的；感谢学校，春日里飘扬的梧桐絮总是让我热泪盈眶；感谢</w:t>
      </w:r>
      <w:r>
        <w:rPr>
          <w:sz w:val="24"/>
          <w:szCs w:val="24"/>
        </w:rPr>
        <w:t>B</w:t>
      </w:r>
      <w:r>
        <w:rPr>
          <w:rFonts w:hint="eastAsia"/>
          <w:sz w:val="24"/>
          <w:szCs w:val="24"/>
        </w:rPr>
        <w:t>ilibili网站上丰富的计量教程以及连玉君老师在互联网上的分享，使我快速实现了计量经济学的入门；感谢我的软件</w:t>
      </w:r>
      <w:r>
        <w:rPr>
          <w:sz w:val="24"/>
          <w:szCs w:val="24"/>
        </w:rPr>
        <w:t>S</w:t>
      </w:r>
      <w:r>
        <w:rPr>
          <w:rFonts w:hint="eastAsia"/>
          <w:sz w:val="24"/>
          <w:szCs w:val="24"/>
        </w:rPr>
        <w:t>tata，Word以及Excel，虽然在完成论文的过程中，它们总是卡顿崩溃，但最终还是帮助我完成了文章；感谢Jeremy</w:t>
      </w:r>
      <w:r>
        <w:rPr>
          <w:sz w:val="24"/>
          <w:szCs w:val="24"/>
        </w:rPr>
        <w:t xml:space="preserve"> I</w:t>
      </w:r>
      <w:r>
        <w:rPr>
          <w:rFonts w:hint="eastAsia"/>
          <w:sz w:val="24"/>
          <w:szCs w:val="24"/>
        </w:rPr>
        <w:t>rons的精彩演绎，我仍然深深为他着迷，而Charles和Sebastian也将永远在我心中；最后要感谢自己，感谢自己没有浪费掉这宝贵的大学时光，在四年里虽然偶有悲伤和失落，但更多的是收获和喜悦，感谢成长，我正一步步朝着自己想成为的方向靠近。</w:t>
      </w:r>
    </w:p>
    <w:p>
      <w:pPr>
        <w:spacing w:before="156" w:beforeLines="50" w:after="156" w:afterLines="50"/>
        <w:jc w:val="center"/>
        <w:outlineLvl w:val="0"/>
        <w:rPr>
          <w:rFonts w:ascii="楷体_GB2312" w:hAnsi="宋体" w:eastAsia="楷体_GB2312"/>
          <w:szCs w:val="21"/>
        </w:rPr>
      </w:pPr>
      <w:r>
        <w:rPr>
          <w:rFonts w:ascii="黑体" w:eastAsia="黑体"/>
          <w:b/>
          <w:sz w:val="36"/>
          <w:szCs w:val="36"/>
        </w:rPr>
        <w:br w:type="page"/>
      </w:r>
      <w:bookmarkStart w:id="146" w:name="_Toc100181869"/>
      <w:bookmarkStart w:id="147" w:name="_Toc13145"/>
      <w:bookmarkStart w:id="148" w:name="_Toc100181292"/>
      <w:bookmarkStart w:id="149" w:name="_Toc104375946"/>
      <w:r>
        <w:rPr>
          <w:rFonts w:hint="eastAsia" w:ascii="黑体" w:eastAsia="黑体"/>
          <w:b/>
          <w:sz w:val="36"/>
          <w:szCs w:val="36"/>
        </w:rPr>
        <w:t>参考文献</w:t>
      </w:r>
      <w:bookmarkEnd w:id="146"/>
      <w:bookmarkEnd w:id="147"/>
      <w:bookmarkEnd w:id="148"/>
      <w:bookmarkEnd w:id="149"/>
    </w:p>
    <w:p>
      <w:pPr>
        <w:widowControl/>
        <w:spacing w:line="360" w:lineRule="auto"/>
        <w:rPr>
          <w:sz w:val="24"/>
        </w:rPr>
      </w:pPr>
      <w:r>
        <w:rPr>
          <w:rFonts w:hint="eastAsia"/>
          <w:sz w:val="24"/>
        </w:rPr>
        <w:t>[</w:t>
      </w:r>
      <w:r>
        <w:rPr>
          <w:sz w:val="24"/>
        </w:rPr>
        <w:t xml:space="preserve">1] Aguilera-Caracuel J, Ortiz-De-Mandojana N. Green </w:t>
      </w:r>
      <w:r>
        <w:rPr>
          <w:rFonts w:hint="eastAsia"/>
          <w:sz w:val="24"/>
        </w:rPr>
        <w:t>i</w:t>
      </w:r>
      <w:r>
        <w:rPr>
          <w:sz w:val="24"/>
        </w:rPr>
        <w:t xml:space="preserve">nnovation and </w:t>
      </w:r>
      <w:r>
        <w:rPr>
          <w:rFonts w:hint="eastAsia"/>
          <w:sz w:val="24"/>
        </w:rPr>
        <w:t>f</w:t>
      </w:r>
      <w:r>
        <w:rPr>
          <w:sz w:val="24"/>
        </w:rPr>
        <w:t xml:space="preserve">inancial </w:t>
      </w:r>
      <w:r>
        <w:rPr>
          <w:rFonts w:hint="eastAsia"/>
          <w:sz w:val="24"/>
        </w:rPr>
        <w:t>p</w:t>
      </w:r>
      <w:r>
        <w:rPr>
          <w:sz w:val="24"/>
        </w:rPr>
        <w:t xml:space="preserve">erformance: </w:t>
      </w:r>
      <w:r>
        <w:rPr>
          <w:rFonts w:hint="eastAsia"/>
          <w:sz w:val="24"/>
        </w:rPr>
        <w:t>a</w:t>
      </w:r>
      <w:r>
        <w:rPr>
          <w:sz w:val="24"/>
        </w:rPr>
        <w:t xml:space="preserve">n </w:t>
      </w:r>
      <w:r>
        <w:rPr>
          <w:rFonts w:hint="eastAsia"/>
          <w:sz w:val="24"/>
        </w:rPr>
        <w:t>i</w:t>
      </w:r>
      <w:r>
        <w:rPr>
          <w:sz w:val="24"/>
        </w:rPr>
        <w:t xml:space="preserve">nstitutional </w:t>
      </w:r>
      <w:r>
        <w:rPr>
          <w:rFonts w:hint="eastAsia"/>
          <w:sz w:val="24"/>
        </w:rPr>
        <w:t>a</w:t>
      </w:r>
      <w:r>
        <w:rPr>
          <w:sz w:val="24"/>
        </w:rPr>
        <w:t>pproach[J]. Organization &amp; Environment, 2013, 26(4): 365-385.</w:t>
      </w:r>
    </w:p>
    <w:p>
      <w:pPr>
        <w:widowControl/>
        <w:spacing w:line="360" w:lineRule="auto"/>
        <w:rPr>
          <w:sz w:val="24"/>
        </w:rPr>
      </w:pPr>
      <w:r>
        <w:rPr>
          <w:sz w:val="24"/>
        </w:rPr>
        <w:t>[2] Albrizio S, Kozluk T, Zipperer V. Environmental policies and productivity growth: Evidence across industries and firms[J]. Journal of Environmental Economics &amp; Management, 2017, 8(1): 209-226.</w:t>
      </w:r>
    </w:p>
    <w:p>
      <w:pPr>
        <w:widowControl/>
        <w:spacing w:line="360" w:lineRule="auto"/>
        <w:rPr>
          <w:sz w:val="24"/>
        </w:rPr>
      </w:pPr>
      <w:r>
        <w:rPr>
          <w:sz w:val="24"/>
        </w:rPr>
        <w:t xml:space="preserve">[3] Aslam S, Ur Rehman R, Asad M. Linking </w:t>
      </w:r>
      <w:r>
        <w:rPr>
          <w:rFonts w:hint="eastAsia"/>
          <w:sz w:val="24"/>
        </w:rPr>
        <w:t>e</w:t>
      </w:r>
      <w:r>
        <w:rPr>
          <w:sz w:val="24"/>
        </w:rPr>
        <w:t xml:space="preserve">nvironmental </w:t>
      </w:r>
      <w:r>
        <w:rPr>
          <w:rFonts w:hint="eastAsia"/>
          <w:sz w:val="24"/>
        </w:rPr>
        <w:t>m</w:t>
      </w:r>
      <w:r>
        <w:rPr>
          <w:sz w:val="24"/>
        </w:rPr>
        <w:t xml:space="preserve">anagement </w:t>
      </w:r>
      <w:r>
        <w:rPr>
          <w:rFonts w:hint="eastAsia"/>
          <w:sz w:val="24"/>
        </w:rPr>
        <w:t>p</w:t>
      </w:r>
      <w:r>
        <w:rPr>
          <w:sz w:val="24"/>
        </w:rPr>
        <w:t xml:space="preserve">ractices to </w:t>
      </w:r>
      <w:r>
        <w:rPr>
          <w:rFonts w:hint="eastAsia"/>
          <w:sz w:val="24"/>
        </w:rPr>
        <w:t>e</w:t>
      </w:r>
      <w:r>
        <w:rPr>
          <w:sz w:val="24"/>
        </w:rPr>
        <w:t xml:space="preserve">nvironmental </w:t>
      </w:r>
      <w:r>
        <w:rPr>
          <w:rFonts w:hint="eastAsia"/>
          <w:sz w:val="24"/>
        </w:rPr>
        <w:t>p</w:t>
      </w:r>
      <w:r>
        <w:rPr>
          <w:sz w:val="24"/>
        </w:rPr>
        <w:t xml:space="preserve">erformance: The </w:t>
      </w:r>
      <w:r>
        <w:rPr>
          <w:rFonts w:hint="eastAsia"/>
          <w:sz w:val="24"/>
        </w:rPr>
        <w:t>i</w:t>
      </w:r>
      <w:r>
        <w:rPr>
          <w:sz w:val="24"/>
        </w:rPr>
        <w:t xml:space="preserve">nteractive </w:t>
      </w:r>
      <w:r>
        <w:rPr>
          <w:rFonts w:hint="eastAsia"/>
          <w:sz w:val="24"/>
        </w:rPr>
        <w:t>r</w:t>
      </w:r>
      <w:r>
        <w:rPr>
          <w:sz w:val="24"/>
        </w:rPr>
        <w:t xml:space="preserve">ole of </w:t>
      </w:r>
      <w:r>
        <w:rPr>
          <w:rFonts w:hint="eastAsia"/>
          <w:sz w:val="24"/>
        </w:rPr>
        <w:t>e</w:t>
      </w:r>
      <w:r>
        <w:rPr>
          <w:sz w:val="24"/>
        </w:rPr>
        <w:t>nvironmental Audit[J]. Pakistan Journal of Commerce &amp; Social Sciences</w:t>
      </w:r>
      <w:r>
        <w:rPr>
          <w:rFonts w:hint="eastAsia"/>
          <w:sz w:val="24"/>
        </w:rPr>
        <w:t>,</w:t>
      </w:r>
      <w:r>
        <w:rPr>
          <w:sz w:val="24"/>
        </w:rPr>
        <w:t xml:space="preserve"> 2020, 14(1): 99-119.</w:t>
      </w:r>
    </w:p>
    <w:p>
      <w:pPr>
        <w:widowControl/>
        <w:spacing w:line="360" w:lineRule="auto"/>
        <w:rPr>
          <w:sz w:val="24"/>
        </w:rPr>
      </w:pPr>
      <w:r>
        <w:rPr>
          <w:sz w:val="24"/>
        </w:rPr>
        <w:t>[4] Awan U, Arnold MG, Gölgeci I. Enhancing green product and process innovation: Towards an integrative framework of knowledge acquisition and environmental investment[J]. Business Strategy &amp; the Environment (John Wiley &amp; Sons, Inc), 2021, 30(2): 1283-1295.</w:t>
      </w:r>
    </w:p>
    <w:p>
      <w:pPr>
        <w:widowControl/>
        <w:spacing w:line="360" w:lineRule="auto"/>
        <w:rPr>
          <w:sz w:val="24"/>
        </w:rPr>
      </w:pPr>
      <w:r>
        <w:rPr>
          <w:sz w:val="24"/>
        </w:rPr>
        <w:t>[5] Brunnermeier S B , Cohen M A. Determinants of environmental innovation in US manufacturing industries[J].Journal of Environmental Economics and Management, 2003, 45(2): 278-293.</w:t>
      </w:r>
    </w:p>
    <w:p>
      <w:pPr>
        <w:widowControl/>
        <w:spacing w:line="360" w:lineRule="auto"/>
        <w:rPr>
          <w:sz w:val="24"/>
        </w:rPr>
      </w:pPr>
      <w:bookmarkStart w:id="150" w:name="_Ref102640533"/>
      <w:r>
        <w:rPr>
          <w:sz w:val="24"/>
        </w:rPr>
        <w:t>[6] Driessen P H</w:t>
      </w:r>
      <w:r>
        <w:rPr>
          <w:rFonts w:hint="eastAsia"/>
          <w:sz w:val="24"/>
        </w:rPr>
        <w:t>,</w:t>
      </w:r>
      <w:r>
        <w:rPr>
          <w:sz w:val="24"/>
        </w:rPr>
        <w:t xml:space="preserve"> Hillebrand B, Kok R. Green </w:t>
      </w:r>
      <w:r>
        <w:rPr>
          <w:rFonts w:hint="eastAsia"/>
          <w:sz w:val="24"/>
        </w:rPr>
        <w:t>n</w:t>
      </w:r>
      <w:r>
        <w:rPr>
          <w:sz w:val="24"/>
        </w:rPr>
        <w:t xml:space="preserve">ew </w:t>
      </w:r>
      <w:r>
        <w:rPr>
          <w:rFonts w:hint="eastAsia"/>
          <w:sz w:val="24"/>
        </w:rPr>
        <w:t>p</w:t>
      </w:r>
      <w:r>
        <w:rPr>
          <w:sz w:val="24"/>
        </w:rPr>
        <w:t xml:space="preserve">roduct </w:t>
      </w:r>
      <w:r>
        <w:rPr>
          <w:rFonts w:hint="eastAsia"/>
          <w:sz w:val="24"/>
        </w:rPr>
        <w:t>d</w:t>
      </w:r>
      <w:r>
        <w:rPr>
          <w:sz w:val="24"/>
        </w:rPr>
        <w:t xml:space="preserve">evelopment: The </w:t>
      </w:r>
      <w:r>
        <w:rPr>
          <w:rFonts w:hint="eastAsia"/>
          <w:sz w:val="24"/>
        </w:rPr>
        <w:t>p</w:t>
      </w:r>
      <w:r>
        <w:rPr>
          <w:sz w:val="24"/>
        </w:rPr>
        <w:t xml:space="preserve">ivotal </w:t>
      </w:r>
      <w:r>
        <w:rPr>
          <w:rFonts w:hint="eastAsia"/>
          <w:sz w:val="24"/>
        </w:rPr>
        <w:t>r</w:t>
      </w:r>
      <w:r>
        <w:rPr>
          <w:sz w:val="24"/>
        </w:rPr>
        <w:t xml:space="preserve">ole of </w:t>
      </w:r>
      <w:r>
        <w:rPr>
          <w:rFonts w:hint="eastAsia"/>
          <w:sz w:val="24"/>
        </w:rPr>
        <w:t>p</w:t>
      </w:r>
      <w:r>
        <w:rPr>
          <w:sz w:val="24"/>
        </w:rPr>
        <w:t xml:space="preserve">roduct </w:t>
      </w:r>
      <w:r>
        <w:rPr>
          <w:rFonts w:hint="eastAsia"/>
          <w:sz w:val="24"/>
        </w:rPr>
        <w:t>g</w:t>
      </w:r>
      <w:r>
        <w:rPr>
          <w:sz w:val="24"/>
        </w:rPr>
        <w:t>reenness[J]. IEEE Transactions on Engineering Management, 2013, 60(2): 315-326.</w:t>
      </w:r>
      <w:bookmarkEnd w:id="150"/>
    </w:p>
    <w:p>
      <w:pPr>
        <w:widowControl/>
        <w:spacing w:line="360" w:lineRule="auto"/>
        <w:rPr>
          <w:sz w:val="24"/>
        </w:rPr>
      </w:pPr>
      <w:r>
        <w:rPr>
          <w:sz w:val="24"/>
        </w:rPr>
        <w:t>[7] D Kammerer. The effects of customer benefit and regulation on environmental product innovation[J]. Ecological Economics, 2009, 68(8–9): 2285-2295.</w:t>
      </w:r>
    </w:p>
    <w:p>
      <w:pPr>
        <w:widowControl/>
        <w:spacing w:line="360" w:lineRule="auto"/>
        <w:rPr>
          <w:sz w:val="24"/>
        </w:rPr>
      </w:pPr>
      <w:r>
        <w:rPr>
          <w:sz w:val="24"/>
        </w:rPr>
        <w:t>[8] Ernest Braun &amp; David Wield</w:t>
      </w:r>
      <w:r>
        <w:rPr>
          <w:rFonts w:hint="eastAsia"/>
          <w:sz w:val="24"/>
        </w:rPr>
        <w:t xml:space="preserve">. </w:t>
      </w:r>
      <w:r>
        <w:rPr>
          <w:sz w:val="24"/>
        </w:rPr>
        <w:t xml:space="preserve">Regulation as a means for the social control of technology[J]. Technology Analysis &amp; Strategic Management, </w:t>
      </w:r>
      <w:r>
        <w:rPr>
          <w:rFonts w:hint="eastAsia"/>
          <w:sz w:val="24"/>
        </w:rPr>
        <w:t>1</w:t>
      </w:r>
      <w:r>
        <w:rPr>
          <w:sz w:val="24"/>
        </w:rPr>
        <w:t>994, 6(3): 259-272.</w:t>
      </w:r>
    </w:p>
    <w:p>
      <w:pPr>
        <w:widowControl/>
        <w:spacing w:line="360" w:lineRule="auto"/>
        <w:rPr>
          <w:sz w:val="24"/>
        </w:rPr>
      </w:pPr>
      <w:r>
        <w:rPr>
          <w:sz w:val="24"/>
        </w:rPr>
        <w:t>[9] Freitas I B, Castellacci F, Fontana R. Sectors and the additionality effects of R&amp;D tax credits: A cross-country microeconometric analysis[J]. Research Policy, 2017, 46(1): 57-72.</w:t>
      </w:r>
    </w:p>
    <w:p>
      <w:pPr>
        <w:widowControl/>
        <w:spacing w:line="360" w:lineRule="auto"/>
        <w:rPr>
          <w:sz w:val="24"/>
        </w:rPr>
      </w:pPr>
      <w:bookmarkStart w:id="151" w:name="_Ref102640520"/>
      <w:r>
        <w:rPr>
          <w:sz w:val="24"/>
        </w:rPr>
        <w:t>[10] Hart SL. A natural resource-based view of the firm[J]. Academy of Management Review, 1995, 20(4): 986-1014.</w:t>
      </w:r>
      <w:bookmarkEnd w:id="151"/>
    </w:p>
    <w:p>
      <w:pPr>
        <w:widowControl/>
        <w:spacing w:line="360" w:lineRule="auto"/>
        <w:rPr>
          <w:sz w:val="24"/>
        </w:rPr>
      </w:pPr>
      <w:r>
        <w:rPr>
          <w:sz w:val="24"/>
        </w:rPr>
        <w:t>[11] Jaffe A B</w:t>
      </w:r>
      <w:r>
        <w:rPr>
          <w:rFonts w:hint="eastAsia"/>
          <w:sz w:val="24"/>
        </w:rPr>
        <w:t>,</w:t>
      </w:r>
      <w:r>
        <w:rPr>
          <w:sz w:val="24"/>
        </w:rPr>
        <w:t xml:space="preserve"> Palmer K</w:t>
      </w:r>
      <w:r>
        <w:rPr>
          <w:rFonts w:hint="eastAsia"/>
          <w:sz w:val="24"/>
        </w:rPr>
        <w:t>.</w:t>
      </w:r>
      <w:r>
        <w:rPr>
          <w:sz w:val="24"/>
        </w:rPr>
        <w:t xml:space="preserve"> Environmental regulation and innovation: A panel data study[J]. Review of Economics and Statistics, 1997, 79(4): 610-619．</w:t>
      </w:r>
    </w:p>
    <w:p>
      <w:pPr>
        <w:widowControl/>
        <w:spacing w:line="360" w:lineRule="auto"/>
        <w:rPr>
          <w:sz w:val="24"/>
        </w:rPr>
      </w:pPr>
      <w:r>
        <w:rPr>
          <w:sz w:val="24"/>
        </w:rPr>
        <w:t>[12] Jean Olson Lanjouw, and A. Mody. "Innovation and the international diffusion of environmentally responsive technology." [J]. Research Policy</w:t>
      </w:r>
      <w:r>
        <w:rPr>
          <w:rFonts w:hint="eastAsia"/>
          <w:sz w:val="24"/>
        </w:rPr>
        <w:t>,</w:t>
      </w:r>
      <w:r>
        <w:rPr>
          <w:sz w:val="24"/>
        </w:rPr>
        <w:t xml:space="preserve"> 1996, 25(4): 549-571.</w:t>
      </w:r>
    </w:p>
    <w:p>
      <w:pPr>
        <w:widowControl/>
        <w:spacing w:line="360" w:lineRule="auto"/>
        <w:rPr>
          <w:sz w:val="24"/>
        </w:rPr>
      </w:pPr>
      <w:r>
        <w:rPr>
          <w:sz w:val="24"/>
        </w:rPr>
        <w:t xml:space="preserve">[13] Jens H . Determinants of </w:t>
      </w:r>
      <w:r>
        <w:rPr>
          <w:rFonts w:hint="eastAsia"/>
          <w:sz w:val="24"/>
        </w:rPr>
        <w:t>e</w:t>
      </w:r>
      <w:r>
        <w:rPr>
          <w:sz w:val="24"/>
        </w:rPr>
        <w:t xml:space="preserve">nvironmental Innovation - </w:t>
      </w:r>
      <w:r>
        <w:rPr>
          <w:rFonts w:hint="eastAsia"/>
          <w:sz w:val="24"/>
        </w:rPr>
        <w:t>n</w:t>
      </w:r>
      <w:r>
        <w:rPr>
          <w:sz w:val="24"/>
        </w:rPr>
        <w:t xml:space="preserve">ew </w:t>
      </w:r>
      <w:r>
        <w:rPr>
          <w:rFonts w:hint="eastAsia"/>
          <w:sz w:val="24"/>
        </w:rPr>
        <w:t>e</w:t>
      </w:r>
      <w:r>
        <w:rPr>
          <w:sz w:val="24"/>
        </w:rPr>
        <w:t xml:space="preserve">vidence from German </w:t>
      </w:r>
      <w:r>
        <w:rPr>
          <w:rFonts w:hint="eastAsia"/>
          <w:sz w:val="24"/>
        </w:rPr>
        <w:t>p</w:t>
      </w:r>
      <w:r>
        <w:rPr>
          <w:sz w:val="24"/>
        </w:rPr>
        <w:t xml:space="preserve">anel </w:t>
      </w:r>
      <w:r>
        <w:rPr>
          <w:rFonts w:hint="eastAsia"/>
          <w:sz w:val="24"/>
        </w:rPr>
        <w:t>d</w:t>
      </w:r>
      <w:r>
        <w:rPr>
          <w:sz w:val="24"/>
        </w:rPr>
        <w:t xml:space="preserve">ata </w:t>
      </w:r>
      <w:r>
        <w:rPr>
          <w:rFonts w:hint="eastAsia"/>
          <w:sz w:val="24"/>
        </w:rPr>
        <w:t>s</w:t>
      </w:r>
      <w:r>
        <w:rPr>
          <w:sz w:val="24"/>
        </w:rPr>
        <w:t>ources[J]. SSRN Electronic Journal, 2006.</w:t>
      </w:r>
    </w:p>
    <w:p>
      <w:pPr>
        <w:widowControl/>
        <w:spacing w:line="360" w:lineRule="auto"/>
        <w:rPr>
          <w:sz w:val="24"/>
        </w:rPr>
      </w:pPr>
      <w:r>
        <w:rPr>
          <w:sz w:val="24"/>
        </w:rPr>
        <w:t xml:space="preserve">[14] Lanoie P, Jérémy Laurent-Lucchetti, Johnstone N. Environmental </w:t>
      </w:r>
      <w:r>
        <w:rPr>
          <w:rFonts w:hint="eastAsia"/>
          <w:sz w:val="24"/>
        </w:rPr>
        <w:t>p</w:t>
      </w:r>
      <w:r>
        <w:rPr>
          <w:sz w:val="24"/>
        </w:rPr>
        <w:t xml:space="preserve">olicy, </w:t>
      </w:r>
      <w:r>
        <w:rPr>
          <w:rFonts w:hint="eastAsia"/>
          <w:sz w:val="24"/>
        </w:rPr>
        <w:t>i</w:t>
      </w:r>
      <w:r>
        <w:rPr>
          <w:sz w:val="24"/>
        </w:rPr>
        <w:t xml:space="preserve">nnovation and </w:t>
      </w:r>
      <w:r>
        <w:rPr>
          <w:rFonts w:hint="eastAsia"/>
          <w:sz w:val="24"/>
        </w:rPr>
        <w:t>p</w:t>
      </w:r>
      <w:r>
        <w:rPr>
          <w:sz w:val="24"/>
        </w:rPr>
        <w:t xml:space="preserve">erformance: </w:t>
      </w:r>
      <w:r>
        <w:rPr>
          <w:rFonts w:hint="eastAsia"/>
          <w:sz w:val="24"/>
        </w:rPr>
        <w:t>n</w:t>
      </w:r>
      <w:r>
        <w:rPr>
          <w:sz w:val="24"/>
        </w:rPr>
        <w:t xml:space="preserve">ew </w:t>
      </w:r>
      <w:r>
        <w:rPr>
          <w:rFonts w:hint="eastAsia"/>
          <w:sz w:val="24"/>
        </w:rPr>
        <w:t>i</w:t>
      </w:r>
      <w:r>
        <w:rPr>
          <w:sz w:val="24"/>
        </w:rPr>
        <w:t>nsights on the Porter Hypothesis[J]. Journal of Economics &amp; Management Strategy, 2007, 20(3): 803-842.</w:t>
      </w:r>
    </w:p>
    <w:p>
      <w:pPr>
        <w:widowControl/>
        <w:spacing w:line="360" w:lineRule="auto"/>
        <w:rPr>
          <w:sz w:val="24"/>
        </w:rPr>
      </w:pPr>
      <w:r>
        <w:rPr>
          <w:sz w:val="24"/>
        </w:rPr>
        <w:t>[15] Pham HNA, Ramiah V, Moosa I. The effects of environmental regulation on the stock market: the French experience[J]. Accounting &amp; Finance, 2020, 60(4): 3279-3304.</w:t>
      </w:r>
    </w:p>
    <w:p>
      <w:pPr>
        <w:widowControl/>
        <w:spacing w:line="360" w:lineRule="auto"/>
        <w:rPr>
          <w:sz w:val="24"/>
        </w:rPr>
      </w:pPr>
      <w:r>
        <w:rPr>
          <w:sz w:val="24"/>
        </w:rPr>
        <w:t>[16] Popp D</w:t>
      </w:r>
      <w:r>
        <w:rPr>
          <w:rFonts w:hint="eastAsia"/>
          <w:sz w:val="24"/>
        </w:rPr>
        <w:t>.</w:t>
      </w:r>
      <w:r>
        <w:rPr>
          <w:sz w:val="24"/>
        </w:rPr>
        <w:t xml:space="preserve"> Induced </w:t>
      </w:r>
      <w:r>
        <w:rPr>
          <w:rFonts w:hint="eastAsia"/>
          <w:sz w:val="24"/>
        </w:rPr>
        <w:t>i</w:t>
      </w:r>
      <w:r>
        <w:rPr>
          <w:sz w:val="24"/>
        </w:rPr>
        <w:t xml:space="preserve">nnovation and </w:t>
      </w:r>
      <w:r>
        <w:rPr>
          <w:rFonts w:hint="eastAsia"/>
          <w:sz w:val="24"/>
        </w:rPr>
        <w:t>e</w:t>
      </w:r>
      <w:r>
        <w:rPr>
          <w:sz w:val="24"/>
        </w:rPr>
        <w:t xml:space="preserve">nergy </w:t>
      </w:r>
      <w:r>
        <w:rPr>
          <w:rFonts w:hint="eastAsia"/>
          <w:sz w:val="24"/>
        </w:rPr>
        <w:t>p</w:t>
      </w:r>
      <w:r>
        <w:rPr>
          <w:sz w:val="24"/>
        </w:rPr>
        <w:t>rices[J]. NBER Working Papers, 2002, 92(1): 160-180.</w:t>
      </w:r>
    </w:p>
    <w:p>
      <w:pPr>
        <w:widowControl/>
        <w:spacing w:line="360" w:lineRule="auto"/>
        <w:rPr>
          <w:sz w:val="24"/>
        </w:rPr>
      </w:pPr>
      <w:r>
        <w:rPr>
          <w:sz w:val="24"/>
        </w:rPr>
        <w:t xml:space="preserve">[17] Porter ME, van der Linde C. Toward a </w:t>
      </w:r>
      <w:r>
        <w:rPr>
          <w:rFonts w:hint="eastAsia"/>
          <w:sz w:val="24"/>
        </w:rPr>
        <w:t>n</w:t>
      </w:r>
      <w:r>
        <w:rPr>
          <w:sz w:val="24"/>
        </w:rPr>
        <w:t xml:space="preserve">ew </w:t>
      </w:r>
      <w:r>
        <w:rPr>
          <w:rFonts w:hint="eastAsia"/>
          <w:sz w:val="24"/>
        </w:rPr>
        <w:t>c</w:t>
      </w:r>
      <w:r>
        <w:rPr>
          <w:sz w:val="24"/>
        </w:rPr>
        <w:t xml:space="preserve">onception of the </w:t>
      </w:r>
      <w:r>
        <w:rPr>
          <w:rFonts w:hint="eastAsia"/>
          <w:sz w:val="24"/>
        </w:rPr>
        <w:t>e</w:t>
      </w:r>
      <w:r>
        <w:rPr>
          <w:sz w:val="24"/>
        </w:rPr>
        <w:t>nvironment-</w:t>
      </w:r>
      <w:r>
        <w:rPr>
          <w:rFonts w:hint="eastAsia"/>
          <w:sz w:val="24"/>
        </w:rPr>
        <w:t>c</w:t>
      </w:r>
      <w:r>
        <w:rPr>
          <w:sz w:val="24"/>
        </w:rPr>
        <w:t xml:space="preserve">ompetitiveness </w:t>
      </w:r>
      <w:r>
        <w:rPr>
          <w:rFonts w:hint="eastAsia"/>
          <w:sz w:val="24"/>
        </w:rPr>
        <w:t>r</w:t>
      </w:r>
      <w:r>
        <w:rPr>
          <w:sz w:val="24"/>
        </w:rPr>
        <w:t>elationship[J]. Journal of Economic Perspectives</w:t>
      </w:r>
      <w:r>
        <w:rPr>
          <w:rFonts w:hint="eastAsia"/>
          <w:sz w:val="24"/>
        </w:rPr>
        <w:t>,</w:t>
      </w:r>
      <w:r>
        <w:rPr>
          <w:sz w:val="24"/>
        </w:rPr>
        <w:t xml:space="preserve"> 1995, 9(4): 97-118.</w:t>
      </w:r>
    </w:p>
    <w:p>
      <w:pPr>
        <w:widowControl/>
        <w:spacing w:line="360" w:lineRule="auto"/>
        <w:rPr>
          <w:sz w:val="24"/>
        </w:rPr>
      </w:pPr>
      <w:r>
        <w:rPr>
          <w:sz w:val="24"/>
        </w:rPr>
        <w:t>[18] Rennings K</w:t>
      </w:r>
      <w:r>
        <w:rPr>
          <w:rFonts w:hint="eastAsia"/>
          <w:sz w:val="24"/>
        </w:rPr>
        <w:t>,</w:t>
      </w:r>
      <w:r>
        <w:rPr>
          <w:sz w:val="24"/>
        </w:rPr>
        <w:t xml:space="preserve"> Ziegler A, Ankele K. The influence of different characteristics of the EU environmental management and auditing scheme on technical environmental innovations and economic performance[J]. Ecological Economics, 2006, </w:t>
      </w:r>
      <w:r>
        <w:rPr>
          <w:rFonts w:hint="eastAsia"/>
          <w:sz w:val="24"/>
        </w:rPr>
        <w:t>57(1):</w:t>
      </w:r>
      <w:r>
        <w:rPr>
          <w:sz w:val="24"/>
        </w:rPr>
        <w:t xml:space="preserve"> </w:t>
      </w:r>
      <w:r>
        <w:rPr>
          <w:rFonts w:hint="eastAsia"/>
          <w:sz w:val="24"/>
        </w:rPr>
        <w:t>45-59．</w:t>
      </w:r>
    </w:p>
    <w:p>
      <w:pPr>
        <w:widowControl/>
        <w:spacing w:line="360" w:lineRule="auto"/>
        <w:rPr>
          <w:sz w:val="24"/>
        </w:rPr>
      </w:pPr>
      <w:r>
        <w:rPr>
          <w:sz w:val="24"/>
        </w:rPr>
        <w:t xml:space="preserve">[19] Stewart J, Bogt H. The </w:t>
      </w:r>
      <w:r>
        <w:rPr>
          <w:rFonts w:hint="eastAsia"/>
          <w:sz w:val="24"/>
        </w:rPr>
        <w:t>r</w:t>
      </w:r>
      <w:r>
        <w:rPr>
          <w:sz w:val="24"/>
        </w:rPr>
        <w:t xml:space="preserve">ole of </w:t>
      </w:r>
      <w:r>
        <w:rPr>
          <w:rFonts w:hint="eastAsia"/>
          <w:sz w:val="24"/>
        </w:rPr>
        <w:t>i</w:t>
      </w:r>
      <w:r>
        <w:rPr>
          <w:sz w:val="24"/>
        </w:rPr>
        <w:t xml:space="preserve">nformation in </w:t>
      </w:r>
      <w:r>
        <w:rPr>
          <w:rFonts w:hint="eastAsia"/>
          <w:sz w:val="24"/>
        </w:rPr>
        <w:t>p</w:t>
      </w:r>
      <w:r>
        <w:rPr>
          <w:sz w:val="24"/>
        </w:rPr>
        <w:t xml:space="preserve">ublic </w:t>
      </w:r>
      <w:r>
        <w:rPr>
          <w:rFonts w:hint="eastAsia"/>
          <w:sz w:val="24"/>
        </w:rPr>
        <w:t>a</w:t>
      </w:r>
      <w:r>
        <w:rPr>
          <w:sz w:val="24"/>
        </w:rPr>
        <w:t xml:space="preserve">ccountability in </w:t>
      </w:r>
      <w:r>
        <w:rPr>
          <w:rFonts w:hint="eastAsia"/>
          <w:sz w:val="24"/>
        </w:rPr>
        <w:t>i</w:t>
      </w:r>
      <w:r>
        <w:rPr>
          <w:sz w:val="24"/>
        </w:rPr>
        <w:t xml:space="preserve">ssues in </w:t>
      </w:r>
      <w:r>
        <w:rPr>
          <w:rFonts w:hint="eastAsia"/>
          <w:sz w:val="24"/>
        </w:rPr>
        <w:t>p</w:t>
      </w:r>
      <w:r>
        <w:rPr>
          <w:sz w:val="24"/>
        </w:rPr>
        <w:t xml:space="preserve">ublic </w:t>
      </w:r>
      <w:r>
        <w:rPr>
          <w:rFonts w:hint="eastAsia"/>
          <w:sz w:val="24"/>
        </w:rPr>
        <w:t>s</w:t>
      </w:r>
      <w:r>
        <w:rPr>
          <w:sz w:val="24"/>
        </w:rPr>
        <w:t xml:space="preserve">ector </w:t>
      </w:r>
      <w:r>
        <w:rPr>
          <w:rFonts w:hint="eastAsia"/>
          <w:sz w:val="24"/>
        </w:rPr>
        <w:t>a</w:t>
      </w:r>
      <w:r>
        <w:rPr>
          <w:sz w:val="24"/>
        </w:rPr>
        <w:t>ccounting [M].Oxford: Philip Allan Publishers Ltd, 1984: 13-34.</w:t>
      </w:r>
    </w:p>
    <w:p>
      <w:pPr>
        <w:widowControl/>
        <w:spacing w:line="360" w:lineRule="auto"/>
        <w:rPr>
          <w:sz w:val="24"/>
        </w:rPr>
      </w:pPr>
      <w:r>
        <w:rPr>
          <w:sz w:val="24"/>
        </w:rPr>
        <w:t xml:space="preserve">[20] Thompson D, Wilson MJ. Environmental auditing: </w:t>
      </w:r>
      <w:r>
        <w:rPr>
          <w:rFonts w:hint="eastAsia"/>
          <w:sz w:val="24"/>
        </w:rPr>
        <w:t>t</w:t>
      </w:r>
      <w:r>
        <w:rPr>
          <w:sz w:val="24"/>
        </w:rPr>
        <w:t>heory and applications[J]. Environmental Management, 1994, 18(4): 605-615.</w:t>
      </w:r>
    </w:p>
    <w:p>
      <w:pPr>
        <w:widowControl/>
        <w:spacing w:line="360" w:lineRule="auto"/>
        <w:rPr>
          <w:sz w:val="24"/>
        </w:rPr>
      </w:pPr>
      <w:r>
        <w:rPr>
          <w:sz w:val="24"/>
        </w:rPr>
        <w:t>[21] Xiao H, Wang K M. Does environ</w:t>
      </w:r>
      <w:r>
        <w:rPr>
          <w:rFonts w:hint="eastAsia"/>
          <w:sz w:val="24"/>
        </w:rPr>
        <w:t>me</w:t>
      </w:r>
      <w:r>
        <w:rPr>
          <w:sz w:val="24"/>
        </w:rPr>
        <w:t>ntal labeling exacerbate heavily polluting firms' financial constraints? Evidence from China[J]. China Journal of Accounting Research, 2020(13): 147-174.</w:t>
      </w:r>
    </w:p>
    <w:p>
      <w:pPr>
        <w:widowControl/>
        <w:spacing w:line="360" w:lineRule="auto"/>
        <w:rPr>
          <w:sz w:val="24"/>
        </w:rPr>
      </w:pPr>
      <w:r>
        <w:rPr>
          <w:sz w:val="24"/>
        </w:rPr>
        <w:t>[22] Zhang Yuming, Liu Han, Li Menghan. Does chief executive officer turnover affect green innovation quality and quantity? Evidence from China's manufacturing enterprises[J]. Environmental science and pollution research international, 2022.</w:t>
      </w:r>
    </w:p>
    <w:p>
      <w:pPr>
        <w:widowControl/>
        <w:spacing w:line="360" w:lineRule="auto"/>
        <w:rPr>
          <w:sz w:val="24"/>
        </w:rPr>
      </w:pPr>
      <w:r>
        <w:rPr>
          <w:rFonts w:hint="eastAsia"/>
          <w:sz w:val="24"/>
        </w:rPr>
        <w:t>[</w:t>
      </w:r>
      <w:r>
        <w:rPr>
          <w:sz w:val="24"/>
        </w:rPr>
        <w:t>23] 安徽省审计厅课题组,戴克柱.对自然资源资产离任审计的几点认识[J]. 审计研究, 2014(06): 3-9.</w:t>
      </w:r>
    </w:p>
    <w:p>
      <w:pPr>
        <w:widowControl/>
        <w:spacing w:line="360" w:lineRule="auto"/>
        <w:rPr>
          <w:sz w:val="24"/>
        </w:rPr>
      </w:pPr>
      <w:r>
        <w:rPr>
          <w:rFonts w:hint="eastAsia"/>
          <w:sz w:val="24"/>
        </w:rPr>
        <w:t>[</w:t>
      </w:r>
      <w:r>
        <w:rPr>
          <w:sz w:val="24"/>
        </w:rPr>
        <w:t>24] 蔡春,毕铭悦.关于自然资源资产离任审计的理论思考[J].审计研究, 2014(05): 3-9.</w:t>
      </w:r>
    </w:p>
    <w:p>
      <w:pPr>
        <w:widowControl/>
        <w:spacing w:line="360" w:lineRule="auto"/>
        <w:rPr>
          <w:sz w:val="24"/>
        </w:rPr>
      </w:pPr>
      <w:r>
        <w:rPr>
          <w:rFonts w:hint="eastAsia"/>
          <w:sz w:val="24"/>
        </w:rPr>
        <w:t>[</w:t>
      </w:r>
      <w:r>
        <w:rPr>
          <w:sz w:val="24"/>
        </w:rPr>
        <w:t>25] 蔡春,郑开放,陈晔,王朋.政府环境审计对企业环境责任信息披露的影响研究——基于“三河三湖”环境审计的经验证据[J].审计研究,2019(06):3-12.</w:t>
      </w:r>
    </w:p>
    <w:p>
      <w:pPr>
        <w:widowControl/>
        <w:spacing w:line="360" w:lineRule="auto"/>
        <w:rPr>
          <w:sz w:val="24"/>
        </w:rPr>
      </w:pPr>
      <w:r>
        <w:rPr>
          <w:rFonts w:hint="eastAsia"/>
          <w:sz w:val="24"/>
        </w:rPr>
        <w:t>[</w:t>
      </w:r>
      <w:r>
        <w:rPr>
          <w:sz w:val="24"/>
        </w:rPr>
        <w:t>26] 蔡春,郑开放,王朋.政府环境审计对企业环境治理的影响研究[J].审计研究, 2021(04): 3-13.</w:t>
      </w:r>
    </w:p>
    <w:p>
      <w:pPr>
        <w:widowControl/>
        <w:spacing w:line="360" w:lineRule="auto"/>
        <w:rPr>
          <w:sz w:val="24"/>
        </w:rPr>
      </w:pPr>
      <w:r>
        <w:rPr>
          <w:rFonts w:hint="eastAsia"/>
          <w:sz w:val="24"/>
        </w:rPr>
        <w:t>[</w:t>
      </w:r>
      <w:r>
        <w:rPr>
          <w:sz w:val="24"/>
        </w:rPr>
        <w:t xml:space="preserve">27] </w:t>
      </w:r>
      <w:r>
        <w:rPr>
          <w:rFonts w:hint="eastAsia"/>
          <w:sz w:val="24"/>
        </w:rPr>
        <w:t>曹阳,易其其.政府补助对企业研发投入与绩效的影响——基于生物医药制造业的实证研究[J].科技管理研究,2018,38(01):40-46.</w:t>
      </w:r>
    </w:p>
    <w:p>
      <w:pPr>
        <w:widowControl/>
        <w:spacing w:line="360" w:lineRule="auto"/>
        <w:rPr>
          <w:sz w:val="24"/>
        </w:rPr>
      </w:pPr>
      <w:r>
        <w:rPr>
          <w:rFonts w:hint="eastAsia"/>
          <w:sz w:val="24"/>
        </w:rPr>
        <w:t>[</w:t>
      </w:r>
      <w:r>
        <w:rPr>
          <w:sz w:val="24"/>
        </w:rPr>
        <w:t xml:space="preserve">28] </w:t>
      </w:r>
      <w:r>
        <w:rPr>
          <w:rFonts w:hint="eastAsia"/>
          <w:sz w:val="24"/>
        </w:rPr>
        <w:t>丁胜红,胡俊.环境审计、环境信息披露与企业环境绩效[J].生态经济,</w:t>
      </w:r>
      <w:r>
        <w:rPr>
          <w:sz w:val="24"/>
        </w:rPr>
        <w:t xml:space="preserve"> </w:t>
      </w:r>
      <w:r>
        <w:rPr>
          <w:rFonts w:hint="eastAsia"/>
          <w:sz w:val="24"/>
        </w:rPr>
        <w:t>2022,</w:t>
      </w:r>
      <w:r>
        <w:rPr>
          <w:sz w:val="24"/>
        </w:rPr>
        <w:t xml:space="preserve"> </w:t>
      </w:r>
      <w:r>
        <w:rPr>
          <w:rFonts w:hint="eastAsia"/>
          <w:sz w:val="24"/>
        </w:rPr>
        <w:t>38</w:t>
      </w:r>
      <w:r>
        <w:rPr>
          <w:sz w:val="24"/>
        </w:rPr>
        <w:t xml:space="preserve"> </w:t>
      </w:r>
      <w:r>
        <w:rPr>
          <w:rFonts w:hint="eastAsia"/>
          <w:sz w:val="24"/>
        </w:rPr>
        <w:t>(01):162-168+185.</w:t>
      </w:r>
    </w:p>
    <w:p>
      <w:pPr>
        <w:widowControl/>
        <w:spacing w:line="360" w:lineRule="auto"/>
        <w:rPr>
          <w:sz w:val="24"/>
        </w:rPr>
      </w:pPr>
      <w:r>
        <w:rPr>
          <w:rFonts w:hint="eastAsia"/>
          <w:sz w:val="24"/>
        </w:rPr>
        <w:t>[</w:t>
      </w:r>
      <w:r>
        <w:rPr>
          <w:sz w:val="24"/>
        </w:rPr>
        <w:t xml:space="preserve">29] </w:t>
      </w:r>
      <w:r>
        <w:rPr>
          <w:rFonts w:hint="eastAsia"/>
          <w:sz w:val="24"/>
        </w:rPr>
        <w:t>陈劲.国家绿色技术创新系统的构建与分析[J].科学学研究,1999(03):37-41.</w:t>
      </w:r>
    </w:p>
    <w:p>
      <w:pPr>
        <w:widowControl/>
        <w:spacing w:line="360" w:lineRule="auto"/>
        <w:rPr>
          <w:sz w:val="24"/>
        </w:rPr>
      </w:pPr>
      <w:r>
        <w:rPr>
          <w:rFonts w:hint="eastAsia"/>
          <w:sz w:val="24"/>
        </w:rPr>
        <w:t>[</w:t>
      </w:r>
      <w:r>
        <w:rPr>
          <w:sz w:val="24"/>
        </w:rPr>
        <w:t>30] 陈劲,刘景江,杨发明.绿色技术创新审计指标测度方法研究[J].科研管理</w:t>
      </w:r>
      <w:r>
        <w:rPr>
          <w:rFonts w:hint="eastAsia"/>
          <w:sz w:val="24"/>
        </w:rPr>
        <w:t>,</w:t>
      </w:r>
      <w:r>
        <w:rPr>
          <w:sz w:val="24"/>
        </w:rPr>
        <w:t xml:space="preserve"> 2002(02):64-71.</w:t>
      </w:r>
    </w:p>
    <w:p>
      <w:pPr>
        <w:widowControl/>
        <w:spacing w:line="360" w:lineRule="auto"/>
        <w:rPr>
          <w:sz w:val="24"/>
        </w:rPr>
      </w:pPr>
      <w:r>
        <w:rPr>
          <w:rFonts w:hint="eastAsia"/>
          <w:sz w:val="24"/>
        </w:rPr>
        <w:t>[</w:t>
      </w:r>
      <w:r>
        <w:rPr>
          <w:sz w:val="24"/>
        </w:rPr>
        <w:t>31] 陈献东.确定领导干部自然资源资产离任审计内容的逻辑机理及例证分析[J].审计研究,2018(05):43-50.</w:t>
      </w:r>
    </w:p>
    <w:p>
      <w:pPr>
        <w:widowControl/>
        <w:spacing w:line="360" w:lineRule="auto"/>
        <w:rPr>
          <w:sz w:val="24"/>
        </w:rPr>
      </w:pPr>
      <w:r>
        <w:rPr>
          <w:rFonts w:hint="eastAsia"/>
          <w:sz w:val="24"/>
        </w:rPr>
        <w:t>[</w:t>
      </w:r>
      <w:r>
        <w:rPr>
          <w:sz w:val="24"/>
        </w:rPr>
        <w:t>32] 贺桂珍,吕永龙,王晓龙,刘达朱,王本强.荷兰的政府环境审计及其对中国的启示[J].审计研究,2006(01):30-34+29.</w:t>
      </w:r>
    </w:p>
    <w:p>
      <w:pPr>
        <w:widowControl/>
        <w:spacing w:line="360" w:lineRule="auto"/>
        <w:rPr>
          <w:sz w:val="24"/>
        </w:rPr>
      </w:pPr>
      <w:r>
        <w:rPr>
          <w:rFonts w:hint="eastAsia"/>
          <w:sz w:val="24"/>
        </w:rPr>
        <w:t>[</w:t>
      </w:r>
      <w:r>
        <w:rPr>
          <w:sz w:val="24"/>
        </w:rPr>
        <w:t>33] 贺宝成,冯亚倩.自然资源资产离任审计如何影响企业绿色技术创新?[J].生态经济,2021,37(05):192-198.</w:t>
      </w:r>
    </w:p>
    <w:p>
      <w:pPr>
        <w:widowControl/>
        <w:spacing w:line="360" w:lineRule="auto"/>
        <w:rPr>
          <w:sz w:val="24"/>
        </w:rPr>
      </w:pPr>
      <w:r>
        <w:rPr>
          <w:rFonts w:hint="eastAsia"/>
          <w:sz w:val="24"/>
        </w:rPr>
        <w:t>[</w:t>
      </w:r>
      <w:r>
        <w:rPr>
          <w:sz w:val="24"/>
        </w:rPr>
        <w:t>34] 黄溶冰.党政领导干部经济责任审计的层次变权综合评价模型——基于科学发展观的视角[J].审计研究,2013(05):53-59.</w:t>
      </w:r>
    </w:p>
    <w:p>
      <w:pPr>
        <w:widowControl/>
        <w:spacing w:line="360" w:lineRule="auto"/>
        <w:rPr>
          <w:sz w:val="24"/>
        </w:rPr>
      </w:pPr>
      <w:r>
        <w:rPr>
          <w:rFonts w:hint="eastAsia"/>
          <w:sz w:val="24"/>
        </w:rPr>
        <w:t>[</w:t>
      </w:r>
      <w:r>
        <w:rPr>
          <w:sz w:val="24"/>
        </w:rPr>
        <w:t xml:space="preserve">35] </w:t>
      </w:r>
      <w:r>
        <w:rPr>
          <w:rFonts w:hint="eastAsia"/>
          <w:sz w:val="24"/>
        </w:rPr>
        <w:t>贾军,张伟.绿色技术创新中路径依赖及环境规制影响分析[J].科学学与科学技术管理,2014,35(05):44-52.</w:t>
      </w:r>
    </w:p>
    <w:p>
      <w:pPr>
        <w:widowControl/>
        <w:spacing w:line="360" w:lineRule="auto"/>
        <w:rPr>
          <w:sz w:val="24"/>
        </w:rPr>
      </w:pPr>
      <w:r>
        <w:rPr>
          <w:rFonts w:hint="eastAsia"/>
          <w:sz w:val="24"/>
        </w:rPr>
        <w:t>[</w:t>
      </w:r>
      <w:r>
        <w:rPr>
          <w:sz w:val="24"/>
        </w:rPr>
        <w:t xml:space="preserve">36] </w:t>
      </w:r>
      <w:r>
        <w:rPr>
          <w:rFonts w:hint="eastAsia"/>
          <w:sz w:val="24"/>
        </w:rPr>
        <w:t>蒋秋菊,孙芳城.领导干部自然资源资产离任审计是否影响企业税收规避——基于政府官员晋升机制转变视角的准自然实验研究[J].审计研究,2019(03):35-</w:t>
      </w:r>
      <w:r>
        <w:rPr>
          <w:sz w:val="24"/>
        </w:rPr>
        <w:t xml:space="preserve"> </w:t>
      </w:r>
      <w:r>
        <w:rPr>
          <w:rFonts w:hint="eastAsia"/>
          <w:sz w:val="24"/>
        </w:rPr>
        <w:t>43.</w:t>
      </w:r>
    </w:p>
    <w:p>
      <w:pPr>
        <w:widowControl/>
        <w:spacing w:line="360" w:lineRule="auto"/>
        <w:rPr>
          <w:sz w:val="24"/>
        </w:rPr>
      </w:pPr>
      <w:r>
        <w:rPr>
          <w:rFonts w:hint="eastAsia"/>
          <w:sz w:val="24"/>
        </w:rPr>
        <w:t>[</w:t>
      </w:r>
      <w:r>
        <w:rPr>
          <w:sz w:val="24"/>
        </w:rPr>
        <w:t>37] 李明辉, 张艳, 张娟. 国外环境审计研究述评[J].审计与经济研究, 2011(4): 29-37.</w:t>
      </w:r>
    </w:p>
    <w:p>
      <w:pPr>
        <w:widowControl/>
        <w:spacing w:line="360" w:lineRule="auto"/>
        <w:rPr>
          <w:sz w:val="24"/>
        </w:rPr>
      </w:pPr>
      <w:r>
        <w:rPr>
          <w:rFonts w:hint="eastAsia"/>
          <w:sz w:val="24"/>
        </w:rPr>
        <w:t>[</w:t>
      </w:r>
      <w:r>
        <w:rPr>
          <w:sz w:val="24"/>
        </w:rPr>
        <w:t>38] 李婉红,毕克新,孙冰.环境规制强度对污染密集行业绿色技术创新的影响研究——基于2003-2010年面板数据的实证检验[J].研究与发展管理, 2013, 25(6): 72-81.</w:t>
      </w:r>
    </w:p>
    <w:p>
      <w:pPr>
        <w:widowControl/>
        <w:spacing w:line="360" w:lineRule="auto"/>
        <w:rPr>
          <w:sz w:val="24"/>
        </w:rPr>
      </w:pPr>
      <w:r>
        <w:rPr>
          <w:rFonts w:hint="eastAsia"/>
          <w:sz w:val="24"/>
        </w:rPr>
        <w:t>[</w:t>
      </w:r>
      <w:r>
        <w:rPr>
          <w:sz w:val="24"/>
        </w:rPr>
        <w:t xml:space="preserve">39] </w:t>
      </w:r>
      <w:r>
        <w:rPr>
          <w:rFonts w:hint="eastAsia"/>
          <w:sz w:val="24"/>
        </w:rPr>
        <w:t>李万福,杜静,张怀.创新补助究竟有没有激励企业创新自主投资--来自中国上市公司的新证据[J].金融研究,2017(10):130-145.</w:t>
      </w:r>
    </w:p>
    <w:p>
      <w:pPr>
        <w:widowControl/>
        <w:spacing w:line="360" w:lineRule="auto"/>
        <w:rPr>
          <w:sz w:val="24"/>
        </w:rPr>
      </w:pPr>
      <w:r>
        <w:rPr>
          <w:rFonts w:hint="eastAsia"/>
          <w:sz w:val="24"/>
        </w:rPr>
        <w:t>[</w:t>
      </w:r>
      <w:r>
        <w:rPr>
          <w:sz w:val="24"/>
        </w:rPr>
        <w:t>40] 林忠华.领导干部自然资源资产离任审计探讨[J].审计研究,2014(05):10-14.</w:t>
      </w:r>
    </w:p>
    <w:p>
      <w:pPr>
        <w:widowControl/>
        <w:spacing w:line="360" w:lineRule="auto"/>
        <w:rPr>
          <w:sz w:val="24"/>
        </w:rPr>
      </w:pPr>
      <w:r>
        <w:rPr>
          <w:rFonts w:hint="eastAsia"/>
          <w:sz w:val="24"/>
        </w:rPr>
        <w:t>[</w:t>
      </w:r>
      <w:r>
        <w:rPr>
          <w:sz w:val="24"/>
        </w:rPr>
        <w:t>41] 刘达朱,王本强,陈基湘.政府环境审计的现状、发展趋势和技术方法[J].审计研究,2002(06):17-23.</w:t>
      </w:r>
    </w:p>
    <w:p>
      <w:pPr>
        <w:widowControl/>
        <w:spacing w:line="360" w:lineRule="auto"/>
        <w:rPr>
          <w:sz w:val="24"/>
        </w:rPr>
      </w:pPr>
      <w:r>
        <w:rPr>
          <w:rFonts w:hint="eastAsia"/>
          <w:sz w:val="24"/>
        </w:rPr>
        <w:t>[</w:t>
      </w:r>
      <w:r>
        <w:rPr>
          <w:sz w:val="24"/>
        </w:rPr>
        <w:t>42] 刘明辉,孙冀萍.领导干部自然资源资产离任审计要素研究[J].审计与经济研究,2016,31(04):12-20.</w:t>
      </w:r>
    </w:p>
    <w:p>
      <w:pPr>
        <w:widowControl/>
        <w:spacing w:line="360" w:lineRule="auto"/>
        <w:rPr>
          <w:sz w:val="24"/>
        </w:rPr>
      </w:pPr>
      <w:r>
        <w:rPr>
          <w:rFonts w:hint="eastAsia"/>
          <w:sz w:val="24"/>
        </w:rPr>
        <w:t>[</w:t>
      </w:r>
      <w:r>
        <w:rPr>
          <w:sz w:val="24"/>
        </w:rPr>
        <w:t>43] 刘儒昞,王海滨.领导干部自然资源资产离任审计演化分析[J].审计研究, 2017 (04):32-38.</w:t>
      </w:r>
    </w:p>
    <w:p>
      <w:pPr>
        <w:widowControl/>
        <w:spacing w:line="360" w:lineRule="auto"/>
        <w:rPr>
          <w:sz w:val="24"/>
        </w:rPr>
      </w:pPr>
      <w:r>
        <w:rPr>
          <w:rFonts w:hint="eastAsia"/>
          <w:sz w:val="24"/>
        </w:rPr>
        <w:t>[</w:t>
      </w:r>
      <w:r>
        <w:rPr>
          <w:sz w:val="24"/>
        </w:rPr>
        <w:t>44] 路军伟,李建发.政府会计改革的公共受托责任视角解析[J].会计研究,2006(12):14-19+95.</w:t>
      </w:r>
    </w:p>
    <w:p>
      <w:pPr>
        <w:widowControl/>
        <w:spacing w:line="360" w:lineRule="auto"/>
        <w:jc w:val="left"/>
        <w:rPr>
          <w:sz w:val="24"/>
        </w:rPr>
      </w:pPr>
      <w:r>
        <w:rPr>
          <w:rFonts w:hint="eastAsia"/>
          <w:sz w:val="24"/>
        </w:rPr>
        <w:t>[</w:t>
      </w:r>
      <w:r>
        <w:rPr>
          <w:sz w:val="24"/>
        </w:rPr>
        <w:t xml:space="preserve">45] </w:t>
      </w:r>
      <w:r>
        <w:rPr>
          <w:rFonts w:hint="eastAsia"/>
          <w:sz w:val="24"/>
        </w:rPr>
        <w:t>蒙大斌,于莹莹.双重环境规制、创新生态与绿色技术创新——对“波特假说”的再探讨[J/OL].软科学:1-12[2022-05-28].</w:t>
      </w:r>
      <w:r>
        <w:rPr>
          <w:u w:val="none"/>
        </w:rPr>
        <w:fldChar w:fldCharType="begin"/>
      </w:r>
      <w:r>
        <w:rPr>
          <w:u w:val="none"/>
        </w:rPr>
        <w:instrText xml:space="preserve"> HYPERLINK "http://kns.cnki.net/kcms/detail/" </w:instrText>
      </w:r>
      <w:r>
        <w:rPr>
          <w:u w:val="none"/>
        </w:rPr>
        <w:fldChar w:fldCharType="separate"/>
      </w:r>
      <w:r>
        <w:rPr>
          <w:rStyle w:val="18"/>
          <w:rFonts w:hint="eastAsia"/>
          <w:sz w:val="24"/>
          <w:u w:val="none"/>
        </w:rPr>
        <w:t>http://kns.cnki.net/kcms/detail/</w:t>
      </w:r>
      <w:r>
        <w:rPr>
          <w:rStyle w:val="18"/>
          <w:rFonts w:hint="eastAsia"/>
          <w:sz w:val="24"/>
          <w:u w:val="none"/>
        </w:rPr>
        <w:fldChar w:fldCharType="end"/>
      </w:r>
      <w:r>
        <w:rPr>
          <w:sz w:val="24"/>
          <w:u w:val="none"/>
        </w:rPr>
        <w:t xml:space="preserve"> </w:t>
      </w:r>
      <w:r>
        <w:rPr>
          <w:rFonts w:hint="eastAsia"/>
          <w:sz w:val="24"/>
          <w:u w:val="none"/>
        </w:rPr>
        <w:t>5</w:t>
      </w:r>
      <w:r>
        <w:rPr>
          <w:rFonts w:hint="eastAsia"/>
          <w:sz w:val="24"/>
        </w:rPr>
        <w:t>1.</w:t>
      </w:r>
      <w:r>
        <w:rPr>
          <w:sz w:val="24"/>
        </w:rPr>
        <w:t xml:space="preserve"> </w:t>
      </w:r>
      <w:r>
        <w:rPr>
          <w:rFonts w:hint="eastAsia"/>
          <w:sz w:val="24"/>
        </w:rPr>
        <w:t>1268.G3.20220510.1612.004.html</w:t>
      </w:r>
    </w:p>
    <w:p>
      <w:pPr>
        <w:widowControl/>
        <w:spacing w:line="360" w:lineRule="auto"/>
        <w:rPr>
          <w:sz w:val="24"/>
        </w:rPr>
      </w:pPr>
      <w:r>
        <w:rPr>
          <w:rFonts w:hint="eastAsia"/>
          <w:sz w:val="24"/>
        </w:rPr>
        <w:t>[</w:t>
      </w:r>
      <w:r>
        <w:rPr>
          <w:sz w:val="24"/>
        </w:rPr>
        <w:t>46] 聂兴凯,赵天惠,裴璇.领导干部自然资源资产离任审计与企业转型升级[J].审计研究,2021(06):35-45.</w:t>
      </w:r>
    </w:p>
    <w:p>
      <w:pPr>
        <w:widowControl/>
        <w:spacing w:line="360" w:lineRule="auto"/>
        <w:rPr>
          <w:sz w:val="24"/>
        </w:rPr>
      </w:pPr>
      <w:r>
        <w:rPr>
          <w:rFonts w:hint="eastAsia"/>
          <w:sz w:val="24"/>
        </w:rPr>
        <w:t>[</w:t>
      </w:r>
      <w:r>
        <w:rPr>
          <w:sz w:val="24"/>
        </w:rPr>
        <w:t>47] 牛文元.可持续发展理论的内涵认知——纪念联合国里约环发大会20周年[J].中国人口·资源与环境,2012,22(05):9-14.</w:t>
      </w:r>
    </w:p>
    <w:p>
      <w:pPr>
        <w:widowControl/>
        <w:spacing w:line="360" w:lineRule="auto"/>
        <w:rPr>
          <w:sz w:val="24"/>
        </w:rPr>
      </w:pPr>
      <w:r>
        <w:rPr>
          <w:rFonts w:hint="eastAsia"/>
          <w:sz w:val="24"/>
        </w:rPr>
        <w:t>[</w:t>
      </w:r>
      <w:r>
        <w:rPr>
          <w:sz w:val="24"/>
        </w:rPr>
        <w:t>48] 潘琰,朱灵子.领导干部自然资源资产离任审计的大数据审计模式探析[J].审计研究,2019(06):37-43+69.</w:t>
      </w:r>
    </w:p>
    <w:p>
      <w:pPr>
        <w:widowControl/>
        <w:spacing w:line="360" w:lineRule="auto"/>
        <w:rPr>
          <w:sz w:val="24"/>
        </w:rPr>
      </w:pPr>
      <w:r>
        <w:rPr>
          <w:rFonts w:hint="eastAsia"/>
          <w:sz w:val="24"/>
        </w:rPr>
        <w:t>[</w:t>
      </w:r>
      <w:r>
        <w:rPr>
          <w:sz w:val="24"/>
        </w:rPr>
        <w:t>49] 秦荣生.受托经济责任理论与我国政府审计改革[J].审计研究,1999(04):8-16.</w:t>
      </w:r>
    </w:p>
    <w:p>
      <w:pPr>
        <w:widowControl/>
        <w:spacing w:line="360" w:lineRule="auto"/>
        <w:rPr>
          <w:sz w:val="24"/>
        </w:rPr>
      </w:pPr>
      <w:r>
        <w:rPr>
          <w:rFonts w:hint="eastAsia"/>
          <w:sz w:val="24"/>
        </w:rPr>
        <w:t>[</w:t>
      </w:r>
      <w:r>
        <w:rPr>
          <w:sz w:val="24"/>
        </w:rPr>
        <w:t>50] 全进,刘文军,谢帮生.领导干部自然资源资产离任审计、政治关联与权益资本成本[J].审计研究,2018(02):46-54.</w:t>
      </w:r>
    </w:p>
    <w:p>
      <w:pPr>
        <w:spacing w:line="360" w:lineRule="auto"/>
        <w:rPr>
          <w:sz w:val="24"/>
        </w:rPr>
      </w:pPr>
      <w:r>
        <w:rPr>
          <w:rFonts w:hint="eastAsia"/>
          <w:sz w:val="24"/>
        </w:rPr>
        <w:t>[</w:t>
      </w:r>
      <w:r>
        <w:rPr>
          <w:sz w:val="24"/>
        </w:rPr>
        <w:t xml:space="preserve">51] </w:t>
      </w:r>
      <w:r>
        <w:rPr>
          <w:rFonts w:hint="eastAsia"/>
          <w:sz w:val="24"/>
        </w:rPr>
        <w:t>沈毅,张清正.研发补贴、股权集中度与企业研发投入[J].预测,2020,39(03):42-49.</w:t>
      </w:r>
    </w:p>
    <w:p>
      <w:pPr>
        <w:widowControl/>
        <w:spacing w:line="360" w:lineRule="auto"/>
        <w:rPr>
          <w:sz w:val="24"/>
        </w:rPr>
      </w:pPr>
      <w:r>
        <w:rPr>
          <w:rFonts w:hint="eastAsia"/>
          <w:sz w:val="24"/>
        </w:rPr>
        <w:t>[</w:t>
      </w:r>
      <w:r>
        <w:rPr>
          <w:sz w:val="24"/>
        </w:rPr>
        <w:t xml:space="preserve">52] </w:t>
      </w:r>
      <w:r>
        <w:rPr>
          <w:rFonts w:hint="eastAsia"/>
          <w:sz w:val="24"/>
        </w:rPr>
        <w:t>孙文远,孙媛媛.资源环境审计对经济高质量发展影响的实证研究——以领导干部自然资源资产离任审计试点为例[J].生态经济,2020,36(01):166-171.</w:t>
      </w:r>
    </w:p>
    <w:p>
      <w:pPr>
        <w:widowControl/>
        <w:spacing w:line="360" w:lineRule="auto"/>
        <w:rPr>
          <w:sz w:val="24"/>
        </w:rPr>
      </w:pPr>
      <w:r>
        <w:rPr>
          <w:rFonts w:hint="eastAsia"/>
          <w:sz w:val="24"/>
        </w:rPr>
        <w:t>[</w:t>
      </w:r>
      <w:r>
        <w:rPr>
          <w:sz w:val="24"/>
        </w:rPr>
        <w:t>53] 王建明,陈红喜,袁瑜.企业绿色创新活动的中介效应实证[J].中国人口·资源与环境,2010,20(06):111-117.</w:t>
      </w:r>
    </w:p>
    <w:p>
      <w:pPr>
        <w:widowControl/>
        <w:spacing w:line="360" w:lineRule="auto"/>
        <w:rPr>
          <w:sz w:val="24"/>
        </w:rPr>
      </w:pPr>
      <w:r>
        <w:rPr>
          <w:rFonts w:hint="eastAsia"/>
          <w:sz w:val="24"/>
        </w:rPr>
        <w:t>[</w:t>
      </w:r>
      <w:r>
        <w:rPr>
          <w:sz w:val="24"/>
        </w:rPr>
        <w:t>54] 王素梅.环境绩效审计的发展研究:基于国家治理的视角[J].中国行政管理, 2014(11):62-65.</w:t>
      </w:r>
    </w:p>
    <w:p>
      <w:pPr>
        <w:widowControl/>
        <w:spacing w:line="360" w:lineRule="auto"/>
        <w:rPr>
          <w:sz w:val="24"/>
        </w:rPr>
      </w:pPr>
      <w:r>
        <w:rPr>
          <w:rFonts w:hint="eastAsia"/>
          <w:sz w:val="24"/>
        </w:rPr>
        <w:t>[</w:t>
      </w:r>
      <w:r>
        <w:rPr>
          <w:sz w:val="24"/>
        </w:rPr>
        <w:t>55] 王锋正,郭晓川.环境规制强度对资源型产业绿色技术创新的影响——基于2003—2011年面板数据的实证检验[J].中国人口·资源与环境, 2015</w:t>
      </w:r>
      <w:r>
        <w:rPr>
          <w:rFonts w:hint="eastAsia"/>
          <w:sz w:val="24"/>
        </w:rPr>
        <w:t>,</w:t>
      </w:r>
      <w:r>
        <w:rPr>
          <w:sz w:val="24"/>
        </w:rPr>
        <w:t xml:space="preserve"> 25(S1): 143-146.</w:t>
      </w:r>
    </w:p>
    <w:p>
      <w:pPr>
        <w:widowControl/>
        <w:spacing w:line="360" w:lineRule="auto"/>
        <w:rPr>
          <w:sz w:val="24"/>
        </w:rPr>
      </w:pPr>
      <w:r>
        <w:rPr>
          <w:rFonts w:hint="eastAsia"/>
          <w:sz w:val="24"/>
        </w:rPr>
        <w:t>[</w:t>
      </w:r>
      <w:r>
        <w:rPr>
          <w:sz w:val="24"/>
        </w:rPr>
        <w:t>56] 王锋正,陈方圆.董事会治理、环境规制与绿色技术创新——基于我国重污染行业上市公司的实证检验[J].科学学研究,2018,36(02):361-369.</w:t>
      </w:r>
    </w:p>
    <w:p>
      <w:pPr>
        <w:widowControl/>
        <w:spacing w:line="360" w:lineRule="auto"/>
        <w:rPr>
          <w:sz w:val="24"/>
        </w:rPr>
      </w:pPr>
      <w:r>
        <w:rPr>
          <w:rFonts w:hint="eastAsia"/>
          <w:sz w:val="24"/>
        </w:rPr>
        <w:t>[</w:t>
      </w:r>
      <w:r>
        <w:rPr>
          <w:sz w:val="24"/>
        </w:rPr>
        <w:t xml:space="preserve">57] </w:t>
      </w:r>
      <w:r>
        <w:rPr>
          <w:rFonts w:hint="eastAsia"/>
          <w:sz w:val="24"/>
        </w:rPr>
        <w:t>王锋正,姜涛,郭晓川.政府质量、环境规制与企业绿色技术创新[J].科研管理,</w:t>
      </w:r>
      <w:r>
        <w:rPr>
          <w:sz w:val="24"/>
        </w:rPr>
        <w:t xml:space="preserve"> </w:t>
      </w:r>
      <w:r>
        <w:rPr>
          <w:rFonts w:hint="eastAsia"/>
          <w:sz w:val="24"/>
        </w:rPr>
        <w:t>2018,39(01):26-33.</w:t>
      </w:r>
    </w:p>
    <w:p>
      <w:pPr>
        <w:widowControl/>
        <w:spacing w:line="360" w:lineRule="auto"/>
        <w:rPr>
          <w:sz w:val="24"/>
        </w:rPr>
      </w:pPr>
      <w:r>
        <w:rPr>
          <w:rFonts w:hint="eastAsia"/>
          <w:sz w:val="24"/>
        </w:rPr>
        <w:t>[</w:t>
      </w:r>
      <w:r>
        <w:rPr>
          <w:sz w:val="24"/>
        </w:rPr>
        <w:t xml:space="preserve">58] </w:t>
      </w:r>
      <w:r>
        <w:rPr>
          <w:rFonts w:hint="eastAsia"/>
          <w:sz w:val="24"/>
        </w:rPr>
        <w:t>王珍愚,曹瑜,林善浪.环境规制对企业绿色技术创新的影响特征与异质性——基于中国上市公司绿色专利数据[J].科学学研究,2021,39(05):909-919+929.</w:t>
      </w:r>
    </w:p>
    <w:p>
      <w:pPr>
        <w:widowControl/>
        <w:spacing w:line="360" w:lineRule="auto"/>
        <w:rPr>
          <w:sz w:val="24"/>
        </w:rPr>
      </w:pPr>
      <w:r>
        <w:rPr>
          <w:rFonts w:hint="eastAsia"/>
          <w:sz w:val="24"/>
        </w:rPr>
        <w:t>[</w:t>
      </w:r>
      <w:r>
        <w:rPr>
          <w:sz w:val="24"/>
        </w:rPr>
        <w:t xml:space="preserve">59] </w:t>
      </w:r>
      <w:r>
        <w:rPr>
          <w:rFonts w:hint="eastAsia"/>
          <w:sz w:val="24"/>
        </w:rPr>
        <w:t>吴育辉,吴世农.股权集中、大股东掏空与管理层自利行为[J].管理科学学报,</w:t>
      </w:r>
      <w:r>
        <w:rPr>
          <w:sz w:val="24"/>
        </w:rPr>
        <w:t xml:space="preserve"> </w:t>
      </w:r>
      <w:r>
        <w:rPr>
          <w:rFonts w:hint="eastAsia"/>
          <w:sz w:val="24"/>
        </w:rPr>
        <w:t>2011,14(08):34-44.</w:t>
      </w:r>
    </w:p>
    <w:p>
      <w:pPr>
        <w:widowControl/>
        <w:spacing w:line="360" w:lineRule="auto"/>
        <w:rPr>
          <w:sz w:val="24"/>
        </w:rPr>
      </w:pPr>
      <w:r>
        <w:rPr>
          <w:rFonts w:hint="eastAsia"/>
          <w:sz w:val="24"/>
        </w:rPr>
        <w:t>[</w:t>
      </w:r>
      <w:r>
        <w:rPr>
          <w:sz w:val="24"/>
        </w:rPr>
        <w:t xml:space="preserve">60] </w:t>
      </w:r>
      <w:r>
        <w:rPr>
          <w:rFonts w:hint="eastAsia"/>
          <w:sz w:val="24"/>
        </w:rPr>
        <w:t>谢贞发,陈涓.环境保护税税额省际差异对企业绿色技术创新影响的实证分析[J].国际税收,2022(04):67-74.</w:t>
      </w:r>
    </w:p>
    <w:p>
      <w:pPr>
        <w:widowControl/>
        <w:spacing w:line="360" w:lineRule="auto"/>
        <w:rPr>
          <w:sz w:val="24"/>
        </w:rPr>
      </w:pPr>
      <w:r>
        <w:rPr>
          <w:rFonts w:hint="eastAsia"/>
          <w:sz w:val="24"/>
        </w:rPr>
        <w:t>[</w:t>
      </w:r>
      <w:r>
        <w:rPr>
          <w:sz w:val="24"/>
        </w:rPr>
        <w:t>61] 杨发明,吕燕.绿色技术创新的组合激励研究[J].科研管理</w:t>
      </w:r>
      <w:r>
        <w:rPr>
          <w:rFonts w:hint="eastAsia"/>
          <w:sz w:val="24"/>
        </w:rPr>
        <w:t>,</w:t>
      </w:r>
      <w:r>
        <w:rPr>
          <w:sz w:val="24"/>
        </w:rPr>
        <w:t>1998</w:t>
      </w:r>
      <w:r>
        <w:rPr>
          <w:rFonts w:hint="eastAsia"/>
          <w:sz w:val="24"/>
        </w:rPr>
        <w:t>(</w:t>
      </w:r>
      <w:r>
        <w:rPr>
          <w:sz w:val="24"/>
        </w:rPr>
        <w:t>01)</w:t>
      </w:r>
      <w:r>
        <w:rPr>
          <w:rFonts w:hint="eastAsia"/>
          <w:sz w:val="24"/>
        </w:rPr>
        <w:t>:</w:t>
      </w:r>
      <w:r>
        <w:rPr>
          <w:sz w:val="24"/>
        </w:rPr>
        <w:t>41-45.</w:t>
      </w:r>
    </w:p>
    <w:p>
      <w:pPr>
        <w:widowControl/>
        <w:spacing w:line="360" w:lineRule="auto"/>
        <w:rPr>
          <w:sz w:val="24"/>
        </w:rPr>
      </w:pPr>
      <w:r>
        <w:rPr>
          <w:rFonts w:hint="eastAsia"/>
          <w:sz w:val="24"/>
        </w:rPr>
        <w:t>[</w:t>
      </w:r>
      <w:r>
        <w:rPr>
          <w:sz w:val="24"/>
        </w:rPr>
        <w:t>62] 杨东,柴慧敏.企业绿色技术创新的驱动因素及其绩效影响研究综述[J].中国人口·资源与环境,2015,25(S2):132-136.</w:t>
      </w:r>
    </w:p>
    <w:p>
      <w:pPr>
        <w:widowControl/>
        <w:spacing w:line="360" w:lineRule="auto"/>
        <w:rPr>
          <w:sz w:val="24"/>
        </w:rPr>
      </w:pPr>
      <w:r>
        <w:rPr>
          <w:rFonts w:hint="eastAsia"/>
          <w:sz w:val="24"/>
        </w:rPr>
        <w:t>[</w:t>
      </w:r>
      <w:r>
        <w:rPr>
          <w:sz w:val="24"/>
        </w:rPr>
        <w:t xml:space="preserve">63] </w:t>
      </w:r>
      <w:r>
        <w:rPr>
          <w:rFonts w:hint="eastAsia"/>
          <w:sz w:val="24"/>
        </w:rPr>
        <w:t>叶康涛,祝继高,陆正飞,张然.独立董事的独立性:基于董事会投票的证据[J].经济研究,2011,46(01):126-139.</w:t>
      </w:r>
    </w:p>
    <w:p>
      <w:pPr>
        <w:widowControl/>
        <w:spacing w:line="360" w:lineRule="auto"/>
        <w:rPr>
          <w:sz w:val="24"/>
        </w:rPr>
      </w:pPr>
      <w:r>
        <w:rPr>
          <w:rFonts w:hint="eastAsia"/>
          <w:sz w:val="24"/>
        </w:rPr>
        <w:t>[</w:t>
      </w:r>
      <w:r>
        <w:rPr>
          <w:sz w:val="24"/>
        </w:rPr>
        <w:t>64] 于连超,张卫国,毕茜.环境税会倒逼企业绿色创新吗?[J].审计与经济研究, 2019,34(02):79-90.</w:t>
      </w:r>
    </w:p>
    <w:p>
      <w:pPr>
        <w:spacing w:line="360" w:lineRule="auto"/>
        <w:rPr>
          <w:sz w:val="24"/>
        </w:rPr>
      </w:pPr>
      <w:r>
        <w:rPr>
          <w:rFonts w:hint="eastAsia"/>
          <w:sz w:val="24"/>
        </w:rPr>
        <w:t>[</w:t>
      </w:r>
      <w:r>
        <w:rPr>
          <w:sz w:val="24"/>
        </w:rPr>
        <w:t xml:space="preserve">65] </w:t>
      </w:r>
      <w:r>
        <w:rPr>
          <w:rFonts w:hint="eastAsia"/>
          <w:sz w:val="24"/>
        </w:rPr>
        <w:t>曾昌礼,李江涛.政府环境审计与环境绩效改善[J].审计研究,2018(04):44-52.</w:t>
      </w:r>
    </w:p>
    <w:p>
      <w:pPr>
        <w:widowControl/>
        <w:spacing w:line="360" w:lineRule="auto"/>
        <w:rPr>
          <w:sz w:val="24"/>
        </w:rPr>
      </w:pPr>
      <w:r>
        <w:rPr>
          <w:rFonts w:hint="eastAsia"/>
          <w:sz w:val="24"/>
        </w:rPr>
        <w:t>[</w:t>
      </w:r>
      <w:r>
        <w:rPr>
          <w:sz w:val="24"/>
        </w:rPr>
        <w:t>66] 张华,王玲,魏晓平.能源的“波特假说”效应存在吗?[J].中国人口·资源与环境, 2014,24(11):33-41.</w:t>
      </w:r>
    </w:p>
    <w:p>
      <w:pPr>
        <w:widowControl/>
        <w:spacing w:line="360" w:lineRule="auto"/>
        <w:rPr>
          <w:sz w:val="24"/>
        </w:rPr>
      </w:pPr>
      <w:r>
        <w:rPr>
          <w:rFonts w:hint="eastAsia"/>
          <w:sz w:val="24"/>
        </w:rPr>
        <w:t>[</w:t>
      </w:r>
      <w:r>
        <w:rPr>
          <w:sz w:val="24"/>
        </w:rPr>
        <w:t xml:space="preserve">67] </w:t>
      </w:r>
      <w:r>
        <w:rPr>
          <w:rFonts w:hint="eastAsia"/>
          <w:sz w:val="24"/>
        </w:rPr>
        <w:t>张荷.政府审计、异质性环境规制与工业企业高质量发展[J].财会通讯,</w:t>
      </w:r>
      <w:r>
        <w:rPr>
          <w:sz w:val="24"/>
        </w:rPr>
        <w:t xml:space="preserve"> </w:t>
      </w:r>
      <w:r>
        <w:rPr>
          <w:rFonts w:hint="eastAsia"/>
          <w:sz w:val="24"/>
        </w:rPr>
        <w:t>2022(07):32-36.</w:t>
      </w:r>
    </w:p>
    <w:p>
      <w:pPr>
        <w:widowControl/>
        <w:spacing w:line="360" w:lineRule="auto"/>
        <w:rPr>
          <w:sz w:val="24"/>
        </w:rPr>
      </w:pPr>
      <w:r>
        <w:rPr>
          <w:rFonts w:hint="eastAsia"/>
          <w:sz w:val="24"/>
        </w:rPr>
        <w:t>[</w:t>
      </w:r>
      <w:r>
        <w:rPr>
          <w:sz w:val="24"/>
        </w:rPr>
        <w:t>68] 张倩.环境规制对绿色技术创新影响的实证研究——基于政策差异化视角的省级面板数据分析[J].工业技术经济,2015,34(07):10-18.</w:t>
      </w:r>
    </w:p>
    <w:p>
      <w:pPr>
        <w:widowControl/>
        <w:spacing w:line="360" w:lineRule="auto"/>
        <w:rPr>
          <w:sz w:val="24"/>
        </w:rPr>
      </w:pPr>
      <w:r>
        <w:rPr>
          <w:rFonts w:hint="eastAsia"/>
          <w:sz w:val="24"/>
        </w:rPr>
        <w:t>[</w:t>
      </w:r>
      <w:r>
        <w:rPr>
          <w:sz w:val="24"/>
        </w:rPr>
        <w:t>69] 张娟,耿弘,徐功文,陈健.环境规制对绿色技术创新的影响研究[J].中国人口·资源与环境,2019,29(01):168-176.</w:t>
      </w:r>
    </w:p>
    <w:p>
      <w:pPr>
        <w:widowControl/>
        <w:spacing w:line="360" w:lineRule="auto"/>
        <w:rPr>
          <w:sz w:val="24"/>
        </w:rPr>
      </w:pPr>
      <w:r>
        <w:rPr>
          <w:rFonts w:hint="eastAsia"/>
          <w:sz w:val="24"/>
        </w:rPr>
        <w:t>[</w:t>
      </w:r>
      <w:r>
        <w:rPr>
          <w:sz w:val="24"/>
        </w:rPr>
        <w:t>70] 张琦,谭志东.领导干部自然资源资产离任审计的环境治理效应[J].审计研究, 2019(01):16-23.</w:t>
      </w:r>
    </w:p>
    <w:p>
      <w:pPr>
        <w:widowControl/>
        <w:spacing w:line="360" w:lineRule="auto"/>
        <w:rPr>
          <w:sz w:val="24"/>
        </w:rPr>
      </w:pPr>
      <w:r>
        <w:rPr>
          <w:rFonts w:hint="eastAsia"/>
          <w:sz w:val="24"/>
        </w:rPr>
        <w:t>[</w:t>
      </w:r>
      <w:r>
        <w:rPr>
          <w:sz w:val="24"/>
        </w:rPr>
        <w:t xml:space="preserve">71] </w:t>
      </w:r>
      <w:r>
        <w:rPr>
          <w:rFonts w:hint="eastAsia"/>
          <w:sz w:val="24"/>
        </w:rPr>
        <w:t>张晶,陆承俊,纳夏.高管激励、独立董事与企业创新质量[J/OL].云南社会科学,</w:t>
      </w:r>
      <w:r>
        <w:rPr>
          <w:sz w:val="24"/>
        </w:rPr>
        <w:t xml:space="preserve"> </w:t>
      </w:r>
      <w:r>
        <w:rPr>
          <w:rFonts w:hint="eastAsia"/>
          <w:sz w:val="24"/>
        </w:rPr>
        <w:t>2022(03):74-83.</w:t>
      </w:r>
    </w:p>
    <w:p>
      <w:pPr>
        <w:widowControl/>
        <w:spacing w:line="360" w:lineRule="auto"/>
        <w:rPr>
          <w:sz w:val="24"/>
        </w:rPr>
      </w:pPr>
      <w:r>
        <w:rPr>
          <w:rFonts w:hint="eastAsia"/>
          <w:sz w:val="24"/>
        </w:rPr>
        <w:t>[</w:t>
      </w:r>
      <w:r>
        <w:rPr>
          <w:sz w:val="24"/>
        </w:rPr>
        <w:t xml:space="preserve">72] </w:t>
      </w:r>
      <w:r>
        <w:rPr>
          <w:rFonts w:hint="eastAsia"/>
          <w:sz w:val="24"/>
        </w:rPr>
        <w:t>张佩,吴昊旻.领导干部自然资源资产离任审计促进了企业环境责任履行吗?</w:t>
      </w:r>
      <w:r>
        <w:rPr>
          <w:sz w:val="24"/>
        </w:rPr>
        <w:t xml:space="preserve"> </w:t>
      </w:r>
      <w:r>
        <w:rPr>
          <w:rFonts w:hint="eastAsia"/>
          <w:sz w:val="24"/>
        </w:rPr>
        <w:t>[J/OL].审计与经济研究,</w:t>
      </w:r>
      <w:r>
        <w:rPr>
          <w:sz w:val="24"/>
        </w:rPr>
        <w:t>2022(02):24</w:t>
      </w:r>
      <w:r>
        <w:rPr>
          <w:rFonts w:hint="eastAsia"/>
          <w:sz w:val="24"/>
        </w:rPr>
        <w:t>-</w:t>
      </w:r>
      <w:r>
        <w:rPr>
          <w:sz w:val="24"/>
        </w:rPr>
        <w:t>33</w:t>
      </w:r>
      <w:r>
        <w:rPr>
          <w:rFonts w:hint="eastAsia"/>
          <w:sz w:val="24"/>
        </w:rPr>
        <w:t>.</w:t>
      </w:r>
    </w:p>
    <w:p>
      <w:pPr>
        <w:widowControl/>
        <w:spacing w:line="360" w:lineRule="auto"/>
        <w:rPr>
          <w:sz w:val="24"/>
        </w:rPr>
      </w:pPr>
      <w:r>
        <w:rPr>
          <w:rFonts w:hint="eastAsia"/>
          <w:sz w:val="24"/>
        </w:rPr>
        <w:t>[</w:t>
      </w:r>
      <w:r>
        <w:rPr>
          <w:sz w:val="24"/>
        </w:rPr>
        <w:t xml:space="preserve">73] </w:t>
      </w:r>
      <w:r>
        <w:rPr>
          <w:rFonts w:hint="eastAsia"/>
          <w:sz w:val="24"/>
        </w:rPr>
        <w:t>赵玉民,朱方明,贺立龙.环境规制的界定、分类与演进研究[J].中国人口·资源与环境,2009,19(06):85-90.</w:t>
      </w:r>
    </w:p>
    <w:p>
      <w:pPr>
        <w:widowControl/>
        <w:spacing w:line="360" w:lineRule="auto"/>
        <w:rPr>
          <w:sz w:val="24"/>
        </w:rPr>
      </w:pPr>
      <w:r>
        <w:rPr>
          <w:rFonts w:hint="eastAsia"/>
          <w:sz w:val="24"/>
        </w:rPr>
        <w:t>[</w:t>
      </w:r>
      <w:r>
        <w:rPr>
          <w:sz w:val="24"/>
        </w:rPr>
        <w:t>74] 钟晖,王建锋.建立绿色技术创新机制[J].生态经济,2000(03):41-44.</w:t>
      </w:r>
    </w:p>
    <w:p>
      <w:pPr>
        <w:widowControl/>
        <w:spacing w:line="360" w:lineRule="auto"/>
        <w:rPr>
          <w:sz w:val="24"/>
        </w:rPr>
      </w:pPr>
      <w:r>
        <w:rPr>
          <w:rFonts w:hint="eastAsia"/>
          <w:sz w:val="24"/>
        </w:rPr>
        <w:t>[</w:t>
      </w:r>
      <w:r>
        <w:rPr>
          <w:sz w:val="24"/>
        </w:rPr>
        <w:t>75] 周黎安.中国地方官员的晋升锦标赛模式研究[J].经济研究,2007(07):36-50.</w:t>
      </w:r>
    </w:p>
    <w:p>
      <w:pPr>
        <w:widowControl/>
        <w:spacing w:line="360" w:lineRule="auto"/>
        <w:rPr>
          <w:sz w:val="24"/>
        </w:rPr>
      </w:pPr>
    </w:p>
    <w:p>
      <w:pPr>
        <w:widowControl/>
        <w:spacing w:line="360" w:lineRule="auto"/>
        <w:rPr>
          <w:sz w:val="24"/>
        </w:rPr>
        <w:sectPr>
          <w:footerReference r:id="rId15" w:type="default"/>
          <w:pgSz w:w="11906" w:h="16838"/>
          <w:pgMar w:top="1440" w:right="1800" w:bottom="1440" w:left="1800" w:header="851" w:footer="992" w:gutter="0"/>
          <w:pgNumType w:fmt="decimal"/>
          <w:cols w:space="720" w:num="1"/>
          <w:docGrid w:type="lines" w:linePitch="312" w:charSpace="0"/>
        </w:sectPr>
      </w:pPr>
    </w:p>
    <w:p>
      <w:pPr>
        <w:jc w:val="center"/>
        <w:rPr>
          <w:rFonts w:hAnsi="宋体"/>
          <w:kern w:val="0"/>
        </w:rPr>
      </w:pPr>
      <w:r>
        <w:rPr>
          <w:rFonts w:hAnsi="宋体"/>
          <w:kern w:val="0"/>
        </w:rPr>
        <w:object>
          <v:shape id="_x0000_i1026" o:spt="75" type="#_x0000_t75" style="height:46.2pt;width:205.8pt;" o:ole="t" filled="t" o:preferrelative="t" stroked="f" coordsize="21600,21600">
            <v:path/>
            <v:fill on="t" focussize="0,0"/>
            <v:stroke on="f" joinstyle="miter"/>
            <v:imagedata r:id="rId20" o:title=""/>
            <o:lock v:ext="edit" aspectratio="t"/>
            <w10:wrap type="none"/>
            <w10:anchorlock/>
          </v:shape>
          <o:OLEObject Type="Embed" ProgID="Word.Picture.8" ShapeID="_x0000_i1026" DrawAspect="Content" ObjectID="_1468075726" r:id="rId22">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本科生毕业设计（论文）任务书</w:t>
      </w:r>
    </w:p>
    <w:p>
      <w:pPr>
        <w:rPr>
          <w:sz w:val="32"/>
        </w:rPr>
      </w:pPr>
    </w:p>
    <w:tbl>
      <w:tblPr>
        <w:tblStyle w:val="14"/>
        <w:tblW w:w="0" w:type="auto"/>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9"/>
        <w:gridCol w:w="6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9" w:type="dxa"/>
            <w:tcBorders>
              <w:top w:val="nil"/>
              <w:left w:val="nil"/>
              <w:bottom w:val="nil"/>
              <w:right w:val="nil"/>
            </w:tcBorders>
            <w:shd w:val="clear" w:color="auto" w:fill="auto"/>
            <w:vAlign w:val="bottom"/>
          </w:tcPr>
          <w:p>
            <w:pPr>
              <w:rPr>
                <w:rFonts w:ascii="等线" w:hAnsi="等线" w:eastAsia="等线"/>
                <w:sz w:val="32"/>
                <w:szCs w:val="22"/>
              </w:rPr>
            </w:pPr>
            <w:r>
              <w:rPr>
                <w:rFonts w:hint="eastAsia" w:ascii="华文中宋" w:hAnsi="华文中宋" w:eastAsia="华文中宋"/>
                <w:bCs/>
                <w:sz w:val="32"/>
                <w:szCs w:val="22"/>
              </w:rPr>
              <w:t>题</w:t>
            </w:r>
            <w:r>
              <w:rPr>
                <w:rFonts w:ascii="华文中宋" w:hAnsi="华文中宋" w:eastAsia="华文中宋"/>
                <w:bCs/>
                <w:sz w:val="32"/>
                <w:szCs w:val="22"/>
              </w:rPr>
              <w:t xml:space="preserve">   </w:t>
            </w:r>
            <w:r>
              <w:rPr>
                <w:rFonts w:hint="eastAsia" w:ascii="华文中宋" w:hAnsi="华文中宋" w:eastAsia="华文中宋"/>
                <w:bCs/>
                <w:sz w:val="32"/>
                <w:szCs w:val="22"/>
              </w:rPr>
              <w:t>目</w:t>
            </w:r>
          </w:p>
        </w:tc>
        <w:tc>
          <w:tcPr>
            <w:tcW w:w="6378" w:type="dxa"/>
            <w:tcBorders>
              <w:top w:val="nil"/>
              <w:left w:val="nil"/>
              <w:right w:val="nil"/>
            </w:tcBorders>
            <w:shd w:val="clear" w:color="auto" w:fill="auto"/>
            <w:vAlign w:val="bottom"/>
          </w:tcPr>
          <w:p>
            <w:pPr>
              <w:jc w:val="center"/>
              <w:rPr>
                <w:rFonts w:ascii="仿宋" w:hAnsi="仿宋" w:eastAsia="仿宋"/>
                <w:b/>
                <w:sz w:val="32"/>
                <w:szCs w:val="22"/>
              </w:rPr>
            </w:pPr>
            <w:r>
              <w:rPr>
                <w:rFonts w:hint="eastAsia" w:ascii="仿宋" w:hAnsi="仿宋" w:eastAsia="仿宋"/>
                <w:b/>
                <w:sz w:val="32"/>
                <w:szCs w:val="22"/>
              </w:rPr>
              <w:t>领导干部自然资源资产离任审计影响企业绿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Borders>
              <w:top w:val="nil"/>
              <w:left w:val="nil"/>
              <w:bottom w:val="nil"/>
              <w:right w:val="nil"/>
            </w:tcBorders>
            <w:shd w:val="clear" w:color="auto" w:fill="auto"/>
            <w:vAlign w:val="bottom"/>
          </w:tcPr>
          <w:p>
            <w:pPr>
              <w:rPr>
                <w:rFonts w:ascii="等线" w:hAnsi="等线" w:eastAsia="等线"/>
                <w:sz w:val="32"/>
                <w:szCs w:val="22"/>
              </w:rPr>
            </w:pPr>
          </w:p>
        </w:tc>
        <w:tc>
          <w:tcPr>
            <w:tcW w:w="6378" w:type="dxa"/>
            <w:tcBorders>
              <w:left w:val="nil"/>
              <w:right w:val="nil"/>
            </w:tcBorders>
            <w:shd w:val="clear" w:color="auto" w:fill="auto"/>
            <w:vAlign w:val="bottom"/>
          </w:tcPr>
          <w:p>
            <w:pPr>
              <w:jc w:val="left"/>
              <w:rPr>
                <w:rFonts w:ascii="仿宋" w:hAnsi="仿宋" w:eastAsia="仿宋"/>
                <w:b/>
                <w:sz w:val="32"/>
                <w:szCs w:val="22"/>
              </w:rPr>
            </w:pPr>
            <w:r>
              <w:rPr>
                <w:rFonts w:hint="eastAsia" w:ascii="仿宋" w:hAnsi="仿宋" w:eastAsia="仿宋"/>
                <w:b/>
                <w:sz w:val="32"/>
                <w:szCs w:val="22"/>
              </w:rPr>
              <w:t>色技术创新的研究</w:t>
            </w:r>
          </w:p>
        </w:tc>
      </w:tr>
    </w:tbl>
    <w:p>
      <w:pPr>
        <w:spacing w:line="720" w:lineRule="auto"/>
        <w:jc w:val="center"/>
        <w:rPr>
          <w:rFonts w:ascii="华文中宋" w:hAnsi="华文中宋" w:eastAsia="华文中宋"/>
          <w:bCs/>
          <w:sz w:val="24"/>
        </w:rPr>
      </w:pPr>
      <w:r>
        <w:rPr>
          <w:rFonts w:hint="eastAsia" w:ascii="华文中宋" w:hAnsi="华文中宋" w:eastAsia="华文中宋"/>
          <w:bCs/>
          <w:sz w:val="24"/>
        </w:rPr>
        <w:t>（任务起止日期：202</w:t>
      </w:r>
      <w:r>
        <w:rPr>
          <w:rFonts w:ascii="华文中宋" w:hAnsi="华文中宋" w:eastAsia="华文中宋"/>
          <w:bCs/>
          <w:sz w:val="24"/>
        </w:rPr>
        <w:t>1年11月</w:t>
      </w:r>
      <w:r>
        <w:rPr>
          <w:rFonts w:hint="eastAsia" w:ascii="华文中宋" w:hAnsi="华文中宋" w:eastAsia="华文中宋"/>
          <w:bCs/>
          <w:sz w:val="24"/>
        </w:rPr>
        <w:t>2</w:t>
      </w:r>
      <w:r>
        <w:rPr>
          <w:rFonts w:ascii="华文中宋" w:hAnsi="华文中宋" w:eastAsia="华文中宋"/>
          <w:bCs/>
          <w:sz w:val="24"/>
        </w:rPr>
        <w:t>日</w:t>
      </w:r>
      <w:r>
        <w:rPr>
          <w:rFonts w:hint="eastAsia" w:ascii="华文中宋" w:hAnsi="华文中宋" w:eastAsia="华文中宋"/>
          <w:bCs/>
          <w:sz w:val="24"/>
        </w:rPr>
        <w:t>～202</w:t>
      </w:r>
      <w:r>
        <w:rPr>
          <w:rFonts w:ascii="华文中宋" w:hAnsi="华文中宋" w:eastAsia="华文中宋"/>
          <w:bCs/>
          <w:sz w:val="24"/>
        </w:rPr>
        <w:t>2</w:t>
      </w:r>
      <w:r>
        <w:rPr>
          <w:rFonts w:hint="eastAsia" w:ascii="华文中宋" w:hAnsi="华文中宋" w:eastAsia="华文中宋"/>
          <w:bCs/>
          <w:sz w:val="24"/>
        </w:rPr>
        <w:t>年6月</w:t>
      </w:r>
      <w:r>
        <w:rPr>
          <w:rFonts w:ascii="华文中宋" w:hAnsi="华文中宋" w:eastAsia="华文中宋"/>
          <w:bCs/>
          <w:sz w:val="24"/>
        </w:rPr>
        <w:t>5</w:t>
      </w:r>
      <w:r>
        <w:rPr>
          <w:rFonts w:hint="eastAsia" w:ascii="华文中宋" w:hAnsi="华文中宋" w:eastAsia="华文中宋"/>
          <w:bCs/>
          <w:sz w:val="24"/>
        </w:rPr>
        <w:t>日）</w:t>
      </w:r>
    </w:p>
    <w:p>
      <w:pPr>
        <w:spacing w:line="720" w:lineRule="auto"/>
        <w:jc w:val="center"/>
        <w:rPr>
          <w:rFonts w:ascii="华文中宋" w:hAnsi="华文中宋" w:eastAsia="华文中宋"/>
          <w:bCs/>
          <w:sz w:val="24"/>
        </w:rPr>
      </w:pPr>
    </w:p>
    <w:p>
      <w:pPr>
        <w:spacing w:line="720" w:lineRule="auto"/>
        <w:jc w:val="center"/>
        <w:rPr>
          <w:rFonts w:ascii="华文中宋" w:hAnsi="华文中宋" w:eastAsia="华文中宋"/>
          <w:kern w:val="0"/>
          <w:sz w:val="32"/>
          <w:szCs w:val="32"/>
        </w:rPr>
      </w:pPr>
    </w:p>
    <w:tbl>
      <w:tblPr>
        <w:tblStyle w:val="14"/>
        <w:tblpPr w:leftFromText="181" w:rightFromText="181" w:vertAnchor="page" w:horzAnchor="margin" w:tblpXSpec="center" w:tblpY="8097"/>
        <w:tblOverlap w:val="never"/>
        <w:tblW w:w="0" w:type="auto"/>
        <w:tblInd w:w="0" w:type="dxa"/>
        <w:tblLayout w:type="autofit"/>
        <w:tblCellMar>
          <w:top w:w="0" w:type="dxa"/>
          <w:left w:w="108" w:type="dxa"/>
          <w:bottom w:w="0" w:type="dxa"/>
          <w:right w:w="108" w:type="dxa"/>
        </w:tblCellMar>
      </w:tblPr>
      <w:tblGrid>
        <w:gridCol w:w="1560"/>
        <w:gridCol w:w="3793"/>
      </w:tblGrid>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院    系</w:t>
            </w:r>
          </w:p>
        </w:tc>
        <w:tc>
          <w:tcPr>
            <w:tcW w:w="3793" w:type="dxa"/>
            <w:tcBorders>
              <w:bottom w:val="single" w:color="auto" w:sz="4" w:space="0"/>
            </w:tcBorders>
            <w:shd w:val="clear" w:color="auto" w:fill="auto"/>
            <w:noWrap/>
            <w:vAlign w:val="bottom"/>
          </w:tcPr>
          <w:p>
            <w:pPr>
              <w:jc w:val="center"/>
              <w:rPr>
                <w:rFonts w:hint="eastAsia" w:ascii="华文中宋" w:hAnsi="华文中宋" w:eastAsia="华文中宋" w:cs="华文中宋"/>
                <w:b w:val="0"/>
                <w:bCs/>
                <w:sz w:val="32"/>
              </w:rPr>
            </w:pPr>
            <w:r>
              <w:rPr>
                <w:rFonts w:hint="eastAsia" w:ascii="华文中宋" w:hAnsi="华文中宋" w:eastAsia="华文中宋" w:cs="华文中宋"/>
                <w:b w:val="0"/>
                <w:bCs/>
                <w:sz w:val="32"/>
              </w:rPr>
              <w:t>管理学院</w:t>
            </w:r>
          </w:p>
        </w:tc>
      </w:tr>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专业班级</w:t>
            </w:r>
          </w:p>
        </w:tc>
        <w:tc>
          <w:tcPr>
            <w:tcW w:w="3793" w:type="dxa"/>
            <w:tcBorders>
              <w:top w:val="single" w:color="auto" w:sz="4" w:space="0"/>
              <w:bottom w:val="single" w:color="auto" w:sz="4" w:space="0"/>
            </w:tcBorders>
            <w:shd w:val="clear" w:color="auto" w:fill="auto"/>
            <w:noWrap/>
            <w:vAlign w:val="bottom"/>
          </w:tcPr>
          <w:p>
            <w:pPr>
              <w:jc w:val="center"/>
              <w:rPr>
                <w:rFonts w:hint="eastAsia" w:ascii="华文中宋" w:hAnsi="华文中宋" w:eastAsia="华文中宋" w:cs="华文中宋"/>
                <w:b w:val="0"/>
                <w:bCs/>
                <w:sz w:val="32"/>
              </w:rPr>
            </w:pPr>
            <w:r>
              <w:rPr>
                <w:rFonts w:hint="eastAsia" w:ascii="华文中宋" w:hAnsi="华文中宋" w:eastAsia="华文中宋" w:cs="华文中宋"/>
                <w:b w:val="0"/>
                <w:bCs/>
                <w:sz w:val="32"/>
              </w:rPr>
              <w:t>会计学201802班</w:t>
            </w:r>
          </w:p>
        </w:tc>
      </w:tr>
      <w:tr>
        <w:tblPrEx>
          <w:tblCellMar>
            <w:top w:w="0" w:type="dxa"/>
            <w:left w:w="108" w:type="dxa"/>
            <w:bottom w:w="0" w:type="dxa"/>
            <w:right w:w="108" w:type="dxa"/>
          </w:tblCellMar>
        </w:tblPrEx>
        <w:trPr>
          <w:trHeight w:val="851" w:hRule="exact"/>
        </w:trPr>
        <w:tc>
          <w:tcPr>
            <w:tcW w:w="1560" w:type="dxa"/>
            <w:shd w:val="clear" w:color="auto" w:fill="auto"/>
            <w:noWrap/>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姓    名</w:t>
            </w:r>
          </w:p>
        </w:tc>
        <w:tc>
          <w:tcPr>
            <w:tcW w:w="3793" w:type="dxa"/>
            <w:tcBorders>
              <w:top w:val="single" w:color="auto" w:sz="4" w:space="0"/>
              <w:bottom w:val="single" w:color="auto" w:sz="4" w:space="0"/>
            </w:tcBorders>
            <w:shd w:val="clear" w:color="auto" w:fill="auto"/>
            <w:noWrap/>
            <w:vAlign w:val="bottom"/>
          </w:tcPr>
          <w:p>
            <w:pPr>
              <w:jc w:val="center"/>
              <w:rPr>
                <w:rFonts w:hint="eastAsia" w:ascii="华文中宋" w:hAnsi="华文中宋" w:eastAsia="华文中宋" w:cs="华文中宋"/>
                <w:b w:val="0"/>
                <w:bCs/>
                <w:sz w:val="32"/>
              </w:rPr>
            </w:pPr>
            <w:r>
              <w:rPr>
                <w:rFonts w:hint="eastAsia" w:ascii="华文中宋" w:hAnsi="华文中宋" w:eastAsia="华文中宋" w:cs="华文中宋"/>
                <w:b w:val="0"/>
                <w:bCs/>
                <w:sz w:val="32"/>
              </w:rPr>
              <w:t>李欣悦</w:t>
            </w:r>
          </w:p>
        </w:tc>
      </w:tr>
      <w:tr>
        <w:trPr>
          <w:trHeight w:val="851" w:hRule="exact"/>
        </w:trPr>
        <w:tc>
          <w:tcPr>
            <w:tcW w:w="1560" w:type="dxa"/>
            <w:shd w:val="clear" w:color="auto" w:fill="auto"/>
            <w:noWrap/>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学    号</w:t>
            </w:r>
          </w:p>
        </w:tc>
        <w:tc>
          <w:tcPr>
            <w:tcW w:w="3793" w:type="dxa"/>
            <w:tcBorders>
              <w:top w:val="single" w:color="auto" w:sz="4" w:space="0"/>
              <w:bottom w:val="single" w:color="auto" w:sz="4" w:space="0"/>
            </w:tcBorders>
            <w:shd w:val="clear" w:color="auto" w:fill="auto"/>
            <w:noWrap/>
            <w:vAlign w:val="bottom"/>
          </w:tcPr>
          <w:p>
            <w:pPr>
              <w:jc w:val="center"/>
              <w:rPr>
                <w:rFonts w:hint="eastAsia" w:ascii="华文中宋" w:hAnsi="华文中宋" w:eastAsia="华文中宋" w:cs="华文中宋"/>
                <w:b w:val="0"/>
                <w:bCs/>
                <w:sz w:val="32"/>
              </w:rPr>
            </w:pPr>
            <w:r>
              <w:rPr>
                <w:rFonts w:hint="eastAsia" w:ascii="华文中宋" w:hAnsi="华文中宋" w:eastAsia="华文中宋" w:cs="华文中宋"/>
                <w:b w:val="0"/>
                <w:bCs/>
                <w:sz w:val="32"/>
              </w:rPr>
              <w:t>U201815564</w:t>
            </w:r>
          </w:p>
        </w:tc>
      </w:tr>
      <w:tr>
        <w:tblPrEx>
          <w:tblCellMar>
            <w:top w:w="0" w:type="dxa"/>
            <w:left w:w="108" w:type="dxa"/>
            <w:bottom w:w="0" w:type="dxa"/>
            <w:right w:w="108" w:type="dxa"/>
          </w:tblCellMar>
        </w:tblPrEx>
        <w:trPr>
          <w:trHeight w:val="851" w:hRule="exact"/>
        </w:trPr>
        <w:tc>
          <w:tcPr>
            <w:tcW w:w="0" w:type="auto"/>
            <w:shd w:val="clear" w:color="auto" w:fill="auto"/>
            <w:noWrap/>
            <w:vAlign w:val="bottom"/>
          </w:tcPr>
          <w:p>
            <w:pPr>
              <w:adjustRightInd w:val="0"/>
              <w:snapToGrid w:val="0"/>
              <w:spacing w:before="312" w:beforeLines="100" w:line="360" w:lineRule="auto"/>
              <w:ind w:firstLine="32" w:firstLineChars="10"/>
              <w:rPr>
                <w:rFonts w:ascii="华文中宋" w:hAnsi="华文中宋" w:eastAsia="华文中宋"/>
                <w:kern w:val="0"/>
                <w:sz w:val="32"/>
                <w:szCs w:val="32"/>
              </w:rPr>
            </w:pPr>
            <w:r>
              <w:rPr>
                <w:rFonts w:hint="eastAsia" w:ascii="华文中宋" w:hAnsi="华文中宋" w:eastAsia="华文中宋"/>
                <w:kern w:val="0"/>
                <w:sz w:val="32"/>
                <w:szCs w:val="32"/>
              </w:rPr>
              <w:t>指导教师</w:t>
            </w:r>
          </w:p>
        </w:tc>
        <w:tc>
          <w:tcPr>
            <w:tcW w:w="3793" w:type="dxa"/>
            <w:tcBorders>
              <w:top w:val="single" w:color="auto" w:sz="4" w:space="0"/>
              <w:bottom w:val="single" w:color="auto" w:sz="4" w:space="0"/>
            </w:tcBorders>
            <w:shd w:val="clear" w:color="auto" w:fill="auto"/>
            <w:noWrap/>
            <w:vAlign w:val="bottom"/>
          </w:tcPr>
          <w:p>
            <w:pPr>
              <w:jc w:val="center"/>
              <w:rPr>
                <w:rFonts w:hint="eastAsia" w:ascii="华文中宋" w:hAnsi="华文中宋" w:eastAsia="华文中宋" w:cs="华文中宋"/>
                <w:b w:val="0"/>
                <w:bCs/>
                <w:sz w:val="32"/>
              </w:rPr>
            </w:pPr>
            <w:r>
              <w:rPr>
                <w:rFonts w:hint="eastAsia" w:ascii="华文中宋" w:hAnsi="华文中宋" w:eastAsia="华文中宋" w:cs="华文中宋"/>
                <w:b w:val="0"/>
                <w:bCs/>
                <w:sz w:val="32"/>
              </w:rPr>
              <w:t>杨清香</w:t>
            </w:r>
          </w:p>
        </w:tc>
      </w:tr>
    </w:tbl>
    <w:p>
      <w:pPr>
        <w:spacing w:line="720" w:lineRule="auto"/>
        <w:jc w:val="cente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p>
    <w:p>
      <w:pPr>
        <w:spacing w:line="720" w:lineRule="auto"/>
        <w:jc w:val="center"/>
        <w:rPr>
          <w:rFonts w:ascii="华文中宋" w:hAnsi="华文中宋" w:eastAsia="华文中宋"/>
          <w:kern w:val="0"/>
          <w:sz w:val="32"/>
          <w:szCs w:val="32"/>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ascii="华文中宋" w:hAnsi="华文中宋" w:eastAsia="华文中宋"/>
          <w:bCs/>
          <w:spacing w:val="-20"/>
          <w:sz w:val="30"/>
          <w:szCs w:val="30"/>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年1</w:t>
      </w:r>
      <w:r>
        <w:rPr>
          <w:rFonts w:ascii="华文中宋" w:hAnsi="华文中宋" w:eastAsia="华文中宋"/>
          <w:bCs/>
          <w:spacing w:val="-20"/>
          <w:sz w:val="30"/>
          <w:szCs w:val="30"/>
        </w:rPr>
        <w:t>0</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28</w:t>
      </w:r>
      <w:r>
        <w:rPr>
          <w:rFonts w:hint="eastAsia" w:ascii="华文中宋" w:hAnsi="华文中宋" w:eastAsia="华文中宋"/>
          <w:bCs/>
          <w:spacing w:val="-20"/>
          <w:sz w:val="30"/>
          <w:szCs w:val="30"/>
        </w:rPr>
        <w:t>日审查</w:t>
      </w:r>
    </w:p>
    <w:p>
      <w:pPr>
        <w:spacing w:line="600" w:lineRule="exact"/>
        <w:jc w:val="center"/>
        <w:rPr>
          <w:rFonts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ascii="华文中宋" w:hAnsi="华文中宋" w:eastAsia="华文中宋"/>
          <w:bCs/>
          <w:spacing w:val="-20"/>
          <w:sz w:val="30"/>
          <w:szCs w:val="30"/>
        </w:rPr>
        <w:t xml:space="preserve"> </w:t>
      </w:r>
      <w:r>
        <w:rPr>
          <w:rFonts w:eastAsia="仿宋_GB2312"/>
          <w:spacing w:val="-20"/>
          <w:sz w:val="30"/>
          <w:szCs w:val="30"/>
          <w:u w:val="single"/>
        </w:rPr>
        <w:t xml:space="preserve">                           </w:t>
      </w:r>
      <w:r>
        <w:rPr>
          <w:rFonts w:hint="eastAsia" w:eastAsia="仿宋_GB2312"/>
          <w:spacing w:val="-20"/>
          <w:sz w:val="30"/>
          <w:szCs w:val="30"/>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11</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2</w:t>
      </w:r>
      <w:r>
        <w:rPr>
          <w:rFonts w:hint="eastAsia" w:ascii="华文中宋" w:hAnsi="华文中宋" w:eastAsia="华文中宋"/>
          <w:bCs/>
          <w:spacing w:val="-20"/>
          <w:sz w:val="30"/>
          <w:szCs w:val="30"/>
        </w:rPr>
        <w:t>日批准</w:t>
      </w:r>
    </w:p>
    <w:tbl>
      <w:tblPr>
        <w:tblStyle w:val="14"/>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tcPr>
          <w:p>
            <w:pPr>
              <w:jc w:val="left"/>
              <w:rPr>
                <w:rFonts w:ascii="华文中宋" w:eastAsia="华文中宋"/>
                <w:bCs/>
                <w:sz w:val="28"/>
              </w:rPr>
            </w:pPr>
            <w:r>
              <w:rPr>
                <w:rFonts w:hint="eastAsia" w:ascii="华文中宋" w:eastAsia="华文中宋"/>
                <w:bCs/>
                <w:sz w:val="28"/>
              </w:rPr>
              <w:t>课题内容：</w:t>
            </w:r>
          </w:p>
          <w:p>
            <w:pPr>
              <w:ind w:firstLine="340" w:firstLineChars="200"/>
              <w:jc w:val="left"/>
              <w:rPr>
                <w:rFonts w:ascii="宋体" w:hAnsi="宋体"/>
                <w:bCs/>
                <w:spacing w:val="-20"/>
                <w:szCs w:val="21"/>
              </w:rPr>
            </w:pPr>
            <w:r>
              <w:rPr>
                <w:rFonts w:hint="eastAsia" w:ascii="宋体" w:hAnsi="宋体"/>
                <w:bCs/>
                <w:spacing w:val="-20"/>
                <w:szCs w:val="21"/>
              </w:rPr>
              <w:t>通过双重差分模型对领导干部自然资源资产离任审计的实施对重污染企业的绿色技术创新的影响进行实证分析。</w:t>
            </w:r>
          </w:p>
          <w:p>
            <w:pPr>
              <w:jc w:val="left"/>
              <w:rPr>
                <w:rFonts w:ascii="华文中宋" w:hAnsi="华文中宋" w:eastAsia="华文中宋"/>
                <w:bCs/>
                <w:spacing w:val="-20"/>
                <w:szCs w:val="21"/>
              </w:rPr>
            </w:pPr>
          </w:p>
          <w:p>
            <w:pPr>
              <w:jc w:val="left"/>
              <w:rPr>
                <w:rFonts w:ascii="华文中宋" w:hAnsi="华文中宋" w:eastAsia="华文中宋"/>
                <w:bCs/>
                <w:spacing w:val="-20"/>
                <w:szCs w:val="21"/>
              </w:rPr>
            </w:pPr>
          </w:p>
          <w:p>
            <w:pPr>
              <w:jc w:val="left"/>
              <w:rPr>
                <w:rFonts w:ascii="华文中宋" w:hAnsi="华文中宋" w:eastAsia="华文中宋"/>
                <w:bCs/>
                <w:spacing w:val="-20"/>
                <w:szCs w:val="21"/>
              </w:rPr>
            </w:pPr>
          </w:p>
          <w:p>
            <w:pPr>
              <w:spacing w:line="600" w:lineRule="exact"/>
              <w:jc w:val="left"/>
              <w:rPr>
                <w:rFonts w:ascii="华文中宋" w:eastAsia="华文中宋"/>
                <w:bCs/>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tcPr>
          <w:p>
            <w:pPr>
              <w:jc w:val="left"/>
              <w:rPr>
                <w:rFonts w:ascii="华文中宋" w:hAnsi="华文中宋" w:eastAsia="华文中宋"/>
                <w:bCs/>
                <w:spacing w:val="-20"/>
                <w:szCs w:val="21"/>
              </w:rPr>
            </w:pPr>
            <w:r>
              <w:rPr>
                <w:rFonts w:hint="eastAsia" w:ascii="华文中宋" w:eastAsia="华文中宋"/>
                <w:bCs/>
                <w:sz w:val="28"/>
              </w:rPr>
              <w:t>课题任务要求：</w:t>
            </w:r>
          </w:p>
          <w:p>
            <w:pPr>
              <w:ind w:firstLine="340" w:firstLineChars="200"/>
              <w:jc w:val="left"/>
              <w:rPr>
                <w:rFonts w:ascii="宋体" w:hAnsi="宋体"/>
                <w:bCs/>
                <w:spacing w:val="-20"/>
                <w:szCs w:val="21"/>
              </w:rPr>
            </w:pPr>
            <w:r>
              <w:rPr>
                <w:rFonts w:hint="eastAsia" w:ascii="宋体" w:hAnsi="宋体"/>
                <w:bCs/>
                <w:spacing w:val="-20"/>
                <w:szCs w:val="21"/>
              </w:rPr>
              <w:t>目的：使能综合运用所学知识，结合实际独立完成课题；在此过程中检验学习的知识面、掌握知识的深度、实验能力、外语水平、计算机运用水平、书面及口头表达能力，学会运用理论结合实际去处理问题。 要求：获取资料、信息及独立分析的能力、本专业外文的阅读和翻译能力；综合运用所学知识和技能解决实际问题的能力；掌握本门学科的基础理论和基础技能及进行方案论证的能力；使用计算机（包括索取信息、数据处理、多媒体软件应用等）的能力；撰写论文的能力，开题报告、文献综述、论文答辩时的口头表达能力;培养学生的创新意识和创新精神。</w:t>
            </w:r>
          </w:p>
          <w:p>
            <w:pPr>
              <w:jc w:val="left"/>
              <w:rPr>
                <w:rFonts w:ascii="华文中宋" w:hAnsi="华文中宋" w:eastAsia="华文中宋"/>
                <w:bCs/>
                <w:spacing w:val="-20"/>
                <w:szCs w:val="21"/>
              </w:rPr>
            </w:pPr>
          </w:p>
          <w:p>
            <w:pPr>
              <w:spacing w:line="600" w:lineRule="exact"/>
              <w:jc w:val="left"/>
              <w:rPr>
                <w:rFonts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tcPr>
          <w:p>
            <w:pPr>
              <w:jc w:val="left"/>
              <w:rPr>
                <w:rFonts w:ascii="华文中宋" w:hAnsi="华文中宋" w:eastAsia="华文中宋"/>
                <w:bCs/>
                <w:spacing w:val="-20"/>
                <w:szCs w:val="21"/>
              </w:rPr>
            </w:pPr>
            <w:r>
              <w:rPr>
                <w:rFonts w:hint="eastAsia" w:ascii="华文中宋" w:eastAsia="华文中宋"/>
                <w:bCs/>
                <w:sz w:val="28"/>
              </w:rPr>
              <w:t>主要参考文献（由指导教师选定）：</w:t>
            </w:r>
          </w:p>
          <w:p>
            <w:pPr>
              <w:ind w:firstLine="340" w:firstLineChars="200"/>
              <w:jc w:val="left"/>
              <w:rPr>
                <w:rFonts w:ascii="宋体" w:hAnsi="宋体"/>
                <w:bCs/>
                <w:spacing w:val="-20"/>
                <w:szCs w:val="21"/>
              </w:rPr>
            </w:pPr>
            <w:r>
              <w:rPr>
                <w:rFonts w:hint="eastAsia" w:ascii="宋体" w:hAnsi="宋体"/>
                <w:bCs/>
                <w:spacing w:val="-20"/>
                <w:szCs w:val="21"/>
              </w:rPr>
              <w:t xml:space="preserve">蒋秋菊,孙芳城.领导干部自然资源资产离任审计是否影响企业税收规避——基于政府官员晋升机制转变视角的准自然实验研究[J].审计研究,2019(03):35-43. </w:t>
            </w:r>
          </w:p>
          <w:p>
            <w:pPr>
              <w:ind w:firstLine="340" w:firstLineChars="200"/>
              <w:jc w:val="left"/>
              <w:rPr>
                <w:rFonts w:ascii="宋体" w:hAnsi="宋体"/>
                <w:bCs/>
                <w:spacing w:val="-20"/>
                <w:szCs w:val="21"/>
              </w:rPr>
            </w:pPr>
            <w:r>
              <w:rPr>
                <w:rFonts w:hint="eastAsia" w:ascii="宋体" w:hAnsi="宋体"/>
                <w:bCs/>
                <w:spacing w:val="-20"/>
                <w:szCs w:val="21"/>
              </w:rPr>
              <w:t>张琦,谭志东.领导干部自然资源资产离任审计的环境治理效应[J].审计研究,2019(01):16-23.</w:t>
            </w:r>
          </w:p>
          <w:p>
            <w:pPr>
              <w:ind w:firstLine="340" w:firstLineChars="200"/>
              <w:jc w:val="left"/>
              <w:rPr>
                <w:rFonts w:ascii="宋体" w:hAnsi="宋体"/>
                <w:bCs/>
                <w:spacing w:val="-20"/>
                <w:szCs w:val="21"/>
              </w:rPr>
            </w:pPr>
            <w:r>
              <w:rPr>
                <w:rFonts w:hint="eastAsia" w:ascii="宋体" w:hAnsi="宋体"/>
                <w:bCs/>
                <w:spacing w:val="-20"/>
                <w:szCs w:val="21"/>
              </w:rPr>
              <w:t xml:space="preserve">全进,刘文军,谢帮生.领导干部自然资源资产离任审计、政治关联与权益资本成本[J].审计研究,2018(02):46-54. </w:t>
            </w:r>
          </w:p>
          <w:p>
            <w:pPr>
              <w:ind w:firstLine="340" w:firstLineChars="200"/>
              <w:jc w:val="left"/>
              <w:rPr>
                <w:rFonts w:ascii="华文中宋" w:hAnsi="华文中宋" w:eastAsia="华文中宋"/>
                <w:bCs/>
                <w:spacing w:val="-20"/>
                <w:sz w:val="30"/>
                <w:szCs w:val="30"/>
              </w:rPr>
            </w:pPr>
            <w:r>
              <w:rPr>
                <w:rFonts w:hint="eastAsia" w:ascii="宋体" w:hAnsi="宋体"/>
                <w:bCs/>
                <w:spacing w:val="-20"/>
                <w:szCs w:val="21"/>
              </w:rPr>
              <w:t>王锋正,郭晓川.环境规制强度对资源型产业绿色技术创新的影响——基于2003—2011年面板数据的实证检验[J].中国人口·资源与环境,2015,25(S1):143-146.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tcPr>
          <w:p>
            <w:pPr>
              <w:jc w:val="left"/>
              <w:rPr>
                <w:rFonts w:ascii="华文中宋" w:hAnsi="华文中宋" w:eastAsia="华文中宋"/>
                <w:bCs/>
                <w:spacing w:val="-20"/>
                <w:szCs w:val="21"/>
              </w:rPr>
            </w:pPr>
            <w:r>
              <w:rPr>
                <w:rFonts w:hint="eastAsia" w:ascii="华文中宋" w:eastAsia="华文中宋"/>
                <w:bCs/>
                <w:sz w:val="28"/>
              </w:rPr>
              <w:t>同组设计者：</w:t>
            </w:r>
          </w:p>
          <w:p>
            <w:pPr>
              <w:ind w:firstLine="340" w:firstLineChars="200"/>
              <w:jc w:val="left"/>
              <w:rPr>
                <w:rFonts w:ascii="宋体" w:hAnsi="宋体"/>
                <w:bCs/>
                <w:spacing w:val="-20"/>
                <w:szCs w:val="21"/>
              </w:rPr>
            </w:pPr>
            <w:r>
              <w:rPr>
                <w:rFonts w:hint="eastAsia" w:ascii="宋体" w:hAnsi="宋体"/>
                <w:bCs/>
                <w:spacing w:val="-20"/>
                <w:szCs w:val="21"/>
              </w:rPr>
              <w:t>无</w:t>
            </w:r>
          </w:p>
          <w:p>
            <w:pPr>
              <w:spacing w:line="600" w:lineRule="exact"/>
              <w:rPr>
                <w:rFonts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tcPr>
          <w:p>
            <w:pPr>
              <w:jc w:val="left"/>
              <w:rPr>
                <w:rFonts w:ascii="华文中宋" w:eastAsia="华文中宋"/>
                <w:bCs/>
                <w:sz w:val="28"/>
              </w:rPr>
            </w:pPr>
            <w:r>
              <w:rPr>
                <w:rFonts w:hint="eastAsia" w:ascii="华文中宋" w:eastAsia="华文中宋"/>
                <w:bCs/>
                <w:sz w:val="28"/>
              </w:rPr>
              <w:t>指导教师签名：</w:t>
            </w:r>
          </w:p>
          <w:p>
            <w:pPr>
              <w:jc w:val="left"/>
              <w:rPr>
                <w:rFonts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Pr>
        <w:widowControl/>
        <w:spacing w:line="360" w:lineRule="auto"/>
        <w:rPr>
          <w:sz w:val="24"/>
        </w:rPr>
      </w:pPr>
    </w:p>
    <w:sectPr>
      <w:headerReference r:id="rId16" w:type="default"/>
      <w:footerReference r:id="rId17" w:type="default"/>
      <w:pgSz w:w="11906" w:h="16838"/>
      <w:pgMar w:top="1440" w:right="1800" w:bottom="1440" w:left="1800" w:header="851" w:footer="737"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page" w:horzAnchor="page" w:tblpX="1781" w:tblpY="15433"/>
      <w:tblW w:w="5000" w:type="pct"/>
      <w:tblInd w:w="0" w:type="dxa"/>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236" w:hRule="atLeast"/>
      </w:trPr>
      <w:tc>
        <w:tcPr>
          <w:tcW w:w="2250" w:type="pct"/>
          <w:tcBorders>
            <w:bottom w:val="single" w:color="4F81BD" w:sz="4" w:space="0"/>
          </w:tcBorders>
          <w:noWrap w:val="0"/>
          <w:vAlign w:val="top"/>
        </w:tcPr>
        <w:p>
          <w:pPr>
            <w:pStyle w:val="9"/>
            <w:rPr>
              <w:rFonts w:ascii="Cambria" w:hAnsi="Cambria"/>
              <w:b/>
              <w:bCs/>
            </w:rPr>
          </w:pPr>
        </w:p>
      </w:tc>
      <w:tc>
        <w:tcPr>
          <w:tcW w:w="499"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67456" behindDoc="0" locked="0" layoutInCell="1" allowOverlap="1">
                    <wp:simplePos x="0" y="0"/>
                    <wp:positionH relativeFrom="margin">
                      <wp:posOffset>157480</wp:posOffset>
                    </wp:positionH>
                    <wp:positionV relativeFrom="paragraph">
                      <wp:posOffset>81280</wp:posOffset>
                    </wp:positionV>
                    <wp:extent cx="1828800" cy="1828800"/>
                    <wp:effectExtent l="0" t="0" r="0" b="0"/>
                    <wp:wrapSquare wrapText="bothSides"/>
                    <wp:docPr id="79" name="文本框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4pt;margin-top:6.4pt;height:144pt;width:144pt;mso-position-horizontal-relative:margin;mso-wrap-distance-bottom:0pt;mso-wrap-distance-left:9pt;mso-wrap-distance-right:9pt;mso-wrap-distance-top:0pt;mso-wrap-style:none;z-index:251667456;mso-width-relative:page;mso-height-relative:page;" filled="f" stroked="f" coordsize="21600,21600" o:gfxdata="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GPAfjUAAAACQEAAA8AAAAAAAAAAQAgAAAAIgAAAGRycy9kb3ducmV2LnhtbFBL&#10;AQIUABQAAAAIAIdO4kAF5S6NMwIAAGMEAAAOAAAAAAAAAAEAIAAAACM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22</w:t>
                          </w:r>
                          <w:r>
                            <w:fldChar w:fldCharType="end"/>
                          </w:r>
                        </w:p>
                      </w:txbxContent>
                    </v:textbox>
                    <w10:wrap type="square"/>
                  </v:shape>
                </w:pict>
              </mc:Fallback>
            </mc:AlternateContent>
          </w:r>
        </w:p>
      </w:tc>
      <w:tc>
        <w:tcPr>
          <w:tcW w:w="2250" w:type="pct"/>
          <w:tcBorders>
            <w:bottom w:val="single" w:color="4F81BD" w:sz="4" w:space="0"/>
          </w:tcBorders>
          <w:noWrap w:val="0"/>
          <w:vAlign w:val="top"/>
        </w:tcPr>
        <w:p>
          <w:pPr>
            <w:pStyle w:val="9"/>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rPr>
              <w:rFonts w:ascii="Cambria" w:hAnsi="Cambria"/>
              <w:b/>
              <w:bCs/>
            </w:rPr>
          </w:pPr>
        </w:p>
      </w:tc>
      <w:tc>
        <w:tcPr>
          <w:tcW w:w="499" w:type="pct"/>
          <w:vMerge w:val="continue"/>
          <w:noWrap w:val="0"/>
          <w:vAlign w:val="top"/>
        </w:tcPr>
        <w:p>
          <w:pPr>
            <w:pStyle w:val="9"/>
            <w:jc w:val="center"/>
            <w:rPr>
              <w:rFonts w:ascii="Cambria" w:hAnsi="Cambria"/>
              <w:b/>
              <w:bCs/>
            </w:rPr>
          </w:pPr>
        </w:p>
      </w:tc>
      <w:tc>
        <w:tcPr>
          <w:tcW w:w="2250" w:type="pct"/>
          <w:tcBorders>
            <w:top w:val="single" w:color="4F81BD" w:sz="4" w:space="0"/>
          </w:tcBorders>
          <w:noWrap w:val="0"/>
          <w:vAlign w:val="top"/>
        </w:tcPr>
        <w:p>
          <w:pPr>
            <w:pStyle w:val="9"/>
            <w:rPr>
              <w:rFonts w:ascii="Cambria" w:hAnsi="Cambria"/>
              <w:b/>
              <w:bCs/>
            </w:rPr>
          </w:pPr>
        </w:p>
      </w:tc>
    </w:tr>
  </w:tbl>
  <w:p>
    <w:pPr>
      <w:pStyle w:val="8"/>
      <w:jc w:val="cen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7"/>
      <w:gridCol w:w="853"/>
      <w:gridCol w:w="3838"/>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widowControl w:val="0"/>
            <w:pBdr>
              <w:top w:val="none" w:color="auto" w:sz="0" w:space="1"/>
              <w:left w:val="none" w:color="auto" w:sz="0" w:space="4"/>
              <w:bottom w:val="none" w:color="auto" w:sz="0" w:space="1"/>
              <w:right w:val="none" w:color="auto" w:sz="0" w:space="4"/>
            </w:pBdr>
            <w:snapToGrid w:val="0"/>
            <w:spacing w:line="240" w:lineRule="auto"/>
            <w:jc w:val="both"/>
            <w:outlineLvl w:val="9"/>
            <w:rPr>
              <w:rFonts w:ascii="Cambria" w:hAnsi="Cambria" w:eastAsia="宋体" w:cs="Times New Roman"/>
              <w:b/>
              <w:bCs/>
              <w:kern w:val="2"/>
              <w:sz w:val="18"/>
              <w:lang w:val="en-US" w:eastAsia="zh-CN" w:bidi="ar-SA"/>
            </w:rPr>
          </w:pPr>
        </w:p>
      </w:tc>
      <w:tc>
        <w:tcPr>
          <w:tcW w:w="500"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61312" behindDoc="0" locked="0" layoutInCell="1" allowOverlap="1">
                    <wp:simplePos x="0" y="0"/>
                    <wp:positionH relativeFrom="column">
                      <wp:posOffset>187325</wp:posOffset>
                    </wp:positionH>
                    <wp:positionV relativeFrom="paragraph">
                      <wp:posOffset>109855</wp:posOffset>
                    </wp:positionV>
                    <wp:extent cx="1828800" cy="1828800"/>
                    <wp:effectExtent l="0" t="0" r="0" b="0"/>
                    <wp:wrapSquare wrapText="bothSides"/>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75pt;margin-top:8.65pt;height:144pt;width:144pt;mso-wrap-distance-bottom:0pt;mso-wrap-distance-left:9pt;mso-wrap-distance-right:9pt;mso-wrap-distance-top:0pt;mso-wrap-style:none;z-index:251661312;mso-width-relative:page;mso-height-relative:page;" filled="f" stroked="f" coordsize="21600,21600" o:gfxdata="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f2sWNYAAAAJAQAADwAAAAAAAAABACAAAAAiAAAAZHJzL2Rvd25yZXYueG1sUEsB&#10;AhQAFAAAAAgAh07iQDp+ypgwAgAAYwQAAA4AAAAAAAAAAQAgAAAAJQEAAGRycy9lMm9Eb2MueG1s&#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w10:wrap type="square"/>
                  </v:shape>
                </w:pict>
              </mc:Fallback>
            </mc:AlternateContent>
          </w:r>
        </w:p>
      </w:tc>
      <w:tc>
        <w:tcPr>
          <w:tcW w:w="2250" w:type="pct"/>
          <w:tcBorders>
            <w:bottom w:val="single" w:color="4F81BD" w:sz="4" w:space="0"/>
          </w:tcBorders>
          <w:noWrap w:val="0"/>
          <w:vAlign w:val="top"/>
        </w:tcPr>
        <w:p>
          <w:pPr>
            <w:widowControl w:val="0"/>
            <w:pBdr>
              <w:top w:val="none" w:color="auto" w:sz="0" w:space="1"/>
              <w:left w:val="none" w:color="auto" w:sz="0" w:space="4"/>
              <w:bottom w:val="none" w:color="auto" w:sz="0" w:space="1"/>
              <w:right w:val="none" w:color="auto" w:sz="0" w:space="4"/>
            </w:pBdr>
            <w:snapToGrid w:val="0"/>
            <w:spacing w:line="240" w:lineRule="auto"/>
            <w:jc w:val="both"/>
            <w:outlineLvl w:val="9"/>
            <w:rPr>
              <w:rFonts w:ascii="Cambria" w:hAnsi="Cambria" w:eastAsia="宋体" w:cs="Times New Roman"/>
              <w:b/>
              <w:bCs/>
              <w:kern w:val="2"/>
              <w:sz w:val="18"/>
              <w:lang w:val="en-US" w:eastAsia="zh-CN" w:bidi="ar-SA"/>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widowControl w:val="0"/>
            <w:pBdr>
              <w:top w:val="none" w:color="auto" w:sz="0" w:space="1"/>
              <w:left w:val="none" w:color="auto" w:sz="0" w:space="4"/>
              <w:bottom w:val="none" w:color="auto" w:sz="0" w:space="1"/>
              <w:right w:val="none" w:color="auto" w:sz="0" w:space="4"/>
            </w:pBdr>
            <w:snapToGrid w:val="0"/>
            <w:spacing w:line="240" w:lineRule="auto"/>
            <w:jc w:val="both"/>
            <w:outlineLvl w:val="9"/>
            <w:rPr>
              <w:rFonts w:ascii="Cambria" w:hAnsi="Cambria" w:eastAsia="宋体" w:cs="Times New Roman"/>
              <w:b/>
              <w:bCs/>
              <w:kern w:val="2"/>
              <w:sz w:val="18"/>
              <w:lang w:val="en-US" w:eastAsia="zh-CN" w:bidi="ar-SA"/>
            </w:rPr>
          </w:pPr>
        </w:p>
      </w:tc>
      <w:tc>
        <w:tcPr>
          <w:tcW w:w="500" w:type="pct"/>
          <w:vMerge w:val="continue"/>
          <w:noWrap w:val="0"/>
          <w:vAlign w:val="top"/>
        </w:tcPr>
        <w:p>
          <w:pPr>
            <w:widowControl w:val="0"/>
            <w:pBdr>
              <w:top w:val="none" w:color="auto" w:sz="0" w:space="1"/>
              <w:left w:val="none" w:color="auto" w:sz="0" w:space="4"/>
              <w:bottom w:val="none" w:color="auto" w:sz="0" w:space="1"/>
              <w:right w:val="none" w:color="auto" w:sz="0" w:space="4"/>
            </w:pBdr>
            <w:snapToGrid w:val="0"/>
            <w:spacing w:line="240" w:lineRule="auto"/>
            <w:jc w:val="center"/>
            <w:outlineLvl w:val="9"/>
            <w:rPr>
              <w:rFonts w:ascii="Cambria" w:hAnsi="Cambria" w:eastAsia="宋体" w:cs="Times New Roman"/>
              <w:b/>
              <w:bCs/>
              <w:kern w:val="2"/>
              <w:sz w:val="18"/>
              <w:lang w:val="en-US" w:eastAsia="zh-CN" w:bidi="ar-SA"/>
            </w:rPr>
          </w:pPr>
        </w:p>
      </w:tc>
      <w:tc>
        <w:tcPr>
          <w:tcW w:w="2250" w:type="pct"/>
          <w:tcBorders>
            <w:top w:val="single" w:color="4F81BD" w:sz="4" w:space="0"/>
          </w:tcBorders>
          <w:noWrap w:val="0"/>
          <w:vAlign w:val="top"/>
        </w:tcPr>
        <w:p>
          <w:pPr>
            <w:widowControl w:val="0"/>
            <w:pBdr>
              <w:top w:val="none" w:color="auto" w:sz="0" w:space="1"/>
              <w:left w:val="none" w:color="auto" w:sz="0" w:space="4"/>
              <w:bottom w:val="none" w:color="auto" w:sz="0" w:space="1"/>
              <w:right w:val="none" w:color="auto" w:sz="0" w:space="4"/>
            </w:pBdr>
            <w:snapToGrid w:val="0"/>
            <w:spacing w:line="240" w:lineRule="auto"/>
            <w:jc w:val="both"/>
            <w:outlineLvl w:val="9"/>
            <w:rPr>
              <w:rFonts w:ascii="Cambria" w:hAnsi="Cambria" w:eastAsia="宋体" w:cs="Times New Roman"/>
              <w:b/>
              <w:bCs/>
              <w:kern w:val="2"/>
              <w:sz w:val="18"/>
              <w:lang w:val="en-US" w:eastAsia="zh-CN" w:bidi="ar-SA"/>
            </w:rPr>
          </w:pPr>
        </w:p>
      </w:tc>
    </w:tr>
  </w:tbl>
  <w:p>
    <w:pPr>
      <w:pStyle w:val="8"/>
      <w:jc w:val="center"/>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7"/>
      <w:gridCol w:w="853"/>
      <w:gridCol w:w="3838"/>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rPr>
              <w:rFonts w:ascii="Cambria" w:hAnsi="Cambria"/>
              <w:b/>
              <w:bCs/>
            </w:rPr>
          </w:pPr>
        </w:p>
      </w:tc>
      <w:tc>
        <w:tcPr>
          <w:tcW w:w="500"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61312" behindDoc="0" locked="0" layoutInCell="1" allowOverlap="1">
                    <wp:simplePos x="0" y="0"/>
                    <wp:positionH relativeFrom="column">
                      <wp:posOffset>160020</wp:posOffset>
                    </wp:positionH>
                    <wp:positionV relativeFrom="paragraph">
                      <wp:posOffset>99060</wp:posOffset>
                    </wp:positionV>
                    <wp:extent cx="1828800" cy="1828800"/>
                    <wp:effectExtent l="0" t="0" r="0" b="0"/>
                    <wp:wrapSquare wrapText="bothSides"/>
                    <wp:docPr id="51" name="文本框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left"/>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6pt;margin-top:7.8pt;height:144pt;width:144pt;mso-wrap-distance-bottom:0pt;mso-wrap-distance-left:9pt;mso-wrap-distance-right:9pt;mso-wrap-distance-top:0pt;mso-wrap-style:none;z-index:251661312;mso-width-relative:page;mso-height-relative:page;" filled="f" stroked="f" coordsize="21600,21600" o:gfxdata="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krVgv1QAAAAkBAAAPAAAAAAAAAAEAIAAAACIAAABkcnMvZG93bnJldi54bWxQ&#10;SwECFAAUAAAACACHTuJAeNZddzMCAABjBAAADgAAAAAAAAABACAAAAAkAQAAZHJzL2Uyb0RvYy54&#10;bWxQSwUGAAAAAAYABgBZAQAAyQUAAAAA&#10;">
                    <v:fill on="f" focussize="0,0"/>
                    <v:stroke on="f" weight="0.5pt"/>
                    <v:imagedata o:title=""/>
                    <o:lock v:ext="edit" aspectratio="f"/>
                    <v:textbox inset="0mm,0mm,0mm,0mm" style="mso-fit-shape-to-text:t;">
                      <w:txbxContent>
                        <w:p>
                          <w:pPr>
                            <w:pStyle w:val="8"/>
                            <w:jc w:val="left"/>
                          </w:pPr>
                          <w:r>
                            <w:fldChar w:fldCharType="begin"/>
                          </w:r>
                          <w:r>
                            <w:instrText xml:space="preserve"> PAGE  \* MERGEFORMAT </w:instrText>
                          </w:r>
                          <w:r>
                            <w:fldChar w:fldCharType="separate"/>
                          </w:r>
                          <w:r>
                            <w:t>2</w:t>
                          </w:r>
                          <w:r>
                            <w:fldChar w:fldCharType="end"/>
                          </w:r>
                        </w:p>
                      </w:txbxContent>
                    </v:textbox>
                    <w10:wrap type="square"/>
                  </v:shape>
                </w:pict>
              </mc:Fallback>
            </mc:AlternateContent>
          </w:r>
        </w:p>
      </w:tc>
      <w:tc>
        <w:tcPr>
          <w:tcW w:w="2250" w:type="pct"/>
          <w:tcBorders>
            <w:bottom w:val="single" w:color="4F81BD" w:sz="4" w:space="0"/>
          </w:tcBorders>
          <w:noWrap w:val="0"/>
          <w:vAlign w:val="top"/>
        </w:tcPr>
        <w:p>
          <w:pPr>
            <w:pStyle w:val="9"/>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rPr>
              <w:rFonts w:ascii="Cambria" w:hAnsi="Cambria"/>
              <w:b/>
              <w:bCs/>
            </w:rPr>
          </w:pPr>
        </w:p>
      </w:tc>
      <w:tc>
        <w:tcPr>
          <w:tcW w:w="500" w:type="pct"/>
          <w:vMerge w:val="continue"/>
          <w:noWrap w:val="0"/>
          <w:vAlign w:val="top"/>
        </w:tcPr>
        <w:p>
          <w:pPr>
            <w:pStyle w:val="9"/>
            <w:jc w:val="center"/>
            <w:rPr>
              <w:rFonts w:ascii="Cambria" w:hAnsi="Cambria"/>
              <w:b/>
              <w:bCs/>
            </w:rPr>
          </w:pPr>
        </w:p>
      </w:tc>
      <w:tc>
        <w:tcPr>
          <w:tcW w:w="2250" w:type="pct"/>
          <w:tcBorders>
            <w:top w:val="single" w:color="4F81BD" w:sz="4" w:space="0"/>
          </w:tcBorders>
          <w:noWrap w:val="0"/>
          <w:vAlign w:val="top"/>
        </w:tcPr>
        <w:p>
          <w:pPr>
            <w:pStyle w:val="9"/>
            <w:rPr>
              <w:rFonts w:ascii="Cambria" w:hAnsi="Cambria"/>
              <w:b/>
              <w:bCs/>
            </w:rPr>
          </w:pPr>
        </w:p>
      </w:tc>
    </w:tr>
  </w:tbl>
  <w:p>
    <w:pPr>
      <w:pStyle w:val="8"/>
      <w:jc w:val="center"/>
    </w:pP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vW1mVTICAABjBAAADgAAAAAAAAABACAAAAAfAQAAZHJzL2Uyb0RvYy54bWxQSwUG&#10;AAAAAAYABgBZAQAAwwUAAAAA&#10;">
              <v:fill on="f" focussize="0,0"/>
              <v:stroke on="f" weight="0.5pt"/>
              <v:imagedata o:title=""/>
              <o:lock v:ext="edit" aspectratio="f"/>
              <v:textbox inset="0mm,0mm,0mm,0mm" style="mso-fit-shape-to-text:t;">
                <w:txbxContent>
                  <w:p/>
                </w:txbxContent>
              </v:textbox>
            </v:shape>
          </w:pict>
        </mc:Fallback>
      </mc:AlternateConten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64384" behindDoc="0" locked="0" layoutInCell="1" allowOverlap="1">
              <wp:simplePos x="0" y="0"/>
              <wp:positionH relativeFrom="margin">
                <wp:posOffset>-3175</wp:posOffset>
              </wp:positionH>
              <wp:positionV relativeFrom="paragraph">
                <wp:posOffset>8890</wp:posOffset>
              </wp:positionV>
              <wp:extent cx="5284470" cy="4762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284470" cy="476250"/>
                      </a:xfrm>
                      <a:prstGeom prst="rect">
                        <a:avLst/>
                      </a:prstGeom>
                      <a:noFill/>
                      <a:ln w="6350">
                        <a:noFill/>
                      </a:ln>
                      <a:effectLst/>
                    </wps:spPr>
                    <wps:txbx>
                      <w:txbxConten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0.7pt;height:37.5pt;width:416.1pt;mso-position-horizontal-relative:margin;z-index:251664384;mso-width-relative:page;mso-height-relative:page;" filled="f" stroked="f" coordsize="21600,21600" o:gfxdata="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vdPHPVAAAABgEAAA8AAAAAAAAAAQAgAAAAIgAAAGRycy9kb3ducmV2&#10;LnhtbFBLAQIUABQAAAAIAIdO4kAiVTVcOAIAAGYEAAAOAAAAAAAAAAEAIAAAACQBAABkcnMvZTJv&#10;RG9jLnhtbFBLBQYAAAAABgAGAFkBAADOBQAAAAA=&#10;">
              <v:fill on="f" focussize="0,0"/>
              <v:stroke on="f" weight="0.5pt"/>
              <v:imagedata o:title=""/>
              <o:lock v:ext="edit" aspectratio="f"/>
              <v:textbox inset="0mm,0mm,0mm,0mm">
                <w:txbxContent>
                  <w:p/>
                </w:txbxContent>
              </v:textbox>
            </v:shape>
          </w:pict>
        </mc:Fallback>
      </mc:AlternateContent>
    </w: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7"/>
      <w:gridCol w:w="853"/>
      <w:gridCol w:w="3838"/>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rPr>
              <w:rFonts w:ascii="Cambria" w:hAnsi="Cambria"/>
              <w:b/>
              <w:bCs/>
            </w:rPr>
          </w:pPr>
        </w:p>
      </w:tc>
      <w:tc>
        <w:tcPr>
          <w:tcW w:w="500"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60288" behindDoc="1" locked="0" layoutInCell="1" allowOverlap="1">
                    <wp:simplePos x="0" y="0"/>
                    <wp:positionH relativeFrom="column">
                      <wp:posOffset>154940</wp:posOffset>
                    </wp:positionH>
                    <wp:positionV relativeFrom="paragraph">
                      <wp:posOffset>97155</wp:posOffset>
                    </wp:positionV>
                    <wp:extent cx="1828800" cy="1828800"/>
                    <wp:effectExtent l="0" t="0" r="0" b="0"/>
                    <wp:wrapTight wrapText="bothSides">
                      <wp:wrapPolygon>
                        <wp:start x="777" y="498"/>
                        <wp:lineTo x="20823" y="498"/>
                        <wp:lineTo x="20823" y="21102"/>
                        <wp:lineTo x="777" y="21102"/>
                        <wp:lineTo x="777" y="498"/>
                      </wp:wrapPolygon>
                    </wp:wrapTight>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2pt;margin-top:7.65pt;height:144pt;width:144pt;mso-wrap-distance-left:9pt;mso-wrap-distance-right:9pt;mso-wrap-style:none;z-index:-251656192;mso-width-relative:page;mso-height-relative:page;" filled="f" stroked="f" coordsize="21600,21600" wrapcoords="777 498 20823 498 20823 21102 777 21102 777 498" o:gfxdata="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t0JWZ1QAAAAkBAAAPAAAAAAAAAAEAIAAAACIAAABkcnMvZG93bnJldi54bWxQ&#10;SwECFAAUAAAACACHTuJAsNN2kDMCAABjBAAADgAAAAAAAAABACAAAAAkAQAAZHJzL2Uyb0RvYy54&#10;bWxQSwUGAAAAAAYABgBZAQAAy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w10:wrap type="tight"/>
                  </v:shape>
                </w:pict>
              </mc:Fallback>
            </mc:AlternateContent>
          </w:r>
        </w:p>
      </w:tc>
      <w:tc>
        <w:tcPr>
          <w:tcW w:w="2250" w:type="pct"/>
          <w:tcBorders>
            <w:bottom w:val="single" w:color="4F81BD" w:sz="4" w:space="0"/>
          </w:tcBorders>
          <w:noWrap w:val="0"/>
          <w:vAlign w:val="top"/>
        </w:tcPr>
        <w:p>
          <w:pPr>
            <w:pStyle w:val="9"/>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rPr>
              <w:rFonts w:ascii="Cambria" w:hAnsi="Cambria"/>
              <w:b/>
              <w:bCs/>
            </w:rPr>
          </w:pPr>
        </w:p>
      </w:tc>
      <w:tc>
        <w:tcPr>
          <w:tcW w:w="500" w:type="pct"/>
          <w:vMerge w:val="continue"/>
          <w:noWrap w:val="0"/>
          <w:vAlign w:val="top"/>
        </w:tcPr>
        <w:p>
          <w:pPr>
            <w:pStyle w:val="9"/>
            <w:jc w:val="center"/>
            <w:rPr>
              <w:rFonts w:ascii="Cambria" w:hAnsi="Cambria"/>
              <w:b/>
              <w:bCs/>
            </w:rPr>
          </w:pPr>
        </w:p>
      </w:tc>
      <w:tc>
        <w:tcPr>
          <w:tcW w:w="2250" w:type="pct"/>
          <w:tcBorders>
            <w:top w:val="single" w:color="4F81BD" w:sz="4" w:space="0"/>
          </w:tcBorders>
          <w:noWrap w:val="0"/>
          <w:vAlign w:val="top"/>
        </w:tcPr>
        <w:p>
          <w:pPr>
            <w:pStyle w:val="9"/>
            <w:rPr>
              <w:rFonts w:ascii="Cambria" w:hAnsi="Cambria"/>
              <w:b/>
              <w:bCs/>
            </w:rPr>
          </w:pPr>
        </w:p>
      </w:tc>
    </w:tr>
  </w:tbl>
  <w:p>
    <w:pPr>
      <w:pStyle w:val="8"/>
      <w:jc w:val="center"/>
    </w:pPr>
    <w:r>
      <mc:AlternateContent>
        <mc:Choice Requires="wps">
          <w:drawing>
            <wp:anchor distT="0" distB="0" distL="114300" distR="114300" simplePos="0" relativeHeight="251662336" behindDoc="0" locked="0" layoutInCell="1" allowOverlap="1">
              <wp:simplePos x="0" y="0"/>
              <wp:positionH relativeFrom="margin">
                <wp:posOffset>15875</wp:posOffset>
              </wp:positionH>
              <wp:positionV relativeFrom="paragraph">
                <wp:posOffset>-57150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25pt;margin-top:-4.5pt;height:144pt;width:144pt;mso-position-horizontal-relative:margin;mso-wrap-style:none;z-index:251662336;mso-width-relative:page;mso-height-relative:page;" filled="f" stroked="f" coordsize="21600,21600" o:gfxdata="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DAzrM0wAAAAgBAAAPAAAAAAAAAAEAIAAAACIAAABkcnMvZG93bnJldi54bWxQSwEC&#10;FAAUAAAACACHTuJA2Zxg5DICAABjBAAADgAAAAAAAAABACAAAAAiAQAAZHJzL2Uyb0RvYy54bWxQ&#10;SwUGAAAAAAYABgBZAQAAxgUAAAAA&#10;">
              <v:fill on="f" focussize="0,0"/>
              <v:stroke on="f" weight="0.5pt"/>
              <v:imagedata o:title=""/>
              <o:lock v:ext="edit" aspectratio="f"/>
              <v:textbox inset="0mm,0mm,0mm,0mm" style="mso-fit-shape-to-text:t;">
                <w:txbxContent>
                  <w:p/>
                </w:txbxContent>
              </v:textbox>
            </v:shape>
          </w:pict>
        </mc:Fallback>
      </mc:AlternateContent>
    </w:r>
  </w:p>
  <w:p>
    <w:pPr>
      <w:pStyle w:val="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tblpY="1"/>
      <w:tblW w:w="5000" w:type="pct"/>
      <w:tblInd w:w="0" w:type="dxa"/>
      <w:tblLayout w:type="autofit"/>
      <w:tblCellMar>
        <w:top w:w="0" w:type="dxa"/>
        <w:left w:w="108" w:type="dxa"/>
        <w:bottom w:w="0" w:type="dxa"/>
        <w:right w:w="108" w:type="dxa"/>
      </w:tblCellMar>
    </w:tblPr>
    <w:tblGrid>
      <w:gridCol w:w="3837"/>
      <w:gridCol w:w="853"/>
      <w:gridCol w:w="3838"/>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noWrap w:val="0"/>
          <w:vAlign w:val="top"/>
        </w:tcPr>
        <w:p>
          <w:pPr>
            <w:pStyle w:val="9"/>
            <w:rPr>
              <w:rFonts w:ascii="Cambria" w:hAnsi="Cambria"/>
              <w:b/>
              <w:bCs/>
            </w:rPr>
          </w:pPr>
        </w:p>
      </w:tc>
      <w:tc>
        <w:tcPr>
          <w:tcW w:w="500"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97155</wp:posOffset>
                    </wp:positionV>
                    <wp:extent cx="1828800" cy="1828800"/>
                    <wp:effectExtent l="0" t="0" r="0" b="0"/>
                    <wp:wrapSquare wrapText="bothSides"/>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2pt;margin-top:7.65pt;height:144pt;width:144pt;mso-wrap-distance-bottom:0pt;mso-wrap-distance-left:9pt;mso-wrap-distance-right:9pt;mso-wrap-distance-top:0pt;mso-wrap-style:none;z-index:251659264;mso-width-relative:page;mso-height-relative:page;" filled="f" stroked="f" coordsize="21600,21600" o:gfxdata="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qj4l81QAAAAkBAAAPAAAAAAAAAAEAIAAAACIAAABkcnMvZG93bnJldi54bWxQ&#10;SwECFAAUAAAACACHTuJA8nvhfzMCAABjBAAADgAAAAAAAAABACAAAAAkAQAAZHJzL2Uyb0RvYy54&#10;bWxQSwUGAAAAAAYABgBZAQAAy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6</w:t>
                          </w:r>
                          <w:r>
                            <w:fldChar w:fldCharType="end"/>
                          </w:r>
                        </w:p>
                      </w:txbxContent>
                    </v:textbox>
                    <w10:wrap type="square"/>
                  </v:shape>
                </w:pict>
              </mc:Fallback>
            </mc:AlternateContent>
          </w:r>
        </w:p>
      </w:tc>
      <w:tc>
        <w:tcPr>
          <w:tcW w:w="2250" w:type="pct"/>
          <w:tcBorders>
            <w:bottom w:val="single" w:color="4F81BD" w:sz="4" w:space="0"/>
          </w:tcBorders>
          <w:noWrap w:val="0"/>
          <w:vAlign w:val="top"/>
        </w:tcPr>
        <w:p>
          <w:pPr>
            <w:pStyle w:val="9"/>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rPr>
              <w:rFonts w:ascii="Cambria" w:hAnsi="Cambria"/>
              <w:b/>
              <w:bCs/>
            </w:rPr>
          </w:pPr>
        </w:p>
      </w:tc>
      <w:tc>
        <w:tcPr>
          <w:tcW w:w="500" w:type="pct"/>
          <w:vMerge w:val="continue"/>
          <w:noWrap w:val="0"/>
          <w:vAlign w:val="top"/>
        </w:tcPr>
        <w:p>
          <w:pPr>
            <w:pStyle w:val="9"/>
            <w:jc w:val="center"/>
            <w:rPr>
              <w:rFonts w:ascii="Cambria" w:hAnsi="Cambria"/>
              <w:b/>
              <w:bCs/>
            </w:rPr>
          </w:pPr>
        </w:p>
      </w:tc>
      <w:tc>
        <w:tcPr>
          <w:tcW w:w="2250" w:type="pct"/>
          <w:tcBorders>
            <w:top w:val="single" w:color="4F81BD" w:sz="4" w:space="0"/>
          </w:tcBorders>
          <w:noWrap w:val="0"/>
          <w:vAlign w:val="top"/>
        </w:tcPr>
        <w:p>
          <w:pPr>
            <w:pStyle w:val="9"/>
            <w:rPr>
              <w:rFonts w:ascii="Cambria" w:hAnsi="Cambria"/>
              <w:b/>
              <w:bCs/>
            </w:rPr>
          </w:pPr>
        </w:p>
      </w:tc>
    </w:tr>
  </w:tbl>
  <w:p>
    <w:pPr>
      <w:pStyle w:val="8"/>
      <w:jc w:val="center"/>
    </w:pPr>
  </w:p>
  <w:p>
    <w:pPr>
      <w:pStyle w:val="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text" w:horzAnchor="page" w:tblpX="1781" w:tblpY="-179"/>
      <w:tblW w:w="5000" w:type="pct"/>
      <w:tblInd w:w="0" w:type="dxa"/>
      <w:tblLayout w:type="autofit"/>
      <w:tblCellMar>
        <w:top w:w="0" w:type="dxa"/>
        <w:left w:w="108" w:type="dxa"/>
        <w:bottom w:w="0" w:type="dxa"/>
        <w:right w:w="108" w:type="dxa"/>
      </w:tblCellMar>
    </w:tblPr>
    <w:tblGrid>
      <w:gridCol w:w="3835"/>
      <w:gridCol w:w="851"/>
      <w:gridCol w:w="3836"/>
    </w:tblGrid>
    <w:tr>
      <w:tblPrEx>
        <w:tblCellMar>
          <w:top w:w="0" w:type="dxa"/>
          <w:left w:w="108" w:type="dxa"/>
          <w:bottom w:w="0" w:type="dxa"/>
          <w:right w:w="108" w:type="dxa"/>
        </w:tblCellMar>
      </w:tblPrEx>
      <w:trPr>
        <w:trHeight w:val="236" w:hRule="atLeast"/>
      </w:trPr>
      <w:tc>
        <w:tcPr>
          <w:tcW w:w="2250" w:type="pct"/>
          <w:tcBorders>
            <w:bottom w:val="single" w:color="4F81BD" w:sz="4" w:space="0"/>
          </w:tcBorders>
          <w:noWrap w:val="0"/>
          <w:vAlign w:val="top"/>
        </w:tcPr>
        <w:p>
          <w:pPr>
            <w:pStyle w:val="9"/>
            <w:rPr>
              <w:rFonts w:ascii="Cambria" w:hAnsi="Cambria"/>
              <w:b/>
              <w:bCs/>
            </w:rPr>
          </w:pPr>
        </w:p>
      </w:tc>
      <w:tc>
        <w:tcPr>
          <w:tcW w:w="499"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65408" behindDoc="0" locked="0" layoutInCell="1" allowOverlap="1">
                    <wp:simplePos x="0" y="0"/>
                    <wp:positionH relativeFrom="margin">
                      <wp:posOffset>184150</wp:posOffset>
                    </wp:positionH>
                    <wp:positionV relativeFrom="paragraph">
                      <wp:posOffset>111760</wp:posOffset>
                    </wp:positionV>
                    <wp:extent cx="1828800" cy="1828800"/>
                    <wp:effectExtent l="0" t="0" r="0" b="0"/>
                    <wp:wrapSquare wrapText="bothSides"/>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4.5pt;margin-top:8.8pt;height:144pt;width:144pt;mso-position-horizontal-relative:margin;mso-wrap-distance-bottom:0pt;mso-wrap-distance-left:9pt;mso-wrap-distance-right:9pt;mso-wrap-distance-top:0pt;mso-wrap-style:none;z-index:251665408;mso-width-relative:page;mso-height-relative:page;" filled="f" stroked="f" coordsize="21600,21600" o:gfxdata="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kbu6z9YAAAAJAQAADwAAAAAAAAABACAAAAAiAAAAZHJzL2Rvd25yZXYueG1s&#10;UEsBAhQAFAAAAAgAh07iQF5FtZAzAgAAYwQAAA4AAAAAAAAAAQAgAAAAJQEAAGRycy9lMm9Eb2Mu&#10;eG1sUEsFBgAAAAAGAAYAWQEAAMo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w10:wrap type="square"/>
                  </v:shape>
                </w:pict>
              </mc:Fallback>
            </mc:AlternateContent>
          </w:r>
        </w:p>
      </w:tc>
      <w:tc>
        <w:tcPr>
          <w:tcW w:w="2250" w:type="pct"/>
          <w:tcBorders>
            <w:bottom w:val="single" w:color="4F81BD" w:sz="4" w:space="0"/>
          </w:tcBorders>
          <w:noWrap w:val="0"/>
          <w:vAlign w:val="top"/>
        </w:tcPr>
        <w:p>
          <w:pPr>
            <w:pStyle w:val="9"/>
            <w:rPr>
              <w:rFonts w:ascii="Cambria" w:hAnsi="Cambria"/>
              <w:b/>
              <w:bCs/>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noWrap w:val="0"/>
          <w:vAlign w:val="top"/>
        </w:tcPr>
        <w:p>
          <w:pPr>
            <w:pStyle w:val="9"/>
            <w:rPr>
              <w:rFonts w:ascii="Cambria" w:hAnsi="Cambria"/>
              <w:b/>
              <w:bCs/>
            </w:rPr>
          </w:pPr>
        </w:p>
      </w:tc>
      <w:tc>
        <w:tcPr>
          <w:tcW w:w="499" w:type="pct"/>
          <w:vMerge w:val="continue"/>
          <w:noWrap w:val="0"/>
          <w:vAlign w:val="top"/>
        </w:tcPr>
        <w:p>
          <w:pPr>
            <w:pStyle w:val="9"/>
            <w:jc w:val="center"/>
            <w:rPr>
              <w:rFonts w:ascii="Cambria" w:hAnsi="Cambria"/>
              <w:b/>
              <w:bCs/>
            </w:rPr>
          </w:pPr>
        </w:p>
      </w:tc>
      <w:tc>
        <w:tcPr>
          <w:tcW w:w="2250" w:type="pct"/>
          <w:tcBorders>
            <w:top w:val="single" w:color="4F81BD" w:sz="4" w:space="0"/>
          </w:tcBorders>
          <w:noWrap w:val="0"/>
          <w:vAlign w:val="top"/>
        </w:tcPr>
        <w:p>
          <w:pPr>
            <w:pStyle w:val="9"/>
            <w:rPr>
              <w:rFonts w:ascii="Cambria" w:hAnsi="Cambria"/>
              <w:b/>
              <w:bCs/>
            </w:rPr>
          </w:pPr>
        </w:p>
      </w:tc>
    </w:tr>
  </w:tbl>
  <w:p>
    <w:pPr>
      <w:pStyle w:val="8"/>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4"/>
      <w:tblpPr w:leftFromText="187" w:rightFromText="187" w:vertAnchor="page" w:horzAnchor="page" w:tblpX="1442" w:tblpY="10148"/>
      <w:tblW w:w="5000" w:type="pct"/>
      <w:tblInd w:w="0" w:type="dxa"/>
      <w:tblLayout w:type="autofit"/>
      <w:tblCellMar>
        <w:top w:w="0" w:type="dxa"/>
        <w:left w:w="108" w:type="dxa"/>
        <w:bottom w:w="0" w:type="dxa"/>
        <w:right w:w="108" w:type="dxa"/>
      </w:tblCellMar>
    </w:tblPr>
    <w:tblGrid>
      <w:gridCol w:w="6378"/>
      <w:gridCol w:w="1415"/>
      <w:gridCol w:w="6381"/>
    </w:tblGrid>
    <w:tr>
      <w:tblPrEx>
        <w:tblCellMar>
          <w:top w:w="0" w:type="dxa"/>
          <w:left w:w="108" w:type="dxa"/>
          <w:bottom w:w="0" w:type="dxa"/>
          <w:right w:w="108" w:type="dxa"/>
        </w:tblCellMar>
      </w:tblPrEx>
      <w:trPr>
        <w:trHeight w:val="236" w:hRule="atLeast"/>
      </w:trPr>
      <w:tc>
        <w:tcPr>
          <w:tcW w:w="2249" w:type="pct"/>
          <w:tcBorders>
            <w:bottom w:val="single" w:color="4F81BD" w:sz="4" w:space="0"/>
          </w:tcBorders>
          <w:noWrap w:val="0"/>
          <w:vAlign w:val="top"/>
        </w:tcPr>
        <w:p>
          <w:pPr>
            <w:pStyle w:val="9"/>
            <w:rPr>
              <w:rFonts w:ascii="Cambria" w:hAnsi="Cambria"/>
              <w:b/>
              <w:bCs/>
            </w:rPr>
          </w:pPr>
        </w:p>
      </w:tc>
      <w:tc>
        <w:tcPr>
          <w:tcW w:w="499" w:type="pct"/>
          <w:vMerge w:val="restart"/>
          <w:noWrap/>
          <w:vAlign w:val="center"/>
        </w:tcPr>
        <w:p>
          <w:pPr>
            <w:pStyle w:val="24"/>
            <w:jc w:val="center"/>
            <w:rPr>
              <w:rFonts w:ascii="Cambria" w:hAnsi="Cambria"/>
            </w:rPr>
          </w:pPr>
          <w:r>
            <w:rPr>
              <w:sz w:val="18"/>
            </w:rPr>
            <mc:AlternateContent>
              <mc:Choice Requires="wps">
                <w:drawing>
                  <wp:anchor distT="0" distB="0" distL="114300" distR="114300" simplePos="0" relativeHeight="251666432" behindDoc="0" locked="0" layoutInCell="1" allowOverlap="1">
                    <wp:simplePos x="0" y="0"/>
                    <wp:positionH relativeFrom="margin">
                      <wp:posOffset>327025</wp:posOffset>
                    </wp:positionH>
                    <wp:positionV relativeFrom="paragraph">
                      <wp:posOffset>101600</wp:posOffset>
                    </wp:positionV>
                    <wp:extent cx="1828800" cy="1828800"/>
                    <wp:effectExtent l="0" t="0" r="0" b="0"/>
                    <wp:wrapSquare wrapText="bothSides"/>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5.75pt;margin-top:8pt;height:144pt;width:144pt;mso-position-horizontal-relative:margin;mso-wrap-distance-bottom:0pt;mso-wrap-distance-left:9pt;mso-wrap-distance-right:9pt;mso-wrap-distance-top:0pt;mso-wrap-style:none;z-index:251666432;mso-width-relative:page;mso-height-relative:page;" filled="f" stroked="f" coordsize="21600,21600" o:gfxdata="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u3uIPUAAAACQEAAA8AAAAAAAAAAQAgAAAAIgAAAGRycy9kb3ducmV2LnhtbFBL&#10;AQIUABQAAAAIAIdO4kBHTbliMwIAAGMEAAAOAAAAAAAAAAEAIAAAACM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21</w:t>
                          </w:r>
                          <w:r>
                            <w:fldChar w:fldCharType="end"/>
                          </w:r>
                        </w:p>
                      </w:txbxContent>
                    </v:textbox>
                    <w10:wrap type="square"/>
                  </v:shape>
                </w:pict>
              </mc:Fallback>
            </mc:AlternateContent>
          </w:r>
        </w:p>
      </w:tc>
      <w:tc>
        <w:tcPr>
          <w:tcW w:w="2250" w:type="pct"/>
          <w:tcBorders>
            <w:bottom w:val="single" w:color="4F81BD" w:sz="4" w:space="0"/>
          </w:tcBorders>
          <w:noWrap w:val="0"/>
          <w:vAlign w:val="top"/>
        </w:tcPr>
        <w:p>
          <w:pPr>
            <w:pStyle w:val="9"/>
            <w:rPr>
              <w:rFonts w:ascii="Cambria" w:hAnsi="Cambria"/>
              <w:b/>
              <w:bCs/>
            </w:rPr>
          </w:pPr>
        </w:p>
      </w:tc>
    </w:tr>
    <w:tr>
      <w:tblPrEx>
        <w:tblCellMar>
          <w:top w:w="0" w:type="dxa"/>
          <w:left w:w="108" w:type="dxa"/>
          <w:bottom w:w="0" w:type="dxa"/>
          <w:right w:w="108" w:type="dxa"/>
        </w:tblCellMar>
      </w:tblPrEx>
      <w:trPr>
        <w:trHeight w:val="150" w:hRule="atLeast"/>
      </w:trPr>
      <w:tc>
        <w:tcPr>
          <w:tcW w:w="2249" w:type="pct"/>
          <w:tcBorders>
            <w:top w:val="single" w:color="4F81BD" w:sz="4" w:space="0"/>
          </w:tcBorders>
          <w:noWrap w:val="0"/>
          <w:vAlign w:val="top"/>
        </w:tcPr>
        <w:p>
          <w:pPr>
            <w:pStyle w:val="9"/>
            <w:rPr>
              <w:rFonts w:ascii="Cambria" w:hAnsi="Cambria"/>
              <w:b/>
              <w:bCs/>
            </w:rPr>
          </w:pPr>
        </w:p>
      </w:tc>
      <w:tc>
        <w:tcPr>
          <w:tcW w:w="499" w:type="pct"/>
          <w:vMerge w:val="continue"/>
          <w:noWrap w:val="0"/>
          <w:vAlign w:val="top"/>
        </w:tcPr>
        <w:p>
          <w:pPr>
            <w:pStyle w:val="9"/>
            <w:jc w:val="center"/>
            <w:rPr>
              <w:rFonts w:ascii="Cambria" w:hAnsi="Cambria"/>
              <w:b/>
              <w:bCs/>
            </w:rPr>
          </w:pPr>
        </w:p>
      </w:tc>
      <w:tc>
        <w:tcPr>
          <w:tcW w:w="2250" w:type="pct"/>
          <w:tcBorders>
            <w:top w:val="single" w:color="4F81BD" w:sz="4" w:space="0"/>
          </w:tcBorders>
          <w:noWrap w:val="0"/>
          <w:vAlign w:val="top"/>
        </w:tcPr>
        <w:p>
          <w:pPr>
            <w:pStyle w:val="9"/>
            <w:rPr>
              <w:rFonts w:ascii="Cambria" w:hAnsi="Cambria"/>
              <w:b/>
              <w:bCs/>
            </w:rPr>
          </w:pPr>
        </w:p>
      </w:tc>
    </w:tr>
  </w:tbl>
  <w:p>
    <w:pPr>
      <w:pStyle w:val="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毕 业 设 计（论 文）</w:t>
    </w:r>
  </w:p>
  <w:p>
    <w:pPr>
      <w:pStyle w:val="9"/>
      <w:pBdr>
        <w:top w:val="none" w:color="auto" w:sz="0" w:space="2"/>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none" w:color="auto" w:sz="0" w:space="2"/>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24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D6"/>
    <w:rsid w:val="000002C7"/>
    <w:rsid w:val="00000AA1"/>
    <w:rsid w:val="00000BDF"/>
    <w:rsid w:val="00001732"/>
    <w:rsid w:val="0000300E"/>
    <w:rsid w:val="00004F8C"/>
    <w:rsid w:val="00005028"/>
    <w:rsid w:val="0000563A"/>
    <w:rsid w:val="00005C4F"/>
    <w:rsid w:val="00006974"/>
    <w:rsid w:val="000112A2"/>
    <w:rsid w:val="00011693"/>
    <w:rsid w:val="000139AB"/>
    <w:rsid w:val="00013BDD"/>
    <w:rsid w:val="00013E00"/>
    <w:rsid w:val="00014151"/>
    <w:rsid w:val="0001489D"/>
    <w:rsid w:val="000149CD"/>
    <w:rsid w:val="00014B51"/>
    <w:rsid w:val="00015746"/>
    <w:rsid w:val="00015DDD"/>
    <w:rsid w:val="0001753D"/>
    <w:rsid w:val="00017DDC"/>
    <w:rsid w:val="00021DE2"/>
    <w:rsid w:val="00022F41"/>
    <w:rsid w:val="000232F1"/>
    <w:rsid w:val="000236F0"/>
    <w:rsid w:val="00023CA5"/>
    <w:rsid w:val="00024F80"/>
    <w:rsid w:val="00025AA0"/>
    <w:rsid w:val="00025C52"/>
    <w:rsid w:val="0002787F"/>
    <w:rsid w:val="00030193"/>
    <w:rsid w:val="0003070F"/>
    <w:rsid w:val="000308AB"/>
    <w:rsid w:val="0003116D"/>
    <w:rsid w:val="00031709"/>
    <w:rsid w:val="00034F83"/>
    <w:rsid w:val="000355CA"/>
    <w:rsid w:val="00035D0E"/>
    <w:rsid w:val="00035F0D"/>
    <w:rsid w:val="00035F75"/>
    <w:rsid w:val="00036ADD"/>
    <w:rsid w:val="00037557"/>
    <w:rsid w:val="00037756"/>
    <w:rsid w:val="00040BED"/>
    <w:rsid w:val="000410A5"/>
    <w:rsid w:val="000412FD"/>
    <w:rsid w:val="000437EB"/>
    <w:rsid w:val="00044531"/>
    <w:rsid w:val="00044D34"/>
    <w:rsid w:val="000458D5"/>
    <w:rsid w:val="000461FA"/>
    <w:rsid w:val="000469D6"/>
    <w:rsid w:val="00047876"/>
    <w:rsid w:val="00050B8F"/>
    <w:rsid w:val="00051121"/>
    <w:rsid w:val="00052878"/>
    <w:rsid w:val="000538FA"/>
    <w:rsid w:val="00053AB4"/>
    <w:rsid w:val="00053D68"/>
    <w:rsid w:val="000546BD"/>
    <w:rsid w:val="00054CEE"/>
    <w:rsid w:val="000566D0"/>
    <w:rsid w:val="00056B97"/>
    <w:rsid w:val="0006193D"/>
    <w:rsid w:val="000624FE"/>
    <w:rsid w:val="000648C8"/>
    <w:rsid w:val="00066FB1"/>
    <w:rsid w:val="00067217"/>
    <w:rsid w:val="00067262"/>
    <w:rsid w:val="0007023A"/>
    <w:rsid w:val="00072126"/>
    <w:rsid w:val="00073120"/>
    <w:rsid w:val="00073DE6"/>
    <w:rsid w:val="00074F5C"/>
    <w:rsid w:val="00076401"/>
    <w:rsid w:val="000765C6"/>
    <w:rsid w:val="00077995"/>
    <w:rsid w:val="000821C1"/>
    <w:rsid w:val="0008236F"/>
    <w:rsid w:val="0008359A"/>
    <w:rsid w:val="00084788"/>
    <w:rsid w:val="00084AD6"/>
    <w:rsid w:val="00084FE0"/>
    <w:rsid w:val="00085738"/>
    <w:rsid w:val="0008624C"/>
    <w:rsid w:val="00086301"/>
    <w:rsid w:val="00086C27"/>
    <w:rsid w:val="0008710E"/>
    <w:rsid w:val="00087A5C"/>
    <w:rsid w:val="00087E0C"/>
    <w:rsid w:val="00090B18"/>
    <w:rsid w:val="00092F80"/>
    <w:rsid w:val="0009302F"/>
    <w:rsid w:val="00093E35"/>
    <w:rsid w:val="00094033"/>
    <w:rsid w:val="0009444A"/>
    <w:rsid w:val="00094FB8"/>
    <w:rsid w:val="00095645"/>
    <w:rsid w:val="000957FA"/>
    <w:rsid w:val="00095B78"/>
    <w:rsid w:val="00097189"/>
    <w:rsid w:val="000978B7"/>
    <w:rsid w:val="0009792F"/>
    <w:rsid w:val="00097FD1"/>
    <w:rsid w:val="000A02A8"/>
    <w:rsid w:val="000A1EDB"/>
    <w:rsid w:val="000A1FF6"/>
    <w:rsid w:val="000A2435"/>
    <w:rsid w:val="000A4815"/>
    <w:rsid w:val="000A5455"/>
    <w:rsid w:val="000A5EE3"/>
    <w:rsid w:val="000A636F"/>
    <w:rsid w:val="000A6C51"/>
    <w:rsid w:val="000A7312"/>
    <w:rsid w:val="000A79E5"/>
    <w:rsid w:val="000A7CA8"/>
    <w:rsid w:val="000B0E22"/>
    <w:rsid w:val="000B1004"/>
    <w:rsid w:val="000B1C7D"/>
    <w:rsid w:val="000B2301"/>
    <w:rsid w:val="000B2689"/>
    <w:rsid w:val="000B2967"/>
    <w:rsid w:val="000B2DE1"/>
    <w:rsid w:val="000B3439"/>
    <w:rsid w:val="000B491D"/>
    <w:rsid w:val="000B4FCC"/>
    <w:rsid w:val="000B5E64"/>
    <w:rsid w:val="000B63D2"/>
    <w:rsid w:val="000B7317"/>
    <w:rsid w:val="000B7EDA"/>
    <w:rsid w:val="000C012F"/>
    <w:rsid w:val="000C184E"/>
    <w:rsid w:val="000C1A5F"/>
    <w:rsid w:val="000C1ECA"/>
    <w:rsid w:val="000C29F1"/>
    <w:rsid w:val="000C2B20"/>
    <w:rsid w:val="000C39DA"/>
    <w:rsid w:val="000C3C11"/>
    <w:rsid w:val="000C6E5B"/>
    <w:rsid w:val="000C7506"/>
    <w:rsid w:val="000D0ECE"/>
    <w:rsid w:val="000D0F8E"/>
    <w:rsid w:val="000D101F"/>
    <w:rsid w:val="000D267F"/>
    <w:rsid w:val="000D2B4B"/>
    <w:rsid w:val="000D2BD6"/>
    <w:rsid w:val="000D313E"/>
    <w:rsid w:val="000D3F30"/>
    <w:rsid w:val="000D4988"/>
    <w:rsid w:val="000D4F86"/>
    <w:rsid w:val="000D583D"/>
    <w:rsid w:val="000D6B62"/>
    <w:rsid w:val="000D6C62"/>
    <w:rsid w:val="000D6E4C"/>
    <w:rsid w:val="000D7622"/>
    <w:rsid w:val="000D79E8"/>
    <w:rsid w:val="000D7CAA"/>
    <w:rsid w:val="000E090C"/>
    <w:rsid w:val="000E2BD1"/>
    <w:rsid w:val="000E39BB"/>
    <w:rsid w:val="000E423B"/>
    <w:rsid w:val="000E50E5"/>
    <w:rsid w:val="000E5330"/>
    <w:rsid w:val="000E5906"/>
    <w:rsid w:val="000E5A22"/>
    <w:rsid w:val="000E651F"/>
    <w:rsid w:val="000E6E9C"/>
    <w:rsid w:val="000E76B5"/>
    <w:rsid w:val="000E7911"/>
    <w:rsid w:val="000E7C72"/>
    <w:rsid w:val="000F006F"/>
    <w:rsid w:val="000F0C97"/>
    <w:rsid w:val="000F316A"/>
    <w:rsid w:val="000F3E12"/>
    <w:rsid w:val="000F5B51"/>
    <w:rsid w:val="000F6A09"/>
    <w:rsid w:val="000F6AC9"/>
    <w:rsid w:val="000F6D98"/>
    <w:rsid w:val="000F71F0"/>
    <w:rsid w:val="000F72AD"/>
    <w:rsid w:val="0010055D"/>
    <w:rsid w:val="00100D7F"/>
    <w:rsid w:val="00101FED"/>
    <w:rsid w:val="00102BA9"/>
    <w:rsid w:val="00103033"/>
    <w:rsid w:val="00104850"/>
    <w:rsid w:val="001048AE"/>
    <w:rsid w:val="00106A62"/>
    <w:rsid w:val="001100BA"/>
    <w:rsid w:val="00110E2C"/>
    <w:rsid w:val="001112C8"/>
    <w:rsid w:val="00111558"/>
    <w:rsid w:val="0011231B"/>
    <w:rsid w:val="00112712"/>
    <w:rsid w:val="001127F1"/>
    <w:rsid w:val="00112BEC"/>
    <w:rsid w:val="001132BD"/>
    <w:rsid w:val="00114B23"/>
    <w:rsid w:val="00114ED5"/>
    <w:rsid w:val="00115497"/>
    <w:rsid w:val="00116A45"/>
    <w:rsid w:val="001173F1"/>
    <w:rsid w:val="0011746E"/>
    <w:rsid w:val="001209DF"/>
    <w:rsid w:val="00121E0A"/>
    <w:rsid w:val="00121E55"/>
    <w:rsid w:val="00121FEF"/>
    <w:rsid w:val="00123836"/>
    <w:rsid w:val="00123C85"/>
    <w:rsid w:val="00124245"/>
    <w:rsid w:val="0012597A"/>
    <w:rsid w:val="001259C9"/>
    <w:rsid w:val="00126E18"/>
    <w:rsid w:val="00127572"/>
    <w:rsid w:val="001279D2"/>
    <w:rsid w:val="001309E7"/>
    <w:rsid w:val="00131037"/>
    <w:rsid w:val="00131048"/>
    <w:rsid w:val="00131A48"/>
    <w:rsid w:val="00131ABC"/>
    <w:rsid w:val="00131CDB"/>
    <w:rsid w:val="001332C8"/>
    <w:rsid w:val="0013365F"/>
    <w:rsid w:val="00133BEE"/>
    <w:rsid w:val="00134B6A"/>
    <w:rsid w:val="00134FC1"/>
    <w:rsid w:val="0013547D"/>
    <w:rsid w:val="001359EE"/>
    <w:rsid w:val="00135BC7"/>
    <w:rsid w:val="00136A0C"/>
    <w:rsid w:val="00141198"/>
    <w:rsid w:val="00142767"/>
    <w:rsid w:val="001429BC"/>
    <w:rsid w:val="001432E6"/>
    <w:rsid w:val="00144C0B"/>
    <w:rsid w:val="00145A56"/>
    <w:rsid w:val="0015031E"/>
    <w:rsid w:val="00150B8A"/>
    <w:rsid w:val="00151398"/>
    <w:rsid w:val="00151A30"/>
    <w:rsid w:val="001529A8"/>
    <w:rsid w:val="00154BBC"/>
    <w:rsid w:val="00154DC3"/>
    <w:rsid w:val="00155B81"/>
    <w:rsid w:val="00155D42"/>
    <w:rsid w:val="001579AC"/>
    <w:rsid w:val="00157EAD"/>
    <w:rsid w:val="001605AD"/>
    <w:rsid w:val="001608BE"/>
    <w:rsid w:val="00161CD5"/>
    <w:rsid w:val="001620F5"/>
    <w:rsid w:val="00162E56"/>
    <w:rsid w:val="00163010"/>
    <w:rsid w:val="001638F4"/>
    <w:rsid w:val="00163D07"/>
    <w:rsid w:val="00164223"/>
    <w:rsid w:val="00170CE9"/>
    <w:rsid w:val="001718A8"/>
    <w:rsid w:val="00171D97"/>
    <w:rsid w:val="00171DEC"/>
    <w:rsid w:val="00172A27"/>
    <w:rsid w:val="00173343"/>
    <w:rsid w:val="001755D9"/>
    <w:rsid w:val="00175A32"/>
    <w:rsid w:val="0017617E"/>
    <w:rsid w:val="001775FA"/>
    <w:rsid w:val="001801EE"/>
    <w:rsid w:val="00181EAF"/>
    <w:rsid w:val="00182A29"/>
    <w:rsid w:val="00182E46"/>
    <w:rsid w:val="00185800"/>
    <w:rsid w:val="001859D2"/>
    <w:rsid w:val="00185EBD"/>
    <w:rsid w:val="001861F1"/>
    <w:rsid w:val="0018693C"/>
    <w:rsid w:val="00187C7A"/>
    <w:rsid w:val="0019074D"/>
    <w:rsid w:val="00191E4C"/>
    <w:rsid w:val="00191EE7"/>
    <w:rsid w:val="00192DFA"/>
    <w:rsid w:val="00192E61"/>
    <w:rsid w:val="0019487D"/>
    <w:rsid w:val="001952F7"/>
    <w:rsid w:val="001A01C1"/>
    <w:rsid w:val="001A12E5"/>
    <w:rsid w:val="001A18E1"/>
    <w:rsid w:val="001A2022"/>
    <w:rsid w:val="001A3A62"/>
    <w:rsid w:val="001A40B4"/>
    <w:rsid w:val="001A59D8"/>
    <w:rsid w:val="001A693F"/>
    <w:rsid w:val="001A7481"/>
    <w:rsid w:val="001A79F1"/>
    <w:rsid w:val="001B0822"/>
    <w:rsid w:val="001B13DB"/>
    <w:rsid w:val="001B1648"/>
    <w:rsid w:val="001B206B"/>
    <w:rsid w:val="001B3FE8"/>
    <w:rsid w:val="001B4F98"/>
    <w:rsid w:val="001B5EA7"/>
    <w:rsid w:val="001B5EB3"/>
    <w:rsid w:val="001B5F65"/>
    <w:rsid w:val="001B62BD"/>
    <w:rsid w:val="001C03FB"/>
    <w:rsid w:val="001C163E"/>
    <w:rsid w:val="001C17ED"/>
    <w:rsid w:val="001C1EE3"/>
    <w:rsid w:val="001C1FD1"/>
    <w:rsid w:val="001C2AB7"/>
    <w:rsid w:val="001C3175"/>
    <w:rsid w:val="001C31F8"/>
    <w:rsid w:val="001C39CB"/>
    <w:rsid w:val="001C3AA1"/>
    <w:rsid w:val="001C403B"/>
    <w:rsid w:val="001C4F6A"/>
    <w:rsid w:val="001C5ADD"/>
    <w:rsid w:val="001C6090"/>
    <w:rsid w:val="001C6837"/>
    <w:rsid w:val="001C71FF"/>
    <w:rsid w:val="001C7520"/>
    <w:rsid w:val="001D0432"/>
    <w:rsid w:val="001D0B03"/>
    <w:rsid w:val="001D0F71"/>
    <w:rsid w:val="001D10DD"/>
    <w:rsid w:val="001D1F84"/>
    <w:rsid w:val="001D2845"/>
    <w:rsid w:val="001D2FD2"/>
    <w:rsid w:val="001D4636"/>
    <w:rsid w:val="001D47C2"/>
    <w:rsid w:val="001D51B6"/>
    <w:rsid w:val="001D5C71"/>
    <w:rsid w:val="001D5D46"/>
    <w:rsid w:val="001D5D47"/>
    <w:rsid w:val="001D624E"/>
    <w:rsid w:val="001D68D9"/>
    <w:rsid w:val="001D69A0"/>
    <w:rsid w:val="001D7731"/>
    <w:rsid w:val="001D7DF8"/>
    <w:rsid w:val="001E01C6"/>
    <w:rsid w:val="001E1F16"/>
    <w:rsid w:val="001E2AD9"/>
    <w:rsid w:val="001E30D1"/>
    <w:rsid w:val="001E359D"/>
    <w:rsid w:val="001E3694"/>
    <w:rsid w:val="001E3E1F"/>
    <w:rsid w:val="001E445D"/>
    <w:rsid w:val="001E4E1C"/>
    <w:rsid w:val="001E5E0F"/>
    <w:rsid w:val="001E602F"/>
    <w:rsid w:val="001E658A"/>
    <w:rsid w:val="001E68E7"/>
    <w:rsid w:val="001E6EA0"/>
    <w:rsid w:val="001E714C"/>
    <w:rsid w:val="001E768C"/>
    <w:rsid w:val="001E7752"/>
    <w:rsid w:val="001E77B6"/>
    <w:rsid w:val="001F0D39"/>
    <w:rsid w:val="001F221D"/>
    <w:rsid w:val="001F424B"/>
    <w:rsid w:val="001F5052"/>
    <w:rsid w:val="001F5D9B"/>
    <w:rsid w:val="001F655B"/>
    <w:rsid w:val="001F6F6C"/>
    <w:rsid w:val="001F7196"/>
    <w:rsid w:val="001F751F"/>
    <w:rsid w:val="001F76AE"/>
    <w:rsid w:val="00200535"/>
    <w:rsid w:val="002013A0"/>
    <w:rsid w:val="002017CC"/>
    <w:rsid w:val="002017F1"/>
    <w:rsid w:val="00201E2A"/>
    <w:rsid w:val="00202424"/>
    <w:rsid w:val="00202814"/>
    <w:rsid w:val="00202BCB"/>
    <w:rsid w:val="00203F28"/>
    <w:rsid w:val="002049B4"/>
    <w:rsid w:val="00204F0D"/>
    <w:rsid w:val="00205307"/>
    <w:rsid w:val="00206125"/>
    <w:rsid w:val="00206ED9"/>
    <w:rsid w:val="00207165"/>
    <w:rsid w:val="00207B93"/>
    <w:rsid w:val="0021009A"/>
    <w:rsid w:val="00210900"/>
    <w:rsid w:val="00210998"/>
    <w:rsid w:val="002133DA"/>
    <w:rsid w:val="00214139"/>
    <w:rsid w:val="00214242"/>
    <w:rsid w:val="002152E0"/>
    <w:rsid w:val="002156B3"/>
    <w:rsid w:val="00215926"/>
    <w:rsid w:val="002167ED"/>
    <w:rsid w:val="00216DAF"/>
    <w:rsid w:val="00220011"/>
    <w:rsid w:val="002207DC"/>
    <w:rsid w:val="00221079"/>
    <w:rsid w:val="002211EC"/>
    <w:rsid w:val="002215B2"/>
    <w:rsid w:val="0022174E"/>
    <w:rsid w:val="00222F0A"/>
    <w:rsid w:val="0022308E"/>
    <w:rsid w:val="002241B0"/>
    <w:rsid w:val="00224DD9"/>
    <w:rsid w:val="0022545F"/>
    <w:rsid w:val="00225953"/>
    <w:rsid w:val="002260D9"/>
    <w:rsid w:val="00226AB8"/>
    <w:rsid w:val="00226E6B"/>
    <w:rsid w:val="00226F47"/>
    <w:rsid w:val="002303C4"/>
    <w:rsid w:val="00231716"/>
    <w:rsid w:val="00231C80"/>
    <w:rsid w:val="002327D2"/>
    <w:rsid w:val="00232F81"/>
    <w:rsid w:val="0023306B"/>
    <w:rsid w:val="0023340B"/>
    <w:rsid w:val="002337ED"/>
    <w:rsid w:val="00234767"/>
    <w:rsid w:val="002349F6"/>
    <w:rsid w:val="00234DB5"/>
    <w:rsid w:val="00236454"/>
    <w:rsid w:val="00236809"/>
    <w:rsid w:val="002368E5"/>
    <w:rsid w:val="00236C9C"/>
    <w:rsid w:val="00236D54"/>
    <w:rsid w:val="00237810"/>
    <w:rsid w:val="00237E41"/>
    <w:rsid w:val="00237E88"/>
    <w:rsid w:val="00243240"/>
    <w:rsid w:val="00243252"/>
    <w:rsid w:val="00243539"/>
    <w:rsid w:val="002436B2"/>
    <w:rsid w:val="0024456D"/>
    <w:rsid w:val="0024547A"/>
    <w:rsid w:val="00245C7C"/>
    <w:rsid w:val="00247355"/>
    <w:rsid w:val="00247537"/>
    <w:rsid w:val="00250246"/>
    <w:rsid w:val="00250862"/>
    <w:rsid w:val="0025125A"/>
    <w:rsid w:val="002524CF"/>
    <w:rsid w:val="00252A86"/>
    <w:rsid w:val="00252BFC"/>
    <w:rsid w:val="00253882"/>
    <w:rsid w:val="00254498"/>
    <w:rsid w:val="002549A4"/>
    <w:rsid w:val="002556A3"/>
    <w:rsid w:val="002562BB"/>
    <w:rsid w:val="00257A30"/>
    <w:rsid w:val="00257BCD"/>
    <w:rsid w:val="00260275"/>
    <w:rsid w:val="002603DA"/>
    <w:rsid w:val="002609FD"/>
    <w:rsid w:val="00260E1D"/>
    <w:rsid w:val="00260F94"/>
    <w:rsid w:val="0026236F"/>
    <w:rsid w:val="00263634"/>
    <w:rsid w:val="00263DE0"/>
    <w:rsid w:val="00263E2A"/>
    <w:rsid w:val="0026560B"/>
    <w:rsid w:val="0026659F"/>
    <w:rsid w:val="0026782E"/>
    <w:rsid w:val="00270286"/>
    <w:rsid w:val="00270783"/>
    <w:rsid w:val="00270A39"/>
    <w:rsid w:val="00271B61"/>
    <w:rsid w:val="00271E50"/>
    <w:rsid w:val="00272F19"/>
    <w:rsid w:val="002733A3"/>
    <w:rsid w:val="00273CE0"/>
    <w:rsid w:val="00274465"/>
    <w:rsid w:val="0027460D"/>
    <w:rsid w:val="00274FB9"/>
    <w:rsid w:val="0027501C"/>
    <w:rsid w:val="00275BD1"/>
    <w:rsid w:val="00276C46"/>
    <w:rsid w:val="002774CC"/>
    <w:rsid w:val="00277A43"/>
    <w:rsid w:val="00277D93"/>
    <w:rsid w:val="00280E94"/>
    <w:rsid w:val="00283158"/>
    <w:rsid w:val="0028331E"/>
    <w:rsid w:val="00283C38"/>
    <w:rsid w:val="00284BC6"/>
    <w:rsid w:val="002860DB"/>
    <w:rsid w:val="00286292"/>
    <w:rsid w:val="00287154"/>
    <w:rsid w:val="002875E8"/>
    <w:rsid w:val="00287A96"/>
    <w:rsid w:val="00287CF7"/>
    <w:rsid w:val="00290372"/>
    <w:rsid w:val="00293514"/>
    <w:rsid w:val="0029387F"/>
    <w:rsid w:val="00293925"/>
    <w:rsid w:val="00294DAD"/>
    <w:rsid w:val="00295579"/>
    <w:rsid w:val="00297093"/>
    <w:rsid w:val="00297F9F"/>
    <w:rsid w:val="002A0783"/>
    <w:rsid w:val="002A1EE7"/>
    <w:rsid w:val="002A295C"/>
    <w:rsid w:val="002A36B0"/>
    <w:rsid w:val="002A3B8D"/>
    <w:rsid w:val="002A3E43"/>
    <w:rsid w:val="002A40D9"/>
    <w:rsid w:val="002A6694"/>
    <w:rsid w:val="002A6CDE"/>
    <w:rsid w:val="002B01AB"/>
    <w:rsid w:val="002B0B3F"/>
    <w:rsid w:val="002B0BDE"/>
    <w:rsid w:val="002B0FC5"/>
    <w:rsid w:val="002B1E4A"/>
    <w:rsid w:val="002B2024"/>
    <w:rsid w:val="002B23A8"/>
    <w:rsid w:val="002B2BC0"/>
    <w:rsid w:val="002B322A"/>
    <w:rsid w:val="002B3961"/>
    <w:rsid w:val="002B3E63"/>
    <w:rsid w:val="002B4989"/>
    <w:rsid w:val="002B5B77"/>
    <w:rsid w:val="002B60C1"/>
    <w:rsid w:val="002B7040"/>
    <w:rsid w:val="002B717C"/>
    <w:rsid w:val="002B745F"/>
    <w:rsid w:val="002C10FD"/>
    <w:rsid w:val="002C1688"/>
    <w:rsid w:val="002C206A"/>
    <w:rsid w:val="002C4A34"/>
    <w:rsid w:val="002C4B4A"/>
    <w:rsid w:val="002C52D6"/>
    <w:rsid w:val="002C5FA8"/>
    <w:rsid w:val="002C71EA"/>
    <w:rsid w:val="002C7763"/>
    <w:rsid w:val="002C79EF"/>
    <w:rsid w:val="002D0C3A"/>
    <w:rsid w:val="002D0E77"/>
    <w:rsid w:val="002D1ECF"/>
    <w:rsid w:val="002D3176"/>
    <w:rsid w:val="002D5E5E"/>
    <w:rsid w:val="002D61E4"/>
    <w:rsid w:val="002D661A"/>
    <w:rsid w:val="002D7956"/>
    <w:rsid w:val="002E0163"/>
    <w:rsid w:val="002E0D18"/>
    <w:rsid w:val="002E13A1"/>
    <w:rsid w:val="002E2C5F"/>
    <w:rsid w:val="002E2EC0"/>
    <w:rsid w:val="002E3085"/>
    <w:rsid w:val="002E31DB"/>
    <w:rsid w:val="002E4B81"/>
    <w:rsid w:val="002E6C09"/>
    <w:rsid w:val="002E73E4"/>
    <w:rsid w:val="002F2DA0"/>
    <w:rsid w:val="002F2F79"/>
    <w:rsid w:val="002F3B4E"/>
    <w:rsid w:val="002F3E1B"/>
    <w:rsid w:val="002F4400"/>
    <w:rsid w:val="002F463C"/>
    <w:rsid w:val="002F5402"/>
    <w:rsid w:val="002F544E"/>
    <w:rsid w:val="002F5F3B"/>
    <w:rsid w:val="002F6EAD"/>
    <w:rsid w:val="002F6FED"/>
    <w:rsid w:val="002F766F"/>
    <w:rsid w:val="00300131"/>
    <w:rsid w:val="003009FA"/>
    <w:rsid w:val="00301689"/>
    <w:rsid w:val="0030212B"/>
    <w:rsid w:val="0030216A"/>
    <w:rsid w:val="00302291"/>
    <w:rsid w:val="00302586"/>
    <w:rsid w:val="00302A7C"/>
    <w:rsid w:val="00302C87"/>
    <w:rsid w:val="00302DD1"/>
    <w:rsid w:val="003036D8"/>
    <w:rsid w:val="0030387D"/>
    <w:rsid w:val="00304692"/>
    <w:rsid w:val="003053BD"/>
    <w:rsid w:val="00305462"/>
    <w:rsid w:val="00305868"/>
    <w:rsid w:val="00305A2C"/>
    <w:rsid w:val="00306324"/>
    <w:rsid w:val="00306764"/>
    <w:rsid w:val="00306F47"/>
    <w:rsid w:val="00307698"/>
    <w:rsid w:val="00307D6C"/>
    <w:rsid w:val="003101F4"/>
    <w:rsid w:val="003113FB"/>
    <w:rsid w:val="00312140"/>
    <w:rsid w:val="0031246D"/>
    <w:rsid w:val="00312CF2"/>
    <w:rsid w:val="00313FDE"/>
    <w:rsid w:val="00315B8F"/>
    <w:rsid w:val="00316814"/>
    <w:rsid w:val="00317B74"/>
    <w:rsid w:val="00317FA5"/>
    <w:rsid w:val="0032056F"/>
    <w:rsid w:val="00320B08"/>
    <w:rsid w:val="00321308"/>
    <w:rsid w:val="00321A7B"/>
    <w:rsid w:val="00321A81"/>
    <w:rsid w:val="003226CB"/>
    <w:rsid w:val="0032308F"/>
    <w:rsid w:val="00323B35"/>
    <w:rsid w:val="00324ADB"/>
    <w:rsid w:val="003252FD"/>
    <w:rsid w:val="00326068"/>
    <w:rsid w:val="00326518"/>
    <w:rsid w:val="003271C9"/>
    <w:rsid w:val="00327C77"/>
    <w:rsid w:val="00330B0B"/>
    <w:rsid w:val="00332442"/>
    <w:rsid w:val="003330CF"/>
    <w:rsid w:val="00333410"/>
    <w:rsid w:val="00333AE9"/>
    <w:rsid w:val="00334C33"/>
    <w:rsid w:val="00334F49"/>
    <w:rsid w:val="0033503F"/>
    <w:rsid w:val="003351B1"/>
    <w:rsid w:val="00335263"/>
    <w:rsid w:val="00335EC4"/>
    <w:rsid w:val="003365AA"/>
    <w:rsid w:val="00336940"/>
    <w:rsid w:val="003376BB"/>
    <w:rsid w:val="0034069F"/>
    <w:rsid w:val="00341434"/>
    <w:rsid w:val="00341488"/>
    <w:rsid w:val="003415AA"/>
    <w:rsid w:val="0034252B"/>
    <w:rsid w:val="00342A97"/>
    <w:rsid w:val="00344CC6"/>
    <w:rsid w:val="00344E93"/>
    <w:rsid w:val="00345145"/>
    <w:rsid w:val="003456C8"/>
    <w:rsid w:val="00345806"/>
    <w:rsid w:val="00345BC4"/>
    <w:rsid w:val="00345CF8"/>
    <w:rsid w:val="003460D6"/>
    <w:rsid w:val="00346C05"/>
    <w:rsid w:val="00346CAD"/>
    <w:rsid w:val="00351125"/>
    <w:rsid w:val="00351380"/>
    <w:rsid w:val="00351664"/>
    <w:rsid w:val="003526B3"/>
    <w:rsid w:val="00353662"/>
    <w:rsid w:val="003536CF"/>
    <w:rsid w:val="003536EE"/>
    <w:rsid w:val="00354D29"/>
    <w:rsid w:val="003561EC"/>
    <w:rsid w:val="003563DF"/>
    <w:rsid w:val="00356927"/>
    <w:rsid w:val="00356FDA"/>
    <w:rsid w:val="00357215"/>
    <w:rsid w:val="00357E3D"/>
    <w:rsid w:val="003602AE"/>
    <w:rsid w:val="003605DA"/>
    <w:rsid w:val="003605ED"/>
    <w:rsid w:val="0036125C"/>
    <w:rsid w:val="00361A45"/>
    <w:rsid w:val="003625C8"/>
    <w:rsid w:val="00362DD7"/>
    <w:rsid w:val="00363063"/>
    <w:rsid w:val="003648F7"/>
    <w:rsid w:val="0036552E"/>
    <w:rsid w:val="0036624C"/>
    <w:rsid w:val="00366B27"/>
    <w:rsid w:val="00366DA8"/>
    <w:rsid w:val="00367887"/>
    <w:rsid w:val="003706D2"/>
    <w:rsid w:val="00370949"/>
    <w:rsid w:val="0037100A"/>
    <w:rsid w:val="003710A3"/>
    <w:rsid w:val="00371693"/>
    <w:rsid w:val="00373971"/>
    <w:rsid w:val="003750BB"/>
    <w:rsid w:val="0037575C"/>
    <w:rsid w:val="0037787E"/>
    <w:rsid w:val="0038042D"/>
    <w:rsid w:val="00380BD8"/>
    <w:rsid w:val="00381204"/>
    <w:rsid w:val="00383C6F"/>
    <w:rsid w:val="00384030"/>
    <w:rsid w:val="003851A0"/>
    <w:rsid w:val="0038541F"/>
    <w:rsid w:val="00385A84"/>
    <w:rsid w:val="00386247"/>
    <w:rsid w:val="003863A6"/>
    <w:rsid w:val="00386A26"/>
    <w:rsid w:val="003876DD"/>
    <w:rsid w:val="003901FB"/>
    <w:rsid w:val="00391C04"/>
    <w:rsid w:val="0039243A"/>
    <w:rsid w:val="0039246C"/>
    <w:rsid w:val="00392BCB"/>
    <w:rsid w:val="00393446"/>
    <w:rsid w:val="003951EB"/>
    <w:rsid w:val="00395B4C"/>
    <w:rsid w:val="00395F9D"/>
    <w:rsid w:val="003961A4"/>
    <w:rsid w:val="0039799F"/>
    <w:rsid w:val="003979C8"/>
    <w:rsid w:val="003A1A8F"/>
    <w:rsid w:val="003A1DB7"/>
    <w:rsid w:val="003A258F"/>
    <w:rsid w:val="003A3290"/>
    <w:rsid w:val="003A3360"/>
    <w:rsid w:val="003A3E2B"/>
    <w:rsid w:val="003A3E38"/>
    <w:rsid w:val="003A59A2"/>
    <w:rsid w:val="003A6F61"/>
    <w:rsid w:val="003A7E02"/>
    <w:rsid w:val="003B2148"/>
    <w:rsid w:val="003B36A7"/>
    <w:rsid w:val="003B40A9"/>
    <w:rsid w:val="003B5478"/>
    <w:rsid w:val="003B6597"/>
    <w:rsid w:val="003C088B"/>
    <w:rsid w:val="003C0DBD"/>
    <w:rsid w:val="003C0FEA"/>
    <w:rsid w:val="003C1993"/>
    <w:rsid w:val="003C1ABB"/>
    <w:rsid w:val="003C1D37"/>
    <w:rsid w:val="003C1F0A"/>
    <w:rsid w:val="003C21D1"/>
    <w:rsid w:val="003C22A1"/>
    <w:rsid w:val="003C282F"/>
    <w:rsid w:val="003C2F70"/>
    <w:rsid w:val="003C344A"/>
    <w:rsid w:val="003C4AB5"/>
    <w:rsid w:val="003C4F20"/>
    <w:rsid w:val="003C59A5"/>
    <w:rsid w:val="003C5B0E"/>
    <w:rsid w:val="003C6147"/>
    <w:rsid w:val="003C7210"/>
    <w:rsid w:val="003C7DBF"/>
    <w:rsid w:val="003D081F"/>
    <w:rsid w:val="003D2400"/>
    <w:rsid w:val="003D30EB"/>
    <w:rsid w:val="003D41DC"/>
    <w:rsid w:val="003D4344"/>
    <w:rsid w:val="003D4E85"/>
    <w:rsid w:val="003D52F0"/>
    <w:rsid w:val="003D5BCA"/>
    <w:rsid w:val="003D5D79"/>
    <w:rsid w:val="003D6366"/>
    <w:rsid w:val="003D6D3D"/>
    <w:rsid w:val="003E00BB"/>
    <w:rsid w:val="003E01B4"/>
    <w:rsid w:val="003E3101"/>
    <w:rsid w:val="003E3A1F"/>
    <w:rsid w:val="003E3B11"/>
    <w:rsid w:val="003E4140"/>
    <w:rsid w:val="003E4ED3"/>
    <w:rsid w:val="003E5267"/>
    <w:rsid w:val="003E5FB0"/>
    <w:rsid w:val="003E6B54"/>
    <w:rsid w:val="003E77FF"/>
    <w:rsid w:val="003E797C"/>
    <w:rsid w:val="003E7FDB"/>
    <w:rsid w:val="003E7FDD"/>
    <w:rsid w:val="003F11EE"/>
    <w:rsid w:val="003F34A4"/>
    <w:rsid w:val="003F41EF"/>
    <w:rsid w:val="003F45DF"/>
    <w:rsid w:val="003F51EB"/>
    <w:rsid w:val="003F660C"/>
    <w:rsid w:val="003F6BE5"/>
    <w:rsid w:val="00400149"/>
    <w:rsid w:val="0040144E"/>
    <w:rsid w:val="004017C1"/>
    <w:rsid w:val="00402407"/>
    <w:rsid w:val="00402CE7"/>
    <w:rsid w:val="00402DB8"/>
    <w:rsid w:val="00402E0B"/>
    <w:rsid w:val="00402F57"/>
    <w:rsid w:val="004035D1"/>
    <w:rsid w:val="00403BB3"/>
    <w:rsid w:val="004049B9"/>
    <w:rsid w:val="00404D33"/>
    <w:rsid w:val="004065A4"/>
    <w:rsid w:val="00406FEC"/>
    <w:rsid w:val="0040786D"/>
    <w:rsid w:val="00410464"/>
    <w:rsid w:val="00410CB2"/>
    <w:rsid w:val="004112C2"/>
    <w:rsid w:val="00411AFF"/>
    <w:rsid w:val="00412A10"/>
    <w:rsid w:val="00412AD1"/>
    <w:rsid w:val="00412E12"/>
    <w:rsid w:val="00413562"/>
    <w:rsid w:val="00415562"/>
    <w:rsid w:val="0041612C"/>
    <w:rsid w:val="004163B4"/>
    <w:rsid w:val="004165D8"/>
    <w:rsid w:val="00416804"/>
    <w:rsid w:val="00416E2F"/>
    <w:rsid w:val="00416E96"/>
    <w:rsid w:val="0041732E"/>
    <w:rsid w:val="00417A79"/>
    <w:rsid w:val="00417BEA"/>
    <w:rsid w:val="00420220"/>
    <w:rsid w:val="00421861"/>
    <w:rsid w:val="00423C9B"/>
    <w:rsid w:val="00424740"/>
    <w:rsid w:val="004253A8"/>
    <w:rsid w:val="00425D24"/>
    <w:rsid w:val="004268D3"/>
    <w:rsid w:val="00427132"/>
    <w:rsid w:val="00427921"/>
    <w:rsid w:val="00430859"/>
    <w:rsid w:val="00430A04"/>
    <w:rsid w:val="00430D52"/>
    <w:rsid w:val="00432488"/>
    <w:rsid w:val="004326F9"/>
    <w:rsid w:val="00432B19"/>
    <w:rsid w:val="00432D72"/>
    <w:rsid w:val="004332EB"/>
    <w:rsid w:val="004338F3"/>
    <w:rsid w:val="004340E1"/>
    <w:rsid w:val="004347A7"/>
    <w:rsid w:val="0043562B"/>
    <w:rsid w:val="00435FA4"/>
    <w:rsid w:val="004364C4"/>
    <w:rsid w:val="00436B88"/>
    <w:rsid w:val="00437D09"/>
    <w:rsid w:val="0044042D"/>
    <w:rsid w:val="00441261"/>
    <w:rsid w:val="00441882"/>
    <w:rsid w:val="00441BD8"/>
    <w:rsid w:val="00444296"/>
    <w:rsid w:val="0044475F"/>
    <w:rsid w:val="00444912"/>
    <w:rsid w:val="004449F9"/>
    <w:rsid w:val="00444AFC"/>
    <w:rsid w:val="00445027"/>
    <w:rsid w:val="0044543B"/>
    <w:rsid w:val="00446E97"/>
    <w:rsid w:val="00446F27"/>
    <w:rsid w:val="004476A8"/>
    <w:rsid w:val="004476CA"/>
    <w:rsid w:val="00450542"/>
    <w:rsid w:val="00451072"/>
    <w:rsid w:val="0045122F"/>
    <w:rsid w:val="00451682"/>
    <w:rsid w:val="00453EC1"/>
    <w:rsid w:val="00453F68"/>
    <w:rsid w:val="00454609"/>
    <w:rsid w:val="004556AA"/>
    <w:rsid w:val="00456E1E"/>
    <w:rsid w:val="00460685"/>
    <w:rsid w:val="004608DA"/>
    <w:rsid w:val="00460FE4"/>
    <w:rsid w:val="0046138B"/>
    <w:rsid w:val="004627D8"/>
    <w:rsid w:val="00462D84"/>
    <w:rsid w:val="00463072"/>
    <w:rsid w:val="00464E16"/>
    <w:rsid w:val="00465834"/>
    <w:rsid w:val="00465F20"/>
    <w:rsid w:val="00467403"/>
    <w:rsid w:val="00467A72"/>
    <w:rsid w:val="00467F09"/>
    <w:rsid w:val="00470E80"/>
    <w:rsid w:val="00471EAB"/>
    <w:rsid w:val="0047297C"/>
    <w:rsid w:val="00472B4B"/>
    <w:rsid w:val="004732CB"/>
    <w:rsid w:val="0047355E"/>
    <w:rsid w:val="00473A24"/>
    <w:rsid w:val="00473C41"/>
    <w:rsid w:val="00473E9B"/>
    <w:rsid w:val="00473F39"/>
    <w:rsid w:val="0047506D"/>
    <w:rsid w:val="00475DC9"/>
    <w:rsid w:val="00475FE5"/>
    <w:rsid w:val="0047685D"/>
    <w:rsid w:val="00476F53"/>
    <w:rsid w:val="00477CFE"/>
    <w:rsid w:val="00477EB3"/>
    <w:rsid w:val="00477FD8"/>
    <w:rsid w:val="00482FD8"/>
    <w:rsid w:val="00484114"/>
    <w:rsid w:val="004866F6"/>
    <w:rsid w:val="00486C76"/>
    <w:rsid w:val="004876B1"/>
    <w:rsid w:val="004902C8"/>
    <w:rsid w:val="00490D69"/>
    <w:rsid w:val="00491BDA"/>
    <w:rsid w:val="0049447D"/>
    <w:rsid w:val="004946B0"/>
    <w:rsid w:val="00494B70"/>
    <w:rsid w:val="004955BB"/>
    <w:rsid w:val="004961AD"/>
    <w:rsid w:val="00496274"/>
    <w:rsid w:val="004978C2"/>
    <w:rsid w:val="00497D41"/>
    <w:rsid w:val="004A0988"/>
    <w:rsid w:val="004A1073"/>
    <w:rsid w:val="004A144B"/>
    <w:rsid w:val="004A172B"/>
    <w:rsid w:val="004A1E23"/>
    <w:rsid w:val="004A2FC6"/>
    <w:rsid w:val="004A336D"/>
    <w:rsid w:val="004A365A"/>
    <w:rsid w:val="004A367E"/>
    <w:rsid w:val="004A5002"/>
    <w:rsid w:val="004A67DA"/>
    <w:rsid w:val="004A6E8A"/>
    <w:rsid w:val="004A758F"/>
    <w:rsid w:val="004B021D"/>
    <w:rsid w:val="004B1120"/>
    <w:rsid w:val="004B13A0"/>
    <w:rsid w:val="004B18BA"/>
    <w:rsid w:val="004B2A37"/>
    <w:rsid w:val="004B42E5"/>
    <w:rsid w:val="004C113D"/>
    <w:rsid w:val="004C1BDB"/>
    <w:rsid w:val="004C24A2"/>
    <w:rsid w:val="004C3D1C"/>
    <w:rsid w:val="004C44A2"/>
    <w:rsid w:val="004C4811"/>
    <w:rsid w:val="004C6B1F"/>
    <w:rsid w:val="004C6B9C"/>
    <w:rsid w:val="004C6C9F"/>
    <w:rsid w:val="004C6DA2"/>
    <w:rsid w:val="004C779D"/>
    <w:rsid w:val="004C7D7F"/>
    <w:rsid w:val="004D0144"/>
    <w:rsid w:val="004D126C"/>
    <w:rsid w:val="004D185F"/>
    <w:rsid w:val="004D2B88"/>
    <w:rsid w:val="004D336C"/>
    <w:rsid w:val="004D39F8"/>
    <w:rsid w:val="004D53FF"/>
    <w:rsid w:val="004D6D16"/>
    <w:rsid w:val="004D7207"/>
    <w:rsid w:val="004D737D"/>
    <w:rsid w:val="004D75BA"/>
    <w:rsid w:val="004E01DE"/>
    <w:rsid w:val="004E0CD5"/>
    <w:rsid w:val="004E1159"/>
    <w:rsid w:val="004E1A5F"/>
    <w:rsid w:val="004E1D4F"/>
    <w:rsid w:val="004E24B8"/>
    <w:rsid w:val="004E26FA"/>
    <w:rsid w:val="004E5206"/>
    <w:rsid w:val="004E5AE5"/>
    <w:rsid w:val="004E6889"/>
    <w:rsid w:val="004E6CE6"/>
    <w:rsid w:val="004E79A0"/>
    <w:rsid w:val="004E7BA2"/>
    <w:rsid w:val="004F03BF"/>
    <w:rsid w:val="004F1A73"/>
    <w:rsid w:val="004F33FE"/>
    <w:rsid w:val="004F4366"/>
    <w:rsid w:val="004F48AC"/>
    <w:rsid w:val="004F4C92"/>
    <w:rsid w:val="004F6334"/>
    <w:rsid w:val="004F76E8"/>
    <w:rsid w:val="00501097"/>
    <w:rsid w:val="005015FF"/>
    <w:rsid w:val="00501D46"/>
    <w:rsid w:val="00501E83"/>
    <w:rsid w:val="005024F1"/>
    <w:rsid w:val="00502BDF"/>
    <w:rsid w:val="00503462"/>
    <w:rsid w:val="00503CED"/>
    <w:rsid w:val="00503FC7"/>
    <w:rsid w:val="00504C12"/>
    <w:rsid w:val="0050558C"/>
    <w:rsid w:val="00505CFF"/>
    <w:rsid w:val="00506993"/>
    <w:rsid w:val="00507500"/>
    <w:rsid w:val="00507AFD"/>
    <w:rsid w:val="00511459"/>
    <w:rsid w:val="00512B63"/>
    <w:rsid w:val="00512BA8"/>
    <w:rsid w:val="005131B7"/>
    <w:rsid w:val="005143B5"/>
    <w:rsid w:val="00514FC3"/>
    <w:rsid w:val="005150E8"/>
    <w:rsid w:val="00515DF0"/>
    <w:rsid w:val="005163CB"/>
    <w:rsid w:val="005202CE"/>
    <w:rsid w:val="005209C3"/>
    <w:rsid w:val="00520F2C"/>
    <w:rsid w:val="005221E8"/>
    <w:rsid w:val="0052311D"/>
    <w:rsid w:val="005246C6"/>
    <w:rsid w:val="00524CFE"/>
    <w:rsid w:val="0053005A"/>
    <w:rsid w:val="00530128"/>
    <w:rsid w:val="005305E5"/>
    <w:rsid w:val="0053249B"/>
    <w:rsid w:val="0053289E"/>
    <w:rsid w:val="005330D3"/>
    <w:rsid w:val="0053398C"/>
    <w:rsid w:val="00533AF4"/>
    <w:rsid w:val="00533D38"/>
    <w:rsid w:val="00534152"/>
    <w:rsid w:val="00534CD2"/>
    <w:rsid w:val="0053523A"/>
    <w:rsid w:val="005352B8"/>
    <w:rsid w:val="0053578F"/>
    <w:rsid w:val="005357E3"/>
    <w:rsid w:val="00535A9D"/>
    <w:rsid w:val="00536BD7"/>
    <w:rsid w:val="00537694"/>
    <w:rsid w:val="00537788"/>
    <w:rsid w:val="00537920"/>
    <w:rsid w:val="00541193"/>
    <w:rsid w:val="005411B7"/>
    <w:rsid w:val="005411C4"/>
    <w:rsid w:val="00541303"/>
    <w:rsid w:val="005432C6"/>
    <w:rsid w:val="00543A51"/>
    <w:rsid w:val="005448A0"/>
    <w:rsid w:val="00544B27"/>
    <w:rsid w:val="0054559A"/>
    <w:rsid w:val="00546AEC"/>
    <w:rsid w:val="00547939"/>
    <w:rsid w:val="00547F2B"/>
    <w:rsid w:val="00550B85"/>
    <w:rsid w:val="00550D6A"/>
    <w:rsid w:val="005515B0"/>
    <w:rsid w:val="00551D77"/>
    <w:rsid w:val="00551E1E"/>
    <w:rsid w:val="00551FBA"/>
    <w:rsid w:val="00554AD2"/>
    <w:rsid w:val="00555396"/>
    <w:rsid w:val="00555439"/>
    <w:rsid w:val="005569E2"/>
    <w:rsid w:val="0055763E"/>
    <w:rsid w:val="0055789E"/>
    <w:rsid w:val="005609A9"/>
    <w:rsid w:val="00562061"/>
    <w:rsid w:val="00562336"/>
    <w:rsid w:val="00563C5D"/>
    <w:rsid w:val="00563E99"/>
    <w:rsid w:val="005644FE"/>
    <w:rsid w:val="00565D11"/>
    <w:rsid w:val="00566495"/>
    <w:rsid w:val="0056679F"/>
    <w:rsid w:val="005676C2"/>
    <w:rsid w:val="00571EBE"/>
    <w:rsid w:val="005739B8"/>
    <w:rsid w:val="00575140"/>
    <w:rsid w:val="00575648"/>
    <w:rsid w:val="00575738"/>
    <w:rsid w:val="00580806"/>
    <w:rsid w:val="00581041"/>
    <w:rsid w:val="0058170D"/>
    <w:rsid w:val="00583379"/>
    <w:rsid w:val="00583D58"/>
    <w:rsid w:val="00584283"/>
    <w:rsid w:val="0058437B"/>
    <w:rsid w:val="00585860"/>
    <w:rsid w:val="00585DE3"/>
    <w:rsid w:val="005862C1"/>
    <w:rsid w:val="0058651F"/>
    <w:rsid w:val="005866A0"/>
    <w:rsid w:val="005869F4"/>
    <w:rsid w:val="00586AC7"/>
    <w:rsid w:val="00586D57"/>
    <w:rsid w:val="0058726E"/>
    <w:rsid w:val="00587AD8"/>
    <w:rsid w:val="0059116A"/>
    <w:rsid w:val="00591379"/>
    <w:rsid w:val="00591491"/>
    <w:rsid w:val="005934DA"/>
    <w:rsid w:val="00593549"/>
    <w:rsid w:val="00594348"/>
    <w:rsid w:val="0059471A"/>
    <w:rsid w:val="00594D55"/>
    <w:rsid w:val="00595002"/>
    <w:rsid w:val="00596438"/>
    <w:rsid w:val="00597B94"/>
    <w:rsid w:val="00597FE4"/>
    <w:rsid w:val="005A1B85"/>
    <w:rsid w:val="005A2593"/>
    <w:rsid w:val="005A27A8"/>
    <w:rsid w:val="005A2F99"/>
    <w:rsid w:val="005A2FE3"/>
    <w:rsid w:val="005A5616"/>
    <w:rsid w:val="005A5B90"/>
    <w:rsid w:val="005A6D49"/>
    <w:rsid w:val="005A7160"/>
    <w:rsid w:val="005A78B5"/>
    <w:rsid w:val="005A7B81"/>
    <w:rsid w:val="005A7C6A"/>
    <w:rsid w:val="005B137A"/>
    <w:rsid w:val="005B19FC"/>
    <w:rsid w:val="005B2514"/>
    <w:rsid w:val="005B2A0C"/>
    <w:rsid w:val="005B3F76"/>
    <w:rsid w:val="005B48DA"/>
    <w:rsid w:val="005B4EA9"/>
    <w:rsid w:val="005B537B"/>
    <w:rsid w:val="005B5B1F"/>
    <w:rsid w:val="005B70C6"/>
    <w:rsid w:val="005B7731"/>
    <w:rsid w:val="005B78C5"/>
    <w:rsid w:val="005B7DF3"/>
    <w:rsid w:val="005C064E"/>
    <w:rsid w:val="005C0F62"/>
    <w:rsid w:val="005C34CD"/>
    <w:rsid w:val="005C4499"/>
    <w:rsid w:val="005C4AAF"/>
    <w:rsid w:val="005C4BAB"/>
    <w:rsid w:val="005C5171"/>
    <w:rsid w:val="005C6036"/>
    <w:rsid w:val="005C653A"/>
    <w:rsid w:val="005C6D87"/>
    <w:rsid w:val="005D0CA8"/>
    <w:rsid w:val="005D1A26"/>
    <w:rsid w:val="005D2706"/>
    <w:rsid w:val="005D2F87"/>
    <w:rsid w:val="005D3E37"/>
    <w:rsid w:val="005D63E1"/>
    <w:rsid w:val="005D7CC5"/>
    <w:rsid w:val="005D7E72"/>
    <w:rsid w:val="005E045F"/>
    <w:rsid w:val="005E1798"/>
    <w:rsid w:val="005E216F"/>
    <w:rsid w:val="005E28D9"/>
    <w:rsid w:val="005E45C9"/>
    <w:rsid w:val="005E4967"/>
    <w:rsid w:val="005E54A5"/>
    <w:rsid w:val="005E6028"/>
    <w:rsid w:val="005E6079"/>
    <w:rsid w:val="005E6409"/>
    <w:rsid w:val="005E7525"/>
    <w:rsid w:val="005E7C05"/>
    <w:rsid w:val="005E7D56"/>
    <w:rsid w:val="005F047D"/>
    <w:rsid w:val="005F1997"/>
    <w:rsid w:val="005F247B"/>
    <w:rsid w:val="005F2A02"/>
    <w:rsid w:val="005F2EFB"/>
    <w:rsid w:val="005F32A5"/>
    <w:rsid w:val="005F3371"/>
    <w:rsid w:val="005F3CE5"/>
    <w:rsid w:val="005F4CD3"/>
    <w:rsid w:val="005F53D7"/>
    <w:rsid w:val="005F567C"/>
    <w:rsid w:val="005F5C81"/>
    <w:rsid w:val="005F6040"/>
    <w:rsid w:val="005F7A5B"/>
    <w:rsid w:val="00600998"/>
    <w:rsid w:val="00601AFB"/>
    <w:rsid w:val="00601DCA"/>
    <w:rsid w:val="00601F77"/>
    <w:rsid w:val="00602175"/>
    <w:rsid w:val="0060693F"/>
    <w:rsid w:val="00606C33"/>
    <w:rsid w:val="00607269"/>
    <w:rsid w:val="00607285"/>
    <w:rsid w:val="00610F00"/>
    <w:rsid w:val="00611580"/>
    <w:rsid w:val="00611D61"/>
    <w:rsid w:val="00611E19"/>
    <w:rsid w:val="00612220"/>
    <w:rsid w:val="00612752"/>
    <w:rsid w:val="00612BA0"/>
    <w:rsid w:val="00613F78"/>
    <w:rsid w:val="006156B7"/>
    <w:rsid w:val="00616639"/>
    <w:rsid w:val="0061672A"/>
    <w:rsid w:val="00616920"/>
    <w:rsid w:val="00620480"/>
    <w:rsid w:val="006213B1"/>
    <w:rsid w:val="006218D4"/>
    <w:rsid w:val="00621CA4"/>
    <w:rsid w:val="0062300B"/>
    <w:rsid w:val="00623368"/>
    <w:rsid w:val="00624400"/>
    <w:rsid w:val="00624823"/>
    <w:rsid w:val="00625FC0"/>
    <w:rsid w:val="0062609A"/>
    <w:rsid w:val="0062622D"/>
    <w:rsid w:val="006274D9"/>
    <w:rsid w:val="00630C83"/>
    <w:rsid w:val="00631900"/>
    <w:rsid w:val="00632B29"/>
    <w:rsid w:val="0063305C"/>
    <w:rsid w:val="0063316E"/>
    <w:rsid w:val="006332BA"/>
    <w:rsid w:val="0063466B"/>
    <w:rsid w:val="0063584D"/>
    <w:rsid w:val="00635DD3"/>
    <w:rsid w:val="00636DE8"/>
    <w:rsid w:val="00637525"/>
    <w:rsid w:val="00637D40"/>
    <w:rsid w:val="00641434"/>
    <w:rsid w:val="0064170D"/>
    <w:rsid w:val="00644D48"/>
    <w:rsid w:val="00645028"/>
    <w:rsid w:val="006465CD"/>
    <w:rsid w:val="00646F4B"/>
    <w:rsid w:val="0065007B"/>
    <w:rsid w:val="006526AC"/>
    <w:rsid w:val="00652CFE"/>
    <w:rsid w:val="00653CDF"/>
    <w:rsid w:val="00654943"/>
    <w:rsid w:val="00654BC9"/>
    <w:rsid w:val="00655736"/>
    <w:rsid w:val="00655A69"/>
    <w:rsid w:val="00655FDA"/>
    <w:rsid w:val="00656A7A"/>
    <w:rsid w:val="00656FFB"/>
    <w:rsid w:val="0065752E"/>
    <w:rsid w:val="00657876"/>
    <w:rsid w:val="00657990"/>
    <w:rsid w:val="00660B8D"/>
    <w:rsid w:val="0066119B"/>
    <w:rsid w:val="00661F18"/>
    <w:rsid w:val="006621C3"/>
    <w:rsid w:val="00662343"/>
    <w:rsid w:val="0066285C"/>
    <w:rsid w:val="00662871"/>
    <w:rsid w:val="00663B1D"/>
    <w:rsid w:val="00664D79"/>
    <w:rsid w:val="00665FF1"/>
    <w:rsid w:val="0066642C"/>
    <w:rsid w:val="00667490"/>
    <w:rsid w:val="00667773"/>
    <w:rsid w:val="00667934"/>
    <w:rsid w:val="00667AC1"/>
    <w:rsid w:val="00671C5A"/>
    <w:rsid w:val="00672BE1"/>
    <w:rsid w:val="006736A5"/>
    <w:rsid w:val="0067374A"/>
    <w:rsid w:val="00673ACC"/>
    <w:rsid w:val="00675FEF"/>
    <w:rsid w:val="0067675B"/>
    <w:rsid w:val="0067677C"/>
    <w:rsid w:val="0068037B"/>
    <w:rsid w:val="0068058F"/>
    <w:rsid w:val="00682D18"/>
    <w:rsid w:val="00682F87"/>
    <w:rsid w:val="00682FA9"/>
    <w:rsid w:val="00683118"/>
    <w:rsid w:val="00683614"/>
    <w:rsid w:val="00686B35"/>
    <w:rsid w:val="00686D90"/>
    <w:rsid w:val="00686F0B"/>
    <w:rsid w:val="006907AA"/>
    <w:rsid w:val="00690F55"/>
    <w:rsid w:val="00691617"/>
    <w:rsid w:val="00692021"/>
    <w:rsid w:val="00692093"/>
    <w:rsid w:val="006920AA"/>
    <w:rsid w:val="00692218"/>
    <w:rsid w:val="00692E41"/>
    <w:rsid w:val="006936DF"/>
    <w:rsid w:val="0069393B"/>
    <w:rsid w:val="006939A3"/>
    <w:rsid w:val="006940F9"/>
    <w:rsid w:val="00694735"/>
    <w:rsid w:val="006952F1"/>
    <w:rsid w:val="006959D3"/>
    <w:rsid w:val="00697F31"/>
    <w:rsid w:val="006A0763"/>
    <w:rsid w:val="006A09DE"/>
    <w:rsid w:val="006A1456"/>
    <w:rsid w:val="006A3F7A"/>
    <w:rsid w:val="006A458A"/>
    <w:rsid w:val="006A5860"/>
    <w:rsid w:val="006A5A08"/>
    <w:rsid w:val="006B0D3C"/>
    <w:rsid w:val="006B103B"/>
    <w:rsid w:val="006B1693"/>
    <w:rsid w:val="006B1889"/>
    <w:rsid w:val="006B2111"/>
    <w:rsid w:val="006B2C2F"/>
    <w:rsid w:val="006B392D"/>
    <w:rsid w:val="006B3A4B"/>
    <w:rsid w:val="006B5B1B"/>
    <w:rsid w:val="006B5EE8"/>
    <w:rsid w:val="006B61E5"/>
    <w:rsid w:val="006B6BD2"/>
    <w:rsid w:val="006B6F86"/>
    <w:rsid w:val="006B707C"/>
    <w:rsid w:val="006B7CD6"/>
    <w:rsid w:val="006C00E7"/>
    <w:rsid w:val="006C0E6C"/>
    <w:rsid w:val="006C148F"/>
    <w:rsid w:val="006C14EA"/>
    <w:rsid w:val="006C30EC"/>
    <w:rsid w:val="006C3133"/>
    <w:rsid w:val="006C4EA6"/>
    <w:rsid w:val="006C5799"/>
    <w:rsid w:val="006C67D6"/>
    <w:rsid w:val="006C68B3"/>
    <w:rsid w:val="006C7415"/>
    <w:rsid w:val="006C7BEF"/>
    <w:rsid w:val="006C7CC0"/>
    <w:rsid w:val="006C7F4C"/>
    <w:rsid w:val="006D0664"/>
    <w:rsid w:val="006D14FF"/>
    <w:rsid w:val="006D150A"/>
    <w:rsid w:val="006D1802"/>
    <w:rsid w:val="006D1BF3"/>
    <w:rsid w:val="006D31C1"/>
    <w:rsid w:val="006D3FA6"/>
    <w:rsid w:val="006D5028"/>
    <w:rsid w:val="006D55E0"/>
    <w:rsid w:val="006D55F0"/>
    <w:rsid w:val="006D5AB0"/>
    <w:rsid w:val="006D62CD"/>
    <w:rsid w:val="006D72C2"/>
    <w:rsid w:val="006D7FAA"/>
    <w:rsid w:val="006E0087"/>
    <w:rsid w:val="006E0BAB"/>
    <w:rsid w:val="006E0F14"/>
    <w:rsid w:val="006E12BB"/>
    <w:rsid w:val="006E1493"/>
    <w:rsid w:val="006E17AB"/>
    <w:rsid w:val="006E23ED"/>
    <w:rsid w:val="006E2AF9"/>
    <w:rsid w:val="006E4A00"/>
    <w:rsid w:val="006E5248"/>
    <w:rsid w:val="006E5466"/>
    <w:rsid w:val="006E5637"/>
    <w:rsid w:val="006E6745"/>
    <w:rsid w:val="006E679D"/>
    <w:rsid w:val="006E6A7A"/>
    <w:rsid w:val="006E6E9C"/>
    <w:rsid w:val="006E73BC"/>
    <w:rsid w:val="006E78C0"/>
    <w:rsid w:val="006F0D1E"/>
    <w:rsid w:val="006F0E73"/>
    <w:rsid w:val="006F1463"/>
    <w:rsid w:val="006F1C80"/>
    <w:rsid w:val="006F2084"/>
    <w:rsid w:val="006F2427"/>
    <w:rsid w:val="006F3193"/>
    <w:rsid w:val="006F360F"/>
    <w:rsid w:val="006F38CD"/>
    <w:rsid w:val="006F40E3"/>
    <w:rsid w:val="006F44C8"/>
    <w:rsid w:val="006F4628"/>
    <w:rsid w:val="006F6543"/>
    <w:rsid w:val="006F6952"/>
    <w:rsid w:val="006F72D4"/>
    <w:rsid w:val="006F7B0E"/>
    <w:rsid w:val="0070001F"/>
    <w:rsid w:val="00700A2C"/>
    <w:rsid w:val="0070135A"/>
    <w:rsid w:val="00701771"/>
    <w:rsid w:val="007018D5"/>
    <w:rsid w:val="0070276A"/>
    <w:rsid w:val="00702D85"/>
    <w:rsid w:val="00703EFA"/>
    <w:rsid w:val="007069D5"/>
    <w:rsid w:val="00706F79"/>
    <w:rsid w:val="0070700D"/>
    <w:rsid w:val="00707595"/>
    <w:rsid w:val="00710A1D"/>
    <w:rsid w:val="00710A63"/>
    <w:rsid w:val="00712374"/>
    <w:rsid w:val="00712634"/>
    <w:rsid w:val="00712EE0"/>
    <w:rsid w:val="007136DE"/>
    <w:rsid w:val="00713E2B"/>
    <w:rsid w:val="007158A6"/>
    <w:rsid w:val="007158CD"/>
    <w:rsid w:val="0071593F"/>
    <w:rsid w:val="007159BE"/>
    <w:rsid w:val="007160A1"/>
    <w:rsid w:val="0071732B"/>
    <w:rsid w:val="0072076C"/>
    <w:rsid w:val="00720A2E"/>
    <w:rsid w:val="00720DC2"/>
    <w:rsid w:val="00720ECE"/>
    <w:rsid w:val="00721A96"/>
    <w:rsid w:val="00721E5C"/>
    <w:rsid w:val="00721ED7"/>
    <w:rsid w:val="00723354"/>
    <w:rsid w:val="0072388D"/>
    <w:rsid w:val="007254E0"/>
    <w:rsid w:val="00727851"/>
    <w:rsid w:val="007309FF"/>
    <w:rsid w:val="00730DB8"/>
    <w:rsid w:val="0073127D"/>
    <w:rsid w:val="00731A37"/>
    <w:rsid w:val="00732283"/>
    <w:rsid w:val="007329D8"/>
    <w:rsid w:val="007343D3"/>
    <w:rsid w:val="007345F9"/>
    <w:rsid w:val="00734E92"/>
    <w:rsid w:val="0073533E"/>
    <w:rsid w:val="0073557F"/>
    <w:rsid w:val="007361FC"/>
    <w:rsid w:val="0073623C"/>
    <w:rsid w:val="007401A0"/>
    <w:rsid w:val="00740B1C"/>
    <w:rsid w:val="00740F0B"/>
    <w:rsid w:val="007410CE"/>
    <w:rsid w:val="00741440"/>
    <w:rsid w:val="007417F5"/>
    <w:rsid w:val="00741845"/>
    <w:rsid w:val="00741908"/>
    <w:rsid w:val="00741D25"/>
    <w:rsid w:val="00741D82"/>
    <w:rsid w:val="00741DE8"/>
    <w:rsid w:val="0074209F"/>
    <w:rsid w:val="00743159"/>
    <w:rsid w:val="00744519"/>
    <w:rsid w:val="00745BC1"/>
    <w:rsid w:val="00745F77"/>
    <w:rsid w:val="00746FA9"/>
    <w:rsid w:val="007470AA"/>
    <w:rsid w:val="00747CA6"/>
    <w:rsid w:val="007503C5"/>
    <w:rsid w:val="00750665"/>
    <w:rsid w:val="007514F4"/>
    <w:rsid w:val="00751E62"/>
    <w:rsid w:val="00752946"/>
    <w:rsid w:val="00752E8C"/>
    <w:rsid w:val="00753370"/>
    <w:rsid w:val="0075421D"/>
    <w:rsid w:val="00754888"/>
    <w:rsid w:val="00754D9F"/>
    <w:rsid w:val="007560FD"/>
    <w:rsid w:val="00756502"/>
    <w:rsid w:val="00756835"/>
    <w:rsid w:val="0075756A"/>
    <w:rsid w:val="00761C8A"/>
    <w:rsid w:val="007627D0"/>
    <w:rsid w:val="00762EAE"/>
    <w:rsid w:val="007644F1"/>
    <w:rsid w:val="00764C30"/>
    <w:rsid w:val="00764E6B"/>
    <w:rsid w:val="00765A73"/>
    <w:rsid w:val="00765B69"/>
    <w:rsid w:val="00766459"/>
    <w:rsid w:val="007667CE"/>
    <w:rsid w:val="00766C98"/>
    <w:rsid w:val="00766EAD"/>
    <w:rsid w:val="007701DC"/>
    <w:rsid w:val="00770325"/>
    <w:rsid w:val="007708E3"/>
    <w:rsid w:val="00770A02"/>
    <w:rsid w:val="00770B10"/>
    <w:rsid w:val="00771C21"/>
    <w:rsid w:val="00771CBC"/>
    <w:rsid w:val="007726EE"/>
    <w:rsid w:val="00773DAC"/>
    <w:rsid w:val="007740BC"/>
    <w:rsid w:val="00774288"/>
    <w:rsid w:val="007746DB"/>
    <w:rsid w:val="007755E9"/>
    <w:rsid w:val="007756D3"/>
    <w:rsid w:val="00776347"/>
    <w:rsid w:val="007763B7"/>
    <w:rsid w:val="00776990"/>
    <w:rsid w:val="00776C13"/>
    <w:rsid w:val="00776E23"/>
    <w:rsid w:val="00777B74"/>
    <w:rsid w:val="0078052C"/>
    <w:rsid w:val="0078058F"/>
    <w:rsid w:val="007825DF"/>
    <w:rsid w:val="00784546"/>
    <w:rsid w:val="007854DF"/>
    <w:rsid w:val="00786721"/>
    <w:rsid w:val="0078699F"/>
    <w:rsid w:val="00786C9B"/>
    <w:rsid w:val="007875C8"/>
    <w:rsid w:val="007875D1"/>
    <w:rsid w:val="00787A52"/>
    <w:rsid w:val="007916A1"/>
    <w:rsid w:val="00791AA5"/>
    <w:rsid w:val="00791E04"/>
    <w:rsid w:val="007921E2"/>
    <w:rsid w:val="00792FFC"/>
    <w:rsid w:val="00793DCC"/>
    <w:rsid w:val="00794325"/>
    <w:rsid w:val="0079453E"/>
    <w:rsid w:val="0079490B"/>
    <w:rsid w:val="00795006"/>
    <w:rsid w:val="00795153"/>
    <w:rsid w:val="00797C64"/>
    <w:rsid w:val="007A0549"/>
    <w:rsid w:val="007A08A0"/>
    <w:rsid w:val="007A0EA3"/>
    <w:rsid w:val="007A2654"/>
    <w:rsid w:val="007A4286"/>
    <w:rsid w:val="007A6045"/>
    <w:rsid w:val="007A61B7"/>
    <w:rsid w:val="007A786C"/>
    <w:rsid w:val="007A7EA2"/>
    <w:rsid w:val="007B2406"/>
    <w:rsid w:val="007B3807"/>
    <w:rsid w:val="007B3A98"/>
    <w:rsid w:val="007B41F6"/>
    <w:rsid w:val="007B4639"/>
    <w:rsid w:val="007B5427"/>
    <w:rsid w:val="007B542A"/>
    <w:rsid w:val="007B559D"/>
    <w:rsid w:val="007B6F7A"/>
    <w:rsid w:val="007B76A3"/>
    <w:rsid w:val="007B7BC8"/>
    <w:rsid w:val="007C0A20"/>
    <w:rsid w:val="007C2694"/>
    <w:rsid w:val="007C2779"/>
    <w:rsid w:val="007C30AD"/>
    <w:rsid w:val="007C3229"/>
    <w:rsid w:val="007C452C"/>
    <w:rsid w:val="007C47C5"/>
    <w:rsid w:val="007C47CC"/>
    <w:rsid w:val="007C4A24"/>
    <w:rsid w:val="007C4F76"/>
    <w:rsid w:val="007C4F77"/>
    <w:rsid w:val="007C51E2"/>
    <w:rsid w:val="007C6173"/>
    <w:rsid w:val="007C6E4C"/>
    <w:rsid w:val="007D0887"/>
    <w:rsid w:val="007D0AA2"/>
    <w:rsid w:val="007D1087"/>
    <w:rsid w:val="007D203D"/>
    <w:rsid w:val="007D452E"/>
    <w:rsid w:val="007E0DD5"/>
    <w:rsid w:val="007E27FF"/>
    <w:rsid w:val="007E2B3E"/>
    <w:rsid w:val="007E2BCE"/>
    <w:rsid w:val="007E33CD"/>
    <w:rsid w:val="007E4242"/>
    <w:rsid w:val="007E4B54"/>
    <w:rsid w:val="007E5E06"/>
    <w:rsid w:val="007E6895"/>
    <w:rsid w:val="007E6990"/>
    <w:rsid w:val="007F0A4B"/>
    <w:rsid w:val="007F16B5"/>
    <w:rsid w:val="007F22CF"/>
    <w:rsid w:val="007F2681"/>
    <w:rsid w:val="007F2727"/>
    <w:rsid w:val="007F2F9B"/>
    <w:rsid w:val="007F320C"/>
    <w:rsid w:val="007F4F01"/>
    <w:rsid w:val="007F5473"/>
    <w:rsid w:val="007F59F9"/>
    <w:rsid w:val="007F6253"/>
    <w:rsid w:val="007F78E9"/>
    <w:rsid w:val="008011CB"/>
    <w:rsid w:val="0080179C"/>
    <w:rsid w:val="00801B23"/>
    <w:rsid w:val="00803116"/>
    <w:rsid w:val="00805EF5"/>
    <w:rsid w:val="00806DB8"/>
    <w:rsid w:val="00807053"/>
    <w:rsid w:val="00807872"/>
    <w:rsid w:val="00807A2D"/>
    <w:rsid w:val="00810614"/>
    <w:rsid w:val="008119F3"/>
    <w:rsid w:val="00812924"/>
    <w:rsid w:val="008130A9"/>
    <w:rsid w:val="00813190"/>
    <w:rsid w:val="00813779"/>
    <w:rsid w:val="00815062"/>
    <w:rsid w:val="00815F3E"/>
    <w:rsid w:val="008161A6"/>
    <w:rsid w:val="00816296"/>
    <w:rsid w:val="00816868"/>
    <w:rsid w:val="008177EC"/>
    <w:rsid w:val="00820A79"/>
    <w:rsid w:val="008213A8"/>
    <w:rsid w:val="00821A99"/>
    <w:rsid w:val="00821B84"/>
    <w:rsid w:val="00822122"/>
    <w:rsid w:val="0082265C"/>
    <w:rsid w:val="00822AE8"/>
    <w:rsid w:val="00823ACC"/>
    <w:rsid w:val="00823C2D"/>
    <w:rsid w:val="008243C1"/>
    <w:rsid w:val="00824CCA"/>
    <w:rsid w:val="00825B01"/>
    <w:rsid w:val="00826413"/>
    <w:rsid w:val="00827477"/>
    <w:rsid w:val="0082772F"/>
    <w:rsid w:val="0082790C"/>
    <w:rsid w:val="00830FBF"/>
    <w:rsid w:val="00831794"/>
    <w:rsid w:val="00831899"/>
    <w:rsid w:val="00833671"/>
    <w:rsid w:val="008338EC"/>
    <w:rsid w:val="008343B3"/>
    <w:rsid w:val="00835EAA"/>
    <w:rsid w:val="0083643F"/>
    <w:rsid w:val="0083660C"/>
    <w:rsid w:val="008379AE"/>
    <w:rsid w:val="00841961"/>
    <w:rsid w:val="008419A3"/>
    <w:rsid w:val="00844668"/>
    <w:rsid w:val="00844AD5"/>
    <w:rsid w:val="00844F13"/>
    <w:rsid w:val="008450E1"/>
    <w:rsid w:val="00845967"/>
    <w:rsid w:val="0084604F"/>
    <w:rsid w:val="0084689A"/>
    <w:rsid w:val="008469E3"/>
    <w:rsid w:val="00846D61"/>
    <w:rsid w:val="00850178"/>
    <w:rsid w:val="0085020A"/>
    <w:rsid w:val="00850395"/>
    <w:rsid w:val="008517C3"/>
    <w:rsid w:val="00851D68"/>
    <w:rsid w:val="0085221A"/>
    <w:rsid w:val="00852313"/>
    <w:rsid w:val="008528F2"/>
    <w:rsid w:val="00852AE5"/>
    <w:rsid w:val="008532A5"/>
    <w:rsid w:val="008554D5"/>
    <w:rsid w:val="008565A5"/>
    <w:rsid w:val="00856EEB"/>
    <w:rsid w:val="00860AFA"/>
    <w:rsid w:val="00861091"/>
    <w:rsid w:val="00861509"/>
    <w:rsid w:val="008619A2"/>
    <w:rsid w:val="00862B08"/>
    <w:rsid w:val="0086377A"/>
    <w:rsid w:val="0086386C"/>
    <w:rsid w:val="008644BE"/>
    <w:rsid w:val="00864D75"/>
    <w:rsid w:val="008653A6"/>
    <w:rsid w:val="00865D98"/>
    <w:rsid w:val="00865DC1"/>
    <w:rsid w:val="00866035"/>
    <w:rsid w:val="0086747A"/>
    <w:rsid w:val="00867AD0"/>
    <w:rsid w:val="00870174"/>
    <w:rsid w:val="008704D2"/>
    <w:rsid w:val="008709FD"/>
    <w:rsid w:val="00872DD5"/>
    <w:rsid w:val="00872DD9"/>
    <w:rsid w:val="008741EC"/>
    <w:rsid w:val="00874D9F"/>
    <w:rsid w:val="00875410"/>
    <w:rsid w:val="008754E1"/>
    <w:rsid w:val="00875F20"/>
    <w:rsid w:val="008760A4"/>
    <w:rsid w:val="00876156"/>
    <w:rsid w:val="0087619B"/>
    <w:rsid w:val="008805F2"/>
    <w:rsid w:val="00880FFF"/>
    <w:rsid w:val="00881C1E"/>
    <w:rsid w:val="008825F4"/>
    <w:rsid w:val="00882649"/>
    <w:rsid w:val="008846ED"/>
    <w:rsid w:val="00884A74"/>
    <w:rsid w:val="00884B0F"/>
    <w:rsid w:val="00884E25"/>
    <w:rsid w:val="00886374"/>
    <w:rsid w:val="00886A4F"/>
    <w:rsid w:val="00886C8B"/>
    <w:rsid w:val="0088719A"/>
    <w:rsid w:val="00887B46"/>
    <w:rsid w:val="00887BD3"/>
    <w:rsid w:val="008900C6"/>
    <w:rsid w:val="00890FEC"/>
    <w:rsid w:val="00891BF1"/>
    <w:rsid w:val="00891FDF"/>
    <w:rsid w:val="00892D9F"/>
    <w:rsid w:val="00893552"/>
    <w:rsid w:val="008942D0"/>
    <w:rsid w:val="0089555F"/>
    <w:rsid w:val="00895B0E"/>
    <w:rsid w:val="00895F66"/>
    <w:rsid w:val="00896734"/>
    <w:rsid w:val="00896D21"/>
    <w:rsid w:val="00897112"/>
    <w:rsid w:val="00897257"/>
    <w:rsid w:val="008A2041"/>
    <w:rsid w:val="008A2A91"/>
    <w:rsid w:val="008A2B7D"/>
    <w:rsid w:val="008A36B3"/>
    <w:rsid w:val="008A374B"/>
    <w:rsid w:val="008A479F"/>
    <w:rsid w:val="008A4D59"/>
    <w:rsid w:val="008A540D"/>
    <w:rsid w:val="008A661E"/>
    <w:rsid w:val="008A6F32"/>
    <w:rsid w:val="008A79A2"/>
    <w:rsid w:val="008B1B6E"/>
    <w:rsid w:val="008B1EEF"/>
    <w:rsid w:val="008B224E"/>
    <w:rsid w:val="008B2B7F"/>
    <w:rsid w:val="008B5866"/>
    <w:rsid w:val="008B6867"/>
    <w:rsid w:val="008C0128"/>
    <w:rsid w:val="008C0A80"/>
    <w:rsid w:val="008C0F10"/>
    <w:rsid w:val="008C25EA"/>
    <w:rsid w:val="008C2615"/>
    <w:rsid w:val="008C51DC"/>
    <w:rsid w:val="008C5365"/>
    <w:rsid w:val="008C57F2"/>
    <w:rsid w:val="008C5C5B"/>
    <w:rsid w:val="008C6B73"/>
    <w:rsid w:val="008C76E8"/>
    <w:rsid w:val="008C7DFA"/>
    <w:rsid w:val="008D018F"/>
    <w:rsid w:val="008D05F9"/>
    <w:rsid w:val="008D09A0"/>
    <w:rsid w:val="008D1746"/>
    <w:rsid w:val="008D30AA"/>
    <w:rsid w:val="008D43D5"/>
    <w:rsid w:val="008D4855"/>
    <w:rsid w:val="008D511D"/>
    <w:rsid w:val="008D5962"/>
    <w:rsid w:val="008D5D36"/>
    <w:rsid w:val="008D65C9"/>
    <w:rsid w:val="008D7041"/>
    <w:rsid w:val="008D77A6"/>
    <w:rsid w:val="008E06BA"/>
    <w:rsid w:val="008E06BF"/>
    <w:rsid w:val="008E1567"/>
    <w:rsid w:val="008E17BF"/>
    <w:rsid w:val="008E1BD7"/>
    <w:rsid w:val="008E20CC"/>
    <w:rsid w:val="008E34E4"/>
    <w:rsid w:val="008E3B2A"/>
    <w:rsid w:val="008E6236"/>
    <w:rsid w:val="008E6E73"/>
    <w:rsid w:val="008E7176"/>
    <w:rsid w:val="008E75E3"/>
    <w:rsid w:val="008F1F66"/>
    <w:rsid w:val="008F2576"/>
    <w:rsid w:val="008F267D"/>
    <w:rsid w:val="008F2B70"/>
    <w:rsid w:val="008F2FBF"/>
    <w:rsid w:val="008F3387"/>
    <w:rsid w:val="008F3B9C"/>
    <w:rsid w:val="008F4444"/>
    <w:rsid w:val="008F6159"/>
    <w:rsid w:val="008F6863"/>
    <w:rsid w:val="008F6CED"/>
    <w:rsid w:val="008F6DF7"/>
    <w:rsid w:val="008F7556"/>
    <w:rsid w:val="00902CC0"/>
    <w:rsid w:val="009033B1"/>
    <w:rsid w:val="00904D63"/>
    <w:rsid w:val="00905021"/>
    <w:rsid w:val="00905356"/>
    <w:rsid w:val="00905C4C"/>
    <w:rsid w:val="00905CCE"/>
    <w:rsid w:val="00906269"/>
    <w:rsid w:val="009102BF"/>
    <w:rsid w:val="009106DA"/>
    <w:rsid w:val="00911052"/>
    <w:rsid w:val="009110A8"/>
    <w:rsid w:val="0091184C"/>
    <w:rsid w:val="009118F9"/>
    <w:rsid w:val="009126E0"/>
    <w:rsid w:val="00914304"/>
    <w:rsid w:val="009176BB"/>
    <w:rsid w:val="00917E91"/>
    <w:rsid w:val="00920BB0"/>
    <w:rsid w:val="00921C8B"/>
    <w:rsid w:val="00922071"/>
    <w:rsid w:val="00923DF0"/>
    <w:rsid w:val="00924153"/>
    <w:rsid w:val="009244B7"/>
    <w:rsid w:val="00924502"/>
    <w:rsid w:val="00924C19"/>
    <w:rsid w:val="00924F18"/>
    <w:rsid w:val="00925930"/>
    <w:rsid w:val="00925D75"/>
    <w:rsid w:val="00931AF3"/>
    <w:rsid w:val="00931B69"/>
    <w:rsid w:val="009324BD"/>
    <w:rsid w:val="00934B75"/>
    <w:rsid w:val="00934FC0"/>
    <w:rsid w:val="0093644B"/>
    <w:rsid w:val="00936F11"/>
    <w:rsid w:val="0093790B"/>
    <w:rsid w:val="00937AC7"/>
    <w:rsid w:val="00937BE6"/>
    <w:rsid w:val="00940251"/>
    <w:rsid w:val="0094067C"/>
    <w:rsid w:val="00940732"/>
    <w:rsid w:val="00940CE8"/>
    <w:rsid w:val="0094109A"/>
    <w:rsid w:val="009423FE"/>
    <w:rsid w:val="00942672"/>
    <w:rsid w:val="009450E7"/>
    <w:rsid w:val="00945808"/>
    <w:rsid w:val="00945B4E"/>
    <w:rsid w:val="00945D95"/>
    <w:rsid w:val="00947F77"/>
    <w:rsid w:val="00950143"/>
    <w:rsid w:val="00951B3D"/>
    <w:rsid w:val="00952385"/>
    <w:rsid w:val="00954603"/>
    <w:rsid w:val="00954C50"/>
    <w:rsid w:val="0095556F"/>
    <w:rsid w:val="00956356"/>
    <w:rsid w:val="00957527"/>
    <w:rsid w:val="00957649"/>
    <w:rsid w:val="00957A5C"/>
    <w:rsid w:val="00957CA9"/>
    <w:rsid w:val="00962627"/>
    <w:rsid w:val="009628E0"/>
    <w:rsid w:val="00962A22"/>
    <w:rsid w:val="00962AA4"/>
    <w:rsid w:val="00963AA2"/>
    <w:rsid w:val="00963BDB"/>
    <w:rsid w:val="00963E5C"/>
    <w:rsid w:val="00964A99"/>
    <w:rsid w:val="009652B9"/>
    <w:rsid w:val="00966E18"/>
    <w:rsid w:val="0097013B"/>
    <w:rsid w:val="009726F9"/>
    <w:rsid w:val="00973EF2"/>
    <w:rsid w:val="00974614"/>
    <w:rsid w:val="0097712D"/>
    <w:rsid w:val="0097718D"/>
    <w:rsid w:val="009774B1"/>
    <w:rsid w:val="00977636"/>
    <w:rsid w:val="00980323"/>
    <w:rsid w:val="0098041D"/>
    <w:rsid w:val="00980549"/>
    <w:rsid w:val="009808C1"/>
    <w:rsid w:val="00980BE0"/>
    <w:rsid w:val="00980FB1"/>
    <w:rsid w:val="00981153"/>
    <w:rsid w:val="00981F8B"/>
    <w:rsid w:val="009827F4"/>
    <w:rsid w:val="009829F9"/>
    <w:rsid w:val="0098304E"/>
    <w:rsid w:val="009840D4"/>
    <w:rsid w:val="00985C65"/>
    <w:rsid w:val="0099087F"/>
    <w:rsid w:val="0099096B"/>
    <w:rsid w:val="00990AF9"/>
    <w:rsid w:val="00990ECB"/>
    <w:rsid w:val="00992312"/>
    <w:rsid w:val="00992459"/>
    <w:rsid w:val="009925C1"/>
    <w:rsid w:val="009928AD"/>
    <w:rsid w:val="00993A0D"/>
    <w:rsid w:val="00993D5C"/>
    <w:rsid w:val="00994988"/>
    <w:rsid w:val="00995561"/>
    <w:rsid w:val="00995A5F"/>
    <w:rsid w:val="009964BE"/>
    <w:rsid w:val="0099685A"/>
    <w:rsid w:val="00996B30"/>
    <w:rsid w:val="00996F2B"/>
    <w:rsid w:val="009970F3"/>
    <w:rsid w:val="009971F5"/>
    <w:rsid w:val="009976D1"/>
    <w:rsid w:val="009A173C"/>
    <w:rsid w:val="009A206A"/>
    <w:rsid w:val="009A2FEE"/>
    <w:rsid w:val="009A3F3E"/>
    <w:rsid w:val="009A41A9"/>
    <w:rsid w:val="009A429A"/>
    <w:rsid w:val="009A4CA0"/>
    <w:rsid w:val="009A5A18"/>
    <w:rsid w:val="009A5B28"/>
    <w:rsid w:val="009A692C"/>
    <w:rsid w:val="009A7EBA"/>
    <w:rsid w:val="009A7FEC"/>
    <w:rsid w:val="009B0006"/>
    <w:rsid w:val="009B0B2F"/>
    <w:rsid w:val="009B0DE2"/>
    <w:rsid w:val="009B2BFE"/>
    <w:rsid w:val="009B5E8E"/>
    <w:rsid w:val="009B5FF7"/>
    <w:rsid w:val="009B62F8"/>
    <w:rsid w:val="009B664D"/>
    <w:rsid w:val="009B74B8"/>
    <w:rsid w:val="009B76A9"/>
    <w:rsid w:val="009C28C0"/>
    <w:rsid w:val="009C295C"/>
    <w:rsid w:val="009C3B36"/>
    <w:rsid w:val="009C5F63"/>
    <w:rsid w:val="009C6C56"/>
    <w:rsid w:val="009C7063"/>
    <w:rsid w:val="009C784B"/>
    <w:rsid w:val="009C7C67"/>
    <w:rsid w:val="009D116F"/>
    <w:rsid w:val="009D4C08"/>
    <w:rsid w:val="009D4D1B"/>
    <w:rsid w:val="009D5A7A"/>
    <w:rsid w:val="009D5E7A"/>
    <w:rsid w:val="009D6BC1"/>
    <w:rsid w:val="009D6C22"/>
    <w:rsid w:val="009D7B63"/>
    <w:rsid w:val="009E057C"/>
    <w:rsid w:val="009E0A2E"/>
    <w:rsid w:val="009E219A"/>
    <w:rsid w:val="009E316F"/>
    <w:rsid w:val="009E4107"/>
    <w:rsid w:val="009E53BB"/>
    <w:rsid w:val="009E7206"/>
    <w:rsid w:val="009F12D6"/>
    <w:rsid w:val="009F1356"/>
    <w:rsid w:val="009F1C55"/>
    <w:rsid w:val="009F4500"/>
    <w:rsid w:val="009F4EAC"/>
    <w:rsid w:val="009F5373"/>
    <w:rsid w:val="009F78A1"/>
    <w:rsid w:val="00A00A8B"/>
    <w:rsid w:val="00A00B54"/>
    <w:rsid w:val="00A014C4"/>
    <w:rsid w:val="00A01AD1"/>
    <w:rsid w:val="00A01F6B"/>
    <w:rsid w:val="00A020E4"/>
    <w:rsid w:val="00A025B1"/>
    <w:rsid w:val="00A03E10"/>
    <w:rsid w:val="00A0431E"/>
    <w:rsid w:val="00A0643D"/>
    <w:rsid w:val="00A06452"/>
    <w:rsid w:val="00A067F3"/>
    <w:rsid w:val="00A06C6A"/>
    <w:rsid w:val="00A07D69"/>
    <w:rsid w:val="00A07EF7"/>
    <w:rsid w:val="00A10CC0"/>
    <w:rsid w:val="00A11C67"/>
    <w:rsid w:val="00A122BA"/>
    <w:rsid w:val="00A1366C"/>
    <w:rsid w:val="00A13786"/>
    <w:rsid w:val="00A14A61"/>
    <w:rsid w:val="00A171D7"/>
    <w:rsid w:val="00A22739"/>
    <w:rsid w:val="00A261BC"/>
    <w:rsid w:val="00A27D04"/>
    <w:rsid w:val="00A27FE8"/>
    <w:rsid w:val="00A30B8D"/>
    <w:rsid w:val="00A30F9C"/>
    <w:rsid w:val="00A31050"/>
    <w:rsid w:val="00A311B8"/>
    <w:rsid w:val="00A32717"/>
    <w:rsid w:val="00A328DE"/>
    <w:rsid w:val="00A328F5"/>
    <w:rsid w:val="00A330C4"/>
    <w:rsid w:val="00A33801"/>
    <w:rsid w:val="00A342BA"/>
    <w:rsid w:val="00A346B1"/>
    <w:rsid w:val="00A34808"/>
    <w:rsid w:val="00A3529F"/>
    <w:rsid w:val="00A35A79"/>
    <w:rsid w:val="00A35E2C"/>
    <w:rsid w:val="00A3768A"/>
    <w:rsid w:val="00A4024C"/>
    <w:rsid w:val="00A4066E"/>
    <w:rsid w:val="00A40B19"/>
    <w:rsid w:val="00A41147"/>
    <w:rsid w:val="00A4196C"/>
    <w:rsid w:val="00A42004"/>
    <w:rsid w:val="00A420CC"/>
    <w:rsid w:val="00A42CD5"/>
    <w:rsid w:val="00A43104"/>
    <w:rsid w:val="00A43845"/>
    <w:rsid w:val="00A44DBD"/>
    <w:rsid w:val="00A45CFE"/>
    <w:rsid w:val="00A46B56"/>
    <w:rsid w:val="00A4764C"/>
    <w:rsid w:val="00A51616"/>
    <w:rsid w:val="00A51C97"/>
    <w:rsid w:val="00A52756"/>
    <w:rsid w:val="00A549B0"/>
    <w:rsid w:val="00A55326"/>
    <w:rsid w:val="00A57A84"/>
    <w:rsid w:val="00A57F7B"/>
    <w:rsid w:val="00A57FD2"/>
    <w:rsid w:val="00A608B2"/>
    <w:rsid w:val="00A608DC"/>
    <w:rsid w:val="00A6100E"/>
    <w:rsid w:val="00A61D77"/>
    <w:rsid w:val="00A62588"/>
    <w:rsid w:val="00A63280"/>
    <w:rsid w:val="00A6372C"/>
    <w:rsid w:val="00A63940"/>
    <w:rsid w:val="00A70146"/>
    <w:rsid w:val="00A71109"/>
    <w:rsid w:val="00A71C42"/>
    <w:rsid w:val="00A72750"/>
    <w:rsid w:val="00A738C8"/>
    <w:rsid w:val="00A73E07"/>
    <w:rsid w:val="00A743F6"/>
    <w:rsid w:val="00A753D8"/>
    <w:rsid w:val="00A75CCF"/>
    <w:rsid w:val="00A7602D"/>
    <w:rsid w:val="00A760A4"/>
    <w:rsid w:val="00A76F6E"/>
    <w:rsid w:val="00A77228"/>
    <w:rsid w:val="00A7742C"/>
    <w:rsid w:val="00A80C32"/>
    <w:rsid w:val="00A819EB"/>
    <w:rsid w:val="00A8200F"/>
    <w:rsid w:val="00A822C5"/>
    <w:rsid w:val="00A83758"/>
    <w:rsid w:val="00A83C94"/>
    <w:rsid w:val="00A84EE7"/>
    <w:rsid w:val="00A851FA"/>
    <w:rsid w:val="00A85227"/>
    <w:rsid w:val="00A85EA2"/>
    <w:rsid w:val="00A9076C"/>
    <w:rsid w:val="00A909C9"/>
    <w:rsid w:val="00A91BA0"/>
    <w:rsid w:val="00A93EA5"/>
    <w:rsid w:val="00A94735"/>
    <w:rsid w:val="00A94A9B"/>
    <w:rsid w:val="00A94B6E"/>
    <w:rsid w:val="00A94E85"/>
    <w:rsid w:val="00A955A2"/>
    <w:rsid w:val="00A9748A"/>
    <w:rsid w:val="00A97B6F"/>
    <w:rsid w:val="00AA05A7"/>
    <w:rsid w:val="00AA0D4E"/>
    <w:rsid w:val="00AA10AB"/>
    <w:rsid w:val="00AA1917"/>
    <w:rsid w:val="00AA19BC"/>
    <w:rsid w:val="00AA220C"/>
    <w:rsid w:val="00AA2DA2"/>
    <w:rsid w:val="00AA32E8"/>
    <w:rsid w:val="00AA459B"/>
    <w:rsid w:val="00AA5DC8"/>
    <w:rsid w:val="00AA61B7"/>
    <w:rsid w:val="00AA6B1B"/>
    <w:rsid w:val="00AA6CB8"/>
    <w:rsid w:val="00AA6EF9"/>
    <w:rsid w:val="00AA7C84"/>
    <w:rsid w:val="00AB0BA4"/>
    <w:rsid w:val="00AB0F68"/>
    <w:rsid w:val="00AB14B3"/>
    <w:rsid w:val="00AB1D29"/>
    <w:rsid w:val="00AB4BC9"/>
    <w:rsid w:val="00AB5BE1"/>
    <w:rsid w:val="00AB68F4"/>
    <w:rsid w:val="00AB7A4A"/>
    <w:rsid w:val="00AB7D58"/>
    <w:rsid w:val="00AC0D0E"/>
    <w:rsid w:val="00AC1043"/>
    <w:rsid w:val="00AC1510"/>
    <w:rsid w:val="00AC1742"/>
    <w:rsid w:val="00AC18C0"/>
    <w:rsid w:val="00AC2929"/>
    <w:rsid w:val="00AC3390"/>
    <w:rsid w:val="00AC7177"/>
    <w:rsid w:val="00AC7BF5"/>
    <w:rsid w:val="00AD112E"/>
    <w:rsid w:val="00AD1536"/>
    <w:rsid w:val="00AD22EB"/>
    <w:rsid w:val="00AD2D06"/>
    <w:rsid w:val="00AD2F68"/>
    <w:rsid w:val="00AD5155"/>
    <w:rsid w:val="00AD5C68"/>
    <w:rsid w:val="00AD6971"/>
    <w:rsid w:val="00AE0065"/>
    <w:rsid w:val="00AE00F0"/>
    <w:rsid w:val="00AE11C5"/>
    <w:rsid w:val="00AE1DDE"/>
    <w:rsid w:val="00AE22BA"/>
    <w:rsid w:val="00AE2E5D"/>
    <w:rsid w:val="00AE45C0"/>
    <w:rsid w:val="00AE5792"/>
    <w:rsid w:val="00AE59BB"/>
    <w:rsid w:val="00AE5F87"/>
    <w:rsid w:val="00AE68DE"/>
    <w:rsid w:val="00AE6D43"/>
    <w:rsid w:val="00AE7BEC"/>
    <w:rsid w:val="00AF0460"/>
    <w:rsid w:val="00AF065C"/>
    <w:rsid w:val="00AF071D"/>
    <w:rsid w:val="00AF0847"/>
    <w:rsid w:val="00AF0CFA"/>
    <w:rsid w:val="00AF20FC"/>
    <w:rsid w:val="00AF23F9"/>
    <w:rsid w:val="00AF2D0C"/>
    <w:rsid w:val="00AF2F20"/>
    <w:rsid w:val="00AF5525"/>
    <w:rsid w:val="00AF5BE7"/>
    <w:rsid w:val="00AF5C9A"/>
    <w:rsid w:val="00AF5E8C"/>
    <w:rsid w:val="00B01493"/>
    <w:rsid w:val="00B017D5"/>
    <w:rsid w:val="00B02F0D"/>
    <w:rsid w:val="00B03F2A"/>
    <w:rsid w:val="00B042DD"/>
    <w:rsid w:val="00B04A95"/>
    <w:rsid w:val="00B0586E"/>
    <w:rsid w:val="00B05B0C"/>
    <w:rsid w:val="00B05DA1"/>
    <w:rsid w:val="00B10190"/>
    <w:rsid w:val="00B10527"/>
    <w:rsid w:val="00B10B7A"/>
    <w:rsid w:val="00B10D42"/>
    <w:rsid w:val="00B13D84"/>
    <w:rsid w:val="00B1487F"/>
    <w:rsid w:val="00B15F2E"/>
    <w:rsid w:val="00B16B5B"/>
    <w:rsid w:val="00B170D0"/>
    <w:rsid w:val="00B17336"/>
    <w:rsid w:val="00B203E8"/>
    <w:rsid w:val="00B22BF1"/>
    <w:rsid w:val="00B235E3"/>
    <w:rsid w:val="00B24B5C"/>
    <w:rsid w:val="00B26B33"/>
    <w:rsid w:val="00B30644"/>
    <w:rsid w:val="00B30AF5"/>
    <w:rsid w:val="00B32363"/>
    <w:rsid w:val="00B32F96"/>
    <w:rsid w:val="00B332DD"/>
    <w:rsid w:val="00B3643F"/>
    <w:rsid w:val="00B36977"/>
    <w:rsid w:val="00B36A9E"/>
    <w:rsid w:val="00B36E40"/>
    <w:rsid w:val="00B3707B"/>
    <w:rsid w:val="00B37100"/>
    <w:rsid w:val="00B40D44"/>
    <w:rsid w:val="00B40D75"/>
    <w:rsid w:val="00B41DF3"/>
    <w:rsid w:val="00B42499"/>
    <w:rsid w:val="00B43808"/>
    <w:rsid w:val="00B449E2"/>
    <w:rsid w:val="00B45051"/>
    <w:rsid w:val="00B45526"/>
    <w:rsid w:val="00B455BD"/>
    <w:rsid w:val="00B4655F"/>
    <w:rsid w:val="00B47409"/>
    <w:rsid w:val="00B504D3"/>
    <w:rsid w:val="00B50B5D"/>
    <w:rsid w:val="00B5175A"/>
    <w:rsid w:val="00B518BA"/>
    <w:rsid w:val="00B53D9C"/>
    <w:rsid w:val="00B57782"/>
    <w:rsid w:val="00B608A3"/>
    <w:rsid w:val="00B609E2"/>
    <w:rsid w:val="00B60B36"/>
    <w:rsid w:val="00B62AC1"/>
    <w:rsid w:val="00B63B5B"/>
    <w:rsid w:val="00B64957"/>
    <w:rsid w:val="00B65D3D"/>
    <w:rsid w:val="00B66F58"/>
    <w:rsid w:val="00B671D9"/>
    <w:rsid w:val="00B730FA"/>
    <w:rsid w:val="00B73273"/>
    <w:rsid w:val="00B737F2"/>
    <w:rsid w:val="00B73A76"/>
    <w:rsid w:val="00B73D8E"/>
    <w:rsid w:val="00B7441D"/>
    <w:rsid w:val="00B74B0E"/>
    <w:rsid w:val="00B758E3"/>
    <w:rsid w:val="00B75C6D"/>
    <w:rsid w:val="00B76754"/>
    <w:rsid w:val="00B77642"/>
    <w:rsid w:val="00B77AE8"/>
    <w:rsid w:val="00B77DB7"/>
    <w:rsid w:val="00B80141"/>
    <w:rsid w:val="00B8081B"/>
    <w:rsid w:val="00B8087D"/>
    <w:rsid w:val="00B8190F"/>
    <w:rsid w:val="00B82702"/>
    <w:rsid w:val="00B82BE5"/>
    <w:rsid w:val="00B8330D"/>
    <w:rsid w:val="00B83774"/>
    <w:rsid w:val="00B843A0"/>
    <w:rsid w:val="00B84C40"/>
    <w:rsid w:val="00B84EB7"/>
    <w:rsid w:val="00B84ED4"/>
    <w:rsid w:val="00B85125"/>
    <w:rsid w:val="00B85CCC"/>
    <w:rsid w:val="00B86027"/>
    <w:rsid w:val="00B87D46"/>
    <w:rsid w:val="00B926C9"/>
    <w:rsid w:val="00B94BB7"/>
    <w:rsid w:val="00B96879"/>
    <w:rsid w:val="00B96DCD"/>
    <w:rsid w:val="00B96F90"/>
    <w:rsid w:val="00B97C18"/>
    <w:rsid w:val="00BA0EFE"/>
    <w:rsid w:val="00BA12B3"/>
    <w:rsid w:val="00BA167F"/>
    <w:rsid w:val="00BA1C62"/>
    <w:rsid w:val="00BA3137"/>
    <w:rsid w:val="00BA381B"/>
    <w:rsid w:val="00BA3A25"/>
    <w:rsid w:val="00BA3C87"/>
    <w:rsid w:val="00BA3D81"/>
    <w:rsid w:val="00BA47FB"/>
    <w:rsid w:val="00BA6147"/>
    <w:rsid w:val="00BA6F6C"/>
    <w:rsid w:val="00BA7369"/>
    <w:rsid w:val="00BA791B"/>
    <w:rsid w:val="00BA7E8C"/>
    <w:rsid w:val="00BB033B"/>
    <w:rsid w:val="00BB0B17"/>
    <w:rsid w:val="00BB15E9"/>
    <w:rsid w:val="00BB2AE2"/>
    <w:rsid w:val="00BB2B1D"/>
    <w:rsid w:val="00BB3DE3"/>
    <w:rsid w:val="00BB4B22"/>
    <w:rsid w:val="00BB572A"/>
    <w:rsid w:val="00BB57F2"/>
    <w:rsid w:val="00BB64A3"/>
    <w:rsid w:val="00BB7DE9"/>
    <w:rsid w:val="00BC0AB3"/>
    <w:rsid w:val="00BC1404"/>
    <w:rsid w:val="00BC1AC5"/>
    <w:rsid w:val="00BC231B"/>
    <w:rsid w:val="00BC2B76"/>
    <w:rsid w:val="00BC4685"/>
    <w:rsid w:val="00BC4B43"/>
    <w:rsid w:val="00BC5487"/>
    <w:rsid w:val="00BC73C7"/>
    <w:rsid w:val="00BC7793"/>
    <w:rsid w:val="00BD0101"/>
    <w:rsid w:val="00BD083A"/>
    <w:rsid w:val="00BD100E"/>
    <w:rsid w:val="00BD1447"/>
    <w:rsid w:val="00BD1EE0"/>
    <w:rsid w:val="00BD296E"/>
    <w:rsid w:val="00BD436A"/>
    <w:rsid w:val="00BD47C7"/>
    <w:rsid w:val="00BD4BA2"/>
    <w:rsid w:val="00BD55B2"/>
    <w:rsid w:val="00BD5B46"/>
    <w:rsid w:val="00BD674B"/>
    <w:rsid w:val="00BD7008"/>
    <w:rsid w:val="00BD770D"/>
    <w:rsid w:val="00BD79C6"/>
    <w:rsid w:val="00BD7DF7"/>
    <w:rsid w:val="00BE0128"/>
    <w:rsid w:val="00BE07AF"/>
    <w:rsid w:val="00BE25D7"/>
    <w:rsid w:val="00BE2ABB"/>
    <w:rsid w:val="00BE3646"/>
    <w:rsid w:val="00BE3DE3"/>
    <w:rsid w:val="00BE431B"/>
    <w:rsid w:val="00BE4F6F"/>
    <w:rsid w:val="00BE53E5"/>
    <w:rsid w:val="00BE62FE"/>
    <w:rsid w:val="00BF0888"/>
    <w:rsid w:val="00BF2EF4"/>
    <w:rsid w:val="00BF377D"/>
    <w:rsid w:val="00BF4D83"/>
    <w:rsid w:val="00BF5C59"/>
    <w:rsid w:val="00BF658E"/>
    <w:rsid w:val="00BF6BD9"/>
    <w:rsid w:val="00BF6F17"/>
    <w:rsid w:val="00BF6FDA"/>
    <w:rsid w:val="00BF7C17"/>
    <w:rsid w:val="00BF7E25"/>
    <w:rsid w:val="00C012CE"/>
    <w:rsid w:val="00C015C0"/>
    <w:rsid w:val="00C01961"/>
    <w:rsid w:val="00C02022"/>
    <w:rsid w:val="00C02360"/>
    <w:rsid w:val="00C05534"/>
    <w:rsid w:val="00C05E85"/>
    <w:rsid w:val="00C061DD"/>
    <w:rsid w:val="00C064A1"/>
    <w:rsid w:val="00C07D28"/>
    <w:rsid w:val="00C07FB3"/>
    <w:rsid w:val="00C10253"/>
    <w:rsid w:val="00C1198C"/>
    <w:rsid w:val="00C12C33"/>
    <w:rsid w:val="00C12F29"/>
    <w:rsid w:val="00C143F3"/>
    <w:rsid w:val="00C149D8"/>
    <w:rsid w:val="00C14C2A"/>
    <w:rsid w:val="00C14E56"/>
    <w:rsid w:val="00C15241"/>
    <w:rsid w:val="00C15CFF"/>
    <w:rsid w:val="00C1735E"/>
    <w:rsid w:val="00C2138F"/>
    <w:rsid w:val="00C213A8"/>
    <w:rsid w:val="00C224FA"/>
    <w:rsid w:val="00C2254E"/>
    <w:rsid w:val="00C24B38"/>
    <w:rsid w:val="00C25098"/>
    <w:rsid w:val="00C252F3"/>
    <w:rsid w:val="00C255E6"/>
    <w:rsid w:val="00C2591B"/>
    <w:rsid w:val="00C2691F"/>
    <w:rsid w:val="00C269E7"/>
    <w:rsid w:val="00C27A05"/>
    <w:rsid w:val="00C30394"/>
    <w:rsid w:val="00C306C8"/>
    <w:rsid w:val="00C30A6A"/>
    <w:rsid w:val="00C3292D"/>
    <w:rsid w:val="00C33699"/>
    <w:rsid w:val="00C33E2F"/>
    <w:rsid w:val="00C34FA5"/>
    <w:rsid w:val="00C36577"/>
    <w:rsid w:val="00C41BD7"/>
    <w:rsid w:val="00C41EE0"/>
    <w:rsid w:val="00C4216D"/>
    <w:rsid w:val="00C4261E"/>
    <w:rsid w:val="00C43937"/>
    <w:rsid w:val="00C43E61"/>
    <w:rsid w:val="00C45D61"/>
    <w:rsid w:val="00C470C5"/>
    <w:rsid w:val="00C50471"/>
    <w:rsid w:val="00C50C4F"/>
    <w:rsid w:val="00C51C93"/>
    <w:rsid w:val="00C52763"/>
    <w:rsid w:val="00C528ED"/>
    <w:rsid w:val="00C52F48"/>
    <w:rsid w:val="00C53343"/>
    <w:rsid w:val="00C534F5"/>
    <w:rsid w:val="00C5457F"/>
    <w:rsid w:val="00C5613A"/>
    <w:rsid w:val="00C57331"/>
    <w:rsid w:val="00C606CE"/>
    <w:rsid w:val="00C616A7"/>
    <w:rsid w:val="00C61849"/>
    <w:rsid w:val="00C618C3"/>
    <w:rsid w:val="00C63490"/>
    <w:rsid w:val="00C635EB"/>
    <w:rsid w:val="00C6381B"/>
    <w:rsid w:val="00C640A4"/>
    <w:rsid w:val="00C6494F"/>
    <w:rsid w:val="00C676A9"/>
    <w:rsid w:val="00C67752"/>
    <w:rsid w:val="00C70A3A"/>
    <w:rsid w:val="00C71878"/>
    <w:rsid w:val="00C72EB9"/>
    <w:rsid w:val="00C73A90"/>
    <w:rsid w:val="00C74BCF"/>
    <w:rsid w:val="00C74CF7"/>
    <w:rsid w:val="00C777E1"/>
    <w:rsid w:val="00C80D15"/>
    <w:rsid w:val="00C821B6"/>
    <w:rsid w:val="00C82D4C"/>
    <w:rsid w:val="00C83806"/>
    <w:rsid w:val="00C839F3"/>
    <w:rsid w:val="00C83E14"/>
    <w:rsid w:val="00C843A4"/>
    <w:rsid w:val="00C8597D"/>
    <w:rsid w:val="00C86A4B"/>
    <w:rsid w:val="00C877CE"/>
    <w:rsid w:val="00C87DA5"/>
    <w:rsid w:val="00C87DAD"/>
    <w:rsid w:val="00C90447"/>
    <w:rsid w:val="00C904DE"/>
    <w:rsid w:val="00C90B45"/>
    <w:rsid w:val="00C910BB"/>
    <w:rsid w:val="00C911C6"/>
    <w:rsid w:val="00C92772"/>
    <w:rsid w:val="00C933FC"/>
    <w:rsid w:val="00C93998"/>
    <w:rsid w:val="00C94216"/>
    <w:rsid w:val="00C943D0"/>
    <w:rsid w:val="00C9490A"/>
    <w:rsid w:val="00C95DE4"/>
    <w:rsid w:val="00C96D27"/>
    <w:rsid w:val="00C979B9"/>
    <w:rsid w:val="00C97BBA"/>
    <w:rsid w:val="00CA0BDA"/>
    <w:rsid w:val="00CA1F7F"/>
    <w:rsid w:val="00CA278A"/>
    <w:rsid w:val="00CA40AF"/>
    <w:rsid w:val="00CA5438"/>
    <w:rsid w:val="00CA54C9"/>
    <w:rsid w:val="00CA62A8"/>
    <w:rsid w:val="00CA66A7"/>
    <w:rsid w:val="00CA6A31"/>
    <w:rsid w:val="00CA70AC"/>
    <w:rsid w:val="00CA72E7"/>
    <w:rsid w:val="00CA75D3"/>
    <w:rsid w:val="00CA78FA"/>
    <w:rsid w:val="00CB0554"/>
    <w:rsid w:val="00CB0C3A"/>
    <w:rsid w:val="00CB2024"/>
    <w:rsid w:val="00CB2A97"/>
    <w:rsid w:val="00CB2CEF"/>
    <w:rsid w:val="00CB48F4"/>
    <w:rsid w:val="00CB4B0D"/>
    <w:rsid w:val="00CB59F8"/>
    <w:rsid w:val="00CB6D4F"/>
    <w:rsid w:val="00CB78EF"/>
    <w:rsid w:val="00CC0CE9"/>
    <w:rsid w:val="00CC0DA8"/>
    <w:rsid w:val="00CC1116"/>
    <w:rsid w:val="00CC27AF"/>
    <w:rsid w:val="00CC2C1F"/>
    <w:rsid w:val="00CC3A70"/>
    <w:rsid w:val="00CC3F48"/>
    <w:rsid w:val="00CC53F3"/>
    <w:rsid w:val="00CC5891"/>
    <w:rsid w:val="00CC5E83"/>
    <w:rsid w:val="00CD100F"/>
    <w:rsid w:val="00CD1B00"/>
    <w:rsid w:val="00CD1EE9"/>
    <w:rsid w:val="00CD57AD"/>
    <w:rsid w:val="00CD5B25"/>
    <w:rsid w:val="00CD5CE9"/>
    <w:rsid w:val="00CD62B4"/>
    <w:rsid w:val="00CD7B78"/>
    <w:rsid w:val="00CD7E68"/>
    <w:rsid w:val="00CE0457"/>
    <w:rsid w:val="00CE2B4D"/>
    <w:rsid w:val="00CE2E1D"/>
    <w:rsid w:val="00CE369C"/>
    <w:rsid w:val="00CE4A6F"/>
    <w:rsid w:val="00CE5096"/>
    <w:rsid w:val="00CE5141"/>
    <w:rsid w:val="00CE5174"/>
    <w:rsid w:val="00CE5A07"/>
    <w:rsid w:val="00CE707D"/>
    <w:rsid w:val="00CE7324"/>
    <w:rsid w:val="00CE7467"/>
    <w:rsid w:val="00CE7568"/>
    <w:rsid w:val="00CE7A7F"/>
    <w:rsid w:val="00CE7C58"/>
    <w:rsid w:val="00CF0410"/>
    <w:rsid w:val="00CF068B"/>
    <w:rsid w:val="00CF07A4"/>
    <w:rsid w:val="00CF1477"/>
    <w:rsid w:val="00CF179F"/>
    <w:rsid w:val="00CF1CB7"/>
    <w:rsid w:val="00CF203C"/>
    <w:rsid w:val="00CF25B4"/>
    <w:rsid w:val="00CF2759"/>
    <w:rsid w:val="00CF4AF3"/>
    <w:rsid w:val="00CF5398"/>
    <w:rsid w:val="00CF551C"/>
    <w:rsid w:val="00CF6E6F"/>
    <w:rsid w:val="00CF7142"/>
    <w:rsid w:val="00CF79F2"/>
    <w:rsid w:val="00D000BD"/>
    <w:rsid w:val="00D0033D"/>
    <w:rsid w:val="00D00C73"/>
    <w:rsid w:val="00D017DA"/>
    <w:rsid w:val="00D01CFF"/>
    <w:rsid w:val="00D03C9D"/>
    <w:rsid w:val="00D04068"/>
    <w:rsid w:val="00D040BC"/>
    <w:rsid w:val="00D04334"/>
    <w:rsid w:val="00D04CC4"/>
    <w:rsid w:val="00D04FCD"/>
    <w:rsid w:val="00D064A5"/>
    <w:rsid w:val="00D06855"/>
    <w:rsid w:val="00D06E12"/>
    <w:rsid w:val="00D073E1"/>
    <w:rsid w:val="00D07D6F"/>
    <w:rsid w:val="00D1047A"/>
    <w:rsid w:val="00D10D65"/>
    <w:rsid w:val="00D11B7A"/>
    <w:rsid w:val="00D12866"/>
    <w:rsid w:val="00D13017"/>
    <w:rsid w:val="00D134CD"/>
    <w:rsid w:val="00D14754"/>
    <w:rsid w:val="00D15DBA"/>
    <w:rsid w:val="00D1651B"/>
    <w:rsid w:val="00D16BFD"/>
    <w:rsid w:val="00D16D9B"/>
    <w:rsid w:val="00D1740B"/>
    <w:rsid w:val="00D20B6E"/>
    <w:rsid w:val="00D20E1B"/>
    <w:rsid w:val="00D21E69"/>
    <w:rsid w:val="00D22037"/>
    <w:rsid w:val="00D2434E"/>
    <w:rsid w:val="00D24366"/>
    <w:rsid w:val="00D253E8"/>
    <w:rsid w:val="00D27531"/>
    <w:rsid w:val="00D277B0"/>
    <w:rsid w:val="00D27A78"/>
    <w:rsid w:val="00D3126C"/>
    <w:rsid w:val="00D32652"/>
    <w:rsid w:val="00D32775"/>
    <w:rsid w:val="00D3294D"/>
    <w:rsid w:val="00D329E9"/>
    <w:rsid w:val="00D33C45"/>
    <w:rsid w:val="00D33DCA"/>
    <w:rsid w:val="00D34BA2"/>
    <w:rsid w:val="00D35686"/>
    <w:rsid w:val="00D35FCB"/>
    <w:rsid w:val="00D36613"/>
    <w:rsid w:val="00D36BFC"/>
    <w:rsid w:val="00D36EEF"/>
    <w:rsid w:val="00D37F35"/>
    <w:rsid w:val="00D4011D"/>
    <w:rsid w:val="00D407A6"/>
    <w:rsid w:val="00D40877"/>
    <w:rsid w:val="00D413B7"/>
    <w:rsid w:val="00D42C5D"/>
    <w:rsid w:val="00D4480F"/>
    <w:rsid w:val="00D44A82"/>
    <w:rsid w:val="00D454B6"/>
    <w:rsid w:val="00D4559D"/>
    <w:rsid w:val="00D45778"/>
    <w:rsid w:val="00D47EB0"/>
    <w:rsid w:val="00D50651"/>
    <w:rsid w:val="00D50891"/>
    <w:rsid w:val="00D50A75"/>
    <w:rsid w:val="00D52186"/>
    <w:rsid w:val="00D52662"/>
    <w:rsid w:val="00D529FA"/>
    <w:rsid w:val="00D53C1F"/>
    <w:rsid w:val="00D5487E"/>
    <w:rsid w:val="00D557C4"/>
    <w:rsid w:val="00D564EA"/>
    <w:rsid w:val="00D57EA0"/>
    <w:rsid w:val="00D57F9F"/>
    <w:rsid w:val="00D603A3"/>
    <w:rsid w:val="00D610B0"/>
    <w:rsid w:val="00D62375"/>
    <w:rsid w:val="00D625F3"/>
    <w:rsid w:val="00D66168"/>
    <w:rsid w:val="00D66328"/>
    <w:rsid w:val="00D67802"/>
    <w:rsid w:val="00D67E5B"/>
    <w:rsid w:val="00D67E6E"/>
    <w:rsid w:val="00D70575"/>
    <w:rsid w:val="00D742D1"/>
    <w:rsid w:val="00D74C31"/>
    <w:rsid w:val="00D751CC"/>
    <w:rsid w:val="00D7568E"/>
    <w:rsid w:val="00D76BB4"/>
    <w:rsid w:val="00D77E20"/>
    <w:rsid w:val="00D80130"/>
    <w:rsid w:val="00D8040B"/>
    <w:rsid w:val="00D81115"/>
    <w:rsid w:val="00D81D0A"/>
    <w:rsid w:val="00D81D3B"/>
    <w:rsid w:val="00D81E1B"/>
    <w:rsid w:val="00D82B8B"/>
    <w:rsid w:val="00D832B7"/>
    <w:rsid w:val="00D834F6"/>
    <w:rsid w:val="00D83D9F"/>
    <w:rsid w:val="00D84D88"/>
    <w:rsid w:val="00D8517F"/>
    <w:rsid w:val="00D858D9"/>
    <w:rsid w:val="00D85ACA"/>
    <w:rsid w:val="00D8688E"/>
    <w:rsid w:val="00D8711D"/>
    <w:rsid w:val="00D91CB1"/>
    <w:rsid w:val="00D920A8"/>
    <w:rsid w:val="00D92FE9"/>
    <w:rsid w:val="00D93348"/>
    <w:rsid w:val="00D93370"/>
    <w:rsid w:val="00D937CA"/>
    <w:rsid w:val="00D93839"/>
    <w:rsid w:val="00D9435D"/>
    <w:rsid w:val="00D949A4"/>
    <w:rsid w:val="00D949B7"/>
    <w:rsid w:val="00D9547B"/>
    <w:rsid w:val="00D961B1"/>
    <w:rsid w:val="00D96B5E"/>
    <w:rsid w:val="00D96C8F"/>
    <w:rsid w:val="00DA255E"/>
    <w:rsid w:val="00DA293E"/>
    <w:rsid w:val="00DA2D34"/>
    <w:rsid w:val="00DA3716"/>
    <w:rsid w:val="00DA42DF"/>
    <w:rsid w:val="00DA50AF"/>
    <w:rsid w:val="00DA5ABF"/>
    <w:rsid w:val="00DA74CB"/>
    <w:rsid w:val="00DB0448"/>
    <w:rsid w:val="00DB05D8"/>
    <w:rsid w:val="00DB1192"/>
    <w:rsid w:val="00DB2E93"/>
    <w:rsid w:val="00DB2F27"/>
    <w:rsid w:val="00DB32A7"/>
    <w:rsid w:val="00DB32C1"/>
    <w:rsid w:val="00DB38B8"/>
    <w:rsid w:val="00DC09F4"/>
    <w:rsid w:val="00DC0E90"/>
    <w:rsid w:val="00DC16D2"/>
    <w:rsid w:val="00DC1D75"/>
    <w:rsid w:val="00DC2D2F"/>
    <w:rsid w:val="00DC344E"/>
    <w:rsid w:val="00DC4341"/>
    <w:rsid w:val="00DC63E7"/>
    <w:rsid w:val="00DC6731"/>
    <w:rsid w:val="00DD0B27"/>
    <w:rsid w:val="00DD1E57"/>
    <w:rsid w:val="00DD2290"/>
    <w:rsid w:val="00DD23AC"/>
    <w:rsid w:val="00DD2D8C"/>
    <w:rsid w:val="00DD2F95"/>
    <w:rsid w:val="00DD36C1"/>
    <w:rsid w:val="00DD3719"/>
    <w:rsid w:val="00DD3DA1"/>
    <w:rsid w:val="00DD445C"/>
    <w:rsid w:val="00DD4C98"/>
    <w:rsid w:val="00DD6BD6"/>
    <w:rsid w:val="00DD6F8C"/>
    <w:rsid w:val="00DD772B"/>
    <w:rsid w:val="00DD7FA4"/>
    <w:rsid w:val="00DE0BF2"/>
    <w:rsid w:val="00DE2A69"/>
    <w:rsid w:val="00DE2B04"/>
    <w:rsid w:val="00DE3B7E"/>
    <w:rsid w:val="00DE44EB"/>
    <w:rsid w:val="00DE4954"/>
    <w:rsid w:val="00DE4A29"/>
    <w:rsid w:val="00DE504D"/>
    <w:rsid w:val="00DE596B"/>
    <w:rsid w:val="00DE69F9"/>
    <w:rsid w:val="00DE6A56"/>
    <w:rsid w:val="00DE79B2"/>
    <w:rsid w:val="00DF0112"/>
    <w:rsid w:val="00DF1730"/>
    <w:rsid w:val="00DF3628"/>
    <w:rsid w:val="00DF3895"/>
    <w:rsid w:val="00DF47DE"/>
    <w:rsid w:val="00DF48B7"/>
    <w:rsid w:val="00DF54AC"/>
    <w:rsid w:val="00DF55C2"/>
    <w:rsid w:val="00DF61E8"/>
    <w:rsid w:val="00DF6841"/>
    <w:rsid w:val="00DF6D3A"/>
    <w:rsid w:val="00DF7E13"/>
    <w:rsid w:val="00E0157B"/>
    <w:rsid w:val="00E01E77"/>
    <w:rsid w:val="00E03258"/>
    <w:rsid w:val="00E033E2"/>
    <w:rsid w:val="00E04158"/>
    <w:rsid w:val="00E04784"/>
    <w:rsid w:val="00E04ABE"/>
    <w:rsid w:val="00E04F91"/>
    <w:rsid w:val="00E05AC2"/>
    <w:rsid w:val="00E05FF8"/>
    <w:rsid w:val="00E06526"/>
    <w:rsid w:val="00E07272"/>
    <w:rsid w:val="00E076F9"/>
    <w:rsid w:val="00E07973"/>
    <w:rsid w:val="00E104B8"/>
    <w:rsid w:val="00E1273B"/>
    <w:rsid w:val="00E132A7"/>
    <w:rsid w:val="00E134B1"/>
    <w:rsid w:val="00E13A1E"/>
    <w:rsid w:val="00E14029"/>
    <w:rsid w:val="00E147B3"/>
    <w:rsid w:val="00E15FBB"/>
    <w:rsid w:val="00E1605E"/>
    <w:rsid w:val="00E17EFF"/>
    <w:rsid w:val="00E204C8"/>
    <w:rsid w:val="00E20B00"/>
    <w:rsid w:val="00E225E9"/>
    <w:rsid w:val="00E23334"/>
    <w:rsid w:val="00E25A01"/>
    <w:rsid w:val="00E26203"/>
    <w:rsid w:val="00E26EC2"/>
    <w:rsid w:val="00E26FBE"/>
    <w:rsid w:val="00E27129"/>
    <w:rsid w:val="00E27E48"/>
    <w:rsid w:val="00E307E5"/>
    <w:rsid w:val="00E31B8A"/>
    <w:rsid w:val="00E31DAC"/>
    <w:rsid w:val="00E324BF"/>
    <w:rsid w:val="00E3380C"/>
    <w:rsid w:val="00E33E40"/>
    <w:rsid w:val="00E34BD7"/>
    <w:rsid w:val="00E34E5C"/>
    <w:rsid w:val="00E35923"/>
    <w:rsid w:val="00E35D53"/>
    <w:rsid w:val="00E35DFE"/>
    <w:rsid w:val="00E366D2"/>
    <w:rsid w:val="00E373F9"/>
    <w:rsid w:val="00E378EC"/>
    <w:rsid w:val="00E37CEF"/>
    <w:rsid w:val="00E37D01"/>
    <w:rsid w:val="00E404C6"/>
    <w:rsid w:val="00E40542"/>
    <w:rsid w:val="00E40911"/>
    <w:rsid w:val="00E422BE"/>
    <w:rsid w:val="00E42D7A"/>
    <w:rsid w:val="00E42E0C"/>
    <w:rsid w:val="00E4325B"/>
    <w:rsid w:val="00E445BB"/>
    <w:rsid w:val="00E458FF"/>
    <w:rsid w:val="00E459D3"/>
    <w:rsid w:val="00E462F0"/>
    <w:rsid w:val="00E468B2"/>
    <w:rsid w:val="00E46B2E"/>
    <w:rsid w:val="00E47152"/>
    <w:rsid w:val="00E47549"/>
    <w:rsid w:val="00E5127B"/>
    <w:rsid w:val="00E513C6"/>
    <w:rsid w:val="00E51579"/>
    <w:rsid w:val="00E56112"/>
    <w:rsid w:val="00E56DAD"/>
    <w:rsid w:val="00E57540"/>
    <w:rsid w:val="00E57F85"/>
    <w:rsid w:val="00E60C65"/>
    <w:rsid w:val="00E63190"/>
    <w:rsid w:val="00E634D3"/>
    <w:rsid w:val="00E64576"/>
    <w:rsid w:val="00E6526B"/>
    <w:rsid w:val="00E65547"/>
    <w:rsid w:val="00E66621"/>
    <w:rsid w:val="00E66A07"/>
    <w:rsid w:val="00E66C84"/>
    <w:rsid w:val="00E66E1B"/>
    <w:rsid w:val="00E6795E"/>
    <w:rsid w:val="00E67A8B"/>
    <w:rsid w:val="00E7081C"/>
    <w:rsid w:val="00E70865"/>
    <w:rsid w:val="00E73089"/>
    <w:rsid w:val="00E73B31"/>
    <w:rsid w:val="00E76228"/>
    <w:rsid w:val="00E7645A"/>
    <w:rsid w:val="00E769A3"/>
    <w:rsid w:val="00E77123"/>
    <w:rsid w:val="00E77760"/>
    <w:rsid w:val="00E8006B"/>
    <w:rsid w:val="00E807CB"/>
    <w:rsid w:val="00E80FB4"/>
    <w:rsid w:val="00E81C15"/>
    <w:rsid w:val="00E82152"/>
    <w:rsid w:val="00E84409"/>
    <w:rsid w:val="00E84CB4"/>
    <w:rsid w:val="00E8592E"/>
    <w:rsid w:val="00E85BB7"/>
    <w:rsid w:val="00E85EE3"/>
    <w:rsid w:val="00E861D1"/>
    <w:rsid w:val="00E86384"/>
    <w:rsid w:val="00E87F6C"/>
    <w:rsid w:val="00E87F71"/>
    <w:rsid w:val="00E90B1F"/>
    <w:rsid w:val="00E90D14"/>
    <w:rsid w:val="00E90F84"/>
    <w:rsid w:val="00E91107"/>
    <w:rsid w:val="00E936C2"/>
    <w:rsid w:val="00E94AD7"/>
    <w:rsid w:val="00E9517A"/>
    <w:rsid w:val="00E952AE"/>
    <w:rsid w:val="00E96BBE"/>
    <w:rsid w:val="00EA008B"/>
    <w:rsid w:val="00EA080C"/>
    <w:rsid w:val="00EA1470"/>
    <w:rsid w:val="00EA14DB"/>
    <w:rsid w:val="00EA36E5"/>
    <w:rsid w:val="00EA3D1F"/>
    <w:rsid w:val="00EA3FE2"/>
    <w:rsid w:val="00EA531F"/>
    <w:rsid w:val="00EA54A2"/>
    <w:rsid w:val="00EA599F"/>
    <w:rsid w:val="00EA5DF6"/>
    <w:rsid w:val="00EA6024"/>
    <w:rsid w:val="00EA6382"/>
    <w:rsid w:val="00EA64F0"/>
    <w:rsid w:val="00EA7311"/>
    <w:rsid w:val="00EB0C75"/>
    <w:rsid w:val="00EB1699"/>
    <w:rsid w:val="00EB2B84"/>
    <w:rsid w:val="00EB2C2A"/>
    <w:rsid w:val="00EB5744"/>
    <w:rsid w:val="00EB5E76"/>
    <w:rsid w:val="00EB6B99"/>
    <w:rsid w:val="00EC0590"/>
    <w:rsid w:val="00EC07C1"/>
    <w:rsid w:val="00EC07CC"/>
    <w:rsid w:val="00EC128C"/>
    <w:rsid w:val="00EC239B"/>
    <w:rsid w:val="00EC242D"/>
    <w:rsid w:val="00EC2D4E"/>
    <w:rsid w:val="00EC3112"/>
    <w:rsid w:val="00EC322A"/>
    <w:rsid w:val="00EC3922"/>
    <w:rsid w:val="00EC53FD"/>
    <w:rsid w:val="00EC7E1D"/>
    <w:rsid w:val="00ED033A"/>
    <w:rsid w:val="00ED04F0"/>
    <w:rsid w:val="00ED0639"/>
    <w:rsid w:val="00ED1320"/>
    <w:rsid w:val="00ED206B"/>
    <w:rsid w:val="00ED2D35"/>
    <w:rsid w:val="00ED35A6"/>
    <w:rsid w:val="00ED3CE3"/>
    <w:rsid w:val="00ED42AD"/>
    <w:rsid w:val="00ED42D5"/>
    <w:rsid w:val="00ED443C"/>
    <w:rsid w:val="00ED5D25"/>
    <w:rsid w:val="00ED5E08"/>
    <w:rsid w:val="00ED694E"/>
    <w:rsid w:val="00ED75DD"/>
    <w:rsid w:val="00ED7DDA"/>
    <w:rsid w:val="00EE03F0"/>
    <w:rsid w:val="00EE03FA"/>
    <w:rsid w:val="00EE0D20"/>
    <w:rsid w:val="00EE1C90"/>
    <w:rsid w:val="00EE2582"/>
    <w:rsid w:val="00EE2FB0"/>
    <w:rsid w:val="00EE36F8"/>
    <w:rsid w:val="00EE5C5D"/>
    <w:rsid w:val="00EE628A"/>
    <w:rsid w:val="00EE64E1"/>
    <w:rsid w:val="00EE65FC"/>
    <w:rsid w:val="00EE67BA"/>
    <w:rsid w:val="00EE7496"/>
    <w:rsid w:val="00EE7D72"/>
    <w:rsid w:val="00EF0DF9"/>
    <w:rsid w:val="00EF11D9"/>
    <w:rsid w:val="00EF167A"/>
    <w:rsid w:val="00EF251D"/>
    <w:rsid w:val="00EF327D"/>
    <w:rsid w:val="00EF41A3"/>
    <w:rsid w:val="00EF41BE"/>
    <w:rsid w:val="00EF4809"/>
    <w:rsid w:val="00EF4892"/>
    <w:rsid w:val="00EF5A17"/>
    <w:rsid w:val="00EF5E6E"/>
    <w:rsid w:val="00EF66EF"/>
    <w:rsid w:val="00EF7068"/>
    <w:rsid w:val="00EF767D"/>
    <w:rsid w:val="00F00A9A"/>
    <w:rsid w:val="00F033EE"/>
    <w:rsid w:val="00F04041"/>
    <w:rsid w:val="00F04248"/>
    <w:rsid w:val="00F049AB"/>
    <w:rsid w:val="00F04A98"/>
    <w:rsid w:val="00F06E72"/>
    <w:rsid w:val="00F07B06"/>
    <w:rsid w:val="00F10D17"/>
    <w:rsid w:val="00F112D7"/>
    <w:rsid w:val="00F12026"/>
    <w:rsid w:val="00F12863"/>
    <w:rsid w:val="00F14AE0"/>
    <w:rsid w:val="00F155FB"/>
    <w:rsid w:val="00F15C2E"/>
    <w:rsid w:val="00F15EB9"/>
    <w:rsid w:val="00F16A26"/>
    <w:rsid w:val="00F16CFB"/>
    <w:rsid w:val="00F175FD"/>
    <w:rsid w:val="00F20ED2"/>
    <w:rsid w:val="00F21196"/>
    <w:rsid w:val="00F21C57"/>
    <w:rsid w:val="00F21D66"/>
    <w:rsid w:val="00F22092"/>
    <w:rsid w:val="00F224E2"/>
    <w:rsid w:val="00F229B8"/>
    <w:rsid w:val="00F23448"/>
    <w:rsid w:val="00F2375C"/>
    <w:rsid w:val="00F241CE"/>
    <w:rsid w:val="00F24D8C"/>
    <w:rsid w:val="00F24FAB"/>
    <w:rsid w:val="00F25397"/>
    <w:rsid w:val="00F269EF"/>
    <w:rsid w:val="00F276F0"/>
    <w:rsid w:val="00F2797F"/>
    <w:rsid w:val="00F27A67"/>
    <w:rsid w:val="00F3088F"/>
    <w:rsid w:val="00F309E4"/>
    <w:rsid w:val="00F30BDA"/>
    <w:rsid w:val="00F30C3C"/>
    <w:rsid w:val="00F321C5"/>
    <w:rsid w:val="00F337B8"/>
    <w:rsid w:val="00F341FC"/>
    <w:rsid w:val="00F3459A"/>
    <w:rsid w:val="00F363E0"/>
    <w:rsid w:val="00F40566"/>
    <w:rsid w:val="00F40B9A"/>
    <w:rsid w:val="00F419E3"/>
    <w:rsid w:val="00F42431"/>
    <w:rsid w:val="00F4279C"/>
    <w:rsid w:val="00F43C5E"/>
    <w:rsid w:val="00F44719"/>
    <w:rsid w:val="00F44ADE"/>
    <w:rsid w:val="00F50781"/>
    <w:rsid w:val="00F51B6F"/>
    <w:rsid w:val="00F51F22"/>
    <w:rsid w:val="00F524AD"/>
    <w:rsid w:val="00F53CC8"/>
    <w:rsid w:val="00F540EB"/>
    <w:rsid w:val="00F54989"/>
    <w:rsid w:val="00F550BC"/>
    <w:rsid w:val="00F56CEF"/>
    <w:rsid w:val="00F57AFF"/>
    <w:rsid w:val="00F604B2"/>
    <w:rsid w:val="00F61540"/>
    <w:rsid w:val="00F61F13"/>
    <w:rsid w:val="00F623A6"/>
    <w:rsid w:val="00F63D62"/>
    <w:rsid w:val="00F63E2B"/>
    <w:rsid w:val="00F64025"/>
    <w:rsid w:val="00F644D5"/>
    <w:rsid w:val="00F6677E"/>
    <w:rsid w:val="00F67A9E"/>
    <w:rsid w:val="00F70C8C"/>
    <w:rsid w:val="00F711E9"/>
    <w:rsid w:val="00F71496"/>
    <w:rsid w:val="00F71579"/>
    <w:rsid w:val="00F72A22"/>
    <w:rsid w:val="00F72DCF"/>
    <w:rsid w:val="00F73150"/>
    <w:rsid w:val="00F73418"/>
    <w:rsid w:val="00F73806"/>
    <w:rsid w:val="00F73DEE"/>
    <w:rsid w:val="00F75726"/>
    <w:rsid w:val="00F75EB5"/>
    <w:rsid w:val="00F801A5"/>
    <w:rsid w:val="00F807F1"/>
    <w:rsid w:val="00F811EA"/>
    <w:rsid w:val="00F81270"/>
    <w:rsid w:val="00F8162B"/>
    <w:rsid w:val="00F81BB5"/>
    <w:rsid w:val="00F82E92"/>
    <w:rsid w:val="00F8316D"/>
    <w:rsid w:val="00F84190"/>
    <w:rsid w:val="00F84310"/>
    <w:rsid w:val="00F84A1C"/>
    <w:rsid w:val="00F85165"/>
    <w:rsid w:val="00F85562"/>
    <w:rsid w:val="00F8567E"/>
    <w:rsid w:val="00F85D98"/>
    <w:rsid w:val="00F8614F"/>
    <w:rsid w:val="00F87104"/>
    <w:rsid w:val="00F909C3"/>
    <w:rsid w:val="00F90BA1"/>
    <w:rsid w:val="00F92978"/>
    <w:rsid w:val="00F94097"/>
    <w:rsid w:val="00F94102"/>
    <w:rsid w:val="00F9423B"/>
    <w:rsid w:val="00F94505"/>
    <w:rsid w:val="00F949A0"/>
    <w:rsid w:val="00F94FE6"/>
    <w:rsid w:val="00F958E7"/>
    <w:rsid w:val="00F95C78"/>
    <w:rsid w:val="00F96927"/>
    <w:rsid w:val="00F97778"/>
    <w:rsid w:val="00F97E68"/>
    <w:rsid w:val="00FA0479"/>
    <w:rsid w:val="00FA0A23"/>
    <w:rsid w:val="00FA1106"/>
    <w:rsid w:val="00FA114D"/>
    <w:rsid w:val="00FA186E"/>
    <w:rsid w:val="00FA2934"/>
    <w:rsid w:val="00FA2A10"/>
    <w:rsid w:val="00FA2C5F"/>
    <w:rsid w:val="00FA32EA"/>
    <w:rsid w:val="00FA38D3"/>
    <w:rsid w:val="00FA4809"/>
    <w:rsid w:val="00FA5B1A"/>
    <w:rsid w:val="00FA5F44"/>
    <w:rsid w:val="00FA6A9B"/>
    <w:rsid w:val="00FA73FE"/>
    <w:rsid w:val="00FA7D0B"/>
    <w:rsid w:val="00FB0CCF"/>
    <w:rsid w:val="00FB1D99"/>
    <w:rsid w:val="00FB3585"/>
    <w:rsid w:val="00FB5738"/>
    <w:rsid w:val="00FB67C7"/>
    <w:rsid w:val="00FB6B9F"/>
    <w:rsid w:val="00FB7354"/>
    <w:rsid w:val="00FB7C87"/>
    <w:rsid w:val="00FB7D91"/>
    <w:rsid w:val="00FC0706"/>
    <w:rsid w:val="00FC2113"/>
    <w:rsid w:val="00FC299D"/>
    <w:rsid w:val="00FC29CB"/>
    <w:rsid w:val="00FC34CC"/>
    <w:rsid w:val="00FC4CEA"/>
    <w:rsid w:val="00FC6FF7"/>
    <w:rsid w:val="00FC78D2"/>
    <w:rsid w:val="00FD003C"/>
    <w:rsid w:val="00FD0067"/>
    <w:rsid w:val="00FD00AC"/>
    <w:rsid w:val="00FD04BF"/>
    <w:rsid w:val="00FD35A6"/>
    <w:rsid w:val="00FD3D3F"/>
    <w:rsid w:val="00FD434A"/>
    <w:rsid w:val="00FD60F2"/>
    <w:rsid w:val="00FD6A30"/>
    <w:rsid w:val="00FD6C7D"/>
    <w:rsid w:val="00FD6F7A"/>
    <w:rsid w:val="00FD7A58"/>
    <w:rsid w:val="00FD7E64"/>
    <w:rsid w:val="00FE0305"/>
    <w:rsid w:val="00FE04EA"/>
    <w:rsid w:val="00FE0A2F"/>
    <w:rsid w:val="00FE1179"/>
    <w:rsid w:val="00FE173E"/>
    <w:rsid w:val="00FE17E9"/>
    <w:rsid w:val="00FE1B91"/>
    <w:rsid w:val="00FE1F19"/>
    <w:rsid w:val="00FE28A9"/>
    <w:rsid w:val="00FE31E9"/>
    <w:rsid w:val="00FE32D9"/>
    <w:rsid w:val="00FE7A7B"/>
    <w:rsid w:val="00FE7E0A"/>
    <w:rsid w:val="00FF0082"/>
    <w:rsid w:val="00FF0379"/>
    <w:rsid w:val="00FF1989"/>
    <w:rsid w:val="00FF19EE"/>
    <w:rsid w:val="00FF1EF8"/>
    <w:rsid w:val="00FF200D"/>
    <w:rsid w:val="00FF24C0"/>
    <w:rsid w:val="00FF2A40"/>
    <w:rsid w:val="00FF39A7"/>
    <w:rsid w:val="00FF3C9F"/>
    <w:rsid w:val="00FF3E84"/>
    <w:rsid w:val="00FF4064"/>
    <w:rsid w:val="00FF48FD"/>
    <w:rsid w:val="00FF57E6"/>
    <w:rsid w:val="00FF7BF4"/>
    <w:rsid w:val="01884D36"/>
    <w:rsid w:val="03261F0C"/>
    <w:rsid w:val="056323D2"/>
    <w:rsid w:val="07700E8A"/>
    <w:rsid w:val="09AE20A4"/>
    <w:rsid w:val="12347F9D"/>
    <w:rsid w:val="15EA4F00"/>
    <w:rsid w:val="204131A1"/>
    <w:rsid w:val="219360D8"/>
    <w:rsid w:val="234D2516"/>
    <w:rsid w:val="243B793B"/>
    <w:rsid w:val="251F111A"/>
    <w:rsid w:val="25311C76"/>
    <w:rsid w:val="2ED4751E"/>
    <w:rsid w:val="308E01F2"/>
    <w:rsid w:val="30F278D4"/>
    <w:rsid w:val="3B9673AE"/>
    <w:rsid w:val="3CDE7C62"/>
    <w:rsid w:val="40B811CD"/>
    <w:rsid w:val="45B83541"/>
    <w:rsid w:val="465D7FEC"/>
    <w:rsid w:val="468853C5"/>
    <w:rsid w:val="47D26CB1"/>
    <w:rsid w:val="4CDF15A8"/>
    <w:rsid w:val="4E1C2005"/>
    <w:rsid w:val="4E7F4888"/>
    <w:rsid w:val="52211C38"/>
    <w:rsid w:val="52C63142"/>
    <w:rsid w:val="541008E5"/>
    <w:rsid w:val="591067F2"/>
    <w:rsid w:val="5C3F5710"/>
    <w:rsid w:val="5F8A5A76"/>
    <w:rsid w:val="60B5007A"/>
    <w:rsid w:val="635C35AD"/>
    <w:rsid w:val="678F7BED"/>
    <w:rsid w:val="67AD4654"/>
    <w:rsid w:val="699512E1"/>
    <w:rsid w:val="72C10AE6"/>
    <w:rsid w:val="7CB55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0"/>
    <w:qFormat/>
    <w:uiPriority w:val="0"/>
    <w:pPr>
      <w:keepNext/>
      <w:keepLines/>
      <w:widowControl/>
      <w:spacing w:before="166" w:beforeLines="50" w:after="166" w:afterLines="50" w:line="360" w:lineRule="auto"/>
      <w:jc w:val="center"/>
      <w:outlineLvl w:val="0"/>
    </w:pPr>
    <w:rPr>
      <w:rFonts w:eastAsia="仿宋_GB2312"/>
      <w:b/>
      <w:bCs/>
      <w:kern w:val="44"/>
      <w:sz w:val="24"/>
      <w:szCs w:val="44"/>
      <w:lang w:val="zh-CN"/>
    </w:rPr>
  </w:style>
  <w:style w:type="paragraph" w:styleId="3">
    <w:name w:val="heading 3"/>
    <w:basedOn w:val="1"/>
    <w:next w:val="1"/>
    <w:link w:val="26"/>
    <w:semiHidden/>
    <w:unhideWhenUsed/>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50" w:afterLines="50"/>
      <w:jc w:val="center"/>
    </w:pPr>
    <w:rPr>
      <w:rFonts w:eastAsia="黑体" w:cstheme="majorBidi"/>
      <w:sz w:val="24"/>
    </w:rPr>
  </w:style>
  <w:style w:type="paragraph" w:styleId="5">
    <w:name w:val="toc 3"/>
    <w:basedOn w:val="1"/>
    <w:next w:val="1"/>
    <w:unhideWhenUsed/>
    <w:qFormat/>
    <w:uiPriority w:val="39"/>
    <w:rPr>
      <w:sz w:val="24"/>
    </w:rPr>
  </w:style>
  <w:style w:type="paragraph" w:styleId="6">
    <w:name w:val="Date"/>
    <w:basedOn w:val="1"/>
    <w:next w:val="1"/>
    <w:link w:val="30"/>
    <w:semiHidden/>
    <w:unhideWhenUsed/>
    <w:qFormat/>
    <w:uiPriority w:val="99"/>
    <w:pPr>
      <w:ind w:left="100" w:leftChars="2500"/>
    </w:pPr>
  </w:style>
  <w:style w:type="paragraph" w:styleId="7">
    <w:name w:val="Balloon Text"/>
    <w:basedOn w:val="1"/>
    <w:link w:val="22"/>
    <w:semiHidden/>
    <w:unhideWhenUsed/>
    <w:qFormat/>
    <w:uiPriority w:val="99"/>
    <w:rPr>
      <w:sz w:val="18"/>
      <w:szCs w:val="18"/>
    </w:rPr>
  </w:style>
  <w:style w:type="paragraph" w:styleId="8">
    <w:name w:val="footer"/>
    <w:basedOn w:val="1"/>
    <w:link w:val="21"/>
    <w:qFormat/>
    <w:uiPriority w:val="99"/>
    <w:pPr>
      <w:tabs>
        <w:tab w:val="center" w:pos="4153"/>
        <w:tab w:val="right" w:pos="8306"/>
      </w:tabs>
      <w:snapToGrid w:val="0"/>
      <w:jc w:val="left"/>
    </w:pPr>
    <w:rPr>
      <w:sz w:val="18"/>
    </w:rPr>
  </w:style>
  <w:style w:type="paragraph" w:styleId="9">
    <w:name w:val="header"/>
    <w:basedOn w:val="1"/>
    <w:link w:val="3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qFormat/>
    <w:uiPriority w:val="39"/>
    <w:pPr>
      <w:tabs>
        <w:tab w:val="right" w:leader="dot" w:pos="9180"/>
        <w:tab w:val="right" w:leader="middleDot" w:pos="9240"/>
      </w:tabs>
      <w:spacing w:line="360" w:lineRule="auto"/>
    </w:pPr>
    <w:rPr>
      <w:b/>
      <w:sz w:val="24"/>
      <w:szCs w:val="24"/>
    </w:rPr>
  </w:style>
  <w:style w:type="paragraph" w:styleId="11">
    <w:name w:val="footnote text"/>
    <w:basedOn w:val="1"/>
    <w:link w:val="32"/>
    <w:semiHidden/>
    <w:unhideWhenUsed/>
    <w:qFormat/>
    <w:uiPriority w:val="99"/>
    <w:pPr>
      <w:snapToGrid w:val="0"/>
      <w:jc w:val="left"/>
    </w:pPr>
    <w:rPr>
      <w:sz w:val="18"/>
      <w:szCs w:val="18"/>
    </w:rPr>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rPr>
      <w:sz w:val="24"/>
    </w:rPr>
  </w:style>
  <w:style w:type="table" w:styleId="15">
    <w:name w:val="Table Grid"/>
    <w:basedOn w:val="14"/>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Strong"/>
    <w:basedOn w:val="16"/>
    <w:qFormat/>
    <w:uiPriority w:val="22"/>
    <w:rPr>
      <w:b/>
      <w:bCs/>
    </w:rPr>
  </w:style>
  <w:style w:type="character" w:styleId="18">
    <w:name w:val="Hyperlink"/>
    <w:qFormat/>
    <w:uiPriority w:val="99"/>
    <w:rPr>
      <w:color w:val="000000"/>
      <w:u w:val="single"/>
    </w:rPr>
  </w:style>
  <w:style w:type="character" w:styleId="19">
    <w:name w:val="footnote reference"/>
    <w:basedOn w:val="16"/>
    <w:semiHidden/>
    <w:unhideWhenUsed/>
    <w:qFormat/>
    <w:uiPriority w:val="99"/>
    <w:rPr>
      <w:vertAlign w:val="superscript"/>
    </w:rPr>
  </w:style>
  <w:style w:type="character" w:customStyle="1" w:styleId="20">
    <w:name w:val="标题 1 字符"/>
    <w:link w:val="2"/>
    <w:qFormat/>
    <w:uiPriority w:val="0"/>
    <w:rPr>
      <w:rFonts w:eastAsia="仿宋_GB2312"/>
      <w:b/>
      <w:bCs/>
      <w:kern w:val="44"/>
      <w:sz w:val="24"/>
      <w:szCs w:val="44"/>
      <w:lang w:val="zh-CN" w:eastAsia="zh-CN"/>
    </w:rPr>
  </w:style>
  <w:style w:type="character" w:customStyle="1" w:styleId="21">
    <w:name w:val="页脚 字符"/>
    <w:link w:val="8"/>
    <w:qFormat/>
    <w:uiPriority w:val="99"/>
    <w:rPr>
      <w:kern w:val="2"/>
      <w:sz w:val="18"/>
    </w:rPr>
  </w:style>
  <w:style w:type="character" w:customStyle="1" w:styleId="22">
    <w:name w:val="批注框文本 字符"/>
    <w:link w:val="7"/>
    <w:semiHidden/>
    <w:qFormat/>
    <w:uiPriority w:val="99"/>
    <w:rPr>
      <w:kern w:val="2"/>
      <w:sz w:val="18"/>
      <w:szCs w:val="18"/>
    </w:rPr>
  </w:style>
  <w:style w:type="paragraph" w:customStyle="1" w:styleId="23">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4">
    <w:name w:val="No Spacing"/>
    <w:link w:val="25"/>
    <w:qFormat/>
    <w:uiPriority w:val="0"/>
    <w:rPr>
      <w:rFonts w:ascii="Calibri" w:hAnsi="Calibri" w:eastAsia="宋体" w:cs="Times New Roman"/>
      <w:sz w:val="22"/>
      <w:szCs w:val="22"/>
      <w:lang w:val="en-US" w:eastAsia="zh-CN" w:bidi="ar-SA"/>
    </w:rPr>
  </w:style>
  <w:style w:type="character" w:customStyle="1" w:styleId="25">
    <w:name w:val="无间隔 字符"/>
    <w:link w:val="24"/>
    <w:qFormat/>
    <w:uiPriority w:val="0"/>
    <w:rPr>
      <w:rFonts w:ascii="Calibri" w:hAnsi="Calibri" w:eastAsia="宋体"/>
      <w:sz w:val="22"/>
      <w:szCs w:val="22"/>
      <w:lang w:val="en-US" w:eastAsia="zh-CN" w:bidi="ar-SA"/>
    </w:rPr>
  </w:style>
  <w:style w:type="character" w:customStyle="1" w:styleId="26">
    <w:name w:val="标题 3 字符"/>
    <w:link w:val="3"/>
    <w:semiHidden/>
    <w:qFormat/>
    <w:uiPriority w:val="9"/>
    <w:rPr>
      <w:b/>
      <w:bCs/>
      <w:kern w:val="2"/>
      <w:sz w:val="32"/>
      <w:szCs w:val="32"/>
    </w:rPr>
  </w:style>
  <w:style w:type="character" w:styleId="27">
    <w:name w:val="Placeholder Text"/>
    <w:basedOn w:val="16"/>
    <w:semiHidden/>
    <w:qFormat/>
    <w:uiPriority w:val="99"/>
    <w:rPr>
      <w:color w:val="808080"/>
    </w:rPr>
  </w:style>
  <w:style w:type="paragraph" w:styleId="28">
    <w:name w:val="List Paragraph"/>
    <w:basedOn w:val="1"/>
    <w:qFormat/>
    <w:uiPriority w:val="34"/>
    <w:pPr>
      <w:ind w:firstLine="420" w:firstLineChars="200"/>
    </w:pPr>
  </w:style>
  <w:style w:type="paragraph" w:customStyle="1" w:styleId="29">
    <w:name w:val="TOC 标题1"/>
    <w:basedOn w:val="2"/>
    <w:next w:val="1"/>
    <w:unhideWhenUsed/>
    <w:qFormat/>
    <w:uiPriority w:val="39"/>
    <w:pPr>
      <w:spacing w:before="240" w:beforeLines="0" w:after="0" w:afterLines="0" w:line="259" w:lineRule="auto"/>
      <w:jc w:val="left"/>
      <w:outlineLvl w:val="9"/>
    </w:pPr>
    <w:rPr>
      <w:rFonts w:asciiTheme="majorHAnsi" w:hAnsiTheme="majorHAnsi" w:eastAsiaTheme="majorEastAsia" w:cstheme="majorBidi"/>
      <w:b w:val="0"/>
      <w:bCs w:val="0"/>
      <w:color w:val="2F5597" w:themeColor="accent1" w:themeShade="BF"/>
      <w:kern w:val="0"/>
      <w:sz w:val="32"/>
      <w:szCs w:val="32"/>
      <w:lang w:val="en-US"/>
    </w:rPr>
  </w:style>
  <w:style w:type="character" w:customStyle="1" w:styleId="30">
    <w:name w:val="日期 字符"/>
    <w:basedOn w:val="16"/>
    <w:link w:val="6"/>
    <w:semiHidden/>
    <w:qFormat/>
    <w:uiPriority w:val="99"/>
    <w:rPr>
      <w:kern w:val="2"/>
      <w:sz w:val="21"/>
    </w:rPr>
  </w:style>
  <w:style w:type="character" w:customStyle="1" w:styleId="31">
    <w:name w:val="页眉 字符"/>
    <w:basedOn w:val="16"/>
    <w:link w:val="9"/>
    <w:qFormat/>
    <w:uiPriority w:val="99"/>
    <w:rPr>
      <w:kern w:val="2"/>
      <w:sz w:val="18"/>
    </w:rPr>
  </w:style>
  <w:style w:type="character" w:customStyle="1" w:styleId="32">
    <w:name w:val="脚注文本 字符"/>
    <w:basedOn w:val="16"/>
    <w:link w:val="11"/>
    <w:semiHidden/>
    <w:qFormat/>
    <w:uiPriority w:val="99"/>
    <w:rPr>
      <w:kern w:val="2"/>
      <w:sz w:val="18"/>
      <w:szCs w:val="18"/>
    </w:rPr>
  </w:style>
  <w:style w:type="character" w:customStyle="1" w:styleId="33">
    <w:name w:val="未处理的提及1"/>
    <w:basedOn w:val="1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customXml" Target="../customXml/item1.xml"/><Relationship Id="rId22" Type="http://schemas.openxmlformats.org/officeDocument/2006/relationships/oleObject" Target="embeddings/oleObject2.bin"/><Relationship Id="rId21" Type="http://schemas.openxmlformats.org/officeDocument/2006/relationships/image" Target="media/image2.png"/><Relationship Id="rId20" Type="http://schemas.openxmlformats.org/officeDocument/2006/relationships/image" Target="media/image1.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theme" Target="theme/theme1.xml"/><Relationship Id="rId17" Type="http://schemas.openxmlformats.org/officeDocument/2006/relationships/footer" Target="footer11.xml"/><Relationship Id="rId16" Type="http://schemas.openxmlformats.org/officeDocument/2006/relationships/header" Target="header4.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8BB323-81B5-4D7E-8933-44071C2834B4}">
  <ds:schemaRefs/>
</ds:datastoreItem>
</file>

<file path=docProps/app.xml><?xml version="1.0" encoding="utf-8"?>
<Properties xmlns="http://schemas.openxmlformats.org/officeDocument/2006/extended-properties" xmlns:vt="http://schemas.openxmlformats.org/officeDocument/2006/docPropsVTypes">
  <Template>Normal</Template>
  <Pages>51</Pages>
  <Words>26497</Words>
  <Characters>37648</Characters>
  <Lines>310</Lines>
  <Paragraphs>87</Paragraphs>
  <TotalTime>8</TotalTime>
  <ScaleCrop>false</ScaleCrop>
  <LinksUpToDate>false</LinksUpToDate>
  <CharactersWithSpaces>44588</CharactersWithSpaces>
  <Application>WPS Office_11.1.0.11411_F1E327BC-269C-435d-A152-05C5408002CA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2022-03-27T04:37:00Z</dcterms:created>
  <dc:creator>0</dc:creator>
  <cp:lastModifiedBy>文档存本地丢失不负责</cp:lastModifiedBy>
  <cp:lastPrinted>2022-05-27T02:51:00Z</cp:lastPrinted>
  <dcterms:modified xsi:type="dcterms:W3CDTF">2022-06-14T01:46:48Z</dcterms:modified>
  <dc:title>附件1</dc:title>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60D766EB77F74647BD3D6E723DEDDCE4</vt:lpwstr>
  </property>
</Properties>
</file>