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24F316" w14:textId="77777777" w:rsidR="00830883" w:rsidRDefault="00830883" w:rsidP="00830883">
      <w:pPr>
        <w:rPr>
          <w:sz w:val="32"/>
        </w:rPr>
      </w:pPr>
    </w:p>
    <w:bookmarkStart w:id="0" w:name="_1064953734"/>
    <w:bookmarkEnd w:id="0"/>
    <w:bookmarkStart w:id="1" w:name="_MON_1065102613"/>
    <w:bookmarkEnd w:id="1"/>
    <w:p w14:paraId="00DD9002" w14:textId="191802A5" w:rsidR="004912D7" w:rsidRDefault="004912D7">
      <w:pPr>
        <w:spacing w:line="360" w:lineRule="auto"/>
        <w:jc w:val="center"/>
        <w:rPr>
          <w:rFonts w:eastAsia="黑体"/>
          <w:sz w:val="34"/>
        </w:rPr>
      </w:pPr>
      <w:r>
        <w:rPr>
          <w:rFonts w:hAnsi="宋体"/>
          <w:kern w:val="0"/>
        </w:rPr>
        <w:object w:dxaOrig="3165" w:dyaOrig="720" w14:anchorId="095FE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2.9pt;height:45.8pt;mso-position-horizontal-relative:page;mso-position-vertical-relative:page" o:ole="" filled="t">
            <v:imagedata r:id="rId7" o:title=""/>
          </v:shape>
          <o:OLEObject Type="Embed" ProgID="Word.Picture.8" ShapeID="Object 1" DrawAspect="Content" ObjectID="_1716793588" r:id="rId8"/>
        </w:object>
      </w:r>
    </w:p>
    <w:p w14:paraId="4EEA53A6" w14:textId="77777777" w:rsidR="004912D7" w:rsidRDefault="004912D7">
      <w:pPr>
        <w:adjustRightInd w:val="0"/>
        <w:snapToGrid w:val="0"/>
        <w:jc w:val="center"/>
        <w:rPr>
          <w:b/>
          <w:bCs/>
          <w:spacing w:val="20"/>
          <w:sz w:val="18"/>
        </w:rPr>
      </w:pPr>
    </w:p>
    <w:p w14:paraId="0E97E69E" w14:textId="77777777" w:rsidR="004912D7" w:rsidRDefault="004912D7">
      <w:pPr>
        <w:adjustRightInd w:val="0"/>
        <w:snapToGrid w:val="0"/>
        <w:jc w:val="center"/>
        <w:rPr>
          <w:b/>
          <w:bCs/>
          <w:spacing w:val="20"/>
          <w:sz w:val="18"/>
        </w:rPr>
      </w:pPr>
    </w:p>
    <w:p w14:paraId="7476FC22" w14:textId="77777777" w:rsidR="004912D7" w:rsidRDefault="004912D7">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13B3A229" w14:textId="77777777" w:rsidR="004912D7" w:rsidRDefault="004912D7">
      <w:pPr>
        <w:adjustRightInd w:val="0"/>
        <w:snapToGrid w:val="0"/>
        <w:spacing w:line="264" w:lineRule="auto"/>
        <w:rPr>
          <w:rFonts w:ascii="楷体_GB2312" w:eastAsia="楷体_GB2312"/>
          <w:color w:val="FF0000"/>
        </w:rPr>
      </w:pPr>
    </w:p>
    <w:p w14:paraId="6D60B178" w14:textId="77777777" w:rsidR="003B3A06" w:rsidRDefault="003B3A06">
      <w:pPr>
        <w:adjustRightInd w:val="0"/>
        <w:snapToGrid w:val="0"/>
        <w:spacing w:line="264" w:lineRule="auto"/>
        <w:rPr>
          <w:rFonts w:eastAsia="华文中宋"/>
          <w:b/>
          <w:bCs/>
          <w:spacing w:val="12"/>
          <w:sz w:val="52"/>
          <w:szCs w:val="32"/>
        </w:rPr>
      </w:pPr>
    </w:p>
    <w:p w14:paraId="318539BD" w14:textId="497C19BE" w:rsidR="004912D7" w:rsidRDefault="003B3A06">
      <w:pPr>
        <w:spacing w:line="360" w:lineRule="auto"/>
        <w:jc w:val="center"/>
        <w:rPr>
          <w:rFonts w:ascii="黑体" w:eastAsia="黑体" w:hAnsi="黑体"/>
          <w:bCs/>
          <w:color w:val="FF0000"/>
          <w:sz w:val="36"/>
          <w:szCs w:val="36"/>
        </w:rPr>
      </w:pPr>
      <w:r w:rsidRPr="003B3A06">
        <w:rPr>
          <w:rFonts w:ascii="黑体" w:eastAsia="黑体" w:hint="eastAsia"/>
          <w:b/>
          <w:sz w:val="44"/>
          <w:szCs w:val="44"/>
        </w:rPr>
        <w:t>ESG选股对基金绩效影响研究</w:t>
      </w:r>
    </w:p>
    <w:p w14:paraId="5F04C5ED" w14:textId="77777777" w:rsidR="004912D7" w:rsidRDefault="004912D7">
      <w:pPr>
        <w:adjustRightInd w:val="0"/>
        <w:snapToGrid w:val="0"/>
        <w:spacing w:line="264" w:lineRule="auto"/>
        <w:rPr>
          <w:rFonts w:eastAsia="华文中宋"/>
          <w:b/>
          <w:bCs/>
          <w:spacing w:val="12"/>
          <w:sz w:val="52"/>
          <w:szCs w:val="32"/>
        </w:rPr>
      </w:pPr>
    </w:p>
    <w:p w14:paraId="5529ECC3" w14:textId="77777777" w:rsidR="004912D7" w:rsidRPr="00197498" w:rsidRDefault="004912D7">
      <w:pPr>
        <w:adjustRightInd w:val="0"/>
        <w:snapToGrid w:val="0"/>
        <w:spacing w:line="264" w:lineRule="auto"/>
        <w:rPr>
          <w:rFonts w:eastAsia="华文中宋"/>
          <w:b/>
          <w:bCs/>
          <w:spacing w:val="12"/>
          <w:sz w:val="5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3B3A06" w:rsidRPr="00AF183B" w14:paraId="12D55069" w14:textId="77777777" w:rsidTr="00D44BDF">
        <w:trPr>
          <w:trHeight w:hRule="exact" w:val="851"/>
        </w:trPr>
        <w:tc>
          <w:tcPr>
            <w:tcW w:w="1560" w:type="dxa"/>
            <w:shd w:val="clear" w:color="auto" w:fill="auto"/>
            <w:noWrap/>
            <w:vAlign w:val="bottom"/>
          </w:tcPr>
          <w:p w14:paraId="446CE29C" w14:textId="77777777" w:rsidR="003B3A06" w:rsidRPr="00C228B2" w:rsidRDefault="003B3A06" w:rsidP="00D44BDF">
            <w:pPr>
              <w:pStyle w:val="31"/>
              <w:framePr w:hSpace="0" w:wrap="auto" w:vAnchor="margin" w:hAnchor="text" w:xAlign="left" w:yAlign="inline"/>
              <w:spacing w:before="312"/>
              <w:ind w:firstLineChars="10" w:firstLine="32"/>
              <w:suppressOverlap w:val="0"/>
            </w:pPr>
            <w:r w:rsidRPr="00C228B2">
              <w:rPr>
                <w:rFonts w:hint="eastAsia"/>
              </w:rPr>
              <w:t>院    系</w:t>
            </w:r>
          </w:p>
        </w:tc>
        <w:tc>
          <w:tcPr>
            <w:tcW w:w="3793" w:type="dxa"/>
            <w:tcBorders>
              <w:bottom w:val="single" w:sz="4" w:space="0" w:color="auto"/>
            </w:tcBorders>
            <w:shd w:val="clear" w:color="auto" w:fill="auto"/>
            <w:noWrap/>
            <w:vAlign w:val="bottom"/>
          </w:tcPr>
          <w:p w14:paraId="203E587C" w14:textId="77777777" w:rsidR="003B3A06" w:rsidRPr="00AF183B" w:rsidRDefault="003B3A06" w:rsidP="00D44BDF">
            <w:pPr>
              <w:jc w:val="center"/>
              <w:rPr>
                <w:rFonts w:ascii="仿宋" w:eastAsia="仿宋" w:hAnsi="仿宋"/>
                <w:b/>
                <w:sz w:val="32"/>
              </w:rPr>
            </w:pPr>
            <w:r>
              <w:rPr>
                <w:rFonts w:ascii="仿宋" w:eastAsia="仿宋" w:hAnsi="仿宋" w:hint="eastAsia"/>
                <w:b/>
                <w:sz w:val="32"/>
              </w:rPr>
              <w:t>管理学院</w:t>
            </w:r>
          </w:p>
        </w:tc>
      </w:tr>
      <w:tr w:rsidR="003B3A06" w:rsidRPr="00AF183B" w14:paraId="00649935" w14:textId="77777777" w:rsidTr="00D44BDF">
        <w:trPr>
          <w:trHeight w:hRule="exact" w:val="851"/>
        </w:trPr>
        <w:tc>
          <w:tcPr>
            <w:tcW w:w="1560" w:type="dxa"/>
            <w:shd w:val="clear" w:color="auto" w:fill="auto"/>
            <w:noWrap/>
            <w:vAlign w:val="bottom"/>
          </w:tcPr>
          <w:p w14:paraId="1C7A8AF0" w14:textId="77777777" w:rsidR="003B3A06" w:rsidRPr="00C228B2" w:rsidRDefault="003B3A06" w:rsidP="00D44BDF">
            <w:pPr>
              <w:pStyle w:val="31"/>
              <w:framePr w:hSpace="0" w:wrap="auto" w:vAnchor="margin" w:hAnchor="text" w:xAlign="left" w:yAlign="inline"/>
              <w:spacing w:before="312"/>
              <w:ind w:firstLineChars="10" w:firstLine="32"/>
              <w:suppressOverlap w:val="0"/>
            </w:pPr>
            <w:r w:rsidRPr="00C228B2">
              <w:rPr>
                <w:rFonts w:hint="eastAsia"/>
              </w:rPr>
              <w:t>专业班级</w:t>
            </w:r>
          </w:p>
        </w:tc>
        <w:tc>
          <w:tcPr>
            <w:tcW w:w="3793" w:type="dxa"/>
            <w:tcBorders>
              <w:top w:val="single" w:sz="4" w:space="0" w:color="auto"/>
              <w:bottom w:val="single" w:sz="4" w:space="0" w:color="auto"/>
            </w:tcBorders>
            <w:shd w:val="clear" w:color="auto" w:fill="auto"/>
            <w:noWrap/>
            <w:vAlign w:val="bottom"/>
          </w:tcPr>
          <w:p w14:paraId="2430D4E8" w14:textId="77777777" w:rsidR="003B3A06" w:rsidRPr="00AF183B" w:rsidRDefault="003B3A06" w:rsidP="00D44BDF">
            <w:pPr>
              <w:jc w:val="center"/>
              <w:rPr>
                <w:rFonts w:ascii="仿宋" w:eastAsia="仿宋" w:hAnsi="仿宋"/>
                <w:b/>
                <w:sz w:val="32"/>
              </w:rPr>
            </w:pPr>
            <w:r>
              <w:rPr>
                <w:rFonts w:ascii="仿宋" w:eastAsia="仿宋" w:hAnsi="仿宋" w:hint="eastAsia"/>
                <w:b/>
                <w:sz w:val="32"/>
              </w:rPr>
              <w:t>财务管理201801班</w:t>
            </w:r>
          </w:p>
        </w:tc>
      </w:tr>
      <w:tr w:rsidR="003B3A06" w:rsidRPr="00AF183B" w14:paraId="01E06477" w14:textId="77777777" w:rsidTr="00D44BDF">
        <w:trPr>
          <w:trHeight w:hRule="exact" w:val="851"/>
        </w:trPr>
        <w:tc>
          <w:tcPr>
            <w:tcW w:w="1560" w:type="dxa"/>
            <w:shd w:val="clear" w:color="auto" w:fill="auto"/>
            <w:noWrap/>
            <w:vAlign w:val="bottom"/>
          </w:tcPr>
          <w:p w14:paraId="2E564053" w14:textId="77777777" w:rsidR="003B3A06" w:rsidRPr="00C228B2" w:rsidRDefault="003B3A06" w:rsidP="00D44BDF">
            <w:pPr>
              <w:pStyle w:val="31"/>
              <w:framePr w:hSpace="0" w:wrap="auto" w:vAnchor="margin" w:hAnchor="text" w:xAlign="left" w:yAlign="inline"/>
              <w:spacing w:before="312"/>
              <w:ind w:firstLineChars="10" w:firstLine="32"/>
              <w:suppressOverlap w:val="0"/>
            </w:pPr>
            <w:r w:rsidRPr="00C228B2">
              <w:rPr>
                <w:rFonts w:hint="eastAsia"/>
              </w:rPr>
              <w:t>姓    名</w:t>
            </w:r>
          </w:p>
        </w:tc>
        <w:tc>
          <w:tcPr>
            <w:tcW w:w="3793" w:type="dxa"/>
            <w:tcBorders>
              <w:top w:val="single" w:sz="4" w:space="0" w:color="auto"/>
              <w:bottom w:val="single" w:sz="4" w:space="0" w:color="auto"/>
            </w:tcBorders>
            <w:shd w:val="clear" w:color="auto" w:fill="auto"/>
            <w:noWrap/>
            <w:vAlign w:val="bottom"/>
          </w:tcPr>
          <w:p w14:paraId="3DEE813A" w14:textId="77777777" w:rsidR="003B3A06" w:rsidRPr="00AF183B" w:rsidRDefault="003B3A06" w:rsidP="00D44BDF">
            <w:pPr>
              <w:jc w:val="center"/>
              <w:rPr>
                <w:rFonts w:ascii="仿宋" w:eastAsia="仿宋" w:hAnsi="仿宋"/>
                <w:b/>
                <w:sz w:val="32"/>
              </w:rPr>
            </w:pPr>
            <w:r>
              <w:rPr>
                <w:rFonts w:ascii="仿宋" w:eastAsia="仿宋" w:hAnsi="仿宋" w:hint="eastAsia"/>
                <w:b/>
                <w:sz w:val="32"/>
              </w:rPr>
              <w:t>王子秋</w:t>
            </w:r>
          </w:p>
        </w:tc>
      </w:tr>
      <w:tr w:rsidR="003B3A06" w:rsidRPr="00AF183B" w14:paraId="2A11F8D4" w14:textId="77777777" w:rsidTr="00D44BDF">
        <w:trPr>
          <w:trHeight w:hRule="exact" w:val="851"/>
        </w:trPr>
        <w:tc>
          <w:tcPr>
            <w:tcW w:w="1560" w:type="dxa"/>
            <w:shd w:val="clear" w:color="auto" w:fill="auto"/>
            <w:noWrap/>
            <w:vAlign w:val="bottom"/>
          </w:tcPr>
          <w:p w14:paraId="187AED45" w14:textId="77777777" w:rsidR="003B3A06" w:rsidRPr="00C228B2" w:rsidRDefault="003B3A06" w:rsidP="00D44BDF">
            <w:pPr>
              <w:pStyle w:val="31"/>
              <w:framePr w:hSpace="0" w:wrap="auto" w:vAnchor="margin" w:hAnchor="text" w:xAlign="left" w:yAlign="inline"/>
              <w:spacing w:before="312"/>
              <w:ind w:firstLineChars="10" w:firstLine="32"/>
              <w:suppressOverlap w:val="0"/>
            </w:pPr>
            <w:r w:rsidRPr="00C228B2">
              <w:rPr>
                <w:rFonts w:hint="eastAsia"/>
              </w:rPr>
              <w:t>学    号</w:t>
            </w:r>
          </w:p>
        </w:tc>
        <w:tc>
          <w:tcPr>
            <w:tcW w:w="3793" w:type="dxa"/>
            <w:tcBorders>
              <w:top w:val="single" w:sz="4" w:space="0" w:color="auto"/>
              <w:bottom w:val="single" w:sz="4" w:space="0" w:color="auto"/>
            </w:tcBorders>
            <w:shd w:val="clear" w:color="auto" w:fill="auto"/>
            <w:noWrap/>
            <w:vAlign w:val="bottom"/>
          </w:tcPr>
          <w:p w14:paraId="3EED20D9" w14:textId="77777777" w:rsidR="003B3A06" w:rsidRPr="00AF183B" w:rsidRDefault="003B3A06" w:rsidP="00D44BDF">
            <w:pPr>
              <w:jc w:val="center"/>
              <w:rPr>
                <w:rFonts w:ascii="仿宋" w:eastAsia="仿宋" w:hAnsi="仿宋"/>
                <w:b/>
                <w:sz w:val="32"/>
              </w:rPr>
            </w:pPr>
            <w:r>
              <w:rPr>
                <w:rFonts w:ascii="仿宋" w:eastAsia="仿宋" w:hAnsi="仿宋" w:hint="eastAsia"/>
                <w:b/>
                <w:sz w:val="32"/>
              </w:rPr>
              <w:t>U201815865</w:t>
            </w:r>
          </w:p>
        </w:tc>
      </w:tr>
      <w:tr w:rsidR="003B3A06" w:rsidRPr="00AF183B" w14:paraId="2E012525" w14:textId="77777777" w:rsidTr="00D44BDF">
        <w:trPr>
          <w:trHeight w:hRule="exact" w:val="851"/>
        </w:trPr>
        <w:tc>
          <w:tcPr>
            <w:tcW w:w="0" w:type="auto"/>
            <w:shd w:val="clear" w:color="auto" w:fill="auto"/>
            <w:noWrap/>
            <w:vAlign w:val="bottom"/>
          </w:tcPr>
          <w:p w14:paraId="0E83A83F" w14:textId="77777777" w:rsidR="003B3A06" w:rsidRPr="00C228B2" w:rsidRDefault="003B3A06" w:rsidP="00D44BDF">
            <w:pPr>
              <w:pStyle w:val="31"/>
              <w:framePr w:hSpace="0" w:wrap="auto" w:vAnchor="margin" w:hAnchor="text" w:xAlign="left" w:yAlign="inline"/>
              <w:spacing w:before="312"/>
              <w:ind w:firstLineChars="10" w:firstLine="32"/>
              <w:suppressOverlap w:val="0"/>
            </w:pPr>
            <w:r w:rsidRPr="00C228B2">
              <w:rPr>
                <w:rFonts w:hint="eastAsia"/>
              </w:rPr>
              <w:t>指导教师</w:t>
            </w:r>
          </w:p>
        </w:tc>
        <w:tc>
          <w:tcPr>
            <w:tcW w:w="3793" w:type="dxa"/>
            <w:tcBorders>
              <w:top w:val="single" w:sz="4" w:space="0" w:color="auto"/>
              <w:bottom w:val="single" w:sz="4" w:space="0" w:color="auto"/>
            </w:tcBorders>
            <w:shd w:val="clear" w:color="auto" w:fill="auto"/>
            <w:noWrap/>
            <w:vAlign w:val="bottom"/>
          </w:tcPr>
          <w:p w14:paraId="6BDA3A72" w14:textId="77777777" w:rsidR="003B3A06" w:rsidRPr="00AF183B" w:rsidRDefault="003B3A06" w:rsidP="00D44BDF">
            <w:pPr>
              <w:jc w:val="center"/>
              <w:rPr>
                <w:rFonts w:ascii="仿宋" w:eastAsia="仿宋" w:hAnsi="仿宋"/>
                <w:b/>
                <w:sz w:val="32"/>
              </w:rPr>
            </w:pPr>
            <w:r>
              <w:rPr>
                <w:rFonts w:ascii="仿宋" w:eastAsia="仿宋" w:hAnsi="仿宋" w:hint="eastAsia"/>
                <w:b/>
                <w:sz w:val="32"/>
              </w:rPr>
              <w:t>李安泰</w:t>
            </w:r>
          </w:p>
        </w:tc>
      </w:tr>
    </w:tbl>
    <w:p w14:paraId="7CFACE7C" w14:textId="77777777" w:rsidR="003B3A06" w:rsidRDefault="003B3A06">
      <w:pPr>
        <w:spacing w:line="720" w:lineRule="auto"/>
        <w:jc w:val="center"/>
        <w:rPr>
          <w:rFonts w:ascii="华文中宋" w:eastAsia="华文中宋" w:hAnsi="华文中宋"/>
          <w:kern w:val="0"/>
          <w:sz w:val="32"/>
          <w:szCs w:val="32"/>
        </w:rPr>
      </w:pPr>
    </w:p>
    <w:p w14:paraId="3CD06747" w14:textId="77777777" w:rsidR="004912D7" w:rsidRDefault="004912D7">
      <w:pPr>
        <w:jc w:val="center"/>
        <w:rPr>
          <w:rFonts w:ascii="华文中宋" w:eastAsia="华文中宋" w:hAnsi="华文中宋"/>
          <w:bCs/>
          <w:kern w:val="0"/>
          <w:sz w:val="32"/>
          <w:szCs w:val="32"/>
        </w:rPr>
      </w:pPr>
    </w:p>
    <w:p w14:paraId="2216EEEE" w14:textId="77777777" w:rsidR="003B3A06" w:rsidRDefault="003B3A06">
      <w:pPr>
        <w:spacing w:line="360" w:lineRule="auto"/>
        <w:jc w:val="center"/>
        <w:rPr>
          <w:rFonts w:ascii="华文中宋" w:eastAsia="华文中宋" w:hAnsi="华文中宋"/>
          <w:bCs/>
          <w:kern w:val="0"/>
          <w:sz w:val="32"/>
          <w:szCs w:val="32"/>
        </w:rPr>
      </w:pPr>
    </w:p>
    <w:p w14:paraId="64D8D5A8" w14:textId="77777777" w:rsidR="003B3A06" w:rsidRDefault="003B3A06">
      <w:pPr>
        <w:spacing w:line="360" w:lineRule="auto"/>
        <w:jc w:val="center"/>
        <w:rPr>
          <w:rFonts w:ascii="华文中宋" w:eastAsia="华文中宋" w:hAnsi="华文中宋"/>
          <w:bCs/>
          <w:kern w:val="0"/>
          <w:sz w:val="32"/>
          <w:szCs w:val="32"/>
        </w:rPr>
      </w:pPr>
    </w:p>
    <w:p w14:paraId="6D898CE2" w14:textId="77777777" w:rsidR="003B3A06" w:rsidRDefault="003B3A06">
      <w:pPr>
        <w:spacing w:line="360" w:lineRule="auto"/>
        <w:jc w:val="center"/>
        <w:rPr>
          <w:rFonts w:ascii="华文中宋" w:eastAsia="华文中宋" w:hAnsi="华文中宋"/>
          <w:bCs/>
          <w:kern w:val="0"/>
          <w:sz w:val="32"/>
          <w:szCs w:val="32"/>
        </w:rPr>
      </w:pPr>
    </w:p>
    <w:p w14:paraId="50EEA7CC" w14:textId="77777777" w:rsidR="003B3A06" w:rsidRDefault="003B3A06">
      <w:pPr>
        <w:spacing w:line="360" w:lineRule="auto"/>
        <w:jc w:val="center"/>
        <w:rPr>
          <w:rFonts w:ascii="华文中宋" w:eastAsia="华文中宋" w:hAnsi="华文中宋"/>
          <w:bCs/>
          <w:kern w:val="0"/>
          <w:sz w:val="32"/>
          <w:szCs w:val="32"/>
        </w:rPr>
      </w:pPr>
    </w:p>
    <w:p w14:paraId="6EA813F3" w14:textId="77777777" w:rsidR="003B3A06" w:rsidRDefault="003B3A06">
      <w:pPr>
        <w:spacing w:line="360" w:lineRule="auto"/>
        <w:jc w:val="center"/>
        <w:rPr>
          <w:rFonts w:ascii="华文中宋" w:eastAsia="华文中宋" w:hAnsi="华文中宋"/>
          <w:bCs/>
          <w:kern w:val="0"/>
          <w:sz w:val="32"/>
          <w:szCs w:val="32"/>
        </w:rPr>
      </w:pPr>
    </w:p>
    <w:p w14:paraId="41123F1F" w14:textId="77777777" w:rsidR="003B3A06" w:rsidRDefault="003B3A06">
      <w:pPr>
        <w:spacing w:line="360" w:lineRule="auto"/>
        <w:jc w:val="center"/>
        <w:rPr>
          <w:rFonts w:ascii="华文中宋" w:eastAsia="华文中宋" w:hAnsi="华文中宋"/>
          <w:bCs/>
          <w:kern w:val="0"/>
          <w:sz w:val="32"/>
          <w:szCs w:val="32"/>
        </w:rPr>
      </w:pPr>
    </w:p>
    <w:p w14:paraId="740C6D30" w14:textId="77777777" w:rsidR="004912D7" w:rsidRDefault="003B3A06">
      <w:pPr>
        <w:spacing w:line="360" w:lineRule="auto"/>
        <w:jc w:val="center"/>
        <w:rPr>
          <w:rFonts w:ascii="黑体" w:eastAsia="黑体" w:hAnsi="黑体"/>
          <w:bCs/>
          <w:color w:val="FF0000"/>
          <w:sz w:val="36"/>
          <w:szCs w:val="36"/>
        </w:rPr>
      </w:pPr>
      <w:r>
        <w:rPr>
          <w:rFonts w:ascii="华文中宋" w:eastAsia="华文中宋" w:hAnsi="华文中宋"/>
          <w:bCs/>
          <w:kern w:val="0"/>
          <w:sz w:val="32"/>
          <w:szCs w:val="32"/>
        </w:rPr>
        <w:t>2022</w:t>
      </w:r>
      <w:r w:rsidR="004912D7">
        <w:rPr>
          <w:rFonts w:ascii="华文中宋" w:eastAsia="华文中宋" w:hAnsi="华文中宋" w:hint="eastAsia"/>
          <w:bCs/>
          <w:kern w:val="0"/>
          <w:sz w:val="32"/>
          <w:szCs w:val="32"/>
        </w:rPr>
        <w:t>年</w:t>
      </w:r>
      <w:r>
        <w:rPr>
          <w:rFonts w:ascii="华文中宋" w:eastAsia="华文中宋" w:hAnsi="华文中宋"/>
          <w:bCs/>
          <w:kern w:val="0"/>
          <w:sz w:val="32"/>
          <w:szCs w:val="32"/>
        </w:rPr>
        <w:t>05</w:t>
      </w:r>
      <w:r w:rsidR="004912D7">
        <w:rPr>
          <w:rFonts w:ascii="华文中宋" w:eastAsia="华文中宋" w:hAnsi="华文中宋" w:hint="eastAsia"/>
          <w:bCs/>
          <w:kern w:val="0"/>
          <w:sz w:val="32"/>
          <w:szCs w:val="32"/>
        </w:rPr>
        <w:t>月</w:t>
      </w:r>
      <w:r w:rsidR="00AB3FB2">
        <w:rPr>
          <w:rFonts w:ascii="华文中宋" w:eastAsia="华文中宋" w:hAnsi="华文中宋"/>
          <w:bCs/>
          <w:kern w:val="0"/>
          <w:sz w:val="32"/>
          <w:szCs w:val="32"/>
        </w:rPr>
        <w:t>1</w:t>
      </w:r>
      <w:r>
        <w:rPr>
          <w:rFonts w:ascii="华文中宋" w:eastAsia="华文中宋" w:hAnsi="华文中宋"/>
          <w:bCs/>
          <w:kern w:val="0"/>
          <w:sz w:val="32"/>
          <w:szCs w:val="32"/>
        </w:rPr>
        <w:t>5</w:t>
      </w:r>
      <w:r w:rsidR="004912D7">
        <w:rPr>
          <w:rFonts w:ascii="华文中宋" w:eastAsia="华文中宋" w:hAnsi="华文中宋" w:hint="eastAsia"/>
          <w:bCs/>
          <w:kern w:val="0"/>
          <w:sz w:val="32"/>
          <w:szCs w:val="32"/>
        </w:rPr>
        <w:t>日</w:t>
      </w:r>
    </w:p>
    <w:p w14:paraId="1BC5BDFB" w14:textId="77777777" w:rsidR="004912D7" w:rsidRDefault="004912D7">
      <w:pPr>
        <w:ind w:firstLineChars="1300" w:firstLine="4160"/>
        <w:rPr>
          <w:rFonts w:ascii="华文中宋" w:eastAsia="华文中宋" w:hAnsi="华文中宋"/>
          <w:bCs/>
          <w:kern w:val="0"/>
          <w:sz w:val="32"/>
          <w:szCs w:val="32"/>
        </w:rPr>
      </w:pPr>
    </w:p>
    <w:p w14:paraId="0C15FD42" w14:textId="77777777" w:rsidR="004912D7" w:rsidRDefault="004912D7"/>
    <w:p w14:paraId="42A193DC" w14:textId="77777777" w:rsidR="004912D7" w:rsidRDefault="004912D7">
      <w:pPr>
        <w:rPr>
          <w:b/>
          <w:bCs/>
          <w:sz w:val="28"/>
          <w:szCs w:val="30"/>
        </w:rPr>
        <w:sectPr w:rsidR="004912D7">
          <w:pgSz w:w="11906" w:h="16838"/>
          <w:pgMar w:top="1418" w:right="1701" w:bottom="1134" w:left="1701" w:header="851" w:footer="992" w:gutter="0"/>
          <w:cols w:space="720"/>
          <w:titlePg/>
          <w:docGrid w:type="lines" w:linePitch="312"/>
        </w:sectPr>
      </w:pPr>
    </w:p>
    <w:p w14:paraId="4BB23251" w14:textId="77777777" w:rsidR="003B3A06" w:rsidRDefault="003B3A06">
      <w:pPr>
        <w:spacing w:beforeLines="150" w:before="468" w:line="360" w:lineRule="auto"/>
        <w:jc w:val="center"/>
        <w:rPr>
          <w:rFonts w:ascii="黑体" w:eastAsia="黑体" w:hAnsi="黑体"/>
          <w:b/>
          <w:bCs/>
          <w:sz w:val="36"/>
          <w:szCs w:val="36"/>
        </w:rPr>
      </w:pPr>
    </w:p>
    <w:p w14:paraId="4103E2F3" w14:textId="77777777" w:rsidR="00450125" w:rsidRDefault="00450125">
      <w:pPr>
        <w:spacing w:beforeLines="150" w:before="468" w:line="360" w:lineRule="auto"/>
        <w:jc w:val="center"/>
        <w:rPr>
          <w:rFonts w:ascii="黑体" w:eastAsia="黑体" w:hAnsi="黑体"/>
          <w:b/>
          <w:bCs/>
          <w:sz w:val="36"/>
          <w:szCs w:val="36"/>
        </w:rPr>
      </w:pPr>
    </w:p>
    <w:p w14:paraId="54F82AEE" w14:textId="77777777" w:rsidR="00450125" w:rsidRDefault="00450125">
      <w:pPr>
        <w:spacing w:beforeLines="150" w:before="468" w:line="360" w:lineRule="auto"/>
        <w:jc w:val="center"/>
        <w:rPr>
          <w:rFonts w:ascii="黑体" w:eastAsia="黑体" w:hAnsi="黑体"/>
          <w:b/>
          <w:bCs/>
          <w:sz w:val="36"/>
          <w:szCs w:val="36"/>
        </w:rPr>
      </w:pPr>
    </w:p>
    <w:p w14:paraId="0E412DA3" w14:textId="4D2664DC" w:rsidR="004912D7" w:rsidRDefault="004912D7">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学位论文原创性声明</w:t>
      </w:r>
    </w:p>
    <w:p w14:paraId="75808261" w14:textId="77777777" w:rsidR="004912D7" w:rsidRDefault="004912D7">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5E16BDF8" w14:textId="77777777" w:rsidR="004912D7" w:rsidRDefault="004912D7">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2982C151" w14:textId="77777777" w:rsidR="004912D7" w:rsidRDefault="004912D7">
      <w:pPr>
        <w:spacing w:beforeLines="100" w:before="312" w:line="360" w:lineRule="auto"/>
        <w:jc w:val="center"/>
        <w:rPr>
          <w:b/>
          <w:bCs/>
          <w:sz w:val="40"/>
          <w:szCs w:val="36"/>
        </w:rPr>
      </w:pPr>
    </w:p>
    <w:p w14:paraId="183EFB52" w14:textId="77777777" w:rsidR="004912D7" w:rsidRDefault="004912D7">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433C49C9" w14:textId="77777777" w:rsidR="004912D7" w:rsidRDefault="004912D7">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7AE78B6B" w14:textId="77777777" w:rsidR="004912D7" w:rsidRDefault="004912D7">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sidR="00752F37">
        <w:rPr>
          <w:rFonts w:hint="eastAsia"/>
          <w:sz w:val="24"/>
          <w:szCs w:val="21"/>
        </w:rPr>
        <w:t xml:space="preserve"> </w:t>
      </w:r>
      <w:r w:rsidR="00752F37">
        <w:rPr>
          <w:sz w:val="24"/>
          <w:szCs w:val="21"/>
        </w:rPr>
        <w:t xml:space="preserve">  </w:t>
      </w:r>
      <w:r>
        <w:rPr>
          <w:sz w:val="24"/>
          <w:szCs w:val="21"/>
        </w:rPr>
        <w:t>囗</w:t>
      </w:r>
      <w:r w:rsidR="00752F37">
        <w:rPr>
          <w:rFonts w:hint="eastAsia"/>
          <w:sz w:val="24"/>
          <w:szCs w:val="21"/>
        </w:rPr>
        <w:t xml:space="preserve"> </w:t>
      </w:r>
      <w:r>
        <w:rPr>
          <w:sz w:val="24"/>
          <w:szCs w:val="21"/>
        </w:rPr>
        <w:t>，在</w:t>
      </w:r>
      <w:r>
        <w:rPr>
          <w:sz w:val="24"/>
          <w:szCs w:val="21"/>
        </w:rPr>
        <w:t xml:space="preserve">    </w:t>
      </w:r>
      <w:r>
        <w:rPr>
          <w:sz w:val="24"/>
          <w:szCs w:val="21"/>
        </w:rPr>
        <w:t>年解密后适用本授权书</w:t>
      </w:r>
      <w:r w:rsidR="00752F37" w:rsidRPr="00752F37">
        <w:rPr>
          <w:rFonts w:hint="eastAsia"/>
          <w:sz w:val="24"/>
          <w:szCs w:val="21"/>
        </w:rPr>
        <w:t>。</w:t>
      </w:r>
    </w:p>
    <w:p w14:paraId="1FDC7B30" w14:textId="77777777" w:rsidR="004912D7" w:rsidRDefault="004912D7">
      <w:pPr>
        <w:spacing w:line="360" w:lineRule="auto"/>
        <w:ind w:firstLineChars="950" w:firstLine="2280"/>
        <w:rPr>
          <w:sz w:val="24"/>
          <w:szCs w:val="21"/>
        </w:rPr>
      </w:pPr>
      <w:r>
        <w:rPr>
          <w:sz w:val="24"/>
          <w:szCs w:val="21"/>
        </w:rPr>
        <w:t>2</w:t>
      </w:r>
      <w:r>
        <w:rPr>
          <w:sz w:val="24"/>
          <w:szCs w:val="21"/>
        </w:rPr>
        <w:t>、不保密</w:t>
      </w:r>
      <w:r w:rsidR="00752F37">
        <w:rPr>
          <w:rFonts w:hint="eastAsia"/>
          <w:sz w:val="24"/>
          <w:szCs w:val="21"/>
        </w:rPr>
        <w:t xml:space="preserve"> </w:t>
      </w:r>
      <w:r>
        <w:rPr>
          <w:sz w:val="24"/>
          <w:szCs w:val="21"/>
        </w:rPr>
        <w:t>囗</w:t>
      </w:r>
      <w:r>
        <w:rPr>
          <w:sz w:val="24"/>
          <w:szCs w:val="21"/>
        </w:rPr>
        <w:t xml:space="preserve"> </w:t>
      </w:r>
      <w:r>
        <w:rPr>
          <w:sz w:val="24"/>
          <w:szCs w:val="21"/>
        </w:rPr>
        <w:t>。</w:t>
      </w:r>
    </w:p>
    <w:p w14:paraId="686EA8E4" w14:textId="77777777" w:rsidR="004912D7" w:rsidRDefault="004912D7">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78522577" w14:textId="77777777" w:rsidR="004912D7" w:rsidRDefault="004912D7">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027442FD" w14:textId="77777777" w:rsidR="004912D7" w:rsidRDefault="004912D7">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413AA805" w14:textId="77777777" w:rsidR="004912D7" w:rsidRDefault="004912D7">
      <w:pPr>
        <w:jc w:val="right"/>
        <w:rPr>
          <w:sz w:val="24"/>
        </w:rPr>
      </w:pPr>
    </w:p>
    <w:p w14:paraId="024CA5EF" w14:textId="77777777" w:rsidR="004912D7" w:rsidRDefault="004912D7">
      <w:pPr>
        <w:spacing w:line="360" w:lineRule="auto"/>
        <w:jc w:val="center"/>
        <w:rPr>
          <w:rFonts w:ascii="楷体_GB2312" w:eastAsia="楷体_GB2312"/>
          <w:color w:val="FF0000"/>
        </w:rPr>
      </w:pPr>
    </w:p>
    <w:p w14:paraId="57DE92E0" w14:textId="37197AF3" w:rsidR="003B3A06" w:rsidRDefault="003B3A06" w:rsidP="003B3A06">
      <w:pPr>
        <w:spacing w:beforeLines="50" w:before="156" w:afterLines="50" w:after="156"/>
        <w:rPr>
          <w:rFonts w:ascii="楷体_GB2312" w:eastAsia="楷体_GB2312"/>
          <w:color w:val="FF0000"/>
        </w:rPr>
      </w:pPr>
    </w:p>
    <w:p w14:paraId="678E92BE" w14:textId="63A07463" w:rsidR="00450125" w:rsidRDefault="00450125" w:rsidP="003B3A06">
      <w:pPr>
        <w:spacing w:beforeLines="50" w:before="156" w:afterLines="50" w:after="156"/>
        <w:rPr>
          <w:rFonts w:ascii="楷体_GB2312" w:eastAsia="楷体_GB2312"/>
          <w:color w:val="FF0000"/>
        </w:rPr>
      </w:pPr>
    </w:p>
    <w:p w14:paraId="058B6318" w14:textId="6243765A" w:rsidR="008D4250" w:rsidRDefault="008D4250" w:rsidP="008D4250">
      <w:pPr>
        <w:widowControl/>
        <w:jc w:val="left"/>
        <w:rPr>
          <w:rFonts w:ascii="楷体_GB2312" w:eastAsia="楷体_GB2312" w:hint="eastAsia"/>
          <w:color w:val="FF0000"/>
        </w:rPr>
      </w:pPr>
    </w:p>
    <w:p w14:paraId="10B57B70" w14:textId="753EBCEE" w:rsidR="004912D7" w:rsidRDefault="004912D7" w:rsidP="001B02B5">
      <w:pPr>
        <w:pStyle w:val="11"/>
      </w:pPr>
      <w:bookmarkStart w:id="2" w:name="_Toc105023889"/>
      <w:r>
        <w:rPr>
          <w:rFonts w:hint="eastAsia"/>
        </w:rPr>
        <w:lastRenderedPageBreak/>
        <w:t>摘要</w:t>
      </w:r>
      <w:bookmarkEnd w:id="2"/>
    </w:p>
    <w:p w14:paraId="1D4D25EC" w14:textId="495695C3" w:rsidR="00C071E0" w:rsidRDefault="00C071E0">
      <w:pPr>
        <w:spacing w:line="360" w:lineRule="auto"/>
        <w:ind w:firstLineChars="200" w:firstLine="480"/>
        <w:rPr>
          <w:rFonts w:ascii="宋体" w:hAnsi="宋体" w:cs="宋体"/>
          <w:color w:val="000000"/>
          <w:kern w:val="0"/>
          <w:sz w:val="24"/>
          <w:szCs w:val="24"/>
        </w:rPr>
      </w:pPr>
      <w:r w:rsidRPr="00C071E0">
        <w:rPr>
          <w:rFonts w:ascii="宋体" w:hAnsi="宋体" w:cs="宋体" w:hint="eastAsia"/>
          <w:color w:val="000000"/>
          <w:kern w:val="0"/>
          <w:sz w:val="24"/>
          <w:szCs w:val="24"/>
        </w:rPr>
        <w:t>2020年，中国正式提出2030年前碳达峰、2060年前碳中和的战略目标</w:t>
      </w:r>
      <w:r w:rsidR="00430A39">
        <w:rPr>
          <w:rFonts w:ascii="宋体" w:hAnsi="宋体" w:cs="宋体" w:hint="eastAsia"/>
          <w:color w:val="000000"/>
          <w:kern w:val="0"/>
          <w:sz w:val="24"/>
          <w:szCs w:val="24"/>
        </w:rPr>
        <w:t>，</w:t>
      </w:r>
      <w:r w:rsidRPr="00C071E0">
        <w:rPr>
          <w:rFonts w:ascii="宋体" w:hAnsi="宋体" w:cs="宋体" w:hint="eastAsia"/>
          <w:color w:val="000000"/>
          <w:kern w:val="0"/>
          <w:sz w:val="24"/>
          <w:szCs w:val="24"/>
        </w:rPr>
        <w:t>目标的提出意味着未来政策支持发展绿色经济的力度将大幅加码，由此将带动国内实体产业结构变迁将显著加快，实体经济的绿色化和数字化转型也将成为资本市场中长期布局方向。</w:t>
      </w:r>
      <w:r>
        <w:rPr>
          <w:rFonts w:ascii="宋体" w:hAnsi="宋体" w:cs="宋体" w:hint="eastAsia"/>
          <w:color w:val="000000"/>
          <w:kern w:val="0"/>
          <w:sz w:val="24"/>
          <w:szCs w:val="24"/>
        </w:rPr>
        <w:t>同时，</w:t>
      </w:r>
      <w:r w:rsidRPr="00C071E0">
        <w:rPr>
          <w:rFonts w:ascii="宋体" w:hAnsi="宋体" w:cs="宋体" w:hint="eastAsia"/>
          <w:color w:val="000000"/>
          <w:kern w:val="0"/>
          <w:sz w:val="24"/>
          <w:szCs w:val="24"/>
        </w:rPr>
        <w:t>ESG投资理念逐渐受到学术界和业界的广泛关注,这种新型投资模式为我国企业社会责任</w:t>
      </w:r>
      <w:r w:rsidR="00CC7595">
        <w:rPr>
          <w:rFonts w:ascii="宋体" w:hAnsi="宋体" w:cs="宋体" w:hint="eastAsia"/>
          <w:color w:val="000000"/>
          <w:kern w:val="0"/>
          <w:sz w:val="24"/>
          <w:szCs w:val="24"/>
        </w:rPr>
        <w:t>投资</w:t>
      </w:r>
      <w:r w:rsidRPr="00C071E0">
        <w:rPr>
          <w:rFonts w:ascii="宋体" w:hAnsi="宋体" w:cs="宋体" w:hint="eastAsia"/>
          <w:color w:val="000000"/>
          <w:kern w:val="0"/>
          <w:sz w:val="24"/>
          <w:szCs w:val="24"/>
        </w:rPr>
        <w:t>的发展开辟了新的方向,受到越来越多的投资者青睐。</w:t>
      </w:r>
      <w:r w:rsidR="004D0F96" w:rsidRPr="004D0F96">
        <w:rPr>
          <w:rFonts w:ascii="宋体" w:hAnsi="宋体" w:cs="宋体" w:hint="eastAsia"/>
          <w:color w:val="000000"/>
          <w:kern w:val="0"/>
          <w:sz w:val="24"/>
          <w:szCs w:val="24"/>
        </w:rPr>
        <w:t>推动ESG投资是实现碳达峰碳中和的重要保障,碳达峰和ESG虽然是两个独立的主题,但是两者息息相关</w:t>
      </w:r>
      <w:r w:rsidR="004D0F96">
        <w:rPr>
          <w:rFonts w:ascii="宋体" w:hAnsi="宋体" w:cs="宋体" w:hint="eastAsia"/>
          <w:color w:val="000000"/>
          <w:kern w:val="0"/>
          <w:sz w:val="24"/>
          <w:szCs w:val="24"/>
        </w:rPr>
        <w:t>。</w:t>
      </w:r>
    </w:p>
    <w:p w14:paraId="33B484FC" w14:textId="77777777" w:rsidR="004912D7" w:rsidRDefault="00C071E0">
      <w:pPr>
        <w:spacing w:line="360" w:lineRule="auto"/>
        <w:ind w:firstLineChars="200" w:firstLine="480"/>
        <w:rPr>
          <w:rFonts w:ascii="宋体" w:hAnsi="宋体"/>
          <w:sz w:val="24"/>
        </w:rPr>
      </w:pPr>
      <w:r>
        <w:rPr>
          <w:rFonts w:ascii="宋体" w:hAnsi="宋体" w:cs="宋体" w:hint="eastAsia"/>
          <w:color w:val="000000"/>
          <w:kern w:val="0"/>
          <w:sz w:val="24"/>
          <w:szCs w:val="24"/>
        </w:rPr>
        <w:t>基金作为资本市场投资的载体，其布局也受到了碳中和政策的影响。</w:t>
      </w:r>
      <w:r>
        <w:rPr>
          <w:rFonts w:ascii="宋体" w:hAnsi="宋体" w:hint="eastAsia"/>
          <w:sz w:val="24"/>
        </w:rPr>
        <w:t>本文将结合ESG评价体系对碳中和背景下的基金绩效建立评价体系</w:t>
      </w:r>
      <w:r w:rsidR="0022627B">
        <w:rPr>
          <w:rFonts w:ascii="宋体" w:hAnsi="宋体" w:hint="eastAsia"/>
          <w:sz w:val="24"/>
        </w:rPr>
        <w:t>，并从基金综合绩效得分回溯其原因。</w:t>
      </w:r>
    </w:p>
    <w:p w14:paraId="2F5E7E81" w14:textId="77777777" w:rsidR="001D37B8" w:rsidRDefault="001D37B8">
      <w:pPr>
        <w:spacing w:line="360" w:lineRule="auto"/>
        <w:ind w:firstLineChars="200" w:firstLine="480"/>
        <w:rPr>
          <w:rFonts w:ascii="宋体" w:hAnsi="宋体"/>
          <w:sz w:val="24"/>
        </w:rPr>
      </w:pPr>
      <w:r>
        <w:rPr>
          <w:rFonts w:ascii="宋体" w:hAnsi="宋体" w:hint="eastAsia"/>
          <w:sz w:val="24"/>
        </w:rPr>
        <w:t>本文首先汇总梳理了基金绩效评价理论，整理了传统基金绩效评价指标，包括</w:t>
      </w:r>
      <w:r w:rsidRPr="001D37B8">
        <w:rPr>
          <w:rFonts w:ascii="宋体" w:hAnsi="宋体" w:hint="eastAsia"/>
          <w:sz w:val="24"/>
        </w:rPr>
        <w:t>收益标准差、年化波动率、非系统风险、最大回撤、选股能力、跟踪误差、信息比率、成立年限、基金规模</w:t>
      </w:r>
      <w:r>
        <w:rPr>
          <w:rFonts w:ascii="宋体" w:hAnsi="宋体" w:hint="eastAsia"/>
          <w:sz w:val="24"/>
        </w:rPr>
        <w:t>等9个指标，再根据本文特点选取了</w:t>
      </w:r>
      <w:bookmarkStart w:id="3" w:name="_Hlk103530880"/>
      <w:r w:rsidRPr="001D37B8">
        <w:rPr>
          <w:rFonts w:ascii="宋体" w:hAnsi="宋体" w:hint="eastAsia"/>
          <w:sz w:val="24"/>
        </w:rPr>
        <w:t>碳中和指标、基金E环境评分、基金S社会评分、基金G治理评分、重仓股票占基金市值比例、重仓股票ESG评分</w:t>
      </w:r>
      <w:bookmarkEnd w:id="3"/>
      <w:r w:rsidRPr="001D37B8">
        <w:rPr>
          <w:rFonts w:ascii="宋体" w:hAnsi="宋体" w:hint="eastAsia"/>
          <w:sz w:val="24"/>
        </w:rPr>
        <w:t>等6个指标。将以上15个指标作为原始数据进行主成分因子分析后得出</w:t>
      </w:r>
      <w:r>
        <w:rPr>
          <w:rFonts w:ascii="宋体" w:hAnsi="宋体" w:hint="eastAsia"/>
          <w:sz w:val="24"/>
        </w:rPr>
        <w:t>五</w:t>
      </w:r>
      <w:r w:rsidRPr="001D37B8">
        <w:rPr>
          <w:rFonts w:ascii="宋体" w:hAnsi="宋体" w:hint="eastAsia"/>
          <w:sz w:val="24"/>
        </w:rPr>
        <w:t>个特征值大于等于1的主成分因子，并且以这</w:t>
      </w:r>
      <w:r>
        <w:rPr>
          <w:rFonts w:ascii="宋体" w:hAnsi="宋体" w:hint="eastAsia"/>
          <w:sz w:val="24"/>
        </w:rPr>
        <w:t>五</w:t>
      </w:r>
      <w:r w:rsidRPr="001D37B8">
        <w:rPr>
          <w:rFonts w:ascii="宋体" w:hAnsi="宋体" w:hint="eastAsia"/>
          <w:sz w:val="24"/>
        </w:rPr>
        <w:t>个主成分因子的因子载荷为权重进行绩效综合得分分析</w:t>
      </w:r>
      <w:r>
        <w:rPr>
          <w:rFonts w:ascii="宋体" w:hAnsi="宋体" w:hint="eastAsia"/>
          <w:sz w:val="24"/>
        </w:rPr>
        <w:t>。得到结论碳中和基金的</w:t>
      </w:r>
      <w:r w:rsidR="00195411">
        <w:rPr>
          <w:rFonts w:ascii="宋体" w:hAnsi="宋体" w:hint="eastAsia"/>
          <w:sz w:val="24"/>
        </w:rPr>
        <w:t>综合绩效平均水平高于非碳中和基金。然后本文通过对全样本的逻辑回归分析，回溯了基金获得超额收益的原因。最后，</w:t>
      </w:r>
      <w:r w:rsidR="00430A39">
        <w:rPr>
          <w:rFonts w:ascii="宋体" w:hAnsi="宋体" w:hint="eastAsia"/>
          <w:sz w:val="24"/>
        </w:rPr>
        <w:t>根据</w:t>
      </w:r>
      <w:r w:rsidR="00195411">
        <w:rPr>
          <w:rFonts w:ascii="宋体" w:hAnsi="宋体" w:hint="eastAsia"/>
          <w:sz w:val="24"/>
        </w:rPr>
        <w:t>外部风险、基金结构、基金ESG</w:t>
      </w:r>
      <w:r w:rsidR="00430A39">
        <w:rPr>
          <w:rFonts w:ascii="宋体" w:hAnsi="宋体" w:hint="eastAsia"/>
          <w:sz w:val="24"/>
        </w:rPr>
        <w:t>属性</w:t>
      </w:r>
      <w:r w:rsidR="00195411">
        <w:rPr>
          <w:rFonts w:ascii="宋体" w:hAnsi="宋体" w:hint="eastAsia"/>
          <w:sz w:val="24"/>
        </w:rPr>
        <w:t>等三方面</w:t>
      </w:r>
      <w:r w:rsidR="00430A39">
        <w:rPr>
          <w:rFonts w:ascii="宋体" w:hAnsi="宋体" w:hint="eastAsia"/>
          <w:sz w:val="24"/>
        </w:rPr>
        <w:t>从投资者、基金管理机构、监管部门这三个角度提出了相关建议，有利于</w:t>
      </w:r>
      <w:r w:rsidR="00430A39" w:rsidRPr="00430A39">
        <w:rPr>
          <w:rFonts w:ascii="宋体" w:hAnsi="宋体" w:hint="eastAsia"/>
          <w:sz w:val="24"/>
        </w:rPr>
        <w:t>监管机构与市场各方将社会经济责任纳入资本市场投资决策框架</w:t>
      </w:r>
      <w:r w:rsidR="00430A39">
        <w:rPr>
          <w:rFonts w:ascii="宋体" w:hAnsi="宋体" w:hint="eastAsia"/>
          <w:sz w:val="24"/>
        </w:rPr>
        <w:t>。</w:t>
      </w:r>
    </w:p>
    <w:p w14:paraId="5727F53A" w14:textId="569EF9AF" w:rsidR="00430A39" w:rsidRPr="001D37B8" w:rsidRDefault="00430A39">
      <w:pPr>
        <w:spacing w:line="360" w:lineRule="auto"/>
        <w:ind w:firstLineChars="200" w:firstLine="482"/>
        <w:rPr>
          <w:rFonts w:ascii="宋体" w:hAnsi="宋体"/>
          <w:sz w:val="24"/>
        </w:rPr>
      </w:pPr>
      <w:r w:rsidRPr="00AB3FB2">
        <w:rPr>
          <w:rFonts w:ascii="黑体" w:eastAsia="黑体" w:hAnsi="黑体" w:hint="eastAsia"/>
          <w:b/>
          <w:bCs/>
          <w:sz w:val="24"/>
          <w:szCs w:val="24"/>
        </w:rPr>
        <w:t>关键词</w:t>
      </w:r>
      <w:r>
        <w:rPr>
          <w:rFonts w:ascii="宋体" w:hAnsi="宋体" w:hint="eastAsia"/>
          <w:sz w:val="24"/>
        </w:rPr>
        <w:t>：碳中和</w:t>
      </w:r>
      <w:r w:rsidR="00D7614C">
        <w:rPr>
          <w:rFonts w:ascii="宋体" w:hAnsi="宋体" w:hint="eastAsia"/>
          <w:sz w:val="24"/>
        </w:rPr>
        <w:t>；</w:t>
      </w:r>
      <w:r>
        <w:rPr>
          <w:rFonts w:ascii="宋体" w:hAnsi="宋体" w:hint="eastAsia"/>
          <w:sz w:val="24"/>
        </w:rPr>
        <w:t>ESG投资</w:t>
      </w:r>
      <w:r w:rsidR="00D7614C">
        <w:rPr>
          <w:rFonts w:ascii="宋体" w:hAnsi="宋体" w:hint="eastAsia"/>
          <w:sz w:val="24"/>
        </w:rPr>
        <w:t>；</w:t>
      </w:r>
      <w:r>
        <w:rPr>
          <w:rFonts w:ascii="宋体" w:hAnsi="宋体" w:hint="eastAsia"/>
          <w:sz w:val="24"/>
        </w:rPr>
        <w:t>基金绩效评价</w:t>
      </w:r>
    </w:p>
    <w:p w14:paraId="32F78E29" w14:textId="77777777" w:rsidR="004912D7" w:rsidRDefault="004912D7" w:rsidP="00AB3FB2">
      <w:pPr>
        <w:spacing w:line="360" w:lineRule="auto"/>
        <w:ind w:firstLineChars="200" w:firstLine="480"/>
        <w:jc w:val="center"/>
        <w:rPr>
          <w:rFonts w:ascii="宋体" w:hAnsi="宋体"/>
          <w:color w:val="FF0000"/>
          <w:sz w:val="24"/>
        </w:rPr>
      </w:pPr>
    </w:p>
    <w:p w14:paraId="5E15776F" w14:textId="77777777" w:rsidR="004912D7" w:rsidRDefault="004912D7">
      <w:pPr>
        <w:spacing w:beforeLines="50" w:before="156" w:afterLines="50" w:after="156" w:line="300" w:lineRule="auto"/>
      </w:pPr>
    </w:p>
    <w:p w14:paraId="7893D488" w14:textId="2E18F649" w:rsidR="004912D7" w:rsidRDefault="004912D7" w:rsidP="001B02B5">
      <w:pPr>
        <w:pStyle w:val="11"/>
        <w:rPr>
          <w:color w:val="FF0000"/>
          <w:sz w:val="24"/>
        </w:rPr>
      </w:pPr>
      <w:r>
        <w:rPr>
          <w:sz w:val="24"/>
        </w:rPr>
        <w:br w:type="page"/>
      </w:r>
      <w:bookmarkStart w:id="4" w:name="_Toc105023890"/>
      <w:r>
        <w:lastRenderedPageBreak/>
        <w:t>Abstract</w:t>
      </w:r>
      <w:bookmarkEnd w:id="4"/>
    </w:p>
    <w:p w14:paraId="3E1DBCC2" w14:textId="19BC3BEC" w:rsidR="00E77594" w:rsidRPr="00E77594" w:rsidRDefault="00E77594" w:rsidP="00E77594">
      <w:pPr>
        <w:spacing w:line="360" w:lineRule="auto"/>
        <w:ind w:firstLineChars="200" w:firstLine="480"/>
        <w:rPr>
          <w:color w:val="000000"/>
          <w:kern w:val="0"/>
          <w:sz w:val="24"/>
          <w:szCs w:val="24"/>
        </w:rPr>
      </w:pPr>
      <w:r w:rsidRPr="00E77594">
        <w:rPr>
          <w:color w:val="000000"/>
          <w:kern w:val="0"/>
          <w:sz w:val="24"/>
          <w:szCs w:val="24"/>
        </w:rPr>
        <w:t>In 2020, China formally proposed the strategic goals of carbon peaking by 2030 and carbon neutrality by 2060. The proposed goals mean that future policy support for the development of a green economy will be significantly increased, which will lead to a significant acceleration of the structural change of the domestic real industry, and the greening and digital transformation of the real economy will also become the medium and long-term layout direction of the capital market. At the same time, ESG investment concept has gradually received widespread attention from academia and the industry, and this new investment model has opened up a new direction for the development of CSR in China, which is favoured by more and more investors.</w:t>
      </w:r>
    </w:p>
    <w:p w14:paraId="15DF2AFB" w14:textId="4EEDE8B0" w:rsidR="00E77594" w:rsidRPr="00E77594" w:rsidRDefault="00E77594" w:rsidP="00E77594">
      <w:pPr>
        <w:spacing w:line="360" w:lineRule="auto"/>
        <w:ind w:firstLineChars="200" w:firstLine="480"/>
        <w:rPr>
          <w:color w:val="000000"/>
          <w:kern w:val="0"/>
          <w:sz w:val="24"/>
          <w:szCs w:val="24"/>
        </w:rPr>
      </w:pPr>
      <w:r w:rsidRPr="00E77594">
        <w:rPr>
          <w:color w:val="000000"/>
          <w:kern w:val="0"/>
          <w:sz w:val="24"/>
          <w:szCs w:val="24"/>
        </w:rPr>
        <w:t>As a carrier of capital market investment, the layout of the fund has also been influenced by the carbon neutral policy. This paper will establish an evaluation system for fund performance in the context of carbon neutrality in conjunction with the ESG evaluation system, and retrace the reasons for the fund's overall performance score.</w:t>
      </w:r>
      <w:r w:rsidR="004D0F96" w:rsidRPr="004D0F96">
        <w:t xml:space="preserve"> </w:t>
      </w:r>
      <w:r w:rsidR="004D0F96" w:rsidRPr="004D0F96">
        <w:rPr>
          <w:color w:val="000000"/>
          <w:kern w:val="0"/>
          <w:sz w:val="24"/>
          <w:szCs w:val="24"/>
        </w:rPr>
        <w:t>Promoting ESG investment is an important guarantee to achieve carbon peak and carbon neutralization. Although carbon peak and ESG are two independent themes, they are closely related.</w:t>
      </w:r>
    </w:p>
    <w:p w14:paraId="2D80A41E" w14:textId="77777777" w:rsidR="00E77594" w:rsidRPr="00E77594" w:rsidRDefault="00E77594" w:rsidP="00E77594">
      <w:pPr>
        <w:spacing w:line="360" w:lineRule="auto"/>
        <w:ind w:firstLineChars="200" w:firstLine="480"/>
        <w:rPr>
          <w:color w:val="000000"/>
          <w:kern w:val="0"/>
          <w:sz w:val="24"/>
          <w:szCs w:val="24"/>
        </w:rPr>
      </w:pPr>
      <w:r w:rsidRPr="00E77594">
        <w:rPr>
          <w:color w:val="000000"/>
          <w:kern w:val="0"/>
          <w:sz w:val="24"/>
          <w:szCs w:val="24"/>
        </w:rPr>
        <w:t xml:space="preserve">This paper first summarises and composes fund performance evaluation theories and collates traditional fund performance evaluation indicators, including nine indicators such as return standard deviation, annualised volatility, unsystematic risk, maximum retracement, stock selection ability, tracking error, information ratio, years of establishment and fund size, and then selects carbon neutrality indicators, fund E environmental score, fund S social score, fund G governance score, long position stock 6 indicators were selected according to the characteristics of this paper, including carbon neutral indicator, fund E environmental score, fund S social score, fund G governance score, long position share to fund market capitalisation, long position share ESG score. The above 15 indicators were used as raw data for principal component factor analysis to derive five principal component factors with eigenvalues greater than or equal to one, and </w:t>
      </w:r>
      <w:r w:rsidRPr="00E77594">
        <w:rPr>
          <w:color w:val="000000"/>
          <w:kern w:val="0"/>
          <w:sz w:val="24"/>
          <w:szCs w:val="24"/>
        </w:rPr>
        <w:lastRenderedPageBreak/>
        <w:t>the factor loadings of these five principal component factors were used as weights for the performance composite score analysis. It was concluded that the overall performance of carbon neutral funds was on average higher than that of non-carbon neutral funds. The paper then retraces the reasons for the funds' excess returns through a logistic regression analysis of the full sample. Finally, recommendations are made from three perspectives - investors, fund managers and regulators - based on three aspects: external risk, fund structure and fund ESG attributes, which are conducive to the incorporation of socio-economic responsibility into the capital market investment decision-making framework by regulators and market parties.</w:t>
      </w:r>
    </w:p>
    <w:p w14:paraId="045A729F" w14:textId="3DDBE311" w:rsidR="004912D7" w:rsidRDefault="004912D7">
      <w:pPr>
        <w:spacing w:line="300" w:lineRule="auto"/>
        <w:rPr>
          <w:b/>
          <w:sz w:val="24"/>
        </w:rPr>
      </w:pPr>
      <w:r>
        <w:rPr>
          <w:b/>
          <w:sz w:val="24"/>
        </w:rPr>
        <w:t>Key Words</w:t>
      </w:r>
      <w:r>
        <w:rPr>
          <w:b/>
          <w:sz w:val="24"/>
        </w:rPr>
        <w:t>：</w:t>
      </w:r>
      <w:r w:rsidR="00E77594" w:rsidRPr="00E77594">
        <w:rPr>
          <w:color w:val="000000"/>
          <w:kern w:val="0"/>
          <w:sz w:val="24"/>
        </w:rPr>
        <w:t xml:space="preserve">Carbon Neutral </w:t>
      </w:r>
      <w:r w:rsidR="00E77594">
        <w:rPr>
          <w:color w:val="000000"/>
          <w:kern w:val="0"/>
          <w:sz w:val="24"/>
        </w:rPr>
        <w:t>;</w:t>
      </w:r>
      <w:r w:rsidR="00E77594" w:rsidRPr="00E77594">
        <w:rPr>
          <w:color w:val="000000"/>
          <w:kern w:val="0"/>
          <w:sz w:val="24"/>
        </w:rPr>
        <w:t>ESG Investment</w:t>
      </w:r>
      <w:r w:rsidR="00E77594">
        <w:rPr>
          <w:color w:val="000000"/>
          <w:kern w:val="0"/>
          <w:sz w:val="24"/>
        </w:rPr>
        <w:t xml:space="preserve"> ;</w:t>
      </w:r>
      <w:r w:rsidR="00E77594" w:rsidRPr="00E77594">
        <w:rPr>
          <w:color w:val="000000"/>
          <w:kern w:val="0"/>
          <w:sz w:val="24"/>
        </w:rPr>
        <w:t>Fund Performance Evaluation</w:t>
      </w:r>
    </w:p>
    <w:p w14:paraId="23617986" w14:textId="77777777" w:rsidR="004912D7" w:rsidRDefault="004912D7">
      <w:pPr>
        <w:rPr>
          <w:sz w:val="24"/>
        </w:rPr>
      </w:pPr>
    </w:p>
    <w:p w14:paraId="6D7FC6E5" w14:textId="77777777" w:rsidR="004912D7" w:rsidRPr="00E77594" w:rsidRDefault="004912D7">
      <w:pPr>
        <w:rPr>
          <w:sz w:val="24"/>
        </w:rPr>
      </w:pPr>
    </w:p>
    <w:p w14:paraId="59FE2864" w14:textId="77777777" w:rsidR="004912D7" w:rsidRDefault="004912D7">
      <w:pPr>
        <w:rPr>
          <w:sz w:val="24"/>
        </w:rPr>
      </w:pPr>
    </w:p>
    <w:p w14:paraId="06605F12" w14:textId="77777777" w:rsidR="004912D7" w:rsidRPr="00E77594" w:rsidRDefault="004912D7">
      <w:pPr>
        <w:rPr>
          <w:sz w:val="24"/>
        </w:rPr>
      </w:pPr>
    </w:p>
    <w:p w14:paraId="3A2BE7BE" w14:textId="77777777" w:rsidR="004912D7" w:rsidRDefault="004912D7">
      <w:pPr>
        <w:rPr>
          <w:sz w:val="24"/>
        </w:rPr>
      </w:pPr>
    </w:p>
    <w:p w14:paraId="41663253" w14:textId="77777777" w:rsidR="004912D7" w:rsidRDefault="004912D7">
      <w:pPr>
        <w:rPr>
          <w:sz w:val="24"/>
        </w:rPr>
      </w:pPr>
    </w:p>
    <w:p w14:paraId="08A56CE0" w14:textId="77777777" w:rsidR="004912D7" w:rsidRDefault="004912D7">
      <w:pPr>
        <w:rPr>
          <w:sz w:val="24"/>
        </w:rPr>
      </w:pPr>
    </w:p>
    <w:p w14:paraId="4D4E953B" w14:textId="77777777" w:rsidR="004912D7" w:rsidRDefault="004912D7">
      <w:pPr>
        <w:rPr>
          <w:sz w:val="24"/>
        </w:rPr>
      </w:pPr>
    </w:p>
    <w:p w14:paraId="5ABFD9B0" w14:textId="77777777" w:rsidR="004912D7" w:rsidRDefault="004912D7">
      <w:pPr>
        <w:rPr>
          <w:sz w:val="24"/>
        </w:rPr>
      </w:pPr>
    </w:p>
    <w:p w14:paraId="0D0F2C4D" w14:textId="77777777" w:rsidR="004912D7" w:rsidRDefault="004912D7">
      <w:pPr>
        <w:rPr>
          <w:sz w:val="24"/>
        </w:rPr>
      </w:pPr>
    </w:p>
    <w:p w14:paraId="1A234703" w14:textId="77777777" w:rsidR="004912D7" w:rsidRDefault="004912D7">
      <w:pPr>
        <w:rPr>
          <w:sz w:val="24"/>
        </w:rPr>
      </w:pPr>
    </w:p>
    <w:p w14:paraId="56680B0A" w14:textId="77777777" w:rsidR="004912D7" w:rsidRDefault="004912D7">
      <w:pPr>
        <w:rPr>
          <w:sz w:val="24"/>
        </w:rPr>
      </w:pPr>
    </w:p>
    <w:p w14:paraId="707C6D60" w14:textId="77777777" w:rsidR="004912D7" w:rsidRDefault="004912D7">
      <w:pPr>
        <w:rPr>
          <w:sz w:val="24"/>
        </w:rPr>
      </w:pPr>
    </w:p>
    <w:p w14:paraId="707CE78B" w14:textId="77777777" w:rsidR="004912D7" w:rsidRDefault="004912D7">
      <w:pPr>
        <w:rPr>
          <w:sz w:val="24"/>
        </w:rPr>
      </w:pPr>
    </w:p>
    <w:p w14:paraId="02CBC074" w14:textId="77777777" w:rsidR="004912D7" w:rsidRDefault="004912D7">
      <w:pPr>
        <w:tabs>
          <w:tab w:val="left" w:pos="2985"/>
        </w:tabs>
        <w:rPr>
          <w:sz w:val="24"/>
        </w:rPr>
      </w:pPr>
      <w:r>
        <w:rPr>
          <w:sz w:val="24"/>
        </w:rPr>
        <w:tab/>
      </w:r>
    </w:p>
    <w:p w14:paraId="5DA2C67B" w14:textId="77777777" w:rsidR="004912D7" w:rsidRDefault="004912D7">
      <w:pPr>
        <w:rPr>
          <w:sz w:val="24"/>
        </w:rPr>
      </w:pPr>
    </w:p>
    <w:p w14:paraId="48A53A32" w14:textId="77777777" w:rsidR="004912D7" w:rsidRDefault="004912D7">
      <w:pPr>
        <w:rPr>
          <w:sz w:val="24"/>
        </w:rPr>
      </w:pPr>
    </w:p>
    <w:p w14:paraId="05B67505" w14:textId="77777777" w:rsidR="004912D7" w:rsidRDefault="004912D7">
      <w:pPr>
        <w:rPr>
          <w:sz w:val="24"/>
        </w:rPr>
      </w:pPr>
    </w:p>
    <w:p w14:paraId="43B40706" w14:textId="77777777" w:rsidR="004912D7" w:rsidRDefault="004912D7">
      <w:pPr>
        <w:rPr>
          <w:sz w:val="24"/>
        </w:rPr>
      </w:pPr>
    </w:p>
    <w:p w14:paraId="6C7E5296" w14:textId="77777777" w:rsidR="004912D7" w:rsidRDefault="004912D7">
      <w:pPr>
        <w:rPr>
          <w:sz w:val="24"/>
        </w:rPr>
      </w:pPr>
    </w:p>
    <w:p w14:paraId="4533236D" w14:textId="77777777" w:rsidR="004912D7" w:rsidRDefault="004912D7">
      <w:pPr>
        <w:rPr>
          <w:sz w:val="24"/>
        </w:rPr>
      </w:pPr>
    </w:p>
    <w:p w14:paraId="55E2EBD5" w14:textId="77777777" w:rsidR="004912D7" w:rsidRDefault="004912D7">
      <w:pPr>
        <w:rPr>
          <w:sz w:val="24"/>
        </w:rPr>
      </w:pPr>
    </w:p>
    <w:p w14:paraId="7D7E1F0B" w14:textId="77777777" w:rsidR="004912D7" w:rsidRDefault="004912D7">
      <w:pPr>
        <w:rPr>
          <w:sz w:val="24"/>
        </w:rPr>
      </w:pPr>
    </w:p>
    <w:p w14:paraId="6A79F2F0" w14:textId="390DCED3" w:rsidR="004912D7" w:rsidRDefault="004912D7"/>
    <w:p w14:paraId="61C44CEB" w14:textId="42C7AC29" w:rsidR="0093225D" w:rsidRDefault="0093225D"/>
    <w:p w14:paraId="0124841B" w14:textId="70FDB627" w:rsidR="0093225D" w:rsidRDefault="0093225D"/>
    <w:p w14:paraId="5041FB64" w14:textId="2DC414D3" w:rsidR="0093225D" w:rsidRDefault="0093225D"/>
    <w:p w14:paraId="3451B86F" w14:textId="2A7AD060" w:rsidR="0093225D" w:rsidRDefault="0093225D"/>
    <w:p w14:paraId="4498C42C" w14:textId="77777777" w:rsidR="008C52D4" w:rsidRDefault="008C52D4"/>
    <w:p w14:paraId="4ABC0B9A" w14:textId="77777777" w:rsidR="009274CD" w:rsidRDefault="009274CD"/>
    <w:p w14:paraId="314633B3" w14:textId="77777777" w:rsidR="00340D1E" w:rsidRPr="00340D1E" w:rsidRDefault="00340D1E" w:rsidP="00340D1E">
      <w:pPr>
        <w:pStyle w:val="TOC"/>
        <w:jc w:val="center"/>
        <w:rPr>
          <w:rFonts w:ascii="黑体" w:eastAsia="黑体" w:hAnsi="黑体"/>
          <w:b/>
          <w:bCs/>
          <w:color w:val="auto"/>
          <w:sz w:val="36"/>
          <w:szCs w:val="36"/>
        </w:rPr>
      </w:pPr>
      <w:r w:rsidRPr="00340D1E">
        <w:rPr>
          <w:rFonts w:ascii="黑体" w:eastAsia="黑体" w:hAnsi="黑体"/>
          <w:b/>
          <w:bCs/>
          <w:color w:val="auto"/>
          <w:sz w:val="36"/>
          <w:szCs w:val="36"/>
          <w:lang w:val="zh-CN"/>
        </w:rPr>
        <w:lastRenderedPageBreak/>
        <w:t>目录</w:t>
      </w:r>
    </w:p>
    <w:p w14:paraId="0D33F37D" w14:textId="03F9C84D" w:rsidR="006B2112" w:rsidRDefault="004E58DB">
      <w:pPr>
        <w:pStyle w:val="TOC1"/>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105023889" w:history="1">
        <w:r w:rsidR="006B2112" w:rsidRPr="00FA67E1">
          <w:rPr>
            <w:rStyle w:val="a7"/>
            <w:noProof/>
          </w:rPr>
          <w:t>摘要</w:t>
        </w:r>
        <w:r w:rsidR="006B2112">
          <w:rPr>
            <w:noProof/>
            <w:webHidden/>
          </w:rPr>
          <w:tab/>
        </w:r>
        <w:r w:rsidR="006B2112">
          <w:rPr>
            <w:noProof/>
            <w:webHidden/>
          </w:rPr>
          <w:fldChar w:fldCharType="begin"/>
        </w:r>
        <w:r w:rsidR="006B2112">
          <w:rPr>
            <w:noProof/>
            <w:webHidden/>
          </w:rPr>
          <w:instrText xml:space="preserve"> PAGEREF _Toc105023889 \h </w:instrText>
        </w:r>
        <w:r w:rsidR="006B2112">
          <w:rPr>
            <w:noProof/>
            <w:webHidden/>
          </w:rPr>
        </w:r>
        <w:r w:rsidR="006B2112">
          <w:rPr>
            <w:noProof/>
            <w:webHidden/>
          </w:rPr>
          <w:fldChar w:fldCharType="separate"/>
        </w:r>
        <w:r w:rsidR="006B2112">
          <w:rPr>
            <w:noProof/>
            <w:webHidden/>
          </w:rPr>
          <w:t>2</w:t>
        </w:r>
        <w:r w:rsidR="006B2112">
          <w:rPr>
            <w:noProof/>
            <w:webHidden/>
          </w:rPr>
          <w:fldChar w:fldCharType="end"/>
        </w:r>
      </w:hyperlink>
    </w:p>
    <w:p w14:paraId="1D10AA0D" w14:textId="0CACD566" w:rsidR="006B2112" w:rsidRDefault="00EE33E9">
      <w:pPr>
        <w:pStyle w:val="TOC1"/>
        <w:rPr>
          <w:rFonts w:asciiTheme="minorHAnsi" w:eastAsiaTheme="minorEastAsia" w:hAnsiTheme="minorHAnsi" w:cstheme="minorBidi"/>
          <w:b w:val="0"/>
          <w:noProof/>
          <w:sz w:val="21"/>
          <w:szCs w:val="22"/>
        </w:rPr>
      </w:pPr>
      <w:hyperlink w:anchor="_Toc105023890" w:history="1">
        <w:r w:rsidR="006B2112" w:rsidRPr="00FA67E1">
          <w:rPr>
            <w:rStyle w:val="a7"/>
            <w:noProof/>
          </w:rPr>
          <w:t>Abstract</w:t>
        </w:r>
        <w:r w:rsidR="006B2112">
          <w:rPr>
            <w:noProof/>
            <w:webHidden/>
          </w:rPr>
          <w:tab/>
        </w:r>
        <w:r w:rsidR="006B2112">
          <w:rPr>
            <w:noProof/>
            <w:webHidden/>
          </w:rPr>
          <w:fldChar w:fldCharType="begin"/>
        </w:r>
        <w:r w:rsidR="006B2112">
          <w:rPr>
            <w:noProof/>
            <w:webHidden/>
          </w:rPr>
          <w:instrText xml:space="preserve"> PAGEREF _Toc105023890 \h </w:instrText>
        </w:r>
        <w:r w:rsidR="006B2112">
          <w:rPr>
            <w:noProof/>
            <w:webHidden/>
          </w:rPr>
        </w:r>
        <w:r w:rsidR="006B2112">
          <w:rPr>
            <w:noProof/>
            <w:webHidden/>
          </w:rPr>
          <w:fldChar w:fldCharType="separate"/>
        </w:r>
        <w:r w:rsidR="006B2112">
          <w:rPr>
            <w:noProof/>
            <w:webHidden/>
          </w:rPr>
          <w:t>3</w:t>
        </w:r>
        <w:r w:rsidR="006B2112">
          <w:rPr>
            <w:noProof/>
            <w:webHidden/>
          </w:rPr>
          <w:fldChar w:fldCharType="end"/>
        </w:r>
      </w:hyperlink>
    </w:p>
    <w:p w14:paraId="23586B92" w14:textId="25D7A263" w:rsidR="006B2112" w:rsidRDefault="00EE33E9">
      <w:pPr>
        <w:pStyle w:val="TOC1"/>
        <w:rPr>
          <w:rFonts w:asciiTheme="minorHAnsi" w:eastAsiaTheme="minorEastAsia" w:hAnsiTheme="minorHAnsi" w:cstheme="minorBidi"/>
          <w:b w:val="0"/>
          <w:noProof/>
          <w:sz w:val="21"/>
          <w:szCs w:val="22"/>
        </w:rPr>
      </w:pPr>
      <w:hyperlink w:anchor="_Toc105023891" w:history="1">
        <w:r w:rsidR="006B2112" w:rsidRPr="00FA67E1">
          <w:rPr>
            <w:rStyle w:val="a7"/>
            <w:noProof/>
          </w:rPr>
          <w:t>1</w:t>
        </w:r>
        <w:r w:rsidR="006B2112" w:rsidRPr="00FA67E1">
          <w:rPr>
            <w:rStyle w:val="a7"/>
            <w:noProof/>
          </w:rPr>
          <w:t>绪论</w:t>
        </w:r>
        <w:r w:rsidR="006B2112">
          <w:rPr>
            <w:noProof/>
            <w:webHidden/>
          </w:rPr>
          <w:tab/>
        </w:r>
        <w:r w:rsidR="006B2112">
          <w:rPr>
            <w:noProof/>
            <w:webHidden/>
          </w:rPr>
          <w:fldChar w:fldCharType="begin"/>
        </w:r>
        <w:r w:rsidR="006B2112">
          <w:rPr>
            <w:noProof/>
            <w:webHidden/>
          </w:rPr>
          <w:instrText xml:space="preserve"> PAGEREF _Toc105023891 \h </w:instrText>
        </w:r>
        <w:r w:rsidR="006B2112">
          <w:rPr>
            <w:noProof/>
            <w:webHidden/>
          </w:rPr>
        </w:r>
        <w:r w:rsidR="006B2112">
          <w:rPr>
            <w:noProof/>
            <w:webHidden/>
          </w:rPr>
          <w:fldChar w:fldCharType="separate"/>
        </w:r>
        <w:r w:rsidR="006B2112">
          <w:rPr>
            <w:noProof/>
            <w:webHidden/>
          </w:rPr>
          <w:t>1</w:t>
        </w:r>
        <w:r w:rsidR="006B2112">
          <w:rPr>
            <w:noProof/>
            <w:webHidden/>
          </w:rPr>
          <w:fldChar w:fldCharType="end"/>
        </w:r>
      </w:hyperlink>
    </w:p>
    <w:p w14:paraId="12239862" w14:textId="1C80943B" w:rsidR="006B2112" w:rsidRDefault="00EE33E9">
      <w:pPr>
        <w:pStyle w:val="TOC2"/>
        <w:tabs>
          <w:tab w:val="right" w:leader="middleDot" w:pos="8494"/>
        </w:tabs>
        <w:rPr>
          <w:rFonts w:asciiTheme="minorHAnsi" w:eastAsiaTheme="minorEastAsia" w:hAnsiTheme="minorHAnsi" w:cstheme="minorBidi"/>
          <w:noProof/>
          <w:kern w:val="2"/>
          <w:sz w:val="21"/>
        </w:rPr>
      </w:pPr>
      <w:hyperlink w:anchor="_Toc105023892" w:history="1">
        <w:r w:rsidR="006B2112" w:rsidRPr="00FA67E1">
          <w:rPr>
            <w:rStyle w:val="a7"/>
            <w:noProof/>
          </w:rPr>
          <w:t>1.1研究背景和意义</w:t>
        </w:r>
        <w:r w:rsidR="006B2112">
          <w:rPr>
            <w:noProof/>
            <w:webHidden/>
          </w:rPr>
          <w:tab/>
        </w:r>
        <w:r w:rsidR="006B2112">
          <w:rPr>
            <w:noProof/>
            <w:webHidden/>
          </w:rPr>
          <w:fldChar w:fldCharType="begin"/>
        </w:r>
        <w:r w:rsidR="006B2112">
          <w:rPr>
            <w:noProof/>
            <w:webHidden/>
          </w:rPr>
          <w:instrText xml:space="preserve"> PAGEREF _Toc105023892 \h </w:instrText>
        </w:r>
        <w:r w:rsidR="006B2112">
          <w:rPr>
            <w:noProof/>
            <w:webHidden/>
          </w:rPr>
        </w:r>
        <w:r w:rsidR="006B2112">
          <w:rPr>
            <w:noProof/>
            <w:webHidden/>
          </w:rPr>
          <w:fldChar w:fldCharType="separate"/>
        </w:r>
        <w:r w:rsidR="006B2112">
          <w:rPr>
            <w:noProof/>
            <w:webHidden/>
          </w:rPr>
          <w:t>1</w:t>
        </w:r>
        <w:r w:rsidR="006B2112">
          <w:rPr>
            <w:noProof/>
            <w:webHidden/>
          </w:rPr>
          <w:fldChar w:fldCharType="end"/>
        </w:r>
      </w:hyperlink>
    </w:p>
    <w:p w14:paraId="7A99A0FE" w14:textId="67C5C334"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893" w:history="1">
        <w:r w:rsidR="006B2112" w:rsidRPr="00FA67E1">
          <w:rPr>
            <w:rStyle w:val="a7"/>
            <w:noProof/>
          </w:rPr>
          <w:t>1.1.1研究背景</w:t>
        </w:r>
        <w:r w:rsidR="006B2112">
          <w:rPr>
            <w:noProof/>
            <w:webHidden/>
          </w:rPr>
          <w:tab/>
        </w:r>
        <w:r w:rsidR="006B2112">
          <w:rPr>
            <w:noProof/>
            <w:webHidden/>
          </w:rPr>
          <w:fldChar w:fldCharType="begin"/>
        </w:r>
        <w:r w:rsidR="006B2112">
          <w:rPr>
            <w:noProof/>
            <w:webHidden/>
          </w:rPr>
          <w:instrText xml:space="preserve"> PAGEREF _Toc105023893 \h </w:instrText>
        </w:r>
        <w:r w:rsidR="006B2112">
          <w:rPr>
            <w:noProof/>
            <w:webHidden/>
          </w:rPr>
        </w:r>
        <w:r w:rsidR="006B2112">
          <w:rPr>
            <w:noProof/>
            <w:webHidden/>
          </w:rPr>
          <w:fldChar w:fldCharType="separate"/>
        </w:r>
        <w:r w:rsidR="006B2112">
          <w:rPr>
            <w:noProof/>
            <w:webHidden/>
          </w:rPr>
          <w:t>1</w:t>
        </w:r>
        <w:r w:rsidR="006B2112">
          <w:rPr>
            <w:noProof/>
            <w:webHidden/>
          </w:rPr>
          <w:fldChar w:fldCharType="end"/>
        </w:r>
      </w:hyperlink>
    </w:p>
    <w:p w14:paraId="72C235B8" w14:textId="6201F58F"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894" w:history="1">
        <w:r w:rsidR="006B2112" w:rsidRPr="00FA67E1">
          <w:rPr>
            <w:rStyle w:val="a7"/>
            <w:noProof/>
          </w:rPr>
          <w:t>1.1.2研究意义</w:t>
        </w:r>
        <w:r w:rsidR="006B2112">
          <w:rPr>
            <w:noProof/>
            <w:webHidden/>
          </w:rPr>
          <w:tab/>
        </w:r>
        <w:r w:rsidR="006B2112">
          <w:rPr>
            <w:noProof/>
            <w:webHidden/>
          </w:rPr>
          <w:fldChar w:fldCharType="begin"/>
        </w:r>
        <w:r w:rsidR="006B2112">
          <w:rPr>
            <w:noProof/>
            <w:webHidden/>
          </w:rPr>
          <w:instrText xml:space="preserve"> PAGEREF _Toc105023894 \h </w:instrText>
        </w:r>
        <w:r w:rsidR="006B2112">
          <w:rPr>
            <w:noProof/>
            <w:webHidden/>
          </w:rPr>
        </w:r>
        <w:r w:rsidR="006B2112">
          <w:rPr>
            <w:noProof/>
            <w:webHidden/>
          </w:rPr>
          <w:fldChar w:fldCharType="separate"/>
        </w:r>
        <w:r w:rsidR="006B2112">
          <w:rPr>
            <w:noProof/>
            <w:webHidden/>
          </w:rPr>
          <w:t>2</w:t>
        </w:r>
        <w:r w:rsidR="006B2112">
          <w:rPr>
            <w:noProof/>
            <w:webHidden/>
          </w:rPr>
          <w:fldChar w:fldCharType="end"/>
        </w:r>
      </w:hyperlink>
    </w:p>
    <w:p w14:paraId="1F93C104" w14:textId="34BD7BD8" w:rsidR="006B2112" w:rsidRDefault="00EE33E9">
      <w:pPr>
        <w:pStyle w:val="TOC2"/>
        <w:tabs>
          <w:tab w:val="right" w:leader="middleDot" w:pos="8494"/>
        </w:tabs>
        <w:rPr>
          <w:rFonts w:asciiTheme="minorHAnsi" w:eastAsiaTheme="minorEastAsia" w:hAnsiTheme="minorHAnsi" w:cstheme="minorBidi"/>
          <w:noProof/>
          <w:kern w:val="2"/>
          <w:sz w:val="21"/>
        </w:rPr>
      </w:pPr>
      <w:hyperlink w:anchor="_Toc105023895" w:history="1">
        <w:r w:rsidR="006B2112" w:rsidRPr="00FA67E1">
          <w:rPr>
            <w:rStyle w:val="a7"/>
            <w:noProof/>
          </w:rPr>
          <w:t>1.2研究内容和方法</w:t>
        </w:r>
        <w:r w:rsidR="006B2112">
          <w:rPr>
            <w:noProof/>
            <w:webHidden/>
          </w:rPr>
          <w:tab/>
        </w:r>
        <w:r w:rsidR="006B2112">
          <w:rPr>
            <w:noProof/>
            <w:webHidden/>
          </w:rPr>
          <w:fldChar w:fldCharType="begin"/>
        </w:r>
        <w:r w:rsidR="006B2112">
          <w:rPr>
            <w:noProof/>
            <w:webHidden/>
          </w:rPr>
          <w:instrText xml:space="preserve"> PAGEREF _Toc105023895 \h </w:instrText>
        </w:r>
        <w:r w:rsidR="006B2112">
          <w:rPr>
            <w:noProof/>
            <w:webHidden/>
          </w:rPr>
        </w:r>
        <w:r w:rsidR="006B2112">
          <w:rPr>
            <w:noProof/>
            <w:webHidden/>
          </w:rPr>
          <w:fldChar w:fldCharType="separate"/>
        </w:r>
        <w:r w:rsidR="006B2112">
          <w:rPr>
            <w:noProof/>
            <w:webHidden/>
          </w:rPr>
          <w:t>3</w:t>
        </w:r>
        <w:r w:rsidR="006B2112">
          <w:rPr>
            <w:noProof/>
            <w:webHidden/>
          </w:rPr>
          <w:fldChar w:fldCharType="end"/>
        </w:r>
      </w:hyperlink>
    </w:p>
    <w:p w14:paraId="026082F6" w14:textId="41961319"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896" w:history="1">
        <w:r w:rsidR="006B2112" w:rsidRPr="00FA67E1">
          <w:rPr>
            <w:rStyle w:val="a7"/>
            <w:noProof/>
          </w:rPr>
          <w:t>1.2.1研究内容</w:t>
        </w:r>
        <w:r w:rsidR="006B2112">
          <w:rPr>
            <w:noProof/>
            <w:webHidden/>
          </w:rPr>
          <w:tab/>
        </w:r>
        <w:r w:rsidR="006B2112">
          <w:rPr>
            <w:noProof/>
            <w:webHidden/>
          </w:rPr>
          <w:fldChar w:fldCharType="begin"/>
        </w:r>
        <w:r w:rsidR="006B2112">
          <w:rPr>
            <w:noProof/>
            <w:webHidden/>
          </w:rPr>
          <w:instrText xml:space="preserve"> PAGEREF _Toc105023896 \h </w:instrText>
        </w:r>
        <w:r w:rsidR="006B2112">
          <w:rPr>
            <w:noProof/>
            <w:webHidden/>
          </w:rPr>
        </w:r>
        <w:r w:rsidR="006B2112">
          <w:rPr>
            <w:noProof/>
            <w:webHidden/>
          </w:rPr>
          <w:fldChar w:fldCharType="separate"/>
        </w:r>
        <w:r w:rsidR="006B2112">
          <w:rPr>
            <w:noProof/>
            <w:webHidden/>
          </w:rPr>
          <w:t>3</w:t>
        </w:r>
        <w:r w:rsidR="006B2112">
          <w:rPr>
            <w:noProof/>
            <w:webHidden/>
          </w:rPr>
          <w:fldChar w:fldCharType="end"/>
        </w:r>
      </w:hyperlink>
    </w:p>
    <w:p w14:paraId="4B8CB5F0" w14:textId="1BED98F6"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897" w:history="1">
        <w:r w:rsidR="006B2112" w:rsidRPr="00FA67E1">
          <w:rPr>
            <w:rStyle w:val="a7"/>
            <w:noProof/>
          </w:rPr>
          <w:t>1.2.2研究方法</w:t>
        </w:r>
        <w:r w:rsidR="006B2112">
          <w:rPr>
            <w:noProof/>
            <w:webHidden/>
          </w:rPr>
          <w:tab/>
        </w:r>
        <w:r w:rsidR="006B2112">
          <w:rPr>
            <w:noProof/>
            <w:webHidden/>
          </w:rPr>
          <w:fldChar w:fldCharType="begin"/>
        </w:r>
        <w:r w:rsidR="006B2112">
          <w:rPr>
            <w:noProof/>
            <w:webHidden/>
          </w:rPr>
          <w:instrText xml:space="preserve"> PAGEREF _Toc105023897 \h </w:instrText>
        </w:r>
        <w:r w:rsidR="006B2112">
          <w:rPr>
            <w:noProof/>
            <w:webHidden/>
          </w:rPr>
        </w:r>
        <w:r w:rsidR="006B2112">
          <w:rPr>
            <w:noProof/>
            <w:webHidden/>
          </w:rPr>
          <w:fldChar w:fldCharType="separate"/>
        </w:r>
        <w:r w:rsidR="006B2112">
          <w:rPr>
            <w:noProof/>
            <w:webHidden/>
          </w:rPr>
          <w:t>3</w:t>
        </w:r>
        <w:r w:rsidR="006B2112">
          <w:rPr>
            <w:noProof/>
            <w:webHidden/>
          </w:rPr>
          <w:fldChar w:fldCharType="end"/>
        </w:r>
      </w:hyperlink>
    </w:p>
    <w:p w14:paraId="702C9639" w14:textId="29F753AF"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898" w:history="1">
        <w:r w:rsidR="006B2112" w:rsidRPr="00FA67E1">
          <w:rPr>
            <w:rStyle w:val="a7"/>
            <w:noProof/>
          </w:rPr>
          <w:t>1.2.3研究方法的不足之处</w:t>
        </w:r>
        <w:r w:rsidR="006B2112">
          <w:rPr>
            <w:noProof/>
            <w:webHidden/>
          </w:rPr>
          <w:tab/>
        </w:r>
        <w:r w:rsidR="006B2112">
          <w:rPr>
            <w:noProof/>
            <w:webHidden/>
          </w:rPr>
          <w:fldChar w:fldCharType="begin"/>
        </w:r>
        <w:r w:rsidR="006B2112">
          <w:rPr>
            <w:noProof/>
            <w:webHidden/>
          </w:rPr>
          <w:instrText xml:space="preserve"> PAGEREF _Toc105023898 \h </w:instrText>
        </w:r>
        <w:r w:rsidR="006B2112">
          <w:rPr>
            <w:noProof/>
            <w:webHidden/>
          </w:rPr>
        </w:r>
        <w:r w:rsidR="006B2112">
          <w:rPr>
            <w:noProof/>
            <w:webHidden/>
          </w:rPr>
          <w:fldChar w:fldCharType="separate"/>
        </w:r>
        <w:r w:rsidR="006B2112">
          <w:rPr>
            <w:noProof/>
            <w:webHidden/>
          </w:rPr>
          <w:t>4</w:t>
        </w:r>
        <w:r w:rsidR="006B2112">
          <w:rPr>
            <w:noProof/>
            <w:webHidden/>
          </w:rPr>
          <w:fldChar w:fldCharType="end"/>
        </w:r>
      </w:hyperlink>
    </w:p>
    <w:p w14:paraId="798BF7F9" w14:textId="17CA06B4"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899" w:history="1">
        <w:r w:rsidR="006B2112" w:rsidRPr="00FA67E1">
          <w:rPr>
            <w:rStyle w:val="a7"/>
            <w:noProof/>
          </w:rPr>
          <w:t>1.2.4全文结构</w:t>
        </w:r>
        <w:r w:rsidR="006B2112">
          <w:rPr>
            <w:noProof/>
            <w:webHidden/>
          </w:rPr>
          <w:tab/>
        </w:r>
        <w:r w:rsidR="006B2112">
          <w:rPr>
            <w:noProof/>
            <w:webHidden/>
          </w:rPr>
          <w:fldChar w:fldCharType="begin"/>
        </w:r>
        <w:r w:rsidR="006B2112">
          <w:rPr>
            <w:noProof/>
            <w:webHidden/>
          </w:rPr>
          <w:instrText xml:space="preserve"> PAGEREF _Toc105023899 \h </w:instrText>
        </w:r>
        <w:r w:rsidR="006B2112">
          <w:rPr>
            <w:noProof/>
            <w:webHidden/>
          </w:rPr>
        </w:r>
        <w:r w:rsidR="006B2112">
          <w:rPr>
            <w:noProof/>
            <w:webHidden/>
          </w:rPr>
          <w:fldChar w:fldCharType="separate"/>
        </w:r>
        <w:r w:rsidR="006B2112">
          <w:rPr>
            <w:noProof/>
            <w:webHidden/>
          </w:rPr>
          <w:t>5</w:t>
        </w:r>
        <w:r w:rsidR="006B2112">
          <w:rPr>
            <w:noProof/>
            <w:webHidden/>
          </w:rPr>
          <w:fldChar w:fldCharType="end"/>
        </w:r>
      </w:hyperlink>
    </w:p>
    <w:p w14:paraId="09B5019F" w14:textId="4B20CF4D" w:rsidR="006B2112" w:rsidRDefault="00EE33E9">
      <w:pPr>
        <w:pStyle w:val="TOC1"/>
        <w:rPr>
          <w:rFonts w:asciiTheme="minorHAnsi" w:eastAsiaTheme="minorEastAsia" w:hAnsiTheme="minorHAnsi" w:cstheme="minorBidi"/>
          <w:b w:val="0"/>
          <w:noProof/>
          <w:sz w:val="21"/>
          <w:szCs w:val="22"/>
        </w:rPr>
      </w:pPr>
      <w:hyperlink w:anchor="_Toc105023900" w:history="1">
        <w:r w:rsidR="006B2112" w:rsidRPr="00FA67E1">
          <w:rPr>
            <w:rStyle w:val="a7"/>
            <w:noProof/>
          </w:rPr>
          <w:t>2</w:t>
        </w:r>
        <w:r w:rsidR="006B2112" w:rsidRPr="00FA67E1">
          <w:rPr>
            <w:rStyle w:val="a7"/>
            <w:noProof/>
          </w:rPr>
          <w:t>文献综述</w:t>
        </w:r>
        <w:r w:rsidR="006B2112">
          <w:rPr>
            <w:noProof/>
            <w:webHidden/>
          </w:rPr>
          <w:tab/>
        </w:r>
        <w:r w:rsidR="006B2112">
          <w:rPr>
            <w:noProof/>
            <w:webHidden/>
          </w:rPr>
          <w:fldChar w:fldCharType="begin"/>
        </w:r>
        <w:r w:rsidR="006B2112">
          <w:rPr>
            <w:noProof/>
            <w:webHidden/>
          </w:rPr>
          <w:instrText xml:space="preserve"> PAGEREF _Toc105023900 \h </w:instrText>
        </w:r>
        <w:r w:rsidR="006B2112">
          <w:rPr>
            <w:noProof/>
            <w:webHidden/>
          </w:rPr>
        </w:r>
        <w:r w:rsidR="006B2112">
          <w:rPr>
            <w:noProof/>
            <w:webHidden/>
          </w:rPr>
          <w:fldChar w:fldCharType="separate"/>
        </w:r>
        <w:r w:rsidR="006B2112">
          <w:rPr>
            <w:noProof/>
            <w:webHidden/>
          </w:rPr>
          <w:t>6</w:t>
        </w:r>
        <w:r w:rsidR="006B2112">
          <w:rPr>
            <w:noProof/>
            <w:webHidden/>
          </w:rPr>
          <w:fldChar w:fldCharType="end"/>
        </w:r>
      </w:hyperlink>
    </w:p>
    <w:p w14:paraId="000BF57A" w14:textId="74625C51" w:rsidR="006B2112" w:rsidRDefault="00EE33E9">
      <w:pPr>
        <w:pStyle w:val="TOC2"/>
        <w:tabs>
          <w:tab w:val="right" w:leader="middleDot" w:pos="8494"/>
        </w:tabs>
        <w:rPr>
          <w:rFonts w:asciiTheme="minorHAnsi" w:eastAsiaTheme="minorEastAsia" w:hAnsiTheme="minorHAnsi" w:cstheme="minorBidi"/>
          <w:noProof/>
          <w:kern w:val="2"/>
          <w:sz w:val="21"/>
        </w:rPr>
      </w:pPr>
      <w:hyperlink w:anchor="_Toc105023901" w:history="1">
        <w:r w:rsidR="006B2112" w:rsidRPr="00FA67E1">
          <w:rPr>
            <w:rStyle w:val="a7"/>
            <w:noProof/>
          </w:rPr>
          <w:t>2.1碳中和相关概念文献综述</w:t>
        </w:r>
        <w:r w:rsidR="006B2112">
          <w:rPr>
            <w:noProof/>
            <w:webHidden/>
          </w:rPr>
          <w:tab/>
        </w:r>
        <w:r w:rsidR="006B2112">
          <w:rPr>
            <w:noProof/>
            <w:webHidden/>
          </w:rPr>
          <w:fldChar w:fldCharType="begin"/>
        </w:r>
        <w:r w:rsidR="006B2112">
          <w:rPr>
            <w:noProof/>
            <w:webHidden/>
          </w:rPr>
          <w:instrText xml:space="preserve"> PAGEREF _Toc105023901 \h </w:instrText>
        </w:r>
        <w:r w:rsidR="006B2112">
          <w:rPr>
            <w:noProof/>
            <w:webHidden/>
          </w:rPr>
        </w:r>
        <w:r w:rsidR="006B2112">
          <w:rPr>
            <w:noProof/>
            <w:webHidden/>
          </w:rPr>
          <w:fldChar w:fldCharType="separate"/>
        </w:r>
        <w:r w:rsidR="006B2112">
          <w:rPr>
            <w:noProof/>
            <w:webHidden/>
          </w:rPr>
          <w:t>6</w:t>
        </w:r>
        <w:r w:rsidR="006B2112">
          <w:rPr>
            <w:noProof/>
            <w:webHidden/>
          </w:rPr>
          <w:fldChar w:fldCharType="end"/>
        </w:r>
      </w:hyperlink>
    </w:p>
    <w:p w14:paraId="65D4EC16" w14:textId="55C71E72"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902" w:history="1">
        <w:r w:rsidR="006B2112" w:rsidRPr="00FA67E1">
          <w:rPr>
            <w:rStyle w:val="a7"/>
            <w:noProof/>
          </w:rPr>
          <w:t>2.1.1碳中和基本概念</w:t>
        </w:r>
        <w:r w:rsidR="006B2112">
          <w:rPr>
            <w:noProof/>
            <w:webHidden/>
          </w:rPr>
          <w:tab/>
        </w:r>
        <w:r w:rsidR="006B2112">
          <w:rPr>
            <w:noProof/>
            <w:webHidden/>
          </w:rPr>
          <w:fldChar w:fldCharType="begin"/>
        </w:r>
        <w:r w:rsidR="006B2112">
          <w:rPr>
            <w:noProof/>
            <w:webHidden/>
          </w:rPr>
          <w:instrText xml:space="preserve"> PAGEREF _Toc105023902 \h </w:instrText>
        </w:r>
        <w:r w:rsidR="006B2112">
          <w:rPr>
            <w:noProof/>
            <w:webHidden/>
          </w:rPr>
        </w:r>
        <w:r w:rsidR="006B2112">
          <w:rPr>
            <w:noProof/>
            <w:webHidden/>
          </w:rPr>
          <w:fldChar w:fldCharType="separate"/>
        </w:r>
        <w:r w:rsidR="006B2112">
          <w:rPr>
            <w:noProof/>
            <w:webHidden/>
          </w:rPr>
          <w:t>6</w:t>
        </w:r>
        <w:r w:rsidR="006B2112">
          <w:rPr>
            <w:noProof/>
            <w:webHidden/>
          </w:rPr>
          <w:fldChar w:fldCharType="end"/>
        </w:r>
      </w:hyperlink>
    </w:p>
    <w:p w14:paraId="3471ECA0" w14:textId="64766BDC"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903" w:history="1">
        <w:r w:rsidR="006B2112" w:rsidRPr="00FA67E1">
          <w:rPr>
            <w:rStyle w:val="a7"/>
            <w:noProof/>
          </w:rPr>
          <w:t>2.1.2碳中和投资布局</w:t>
        </w:r>
        <w:r w:rsidR="006B2112">
          <w:rPr>
            <w:noProof/>
            <w:webHidden/>
          </w:rPr>
          <w:tab/>
        </w:r>
        <w:r w:rsidR="006B2112">
          <w:rPr>
            <w:noProof/>
            <w:webHidden/>
          </w:rPr>
          <w:fldChar w:fldCharType="begin"/>
        </w:r>
        <w:r w:rsidR="006B2112">
          <w:rPr>
            <w:noProof/>
            <w:webHidden/>
          </w:rPr>
          <w:instrText xml:space="preserve"> PAGEREF _Toc105023903 \h </w:instrText>
        </w:r>
        <w:r w:rsidR="006B2112">
          <w:rPr>
            <w:noProof/>
            <w:webHidden/>
          </w:rPr>
        </w:r>
        <w:r w:rsidR="006B2112">
          <w:rPr>
            <w:noProof/>
            <w:webHidden/>
          </w:rPr>
          <w:fldChar w:fldCharType="separate"/>
        </w:r>
        <w:r w:rsidR="006B2112">
          <w:rPr>
            <w:noProof/>
            <w:webHidden/>
          </w:rPr>
          <w:t>6</w:t>
        </w:r>
        <w:r w:rsidR="006B2112">
          <w:rPr>
            <w:noProof/>
            <w:webHidden/>
          </w:rPr>
          <w:fldChar w:fldCharType="end"/>
        </w:r>
      </w:hyperlink>
    </w:p>
    <w:p w14:paraId="118F7511" w14:textId="574F8294" w:rsidR="006B2112" w:rsidRDefault="00EE33E9">
      <w:pPr>
        <w:pStyle w:val="TOC2"/>
        <w:tabs>
          <w:tab w:val="right" w:leader="middleDot" w:pos="8494"/>
        </w:tabs>
        <w:rPr>
          <w:rFonts w:asciiTheme="minorHAnsi" w:eastAsiaTheme="minorEastAsia" w:hAnsiTheme="minorHAnsi" w:cstheme="minorBidi"/>
          <w:noProof/>
          <w:kern w:val="2"/>
          <w:sz w:val="21"/>
        </w:rPr>
      </w:pPr>
      <w:hyperlink w:anchor="_Toc105023904" w:history="1">
        <w:r w:rsidR="006B2112" w:rsidRPr="00FA67E1">
          <w:rPr>
            <w:rStyle w:val="a7"/>
            <w:noProof/>
          </w:rPr>
          <w:t>2.2ESG投资相关概念文献综述</w:t>
        </w:r>
        <w:r w:rsidR="006B2112">
          <w:rPr>
            <w:noProof/>
            <w:webHidden/>
          </w:rPr>
          <w:tab/>
        </w:r>
        <w:r w:rsidR="006B2112">
          <w:rPr>
            <w:noProof/>
            <w:webHidden/>
          </w:rPr>
          <w:fldChar w:fldCharType="begin"/>
        </w:r>
        <w:r w:rsidR="006B2112">
          <w:rPr>
            <w:noProof/>
            <w:webHidden/>
          </w:rPr>
          <w:instrText xml:space="preserve"> PAGEREF _Toc105023904 \h </w:instrText>
        </w:r>
        <w:r w:rsidR="006B2112">
          <w:rPr>
            <w:noProof/>
            <w:webHidden/>
          </w:rPr>
        </w:r>
        <w:r w:rsidR="006B2112">
          <w:rPr>
            <w:noProof/>
            <w:webHidden/>
          </w:rPr>
          <w:fldChar w:fldCharType="separate"/>
        </w:r>
        <w:r w:rsidR="006B2112">
          <w:rPr>
            <w:noProof/>
            <w:webHidden/>
          </w:rPr>
          <w:t>7</w:t>
        </w:r>
        <w:r w:rsidR="006B2112">
          <w:rPr>
            <w:noProof/>
            <w:webHidden/>
          </w:rPr>
          <w:fldChar w:fldCharType="end"/>
        </w:r>
      </w:hyperlink>
    </w:p>
    <w:p w14:paraId="478AD6D5" w14:textId="73BD03AB"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905" w:history="1">
        <w:r w:rsidR="006B2112" w:rsidRPr="00FA67E1">
          <w:rPr>
            <w:rStyle w:val="a7"/>
            <w:noProof/>
          </w:rPr>
          <w:t>2.2.1ESG投资起源</w:t>
        </w:r>
        <w:r w:rsidR="006B2112">
          <w:rPr>
            <w:noProof/>
            <w:webHidden/>
          </w:rPr>
          <w:tab/>
        </w:r>
        <w:r w:rsidR="006B2112">
          <w:rPr>
            <w:noProof/>
            <w:webHidden/>
          </w:rPr>
          <w:fldChar w:fldCharType="begin"/>
        </w:r>
        <w:r w:rsidR="006B2112">
          <w:rPr>
            <w:noProof/>
            <w:webHidden/>
          </w:rPr>
          <w:instrText xml:space="preserve"> PAGEREF _Toc105023905 \h </w:instrText>
        </w:r>
        <w:r w:rsidR="006B2112">
          <w:rPr>
            <w:noProof/>
            <w:webHidden/>
          </w:rPr>
        </w:r>
        <w:r w:rsidR="006B2112">
          <w:rPr>
            <w:noProof/>
            <w:webHidden/>
          </w:rPr>
          <w:fldChar w:fldCharType="separate"/>
        </w:r>
        <w:r w:rsidR="006B2112">
          <w:rPr>
            <w:noProof/>
            <w:webHidden/>
          </w:rPr>
          <w:t>7</w:t>
        </w:r>
        <w:r w:rsidR="006B2112">
          <w:rPr>
            <w:noProof/>
            <w:webHidden/>
          </w:rPr>
          <w:fldChar w:fldCharType="end"/>
        </w:r>
      </w:hyperlink>
    </w:p>
    <w:p w14:paraId="3460720F" w14:textId="5A1927D0"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906" w:history="1">
        <w:r w:rsidR="006B2112" w:rsidRPr="00FA67E1">
          <w:rPr>
            <w:rStyle w:val="a7"/>
            <w:noProof/>
          </w:rPr>
          <w:t>2.2.2ESG三大指标绩效研究</w:t>
        </w:r>
        <w:r w:rsidR="006B2112">
          <w:rPr>
            <w:noProof/>
            <w:webHidden/>
          </w:rPr>
          <w:tab/>
        </w:r>
        <w:r w:rsidR="006B2112">
          <w:rPr>
            <w:noProof/>
            <w:webHidden/>
          </w:rPr>
          <w:fldChar w:fldCharType="begin"/>
        </w:r>
        <w:r w:rsidR="006B2112">
          <w:rPr>
            <w:noProof/>
            <w:webHidden/>
          </w:rPr>
          <w:instrText xml:space="preserve"> PAGEREF _Toc105023906 \h </w:instrText>
        </w:r>
        <w:r w:rsidR="006B2112">
          <w:rPr>
            <w:noProof/>
            <w:webHidden/>
          </w:rPr>
        </w:r>
        <w:r w:rsidR="006B2112">
          <w:rPr>
            <w:noProof/>
            <w:webHidden/>
          </w:rPr>
          <w:fldChar w:fldCharType="separate"/>
        </w:r>
        <w:r w:rsidR="006B2112">
          <w:rPr>
            <w:noProof/>
            <w:webHidden/>
          </w:rPr>
          <w:t>7</w:t>
        </w:r>
        <w:r w:rsidR="006B2112">
          <w:rPr>
            <w:noProof/>
            <w:webHidden/>
          </w:rPr>
          <w:fldChar w:fldCharType="end"/>
        </w:r>
      </w:hyperlink>
    </w:p>
    <w:p w14:paraId="73048AA1" w14:textId="59E28AAB" w:rsidR="006B2112" w:rsidRDefault="00EE33E9">
      <w:pPr>
        <w:pStyle w:val="TOC2"/>
        <w:tabs>
          <w:tab w:val="right" w:leader="middleDot" w:pos="8494"/>
        </w:tabs>
        <w:rPr>
          <w:rFonts w:asciiTheme="minorHAnsi" w:eastAsiaTheme="minorEastAsia" w:hAnsiTheme="minorHAnsi" w:cstheme="minorBidi"/>
          <w:noProof/>
          <w:kern w:val="2"/>
          <w:sz w:val="21"/>
        </w:rPr>
      </w:pPr>
      <w:hyperlink w:anchor="_Toc105023907" w:history="1">
        <w:r w:rsidR="006B2112" w:rsidRPr="00FA67E1">
          <w:rPr>
            <w:rStyle w:val="a7"/>
            <w:noProof/>
          </w:rPr>
          <w:t>2.3</w:t>
        </w:r>
        <w:r w:rsidR="006B2112" w:rsidRPr="00FA67E1">
          <w:rPr>
            <w:rStyle w:val="a7"/>
            <w:rFonts w:hAnsi="黑体"/>
            <w:noProof/>
          </w:rPr>
          <w:t>基金</w:t>
        </w:r>
        <w:r w:rsidR="006B2112" w:rsidRPr="00FA67E1">
          <w:rPr>
            <w:rStyle w:val="a7"/>
            <w:noProof/>
          </w:rPr>
          <w:t>绩效评价模型文献综述</w:t>
        </w:r>
        <w:r w:rsidR="006B2112">
          <w:rPr>
            <w:noProof/>
            <w:webHidden/>
          </w:rPr>
          <w:tab/>
        </w:r>
        <w:r w:rsidR="006B2112">
          <w:rPr>
            <w:noProof/>
            <w:webHidden/>
          </w:rPr>
          <w:fldChar w:fldCharType="begin"/>
        </w:r>
        <w:r w:rsidR="006B2112">
          <w:rPr>
            <w:noProof/>
            <w:webHidden/>
          </w:rPr>
          <w:instrText xml:space="preserve"> PAGEREF _Toc105023907 \h </w:instrText>
        </w:r>
        <w:r w:rsidR="006B2112">
          <w:rPr>
            <w:noProof/>
            <w:webHidden/>
          </w:rPr>
        </w:r>
        <w:r w:rsidR="006B2112">
          <w:rPr>
            <w:noProof/>
            <w:webHidden/>
          </w:rPr>
          <w:fldChar w:fldCharType="separate"/>
        </w:r>
        <w:r w:rsidR="006B2112">
          <w:rPr>
            <w:noProof/>
            <w:webHidden/>
          </w:rPr>
          <w:t>8</w:t>
        </w:r>
        <w:r w:rsidR="006B2112">
          <w:rPr>
            <w:noProof/>
            <w:webHidden/>
          </w:rPr>
          <w:fldChar w:fldCharType="end"/>
        </w:r>
      </w:hyperlink>
    </w:p>
    <w:p w14:paraId="104732E2" w14:textId="3CB0A550"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908" w:history="1">
        <w:r w:rsidR="006B2112" w:rsidRPr="00FA67E1">
          <w:rPr>
            <w:rStyle w:val="a7"/>
            <w:noProof/>
          </w:rPr>
          <w:t>2.3.1国外文献综述</w:t>
        </w:r>
        <w:r w:rsidR="006B2112">
          <w:rPr>
            <w:noProof/>
            <w:webHidden/>
          </w:rPr>
          <w:tab/>
        </w:r>
        <w:r w:rsidR="006B2112">
          <w:rPr>
            <w:noProof/>
            <w:webHidden/>
          </w:rPr>
          <w:fldChar w:fldCharType="begin"/>
        </w:r>
        <w:r w:rsidR="006B2112">
          <w:rPr>
            <w:noProof/>
            <w:webHidden/>
          </w:rPr>
          <w:instrText xml:space="preserve"> PAGEREF _Toc105023908 \h </w:instrText>
        </w:r>
        <w:r w:rsidR="006B2112">
          <w:rPr>
            <w:noProof/>
            <w:webHidden/>
          </w:rPr>
        </w:r>
        <w:r w:rsidR="006B2112">
          <w:rPr>
            <w:noProof/>
            <w:webHidden/>
          </w:rPr>
          <w:fldChar w:fldCharType="separate"/>
        </w:r>
        <w:r w:rsidR="006B2112">
          <w:rPr>
            <w:noProof/>
            <w:webHidden/>
          </w:rPr>
          <w:t>8</w:t>
        </w:r>
        <w:r w:rsidR="006B2112">
          <w:rPr>
            <w:noProof/>
            <w:webHidden/>
          </w:rPr>
          <w:fldChar w:fldCharType="end"/>
        </w:r>
      </w:hyperlink>
    </w:p>
    <w:p w14:paraId="1677CD43" w14:textId="49477B44"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909" w:history="1">
        <w:r w:rsidR="006B2112" w:rsidRPr="00FA67E1">
          <w:rPr>
            <w:rStyle w:val="a7"/>
            <w:noProof/>
          </w:rPr>
          <w:t>2.3.2国内文献综述</w:t>
        </w:r>
        <w:r w:rsidR="006B2112">
          <w:rPr>
            <w:noProof/>
            <w:webHidden/>
          </w:rPr>
          <w:tab/>
        </w:r>
        <w:r w:rsidR="006B2112">
          <w:rPr>
            <w:noProof/>
            <w:webHidden/>
          </w:rPr>
          <w:fldChar w:fldCharType="begin"/>
        </w:r>
        <w:r w:rsidR="006B2112">
          <w:rPr>
            <w:noProof/>
            <w:webHidden/>
          </w:rPr>
          <w:instrText xml:space="preserve"> PAGEREF _Toc105023909 \h </w:instrText>
        </w:r>
        <w:r w:rsidR="006B2112">
          <w:rPr>
            <w:noProof/>
            <w:webHidden/>
          </w:rPr>
        </w:r>
        <w:r w:rsidR="006B2112">
          <w:rPr>
            <w:noProof/>
            <w:webHidden/>
          </w:rPr>
          <w:fldChar w:fldCharType="separate"/>
        </w:r>
        <w:r w:rsidR="006B2112">
          <w:rPr>
            <w:noProof/>
            <w:webHidden/>
          </w:rPr>
          <w:t>9</w:t>
        </w:r>
        <w:r w:rsidR="006B2112">
          <w:rPr>
            <w:noProof/>
            <w:webHidden/>
          </w:rPr>
          <w:fldChar w:fldCharType="end"/>
        </w:r>
      </w:hyperlink>
    </w:p>
    <w:p w14:paraId="0D0A4FEC" w14:textId="3E1B75A5" w:rsidR="006B2112" w:rsidRDefault="00EE33E9">
      <w:pPr>
        <w:pStyle w:val="TOC1"/>
        <w:rPr>
          <w:rFonts w:asciiTheme="minorHAnsi" w:eastAsiaTheme="minorEastAsia" w:hAnsiTheme="minorHAnsi" w:cstheme="minorBidi"/>
          <w:b w:val="0"/>
          <w:noProof/>
          <w:sz w:val="21"/>
          <w:szCs w:val="22"/>
        </w:rPr>
      </w:pPr>
      <w:hyperlink w:anchor="_Toc105023910" w:history="1">
        <w:r w:rsidR="006B2112" w:rsidRPr="00FA67E1">
          <w:rPr>
            <w:rStyle w:val="a7"/>
            <w:noProof/>
          </w:rPr>
          <w:t>3</w:t>
        </w:r>
        <w:r w:rsidR="006B2112" w:rsidRPr="00FA67E1">
          <w:rPr>
            <w:rStyle w:val="a7"/>
            <w:noProof/>
          </w:rPr>
          <w:t>基金综合绩效评价指标构建及分析</w:t>
        </w:r>
        <w:r w:rsidR="006B2112">
          <w:rPr>
            <w:noProof/>
            <w:webHidden/>
          </w:rPr>
          <w:tab/>
        </w:r>
        <w:r w:rsidR="006B2112">
          <w:rPr>
            <w:noProof/>
            <w:webHidden/>
          </w:rPr>
          <w:fldChar w:fldCharType="begin"/>
        </w:r>
        <w:r w:rsidR="006B2112">
          <w:rPr>
            <w:noProof/>
            <w:webHidden/>
          </w:rPr>
          <w:instrText xml:space="preserve"> PAGEREF _Toc105023910 \h </w:instrText>
        </w:r>
        <w:r w:rsidR="006B2112">
          <w:rPr>
            <w:noProof/>
            <w:webHidden/>
          </w:rPr>
        </w:r>
        <w:r w:rsidR="006B2112">
          <w:rPr>
            <w:noProof/>
            <w:webHidden/>
          </w:rPr>
          <w:fldChar w:fldCharType="separate"/>
        </w:r>
        <w:r w:rsidR="006B2112">
          <w:rPr>
            <w:noProof/>
            <w:webHidden/>
          </w:rPr>
          <w:t>10</w:t>
        </w:r>
        <w:r w:rsidR="006B2112">
          <w:rPr>
            <w:noProof/>
            <w:webHidden/>
          </w:rPr>
          <w:fldChar w:fldCharType="end"/>
        </w:r>
      </w:hyperlink>
    </w:p>
    <w:p w14:paraId="5FA8B646" w14:textId="7553FA0F" w:rsidR="006B2112" w:rsidRDefault="00EE33E9">
      <w:pPr>
        <w:pStyle w:val="TOC2"/>
        <w:tabs>
          <w:tab w:val="right" w:leader="middleDot" w:pos="8494"/>
        </w:tabs>
        <w:rPr>
          <w:rFonts w:asciiTheme="minorHAnsi" w:eastAsiaTheme="minorEastAsia" w:hAnsiTheme="minorHAnsi" w:cstheme="minorBidi"/>
          <w:noProof/>
          <w:kern w:val="2"/>
          <w:sz w:val="21"/>
        </w:rPr>
      </w:pPr>
      <w:hyperlink w:anchor="_Toc105023911" w:history="1">
        <w:r w:rsidR="006B2112" w:rsidRPr="00FA67E1">
          <w:rPr>
            <w:rStyle w:val="a7"/>
            <w:noProof/>
          </w:rPr>
          <w:t>3.1综合绩效评价体系构建</w:t>
        </w:r>
        <w:r w:rsidR="006B2112">
          <w:rPr>
            <w:noProof/>
            <w:webHidden/>
          </w:rPr>
          <w:tab/>
        </w:r>
        <w:r w:rsidR="006B2112">
          <w:rPr>
            <w:noProof/>
            <w:webHidden/>
          </w:rPr>
          <w:fldChar w:fldCharType="begin"/>
        </w:r>
        <w:r w:rsidR="006B2112">
          <w:rPr>
            <w:noProof/>
            <w:webHidden/>
          </w:rPr>
          <w:instrText xml:space="preserve"> PAGEREF _Toc105023911 \h </w:instrText>
        </w:r>
        <w:r w:rsidR="006B2112">
          <w:rPr>
            <w:noProof/>
            <w:webHidden/>
          </w:rPr>
        </w:r>
        <w:r w:rsidR="006B2112">
          <w:rPr>
            <w:noProof/>
            <w:webHidden/>
          </w:rPr>
          <w:fldChar w:fldCharType="separate"/>
        </w:r>
        <w:r w:rsidR="006B2112">
          <w:rPr>
            <w:noProof/>
            <w:webHidden/>
          </w:rPr>
          <w:t>10</w:t>
        </w:r>
        <w:r w:rsidR="006B2112">
          <w:rPr>
            <w:noProof/>
            <w:webHidden/>
          </w:rPr>
          <w:fldChar w:fldCharType="end"/>
        </w:r>
      </w:hyperlink>
    </w:p>
    <w:p w14:paraId="66657557" w14:textId="6972105C"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912" w:history="1">
        <w:r w:rsidR="006B2112" w:rsidRPr="00FA67E1">
          <w:rPr>
            <w:rStyle w:val="a7"/>
            <w:noProof/>
          </w:rPr>
          <w:t>3.1.1原始指标选取</w:t>
        </w:r>
        <w:r w:rsidR="006B2112">
          <w:rPr>
            <w:noProof/>
            <w:webHidden/>
          </w:rPr>
          <w:tab/>
        </w:r>
        <w:r w:rsidR="006B2112">
          <w:rPr>
            <w:noProof/>
            <w:webHidden/>
          </w:rPr>
          <w:fldChar w:fldCharType="begin"/>
        </w:r>
        <w:r w:rsidR="006B2112">
          <w:rPr>
            <w:noProof/>
            <w:webHidden/>
          </w:rPr>
          <w:instrText xml:space="preserve"> PAGEREF _Toc105023912 \h </w:instrText>
        </w:r>
        <w:r w:rsidR="006B2112">
          <w:rPr>
            <w:noProof/>
            <w:webHidden/>
          </w:rPr>
        </w:r>
        <w:r w:rsidR="006B2112">
          <w:rPr>
            <w:noProof/>
            <w:webHidden/>
          </w:rPr>
          <w:fldChar w:fldCharType="separate"/>
        </w:r>
        <w:r w:rsidR="006B2112">
          <w:rPr>
            <w:noProof/>
            <w:webHidden/>
          </w:rPr>
          <w:t>10</w:t>
        </w:r>
        <w:r w:rsidR="006B2112">
          <w:rPr>
            <w:noProof/>
            <w:webHidden/>
          </w:rPr>
          <w:fldChar w:fldCharType="end"/>
        </w:r>
      </w:hyperlink>
    </w:p>
    <w:p w14:paraId="5D53899C" w14:textId="49A97B8A"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913" w:history="1">
        <w:r w:rsidR="006B2112" w:rsidRPr="00FA67E1">
          <w:rPr>
            <w:rStyle w:val="a7"/>
            <w:noProof/>
          </w:rPr>
          <w:t>3.1.2主成分因子分析模型</w:t>
        </w:r>
        <w:r w:rsidR="006B2112">
          <w:rPr>
            <w:noProof/>
            <w:webHidden/>
          </w:rPr>
          <w:tab/>
        </w:r>
        <w:r w:rsidR="006B2112">
          <w:rPr>
            <w:noProof/>
            <w:webHidden/>
          </w:rPr>
          <w:fldChar w:fldCharType="begin"/>
        </w:r>
        <w:r w:rsidR="006B2112">
          <w:rPr>
            <w:noProof/>
            <w:webHidden/>
          </w:rPr>
          <w:instrText xml:space="preserve"> PAGEREF _Toc105023913 \h </w:instrText>
        </w:r>
        <w:r w:rsidR="006B2112">
          <w:rPr>
            <w:noProof/>
            <w:webHidden/>
          </w:rPr>
        </w:r>
        <w:r w:rsidR="006B2112">
          <w:rPr>
            <w:noProof/>
            <w:webHidden/>
          </w:rPr>
          <w:fldChar w:fldCharType="separate"/>
        </w:r>
        <w:r w:rsidR="006B2112">
          <w:rPr>
            <w:noProof/>
            <w:webHidden/>
          </w:rPr>
          <w:t>12</w:t>
        </w:r>
        <w:r w:rsidR="006B2112">
          <w:rPr>
            <w:noProof/>
            <w:webHidden/>
          </w:rPr>
          <w:fldChar w:fldCharType="end"/>
        </w:r>
      </w:hyperlink>
    </w:p>
    <w:p w14:paraId="68D2FAF0" w14:textId="726AE23C" w:rsidR="006B2112" w:rsidRDefault="00EE33E9">
      <w:pPr>
        <w:pStyle w:val="TOC2"/>
        <w:tabs>
          <w:tab w:val="right" w:leader="middleDot" w:pos="8494"/>
        </w:tabs>
        <w:rPr>
          <w:rFonts w:asciiTheme="minorHAnsi" w:eastAsiaTheme="minorEastAsia" w:hAnsiTheme="minorHAnsi" w:cstheme="minorBidi"/>
          <w:noProof/>
          <w:kern w:val="2"/>
          <w:sz w:val="21"/>
        </w:rPr>
      </w:pPr>
      <w:hyperlink w:anchor="_Toc105023914" w:history="1">
        <w:r w:rsidR="006B2112" w:rsidRPr="00FA67E1">
          <w:rPr>
            <w:rStyle w:val="a7"/>
            <w:noProof/>
          </w:rPr>
          <w:t>3. 2综合绩效得分及分析</w:t>
        </w:r>
        <w:r w:rsidR="006B2112">
          <w:rPr>
            <w:noProof/>
            <w:webHidden/>
          </w:rPr>
          <w:tab/>
        </w:r>
        <w:r w:rsidR="006B2112">
          <w:rPr>
            <w:noProof/>
            <w:webHidden/>
          </w:rPr>
          <w:fldChar w:fldCharType="begin"/>
        </w:r>
        <w:r w:rsidR="006B2112">
          <w:rPr>
            <w:noProof/>
            <w:webHidden/>
          </w:rPr>
          <w:instrText xml:space="preserve"> PAGEREF _Toc105023914 \h </w:instrText>
        </w:r>
        <w:r w:rsidR="006B2112">
          <w:rPr>
            <w:noProof/>
            <w:webHidden/>
          </w:rPr>
        </w:r>
        <w:r w:rsidR="006B2112">
          <w:rPr>
            <w:noProof/>
            <w:webHidden/>
          </w:rPr>
          <w:fldChar w:fldCharType="separate"/>
        </w:r>
        <w:r w:rsidR="006B2112">
          <w:rPr>
            <w:noProof/>
            <w:webHidden/>
          </w:rPr>
          <w:t>15</w:t>
        </w:r>
        <w:r w:rsidR="006B2112">
          <w:rPr>
            <w:noProof/>
            <w:webHidden/>
          </w:rPr>
          <w:fldChar w:fldCharType="end"/>
        </w:r>
      </w:hyperlink>
    </w:p>
    <w:p w14:paraId="00F1BE28" w14:textId="309704BD" w:rsidR="006B2112" w:rsidRDefault="00EE33E9">
      <w:pPr>
        <w:pStyle w:val="TOC1"/>
        <w:rPr>
          <w:rFonts w:asciiTheme="minorHAnsi" w:eastAsiaTheme="minorEastAsia" w:hAnsiTheme="minorHAnsi" w:cstheme="minorBidi"/>
          <w:b w:val="0"/>
          <w:noProof/>
          <w:sz w:val="21"/>
          <w:szCs w:val="22"/>
        </w:rPr>
      </w:pPr>
      <w:hyperlink w:anchor="_Toc105023915" w:history="1">
        <w:r w:rsidR="006B2112" w:rsidRPr="00FA67E1">
          <w:rPr>
            <w:rStyle w:val="a7"/>
            <w:noProof/>
          </w:rPr>
          <w:t>4</w:t>
        </w:r>
        <w:r w:rsidR="006B2112" w:rsidRPr="00FA67E1">
          <w:rPr>
            <w:rStyle w:val="a7"/>
            <w:noProof/>
          </w:rPr>
          <w:t>基金绩效与超额收益论证及检验</w:t>
        </w:r>
        <w:r w:rsidR="006B2112">
          <w:rPr>
            <w:noProof/>
            <w:webHidden/>
          </w:rPr>
          <w:tab/>
        </w:r>
        <w:r w:rsidR="006B2112">
          <w:rPr>
            <w:noProof/>
            <w:webHidden/>
          </w:rPr>
          <w:fldChar w:fldCharType="begin"/>
        </w:r>
        <w:r w:rsidR="006B2112">
          <w:rPr>
            <w:noProof/>
            <w:webHidden/>
          </w:rPr>
          <w:instrText xml:space="preserve"> PAGEREF _Toc105023915 \h </w:instrText>
        </w:r>
        <w:r w:rsidR="006B2112">
          <w:rPr>
            <w:noProof/>
            <w:webHidden/>
          </w:rPr>
        </w:r>
        <w:r w:rsidR="006B2112">
          <w:rPr>
            <w:noProof/>
            <w:webHidden/>
          </w:rPr>
          <w:fldChar w:fldCharType="separate"/>
        </w:r>
        <w:r w:rsidR="006B2112">
          <w:rPr>
            <w:noProof/>
            <w:webHidden/>
          </w:rPr>
          <w:t>19</w:t>
        </w:r>
        <w:r w:rsidR="006B2112">
          <w:rPr>
            <w:noProof/>
            <w:webHidden/>
          </w:rPr>
          <w:fldChar w:fldCharType="end"/>
        </w:r>
      </w:hyperlink>
    </w:p>
    <w:p w14:paraId="5518A666" w14:textId="3BC6F3DD" w:rsidR="006B2112" w:rsidRDefault="00EE33E9">
      <w:pPr>
        <w:pStyle w:val="TOC2"/>
        <w:tabs>
          <w:tab w:val="right" w:leader="middleDot" w:pos="8494"/>
        </w:tabs>
        <w:rPr>
          <w:rFonts w:asciiTheme="minorHAnsi" w:eastAsiaTheme="minorEastAsia" w:hAnsiTheme="minorHAnsi" w:cstheme="minorBidi"/>
          <w:noProof/>
          <w:kern w:val="2"/>
          <w:sz w:val="21"/>
        </w:rPr>
      </w:pPr>
      <w:hyperlink w:anchor="_Toc105023916" w:history="1">
        <w:r w:rsidR="006B2112" w:rsidRPr="00FA67E1">
          <w:rPr>
            <w:rStyle w:val="a7"/>
            <w:noProof/>
          </w:rPr>
          <w:t>4.1对基金获得超额收益原因的验证</w:t>
        </w:r>
        <w:r w:rsidR="006B2112">
          <w:rPr>
            <w:noProof/>
            <w:webHidden/>
          </w:rPr>
          <w:tab/>
        </w:r>
        <w:r w:rsidR="006B2112">
          <w:rPr>
            <w:noProof/>
            <w:webHidden/>
          </w:rPr>
          <w:fldChar w:fldCharType="begin"/>
        </w:r>
        <w:r w:rsidR="006B2112">
          <w:rPr>
            <w:noProof/>
            <w:webHidden/>
          </w:rPr>
          <w:instrText xml:space="preserve"> PAGEREF _Toc105023916 \h </w:instrText>
        </w:r>
        <w:r w:rsidR="006B2112">
          <w:rPr>
            <w:noProof/>
            <w:webHidden/>
          </w:rPr>
        </w:r>
        <w:r w:rsidR="006B2112">
          <w:rPr>
            <w:noProof/>
            <w:webHidden/>
          </w:rPr>
          <w:fldChar w:fldCharType="separate"/>
        </w:r>
        <w:r w:rsidR="006B2112">
          <w:rPr>
            <w:noProof/>
            <w:webHidden/>
          </w:rPr>
          <w:t>19</w:t>
        </w:r>
        <w:r w:rsidR="006B2112">
          <w:rPr>
            <w:noProof/>
            <w:webHidden/>
          </w:rPr>
          <w:fldChar w:fldCharType="end"/>
        </w:r>
      </w:hyperlink>
    </w:p>
    <w:p w14:paraId="2DB474CB" w14:textId="2BF66DCD"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917" w:history="1">
        <w:r w:rsidR="006B2112" w:rsidRPr="00FA67E1">
          <w:rPr>
            <w:rStyle w:val="a7"/>
            <w:noProof/>
          </w:rPr>
          <w:t>4.1.1变量选取</w:t>
        </w:r>
        <w:r w:rsidR="006B2112">
          <w:rPr>
            <w:noProof/>
            <w:webHidden/>
          </w:rPr>
          <w:tab/>
        </w:r>
        <w:r w:rsidR="006B2112">
          <w:rPr>
            <w:noProof/>
            <w:webHidden/>
          </w:rPr>
          <w:fldChar w:fldCharType="begin"/>
        </w:r>
        <w:r w:rsidR="006B2112">
          <w:rPr>
            <w:noProof/>
            <w:webHidden/>
          </w:rPr>
          <w:instrText xml:space="preserve"> PAGEREF _Toc105023917 \h </w:instrText>
        </w:r>
        <w:r w:rsidR="006B2112">
          <w:rPr>
            <w:noProof/>
            <w:webHidden/>
          </w:rPr>
        </w:r>
        <w:r w:rsidR="006B2112">
          <w:rPr>
            <w:noProof/>
            <w:webHidden/>
          </w:rPr>
          <w:fldChar w:fldCharType="separate"/>
        </w:r>
        <w:r w:rsidR="006B2112">
          <w:rPr>
            <w:noProof/>
            <w:webHidden/>
          </w:rPr>
          <w:t>19</w:t>
        </w:r>
        <w:r w:rsidR="006B2112">
          <w:rPr>
            <w:noProof/>
            <w:webHidden/>
          </w:rPr>
          <w:fldChar w:fldCharType="end"/>
        </w:r>
      </w:hyperlink>
    </w:p>
    <w:p w14:paraId="7EF15799" w14:textId="4157707C"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918" w:history="1">
        <w:r w:rsidR="006B2112" w:rsidRPr="00FA67E1">
          <w:rPr>
            <w:rStyle w:val="a7"/>
            <w:noProof/>
          </w:rPr>
          <w:t>4.1.2回归结果及其分析</w:t>
        </w:r>
        <w:r w:rsidR="006B2112">
          <w:rPr>
            <w:noProof/>
            <w:webHidden/>
          </w:rPr>
          <w:tab/>
        </w:r>
        <w:r w:rsidR="006B2112">
          <w:rPr>
            <w:noProof/>
            <w:webHidden/>
          </w:rPr>
          <w:fldChar w:fldCharType="begin"/>
        </w:r>
        <w:r w:rsidR="006B2112">
          <w:rPr>
            <w:noProof/>
            <w:webHidden/>
          </w:rPr>
          <w:instrText xml:space="preserve"> PAGEREF _Toc105023918 \h </w:instrText>
        </w:r>
        <w:r w:rsidR="006B2112">
          <w:rPr>
            <w:noProof/>
            <w:webHidden/>
          </w:rPr>
        </w:r>
        <w:r w:rsidR="006B2112">
          <w:rPr>
            <w:noProof/>
            <w:webHidden/>
          </w:rPr>
          <w:fldChar w:fldCharType="separate"/>
        </w:r>
        <w:r w:rsidR="006B2112">
          <w:rPr>
            <w:noProof/>
            <w:webHidden/>
          </w:rPr>
          <w:t>20</w:t>
        </w:r>
        <w:r w:rsidR="006B2112">
          <w:rPr>
            <w:noProof/>
            <w:webHidden/>
          </w:rPr>
          <w:fldChar w:fldCharType="end"/>
        </w:r>
      </w:hyperlink>
    </w:p>
    <w:p w14:paraId="0BBA9035" w14:textId="2E173BFF" w:rsidR="006B2112" w:rsidRDefault="00EE33E9">
      <w:pPr>
        <w:pStyle w:val="TOC2"/>
        <w:tabs>
          <w:tab w:val="right" w:leader="middleDot" w:pos="8494"/>
        </w:tabs>
        <w:rPr>
          <w:rFonts w:asciiTheme="minorHAnsi" w:eastAsiaTheme="minorEastAsia" w:hAnsiTheme="minorHAnsi" w:cstheme="minorBidi"/>
          <w:noProof/>
          <w:kern w:val="2"/>
          <w:sz w:val="21"/>
        </w:rPr>
      </w:pPr>
      <w:hyperlink w:anchor="_Toc105023919" w:history="1">
        <w:r w:rsidR="006B2112" w:rsidRPr="00FA67E1">
          <w:rPr>
            <w:rStyle w:val="a7"/>
            <w:noProof/>
          </w:rPr>
          <w:t>4.2稳健性检验</w:t>
        </w:r>
        <w:r w:rsidR="006B2112">
          <w:rPr>
            <w:noProof/>
            <w:webHidden/>
          </w:rPr>
          <w:tab/>
        </w:r>
        <w:r w:rsidR="006B2112">
          <w:rPr>
            <w:noProof/>
            <w:webHidden/>
          </w:rPr>
          <w:fldChar w:fldCharType="begin"/>
        </w:r>
        <w:r w:rsidR="006B2112">
          <w:rPr>
            <w:noProof/>
            <w:webHidden/>
          </w:rPr>
          <w:instrText xml:space="preserve"> PAGEREF _Toc105023919 \h </w:instrText>
        </w:r>
        <w:r w:rsidR="006B2112">
          <w:rPr>
            <w:noProof/>
            <w:webHidden/>
          </w:rPr>
        </w:r>
        <w:r w:rsidR="006B2112">
          <w:rPr>
            <w:noProof/>
            <w:webHidden/>
          </w:rPr>
          <w:fldChar w:fldCharType="separate"/>
        </w:r>
        <w:r w:rsidR="006B2112">
          <w:rPr>
            <w:noProof/>
            <w:webHidden/>
          </w:rPr>
          <w:t>21</w:t>
        </w:r>
        <w:r w:rsidR="006B2112">
          <w:rPr>
            <w:noProof/>
            <w:webHidden/>
          </w:rPr>
          <w:fldChar w:fldCharType="end"/>
        </w:r>
      </w:hyperlink>
    </w:p>
    <w:p w14:paraId="0F3AEC0B" w14:textId="1B6C927C"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920" w:history="1">
        <w:r w:rsidR="006B2112" w:rsidRPr="00FA67E1">
          <w:rPr>
            <w:rStyle w:val="a7"/>
            <w:noProof/>
          </w:rPr>
          <w:t>4.2.1更换模型</w:t>
        </w:r>
        <w:r w:rsidR="006B2112">
          <w:rPr>
            <w:noProof/>
            <w:webHidden/>
          </w:rPr>
          <w:tab/>
        </w:r>
        <w:r w:rsidR="006B2112">
          <w:rPr>
            <w:noProof/>
            <w:webHidden/>
          </w:rPr>
          <w:fldChar w:fldCharType="begin"/>
        </w:r>
        <w:r w:rsidR="006B2112">
          <w:rPr>
            <w:noProof/>
            <w:webHidden/>
          </w:rPr>
          <w:instrText xml:space="preserve"> PAGEREF _Toc105023920 \h </w:instrText>
        </w:r>
        <w:r w:rsidR="006B2112">
          <w:rPr>
            <w:noProof/>
            <w:webHidden/>
          </w:rPr>
        </w:r>
        <w:r w:rsidR="006B2112">
          <w:rPr>
            <w:noProof/>
            <w:webHidden/>
          </w:rPr>
          <w:fldChar w:fldCharType="separate"/>
        </w:r>
        <w:r w:rsidR="006B2112">
          <w:rPr>
            <w:noProof/>
            <w:webHidden/>
          </w:rPr>
          <w:t>21</w:t>
        </w:r>
        <w:r w:rsidR="006B2112">
          <w:rPr>
            <w:noProof/>
            <w:webHidden/>
          </w:rPr>
          <w:fldChar w:fldCharType="end"/>
        </w:r>
      </w:hyperlink>
    </w:p>
    <w:p w14:paraId="627E0A9B" w14:textId="64A4D229" w:rsidR="006B2112" w:rsidRDefault="00EE33E9">
      <w:pPr>
        <w:pStyle w:val="TOC3"/>
        <w:tabs>
          <w:tab w:val="right" w:leader="middleDot" w:pos="8494"/>
        </w:tabs>
        <w:rPr>
          <w:rFonts w:asciiTheme="minorHAnsi" w:eastAsiaTheme="minorEastAsia" w:hAnsiTheme="minorHAnsi" w:cstheme="minorBidi"/>
          <w:noProof/>
          <w:kern w:val="2"/>
          <w:sz w:val="21"/>
        </w:rPr>
      </w:pPr>
      <w:hyperlink w:anchor="_Toc105023921" w:history="1">
        <w:r w:rsidR="006B2112" w:rsidRPr="00FA67E1">
          <w:rPr>
            <w:rStyle w:val="a7"/>
            <w:noProof/>
          </w:rPr>
          <w:t>4.2.2替换变量</w:t>
        </w:r>
        <w:r w:rsidR="006B2112">
          <w:rPr>
            <w:noProof/>
            <w:webHidden/>
          </w:rPr>
          <w:tab/>
        </w:r>
        <w:r w:rsidR="006B2112">
          <w:rPr>
            <w:noProof/>
            <w:webHidden/>
          </w:rPr>
          <w:fldChar w:fldCharType="begin"/>
        </w:r>
        <w:r w:rsidR="006B2112">
          <w:rPr>
            <w:noProof/>
            <w:webHidden/>
          </w:rPr>
          <w:instrText xml:space="preserve"> PAGEREF _Toc105023921 \h </w:instrText>
        </w:r>
        <w:r w:rsidR="006B2112">
          <w:rPr>
            <w:noProof/>
            <w:webHidden/>
          </w:rPr>
        </w:r>
        <w:r w:rsidR="006B2112">
          <w:rPr>
            <w:noProof/>
            <w:webHidden/>
          </w:rPr>
          <w:fldChar w:fldCharType="separate"/>
        </w:r>
        <w:r w:rsidR="006B2112">
          <w:rPr>
            <w:noProof/>
            <w:webHidden/>
          </w:rPr>
          <w:t>22</w:t>
        </w:r>
        <w:r w:rsidR="006B2112">
          <w:rPr>
            <w:noProof/>
            <w:webHidden/>
          </w:rPr>
          <w:fldChar w:fldCharType="end"/>
        </w:r>
      </w:hyperlink>
    </w:p>
    <w:p w14:paraId="1869C762" w14:textId="7F439B33" w:rsidR="006B2112" w:rsidRDefault="00EE33E9">
      <w:pPr>
        <w:pStyle w:val="TOC1"/>
        <w:rPr>
          <w:rFonts w:asciiTheme="minorHAnsi" w:eastAsiaTheme="minorEastAsia" w:hAnsiTheme="minorHAnsi" w:cstheme="minorBidi"/>
          <w:b w:val="0"/>
          <w:noProof/>
          <w:sz w:val="21"/>
          <w:szCs w:val="22"/>
        </w:rPr>
      </w:pPr>
      <w:hyperlink w:anchor="_Toc105023922" w:history="1">
        <w:r w:rsidR="006B2112" w:rsidRPr="00FA67E1">
          <w:rPr>
            <w:rStyle w:val="a7"/>
            <w:noProof/>
          </w:rPr>
          <w:t>5.</w:t>
        </w:r>
        <w:r w:rsidR="006B2112" w:rsidRPr="00FA67E1">
          <w:rPr>
            <w:rStyle w:val="a7"/>
            <w:noProof/>
          </w:rPr>
          <w:t>研究结论及建议</w:t>
        </w:r>
        <w:r w:rsidR="006B2112">
          <w:rPr>
            <w:noProof/>
            <w:webHidden/>
          </w:rPr>
          <w:tab/>
        </w:r>
        <w:r w:rsidR="006B2112">
          <w:rPr>
            <w:noProof/>
            <w:webHidden/>
          </w:rPr>
          <w:fldChar w:fldCharType="begin"/>
        </w:r>
        <w:r w:rsidR="006B2112">
          <w:rPr>
            <w:noProof/>
            <w:webHidden/>
          </w:rPr>
          <w:instrText xml:space="preserve"> PAGEREF _Toc105023922 \h </w:instrText>
        </w:r>
        <w:r w:rsidR="006B2112">
          <w:rPr>
            <w:noProof/>
            <w:webHidden/>
          </w:rPr>
        </w:r>
        <w:r w:rsidR="006B2112">
          <w:rPr>
            <w:noProof/>
            <w:webHidden/>
          </w:rPr>
          <w:fldChar w:fldCharType="separate"/>
        </w:r>
        <w:r w:rsidR="006B2112">
          <w:rPr>
            <w:noProof/>
            <w:webHidden/>
          </w:rPr>
          <w:t>24</w:t>
        </w:r>
        <w:r w:rsidR="006B2112">
          <w:rPr>
            <w:noProof/>
            <w:webHidden/>
          </w:rPr>
          <w:fldChar w:fldCharType="end"/>
        </w:r>
      </w:hyperlink>
    </w:p>
    <w:p w14:paraId="2D12C3BC" w14:textId="7423046C" w:rsidR="006B2112" w:rsidRDefault="00EE33E9">
      <w:pPr>
        <w:pStyle w:val="TOC2"/>
        <w:tabs>
          <w:tab w:val="right" w:leader="middleDot" w:pos="8494"/>
        </w:tabs>
        <w:rPr>
          <w:rFonts w:asciiTheme="minorHAnsi" w:eastAsiaTheme="minorEastAsia" w:hAnsiTheme="minorHAnsi" w:cstheme="minorBidi"/>
          <w:noProof/>
          <w:kern w:val="2"/>
          <w:sz w:val="21"/>
        </w:rPr>
      </w:pPr>
      <w:hyperlink w:anchor="_Toc105023923" w:history="1">
        <w:r w:rsidR="006B2112" w:rsidRPr="00FA67E1">
          <w:rPr>
            <w:rStyle w:val="a7"/>
            <w:rFonts w:ascii="黑体" w:hAnsi="黑体"/>
            <w:noProof/>
          </w:rPr>
          <w:t>5.1</w:t>
        </w:r>
        <w:r w:rsidR="006B2112" w:rsidRPr="00FA67E1">
          <w:rPr>
            <w:rStyle w:val="a7"/>
            <w:rFonts w:ascii="黑体" w:hAnsi="黑体"/>
            <w:noProof/>
          </w:rPr>
          <w:t>研究结论</w:t>
        </w:r>
        <w:r w:rsidR="006B2112">
          <w:rPr>
            <w:noProof/>
            <w:webHidden/>
          </w:rPr>
          <w:tab/>
        </w:r>
        <w:r w:rsidR="006B2112">
          <w:rPr>
            <w:noProof/>
            <w:webHidden/>
          </w:rPr>
          <w:fldChar w:fldCharType="begin"/>
        </w:r>
        <w:r w:rsidR="006B2112">
          <w:rPr>
            <w:noProof/>
            <w:webHidden/>
          </w:rPr>
          <w:instrText xml:space="preserve"> PAGEREF _Toc105023923 \h </w:instrText>
        </w:r>
        <w:r w:rsidR="006B2112">
          <w:rPr>
            <w:noProof/>
            <w:webHidden/>
          </w:rPr>
        </w:r>
        <w:r w:rsidR="006B2112">
          <w:rPr>
            <w:noProof/>
            <w:webHidden/>
          </w:rPr>
          <w:fldChar w:fldCharType="separate"/>
        </w:r>
        <w:r w:rsidR="006B2112">
          <w:rPr>
            <w:noProof/>
            <w:webHidden/>
          </w:rPr>
          <w:t>24</w:t>
        </w:r>
        <w:r w:rsidR="006B2112">
          <w:rPr>
            <w:noProof/>
            <w:webHidden/>
          </w:rPr>
          <w:fldChar w:fldCharType="end"/>
        </w:r>
      </w:hyperlink>
    </w:p>
    <w:p w14:paraId="43EBC190" w14:textId="16C8718F" w:rsidR="006B2112" w:rsidRDefault="00EE33E9">
      <w:pPr>
        <w:pStyle w:val="TOC2"/>
        <w:tabs>
          <w:tab w:val="right" w:leader="middleDot" w:pos="8494"/>
        </w:tabs>
        <w:rPr>
          <w:rFonts w:asciiTheme="minorHAnsi" w:eastAsiaTheme="minorEastAsia" w:hAnsiTheme="minorHAnsi" w:cstheme="minorBidi"/>
          <w:noProof/>
          <w:kern w:val="2"/>
          <w:sz w:val="21"/>
        </w:rPr>
      </w:pPr>
      <w:hyperlink w:anchor="_Toc105023924" w:history="1">
        <w:r w:rsidR="006B2112" w:rsidRPr="00FA67E1">
          <w:rPr>
            <w:rStyle w:val="a7"/>
            <w:rFonts w:ascii="黑体" w:hAnsi="黑体"/>
            <w:noProof/>
          </w:rPr>
          <w:t>5.2</w:t>
        </w:r>
        <w:r w:rsidR="006B2112" w:rsidRPr="00FA67E1">
          <w:rPr>
            <w:rStyle w:val="a7"/>
            <w:rFonts w:ascii="黑体" w:hAnsi="黑体"/>
            <w:noProof/>
          </w:rPr>
          <w:t>研究建议</w:t>
        </w:r>
        <w:r w:rsidR="006B2112">
          <w:rPr>
            <w:noProof/>
            <w:webHidden/>
          </w:rPr>
          <w:tab/>
        </w:r>
        <w:r w:rsidR="006B2112">
          <w:rPr>
            <w:noProof/>
            <w:webHidden/>
          </w:rPr>
          <w:fldChar w:fldCharType="begin"/>
        </w:r>
        <w:r w:rsidR="006B2112">
          <w:rPr>
            <w:noProof/>
            <w:webHidden/>
          </w:rPr>
          <w:instrText xml:space="preserve"> PAGEREF _Toc105023924 \h </w:instrText>
        </w:r>
        <w:r w:rsidR="006B2112">
          <w:rPr>
            <w:noProof/>
            <w:webHidden/>
          </w:rPr>
        </w:r>
        <w:r w:rsidR="006B2112">
          <w:rPr>
            <w:noProof/>
            <w:webHidden/>
          </w:rPr>
          <w:fldChar w:fldCharType="separate"/>
        </w:r>
        <w:r w:rsidR="006B2112">
          <w:rPr>
            <w:noProof/>
            <w:webHidden/>
          </w:rPr>
          <w:t>25</w:t>
        </w:r>
        <w:r w:rsidR="006B2112">
          <w:rPr>
            <w:noProof/>
            <w:webHidden/>
          </w:rPr>
          <w:fldChar w:fldCharType="end"/>
        </w:r>
      </w:hyperlink>
    </w:p>
    <w:p w14:paraId="466D88FB" w14:textId="78DBD897" w:rsidR="006B2112" w:rsidRDefault="00EE33E9">
      <w:pPr>
        <w:pStyle w:val="TOC1"/>
        <w:rPr>
          <w:rFonts w:asciiTheme="minorHAnsi" w:eastAsiaTheme="minorEastAsia" w:hAnsiTheme="minorHAnsi" w:cstheme="minorBidi"/>
          <w:b w:val="0"/>
          <w:noProof/>
          <w:sz w:val="21"/>
          <w:szCs w:val="22"/>
        </w:rPr>
      </w:pPr>
      <w:hyperlink w:anchor="_Toc105023925" w:history="1">
        <w:r w:rsidR="006B2112" w:rsidRPr="00FA67E1">
          <w:rPr>
            <w:rStyle w:val="a7"/>
            <w:noProof/>
          </w:rPr>
          <w:t>致谢</w:t>
        </w:r>
        <w:r w:rsidR="006B2112">
          <w:rPr>
            <w:noProof/>
            <w:webHidden/>
          </w:rPr>
          <w:tab/>
        </w:r>
        <w:r w:rsidR="006B2112">
          <w:rPr>
            <w:noProof/>
            <w:webHidden/>
          </w:rPr>
          <w:fldChar w:fldCharType="begin"/>
        </w:r>
        <w:r w:rsidR="006B2112">
          <w:rPr>
            <w:noProof/>
            <w:webHidden/>
          </w:rPr>
          <w:instrText xml:space="preserve"> PAGEREF _Toc105023925 \h </w:instrText>
        </w:r>
        <w:r w:rsidR="006B2112">
          <w:rPr>
            <w:noProof/>
            <w:webHidden/>
          </w:rPr>
        </w:r>
        <w:r w:rsidR="006B2112">
          <w:rPr>
            <w:noProof/>
            <w:webHidden/>
          </w:rPr>
          <w:fldChar w:fldCharType="separate"/>
        </w:r>
        <w:r w:rsidR="006B2112">
          <w:rPr>
            <w:noProof/>
            <w:webHidden/>
          </w:rPr>
          <w:t>27</w:t>
        </w:r>
        <w:r w:rsidR="006B2112">
          <w:rPr>
            <w:noProof/>
            <w:webHidden/>
          </w:rPr>
          <w:fldChar w:fldCharType="end"/>
        </w:r>
      </w:hyperlink>
    </w:p>
    <w:p w14:paraId="732CCC96" w14:textId="1E212C9D" w:rsidR="006B2112" w:rsidRDefault="00EE33E9">
      <w:pPr>
        <w:pStyle w:val="TOC1"/>
        <w:rPr>
          <w:rFonts w:asciiTheme="minorHAnsi" w:eastAsiaTheme="minorEastAsia" w:hAnsiTheme="minorHAnsi" w:cstheme="minorBidi"/>
          <w:b w:val="0"/>
          <w:noProof/>
          <w:sz w:val="21"/>
          <w:szCs w:val="22"/>
        </w:rPr>
      </w:pPr>
      <w:hyperlink w:anchor="_Toc105023926" w:history="1">
        <w:r w:rsidR="006B2112" w:rsidRPr="00FA67E1">
          <w:rPr>
            <w:rStyle w:val="a7"/>
            <w:noProof/>
          </w:rPr>
          <w:t>参考文献</w:t>
        </w:r>
        <w:r w:rsidR="006B2112">
          <w:rPr>
            <w:noProof/>
            <w:webHidden/>
          </w:rPr>
          <w:tab/>
        </w:r>
        <w:r w:rsidR="006B2112">
          <w:rPr>
            <w:noProof/>
            <w:webHidden/>
          </w:rPr>
          <w:fldChar w:fldCharType="begin"/>
        </w:r>
        <w:r w:rsidR="006B2112">
          <w:rPr>
            <w:noProof/>
            <w:webHidden/>
          </w:rPr>
          <w:instrText xml:space="preserve"> PAGEREF _Toc105023926 \h </w:instrText>
        </w:r>
        <w:r w:rsidR="006B2112">
          <w:rPr>
            <w:noProof/>
            <w:webHidden/>
          </w:rPr>
        </w:r>
        <w:r w:rsidR="006B2112">
          <w:rPr>
            <w:noProof/>
            <w:webHidden/>
          </w:rPr>
          <w:fldChar w:fldCharType="separate"/>
        </w:r>
        <w:r w:rsidR="006B2112">
          <w:rPr>
            <w:noProof/>
            <w:webHidden/>
          </w:rPr>
          <w:t>28</w:t>
        </w:r>
        <w:r w:rsidR="006B2112">
          <w:rPr>
            <w:noProof/>
            <w:webHidden/>
          </w:rPr>
          <w:fldChar w:fldCharType="end"/>
        </w:r>
      </w:hyperlink>
    </w:p>
    <w:p w14:paraId="18B19AAB" w14:textId="712B06C3" w:rsidR="006B2112" w:rsidRDefault="00EE33E9">
      <w:pPr>
        <w:pStyle w:val="TOC1"/>
        <w:rPr>
          <w:rFonts w:asciiTheme="minorHAnsi" w:eastAsiaTheme="minorEastAsia" w:hAnsiTheme="minorHAnsi" w:cstheme="minorBidi"/>
          <w:b w:val="0"/>
          <w:noProof/>
          <w:sz w:val="21"/>
          <w:szCs w:val="22"/>
        </w:rPr>
      </w:pPr>
      <w:hyperlink w:anchor="_Toc105023927" w:history="1">
        <w:r w:rsidR="006B2112" w:rsidRPr="00FA67E1">
          <w:rPr>
            <w:rStyle w:val="a7"/>
            <w:noProof/>
          </w:rPr>
          <w:t>附录</w:t>
        </w:r>
        <w:r w:rsidR="006B2112">
          <w:rPr>
            <w:noProof/>
            <w:webHidden/>
          </w:rPr>
          <w:tab/>
        </w:r>
        <w:r w:rsidR="006B2112">
          <w:rPr>
            <w:noProof/>
            <w:webHidden/>
          </w:rPr>
          <w:fldChar w:fldCharType="begin"/>
        </w:r>
        <w:r w:rsidR="006B2112">
          <w:rPr>
            <w:noProof/>
            <w:webHidden/>
          </w:rPr>
          <w:instrText xml:space="preserve"> PAGEREF _Toc105023927 \h </w:instrText>
        </w:r>
        <w:r w:rsidR="006B2112">
          <w:rPr>
            <w:noProof/>
            <w:webHidden/>
          </w:rPr>
        </w:r>
        <w:r w:rsidR="006B2112">
          <w:rPr>
            <w:noProof/>
            <w:webHidden/>
          </w:rPr>
          <w:fldChar w:fldCharType="separate"/>
        </w:r>
        <w:r w:rsidR="006B2112">
          <w:rPr>
            <w:noProof/>
            <w:webHidden/>
          </w:rPr>
          <w:t>30</w:t>
        </w:r>
        <w:r w:rsidR="006B2112">
          <w:rPr>
            <w:noProof/>
            <w:webHidden/>
          </w:rPr>
          <w:fldChar w:fldCharType="end"/>
        </w:r>
      </w:hyperlink>
    </w:p>
    <w:p w14:paraId="6D3A29AC" w14:textId="7087557B" w:rsidR="00340D1E" w:rsidRDefault="004E58DB">
      <w:r>
        <w:rPr>
          <w:sz w:val="24"/>
          <w:szCs w:val="24"/>
        </w:rPr>
        <w:fldChar w:fldCharType="end"/>
      </w:r>
    </w:p>
    <w:p w14:paraId="76A610F6" w14:textId="77777777" w:rsidR="00340D1E" w:rsidRDefault="00340D1E" w:rsidP="00E43765">
      <w:pPr>
        <w:spacing w:beforeLines="50" w:before="156" w:afterLines="50" w:after="156"/>
        <w:rPr>
          <w:rFonts w:eastAsia="黑体"/>
          <w:b/>
          <w:sz w:val="36"/>
          <w:szCs w:val="36"/>
        </w:rPr>
      </w:pPr>
    </w:p>
    <w:p w14:paraId="164BEB3A" w14:textId="77777777" w:rsidR="00340D1E" w:rsidRDefault="00340D1E" w:rsidP="00E43765">
      <w:pPr>
        <w:spacing w:beforeLines="50" w:before="156" w:afterLines="50" w:after="156"/>
        <w:rPr>
          <w:rFonts w:eastAsia="黑体"/>
          <w:b/>
          <w:sz w:val="36"/>
          <w:szCs w:val="36"/>
        </w:rPr>
      </w:pPr>
    </w:p>
    <w:p w14:paraId="01AE857A" w14:textId="77777777" w:rsidR="00340D1E" w:rsidRDefault="00340D1E" w:rsidP="00E43765">
      <w:pPr>
        <w:spacing w:beforeLines="50" w:before="156" w:afterLines="50" w:after="156"/>
        <w:rPr>
          <w:rFonts w:eastAsia="黑体"/>
          <w:b/>
          <w:sz w:val="36"/>
          <w:szCs w:val="36"/>
        </w:rPr>
      </w:pPr>
    </w:p>
    <w:p w14:paraId="719B9A2A" w14:textId="63F17C0F" w:rsidR="00340D1E" w:rsidRDefault="00340D1E" w:rsidP="00E43765">
      <w:pPr>
        <w:spacing w:beforeLines="50" w:before="156" w:afterLines="50" w:after="156"/>
        <w:rPr>
          <w:rFonts w:eastAsia="黑体"/>
          <w:b/>
          <w:sz w:val="36"/>
          <w:szCs w:val="36"/>
        </w:rPr>
      </w:pPr>
    </w:p>
    <w:p w14:paraId="42312909" w14:textId="77777777" w:rsidR="008C52D4" w:rsidRDefault="008C52D4" w:rsidP="00E43765">
      <w:pPr>
        <w:spacing w:beforeLines="50" w:before="156" w:afterLines="50" w:after="156"/>
        <w:rPr>
          <w:rFonts w:eastAsia="黑体"/>
          <w:b/>
          <w:sz w:val="36"/>
          <w:szCs w:val="36"/>
        </w:rPr>
      </w:pPr>
    </w:p>
    <w:p w14:paraId="4543AA84" w14:textId="77777777" w:rsidR="00340D1E" w:rsidRDefault="00340D1E" w:rsidP="00E43765">
      <w:pPr>
        <w:spacing w:beforeLines="50" w:before="156" w:afterLines="50" w:after="156"/>
        <w:rPr>
          <w:rFonts w:eastAsia="黑体"/>
          <w:b/>
          <w:sz w:val="36"/>
          <w:szCs w:val="36"/>
        </w:rPr>
      </w:pPr>
    </w:p>
    <w:p w14:paraId="7CC19B11" w14:textId="77777777" w:rsidR="00340D1E" w:rsidRDefault="00340D1E" w:rsidP="00E43765">
      <w:pPr>
        <w:spacing w:beforeLines="50" w:before="156" w:afterLines="50" w:after="156"/>
        <w:rPr>
          <w:rFonts w:eastAsia="黑体"/>
          <w:b/>
          <w:sz w:val="36"/>
          <w:szCs w:val="36"/>
        </w:rPr>
      </w:pPr>
    </w:p>
    <w:p w14:paraId="46992E62" w14:textId="77777777" w:rsidR="00340D1E" w:rsidRDefault="00340D1E" w:rsidP="00E43765">
      <w:pPr>
        <w:spacing w:beforeLines="50" w:before="156" w:afterLines="50" w:after="156"/>
        <w:rPr>
          <w:rFonts w:eastAsia="黑体"/>
          <w:b/>
          <w:sz w:val="36"/>
          <w:szCs w:val="36"/>
        </w:rPr>
      </w:pPr>
    </w:p>
    <w:p w14:paraId="60AA0F7D" w14:textId="77777777" w:rsidR="00340D1E" w:rsidRDefault="00340D1E" w:rsidP="00E43765">
      <w:pPr>
        <w:spacing w:beforeLines="50" w:before="156" w:afterLines="50" w:after="156"/>
        <w:rPr>
          <w:rFonts w:eastAsia="黑体"/>
          <w:b/>
          <w:sz w:val="36"/>
          <w:szCs w:val="36"/>
        </w:rPr>
      </w:pPr>
    </w:p>
    <w:p w14:paraId="4DAD1E3A" w14:textId="77777777" w:rsidR="00340D1E" w:rsidRDefault="00340D1E" w:rsidP="00E43765">
      <w:pPr>
        <w:spacing w:beforeLines="50" w:before="156" w:afterLines="50" w:after="156"/>
        <w:rPr>
          <w:rFonts w:eastAsia="黑体"/>
          <w:b/>
          <w:sz w:val="36"/>
          <w:szCs w:val="36"/>
        </w:rPr>
      </w:pPr>
    </w:p>
    <w:p w14:paraId="51E4F413" w14:textId="77777777" w:rsidR="00340D1E" w:rsidRDefault="00340D1E" w:rsidP="00E43765">
      <w:pPr>
        <w:spacing w:beforeLines="50" w:before="156" w:afterLines="50" w:after="156"/>
        <w:rPr>
          <w:rFonts w:eastAsia="黑体"/>
          <w:b/>
          <w:sz w:val="36"/>
          <w:szCs w:val="36"/>
        </w:rPr>
      </w:pPr>
    </w:p>
    <w:p w14:paraId="27AEABFD" w14:textId="77777777" w:rsidR="00340D1E" w:rsidRDefault="00340D1E" w:rsidP="00E43765">
      <w:pPr>
        <w:spacing w:beforeLines="50" w:before="156" w:afterLines="50" w:after="156"/>
        <w:rPr>
          <w:rFonts w:eastAsia="黑体"/>
          <w:b/>
          <w:sz w:val="36"/>
          <w:szCs w:val="36"/>
        </w:rPr>
      </w:pPr>
    </w:p>
    <w:p w14:paraId="5036D030" w14:textId="098A306A" w:rsidR="00340D1E" w:rsidRPr="00E048D9" w:rsidRDefault="00340D1E" w:rsidP="00E43765">
      <w:pPr>
        <w:spacing w:beforeLines="50" w:before="156" w:afterLines="50" w:after="156"/>
        <w:rPr>
          <w:rFonts w:eastAsia="黑体"/>
          <w:b/>
          <w:sz w:val="36"/>
          <w:szCs w:val="36"/>
        </w:rPr>
        <w:sectPr w:rsidR="00340D1E" w:rsidRPr="00E048D9">
          <w:headerReference w:type="default" r:id="rId9"/>
          <w:footerReference w:type="default" r:id="rId10"/>
          <w:type w:val="continuous"/>
          <w:pgSz w:w="11906" w:h="16838"/>
          <w:pgMar w:top="1418" w:right="1701" w:bottom="1134" w:left="1701" w:header="851" w:footer="992" w:gutter="0"/>
          <w:pgNumType w:start="1"/>
          <w:cols w:space="720"/>
          <w:docGrid w:type="lines" w:linePitch="312"/>
        </w:sectPr>
      </w:pPr>
    </w:p>
    <w:p w14:paraId="61DD91D5" w14:textId="6BC1B295" w:rsidR="004912D7" w:rsidRDefault="004912D7" w:rsidP="00340D1E">
      <w:pPr>
        <w:pStyle w:val="11"/>
        <w:rPr>
          <w:rFonts w:ascii="楷体_GB2312" w:eastAsia="楷体_GB2312"/>
        </w:rPr>
      </w:pPr>
      <w:bookmarkStart w:id="5" w:name="_Toc105023891"/>
      <w:r>
        <w:lastRenderedPageBreak/>
        <w:t>1</w:t>
      </w:r>
      <w:r>
        <w:rPr>
          <w:rFonts w:hint="eastAsia"/>
        </w:rPr>
        <w:t>绪论</w:t>
      </w:r>
      <w:bookmarkEnd w:id="5"/>
    </w:p>
    <w:p w14:paraId="0C3094C3" w14:textId="07D9B9B3" w:rsidR="00AA2520" w:rsidRDefault="004912D7" w:rsidP="001B02B5">
      <w:pPr>
        <w:pStyle w:val="21"/>
        <w:rPr>
          <w:rFonts w:ascii="楷体_GB2312" w:eastAsia="楷体_GB2312" w:hAnsi="宋体"/>
          <w:color w:val="FF0000"/>
        </w:rPr>
      </w:pPr>
      <w:bookmarkStart w:id="6" w:name="_Toc105023892"/>
      <w:r>
        <w:t>1.1</w:t>
      </w:r>
      <w:r w:rsidR="00AB3FB2">
        <w:rPr>
          <w:rFonts w:hint="eastAsia"/>
        </w:rPr>
        <w:t>研究背景和意义</w:t>
      </w:r>
      <w:bookmarkEnd w:id="6"/>
    </w:p>
    <w:p w14:paraId="3EC7C466" w14:textId="7D191404" w:rsidR="001D59A3" w:rsidRPr="001D59A3" w:rsidRDefault="001D59A3" w:rsidP="001B02B5">
      <w:pPr>
        <w:pStyle w:val="4"/>
        <w:rPr>
          <w:rFonts w:ascii="楷体_GB2312" w:eastAsia="楷体_GB2312" w:hAnsi="宋体"/>
          <w:color w:val="FF0000"/>
        </w:rPr>
      </w:pPr>
      <w:bookmarkStart w:id="7" w:name="_Toc105023893"/>
      <w:r w:rsidRPr="001D59A3">
        <w:rPr>
          <w:rFonts w:hint="eastAsia"/>
        </w:rPr>
        <w:t>1</w:t>
      </w:r>
      <w:r w:rsidRPr="001D59A3">
        <w:t>.1.1</w:t>
      </w:r>
      <w:r w:rsidRPr="001D59A3">
        <w:rPr>
          <w:rFonts w:hint="eastAsia"/>
        </w:rPr>
        <w:t>研究背景</w:t>
      </w:r>
      <w:bookmarkStart w:id="8" w:name="_Hlk103528787"/>
      <w:bookmarkStart w:id="9" w:name="_Hlk103527994"/>
      <w:bookmarkEnd w:id="7"/>
    </w:p>
    <w:p w14:paraId="720AC2A7" w14:textId="39C3C91A" w:rsidR="00EC752D" w:rsidRPr="00D63E8F" w:rsidRDefault="001D59A3" w:rsidP="00D63E8F">
      <w:pPr>
        <w:spacing w:line="360" w:lineRule="auto"/>
        <w:ind w:firstLineChars="200" w:firstLine="480"/>
        <w:rPr>
          <w:rFonts w:ascii="宋体" w:hAnsi="宋体"/>
          <w:sz w:val="24"/>
          <w:u w:val="single"/>
        </w:rPr>
      </w:pPr>
      <w:r w:rsidRPr="001D59A3">
        <w:rPr>
          <w:rFonts w:ascii="宋体" w:hAnsi="宋体" w:hint="eastAsia"/>
          <w:sz w:val="24"/>
        </w:rPr>
        <w:t>随着ESG投资理念逐渐受到学术界和业界的广泛关注,这种新型投资模式为我国企业社会责任的发展开辟了新的方向,受到越来越多的投资者青睐。</w:t>
      </w:r>
      <w:bookmarkEnd w:id="8"/>
      <w:bookmarkEnd w:id="9"/>
      <w:r w:rsidR="00EC752D">
        <w:rPr>
          <w:rFonts w:ascii="宋体" w:hAnsi="宋体" w:hint="eastAsia"/>
          <w:sz w:val="24"/>
        </w:rPr>
        <w:t>近几年来，在我国资本市场中上市公司由于企业社会责任等引发了一系列环境、社会、企业责任等方面的问题，引起了公司股票在A</w:t>
      </w:r>
      <w:r w:rsidR="005810DE">
        <w:rPr>
          <w:rFonts w:ascii="宋体" w:hAnsi="宋体" w:hint="eastAsia"/>
          <w:sz w:val="24"/>
        </w:rPr>
        <w:t>股</w:t>
      </w:r>
      <w:r w:rsidR="00EC752D">
        <w:rPr>
          <w:rFonts w:ascii="宋体" w:hAnsi="宋体" w:hint="eastAsia"/>
          <w:sz w:val="24"/>
        </w:rPr>
        <w:t>市场中的剧烈波动。因此，监管体系和投资者都需要重点关注企业承担自身的社会责任</w:t>
      </w:r>
      <w:r w:rsidR="00D63E8F">
        <w:rPr>
          <w:rFonts w:ascii="宋体" w:hAnsi="宋体" w:hint="eastAsia"/>
          <w:sz w:val="24"/>
        </w:rPr>
        <w:t>，</w:t>
      </w:r>
      <w:r w:rsidR="00D63E8F" w:rsidRPr="00D63E8F">
        <w:rPr>
          <w:rFonts w:ascii="宋体" w:hAnsi="宋体" w:hint="eastAsia"/>
          <w:sz w:val="24"/>
        </w:rPr>
        <w:t>将环境、社会责任、公司治理三者相结合的可持续发展理念终将成为未来投资趋势。目前,国内ESG投资理念的运用尚处于初步阶段,指标体系的建立有待完善,在实际运用中还存在诸多问题需要深入地研究和实践。</w:t>
      </w:r>
    </w:p>
    <w:p w14:paraId="20EFA42C" w14:textId="06D9F14D" w:rsidR="001D59A3" w:rsidRDefault="00AA2520" w:rsidP="001D59A3">
      <w:pPr>
        <w:spacing w:line="360" w:lineRule="auto"/>
        <w:ind w:firstLineChars="200" w:firstLine="480"/>
        <w:rPr>
          <w:rFonts w:ascii="宋体" w:hAnsi="宋体"/>
          <w:sz w:val="24"/>
        </w:rPr>
      </w:pPr>
      <w:r>
        <w:rPr>
          <w:rFonts w:ascii="宋体" w:hAnsi="宋体" w:hint="eastAsia"/>
          <w:sz w:val="24"/>
        </w:rPr>
        <w:t>同时，</w:t>
      </w:r>
      <w:r w:rsidR="001D59A3" w:rsidRPr="001D59A3">
        <w:rPr>
          <w:rFonts w:ascii="宋体" w:hAnsi="宋体" w:hint="eastAsia"/>
          <w:sz w:val="24"/>
        </w:rPr>
        <w:t>我国提出“碳达峰碳中和”的“30·60”目标，实体产业结构变迁将显著加快。2020年，中国正式提出2030年前碳达峰、2060年前碳中和的战略目标，2021年7月30日召开的政治局会议再次强调“要统筹有序做好碳达峰、碳中和工作，尽快出台2030年前碳达峰行动方案”。过去支持绿色经济发展的政策多是点状的、局部的，而此次“30·60”目标的提出意味着未来政策支持发展绿色经济的力度将大幅加码，由此将带动国内实体产业结构变迁将显著加快，实体经济的绿色化和数字化转型也将成为资本市场中长期布局方向。其中，在能源生产端，国内的能源结构将迎来颠覆性调整，化石能源将逐步减少或退出，光伏、风能、氢能等清洁能源将成为电力的主要来源；在能源消费端，电气化和效率提升是重点发展方向，新能源汽车产业将迎来蓬勃发展，包括工业、钢铁、水泥、建筑业等在内的传统行业也将迎来大面积的电气化改造和节能提效的技术路线改进；在促进碳吸收方面，生态固碳、CCUS等前沿固碳技术研发和商业化推广等将有望得到更多资金支持。</w:t>
      </w:r>
    </w:p>
    <w:p w14:paraId="7E47343B" w14:textId="0EA7B39A" w:rsidR="004D0F96" w:rsidRPr="001D59A3" w:rsidRDefault="006E182D" w:rsidP="001D59A3">
      <w:pPr>
        <w:spacing w:line="360" w:lineRule="auto"/>
        <w:ind w:firstLineChars="200" w:firstLine="480"/>
        <w:rPr>
          <w:rFonts w:ascii="宋体" w:hAnsi="宋体"/>
          <w:sz w:val="24"/>
        </w:rPr>
      </w:pPr>
      <w:r w:rsidRPr="006E182D">
        <w:rPr>
          <w:rFonts w:ascii="宋体" w:hAnsi="宋体" w:hint="eastAsia"/>
          <w:sz w:val="24"/>
        </w:rPr>
        <w:t>碳达峰和ESG虽然是两个独立的主题，但是两者息息相关，</w:t>
      </w:r>
      <w:r w:rsidR="00015307" w:rsidRPr="006E182D">
        <w:rPr>
          <w:rFonts w:ascii="宋体" w:hAnsi="宋体" w:hint="eastAsia"/>
          <w:sz w:val="24"/>
        </w:rPr>
        <w:t>推动ESG投资是实现碳达峰碳中和的重要保障</w:t>
      </w:r>
      <w:r w:rsidR="00015307">
        <w:rPr>
          <w:rFonts w:ascii="宋体" w:hAnsi="宋体" w:hint="eastAsia"/>
          <w:sz w:val="24"/>
        </w:rPr>
        <w:t>。在发布的和碳中和相关条例和政策性文件中</w:t>
      </w:r>
      <w:r w:rsidRPr="006E182D">
        <w:rPr>
          <w:rFonts w:ascii="宋体" w:hAnsi="宋体" w:hint="eastAsia"/>
          <w:sz w:val="24"/>
        </w:rPr>
        <w:t>，其中</w:t>
      </w:r>
      <w:r w:rsidR="00015307">
        <w:rPr>
          <w:rFonts w:ascii="宋体" w:hAnsi="宋体" w:hint="eastAsia"/>
          <w:sz w:val="24"/>
        </w:rPr>
        <w:t>许多和碳中和、碳达峰以及碳排放相关</w:t>
      </w:r>
      <w:r w:rsidRPr="006E182D">
        <w:rPr>
          <w:rFonts w:ascii="宋体" w:hAnsi="宋体" w:hint="eastAsia"/>
          <w:sz w:val="24"/>
        </w:rPr>
        <w:t>，这意味着未来中国在推进减排议程时，会</w:t>
      </w:r>
      <w:r w:rsidRPr="006E182D">
        <w:rPr>
          <w:rFonts w:ascii="宋体" w:hAnsi="宋体" w:hint="eastAsia"/>
          <w:sz w:val="24"/>
        </w:rPr>
        <w:lastRenderedPageBreak/>
        <w:t>同步大力改善</w:t>
      </w:r>
      <w:r w:rsidR="00015307">
        <w:rPr>
          <w:rFonts w:ascii="宋体" w:hAnsi="宋体" w:hint="eastAsia"/>
          <w:sz w:val="24"/>
        </w:rPr>
        <w:t>社会ESG监督评价体系。</w:t>
      </w:r>
    </w:p>
    <w:p w14:paraId="2479EB87" w14:textId="5B8D6DF2" w:rsidR="001D59A3" w:rsidRPr="001D59A3" w:rsidRDefault="001D59A3" w:rsidP="001D59A3">
      <w:pPr>
        <w:spacing w:line="360" w:lineRule="auto"/>
        <w:ind w:firstLineChars="200" w:firstLine="480"/>
        <w:rPr>
          <w:rFonts w:ascii="宋体" w:hAnsi="宋体"/>
          <w:sz w:val="24"/>
        </w:rPr>
      </w:pPr>
      <w:r>
        <w:rPr>
          <w:rFonts w:ascii="宋体" w:hAnsi="宋体" w:hint="eastAsia"/>
          <w:sz w:val="24"/>
        </w:rPr>
        <w:t>资本市场受到了</w:t>
      </w:r>
      <w:r w:rsidR="006E182D">
        <w:rPr>
          <w:rFonts w:ascii="宋体" w:hAnsi="宋体" w:hint="eastAsia"/>
          <w:sz w:val="24"/>
        </w:rPr>
        <w:t>相关政策的</w:t>
      </w:r>
      <w:r>
        <w:rPr>
          <w:rFonts w:ascii="宋体" w:hAnsi="宋体" w:hint="eastAsia"/>
          <w:sz w:val="24"/>
        </w:rPr>
        <w:t>影响。</w:t>
      </w:r>
      <w:r w:rsidRPr="001D59A3">
        <w:rPr>
          <w:rFonts w:ascii="宋体" w:hAnsi="宋体" w:hint="eastAsia"/>
          <w:sz w:val="24"/>
        </w:rPr>
        <w:t>一方面，从融资支持来看，绿色融资规模快速增长，高耗能行业融资环境渐收紧。其中，今年1-8月我国累计发行绿色债券超4200亿元，创历史新高；截至8月底，今年电气设备行业IPO规模占比升至6.9%，是历史均值4.6%的1.5倍。对于传统行业，全球已有包括贝莱德等在内的投资机构宣布从化石燃料领域撤资，我国新设可持续挂钩债券工具支持传统行业绿色升级。另一方面，从市场表现来看，绿色与传统行业的估值分化加大。截至今年8月底，海外电动车龙头特斯拉市值超7200 亿美元，是丰田汽车市值的2.5倍；我国电动车产业链龙头宁德时代市值超过1.1万亿元人民币，排名全A第5，是中国石油的1.3倍左右。</w:t>
      </w:r>
    </w:p>
    <w:p w14:paraId="744D4EB7" w14:textId="77777777" w:rsidR="004912D7" w:rsidRDefault="001D59A3" w:rsidP="00AA45C2">
      <w:pPr>
        <w:spacing w:line="360" w:lineRule="auto"/>
        <w:ind w:firstLineChars="200" w:firstLine="480"/>
        <w:rPr>
          <w:rFonts w:ascii="宋体" w:hAnsi="宋体"/>
          <w:sz w:val="24"/>
        </w:rPr>
      </w:pPr>
      <w:r w:rsidRPr="001D59A3">
        <w:rPr>
          <w:rFonts w:ascii="宋体" w:hAnsi="宋体" w:hint="eastAsia"/>
          <w:sz w:val="24"/>
        </w:rPr>
        <w:t>随着我国碳中和目标的明确提出，资本市场也发生了相应的变化。</w:t>
      </w:r>
      <w:r w:rsidR="0024512D">
        <w:rPr>
          <w:rFonts w:ascii="宋体" w:hAnsi="宋体" w:hint="eastAsia"/>
          <w:sz w:val="24"/>
        </w:rPr>
        <w:t>根据万得数据统计，</w:t>
      </w:r>
      <w:r w:rsidR="00AA45C2">
        <w:rPr>
          <w:rFonts w:ascii="宋体" w:hAnsi="宋体" w:hint="eastAsia"/>
          <w:sz w:val="24"/>
        </w:rPr>
        <w:t>截止至2</w:t>
      </w:r>
      <w:r w:rsidR="00AA45C2">
        <w:rPr>
          <w:rFonts w:ascii="宋体" w:hAnsi="宋体"/>
          <w:sz w:val="24"/>
        </w:rPr>
        <w:t>021</w:t>
      </w:r>
      <w:r w:rsidR="00AA45C2">
        <w:rPr>
          <w:rFonts w:ascii="宋体" w:hAnsi="宋体" w:hint="eastAsia"/>
          <w:sz w:val="24"/>
        </w:rPr>
        <w:t>年7月3</w:t>
      </w:r>
      <w:r w:rsidR="00AA45C2">
        <w:rPr>
          <w:rFonts w:ascii="宋体" w:hAnsi="宋体"/>
          <w:sz w:val="24"/>
        </w:rPr>
        <w:t>1</w:t>
      </w:r>
      <w:r w:rsidR="00AA45C2">
        <w:rPr>
          <w:rFonts w:ascii="宋体" w:hAnsi="宋体" w:hint="eastAsia"/>
          <w:sz w:val="24"/>
        </w:rPr>
        <w:t>日，ESG主题公募基金存续产品共8</w:t>
      </w:r>
      <w:r w:rsidR="00AA45C2">
        <w:rPr>
          <w:rFonts w:ascii="宋体" w:hAnsi="宋体"/>
          <w:sz w:val="24"/>
        </w:rPr>
        <w:t>0</w:t>
      </w:r>
      <w:r w:rsidR="00AA45C2">
        <w:rPr>
          <w:rFonts w:ascii="宋体" w:hAnsi="宋体" w:hint="eastAsia"/>
          <w:sz w:val="24"/>
        </w:rPr>
        <w:t>只（另有1</w:t>
      </w:r>
      <w:r w:rsidR="00AA45C2">
        <w:rPr>
          <w:rFonts w:ascii="宋体" w:hAnsi="宋体"/>
          <w:sz w:val="24"/>
        </w:rPr>
        <w:t>5</w:t>
      </w:r>
      <w:r w:rsidR="00AA45C2">
        <w:rPr>
          <w:rFonts w:ascii="宋体" w:hAnsi="宋体" w:hint="eastAsia"/>
          <w:sz w:val="24"/>
        </w:rPr>
        <w:t>只</w:t>
      </w:r>
      <w:r w:rsidR="003078FB">
        <w:rPr>
          <w:rFonts w:ascii="宋体" w:hAnsi="宋体" w:hint="eastAsia"/>
          <w:sz w:val="24"/>
        </w:rPr>
        <w:t>待</w:t>
      </w:r>
      <w:r w:rsidR="00AA45C2">
        <w:rPr>
          <w:rFonts w:ascii="宋体" w:hAnsi="宋体" w:hint="eastAsia"/>
          <w:sz w:val="24"/>
        </w:rPr>
        <w:t>成立，0只已终止）。除未披露</w:t>
      </w:r>
      <w:r w:rsidR="003078FB">
        <w:rPr>
          <w:rFonts w:ascii="宋体" w:hAnsi="宋体" w:hint="eastAsia"/>
          <w:sz w:val="24"/>
        </w:rPr>
        <w:t>规模产品外，ESG主题公募基金产品净值总规模达到人民币2</w:t>
      </w:r>
      <w:r w:rsidR="003078FB">
        <w:rPr>
          <w:rFonts w:ascii="宋体" w:hAnsi="宋体"/>
          <w:sz w:val="24"/>
        </w:rPr>
        <w:t>471</w:t>
      </w:r>
      <w:r w:rsidR="003078FB">
        <w:rPr>
          <w:rFonts w:ascii="宋体" w:hAnsi="宋体" w:hint="eastAsia"/>
          <w:sz w:val="24"/>
        </w:rPr>
        <w:t>亿元，其中规模超过人民币1</w:t>
      </w:r>
      <w:r w:rsidR="003078FB">
        <w:rPr>
          <w:rFonts w:ascii="宋体" w:hAnsi="宋体"/>
          <w:sz w:val="24"/>
        </w:rPr>
        <w:t>0</w:t>
      </w:r>
      <w:r w:rsidR="003078FB">
        <w:rPr>
          <w:rFonts w:ascii="宋体" w:hAnsi="宋体" w:hint="eastAsia"/>
          <w:sz w:val="24"/>
        </w:rPr>
        <w:t>亿元的产品有4</w:t>
      </w:r>
      <w:r w:rsidR="003078FB">
        <w:rPr>
          <w:rFonts w:ascii="宋体" w:hAnsi="宋体"/>
          <w:sz w:val="24"/>
        </w:rPr>
        <w:t>7</w:t>
      </w:r>
      <w:r w:rsidR="003078FB">
        <w:rPr>
          <w:rFonts w:ascii="宋体" w:hAnsi="宋体" w:hint="eastAsia"/>
          <w:sz w:val="24"/>
        </w:rPr>
        <w:t>只，占比5</w:t>
      </w:r>
      <w:r w:rsidR="003078FB">
        <w:rPr>
          <w:rFonts w:ascii="宋体" w:hAnsi="宋体"/>
          <w:sz w:val="24"/>
        </w:rPr>
        <w:t>8.8</w:t>
      </w:r>
      <w:r w:rsidR="003078FB">
        <w:rPr>
          <w:rFonts w:ascii="宋体" w:hAnsi="宋体" w:hint="eastAsia"/>
          <w:sz w:val="24"/>
        </w:rPr>
        <w:t>%；超过6</w:t>
      </w:r>
      <w:r w:rsidR="003078FB">
        <w:rPr>
          <w:rFonts w:ascii="宋体" w:hAnsi="宋体"/>
          <w:sz w:val="24"/>
        </w:rPr>
        <w:t>8.8</w:t>
      </w:r>
      <w:r w:rsidR="003078FB">
        <w:rPr>
          <w:rFonts w:ascii="宋体" w:hAnsi="宋体" w:hint="eastAsia"/>
          <w:sz w:val="24"/>
        </w:rPr>
        <w:t>%的产品资产规模大于人民币5亿元。随着政策与资本布局的变化，ESG选股对基金绩效造成的影响，是本文重点研究的内容。</w:t>
      </w:r>
    </w:p>
    <w:p w14:paraId="54D1B6EB" w14:textId="0191C205" w:rsidR="0024512D" w:rsidRPr="001D59A3" w:rsidRDefault="0024512D" w:rsidP="001B02B5">
      <w:pPr>
        <w:pStyle w:val="4"/>
        <w:rPr>
          <w:rFonts w:ascii="楷体_GB2312" w:eastAsia="楷体_GB2312" w:hAnsi="宋体"/>
          <w:color w:val="FF0000"/>
        </w:rPr>
      </w:pPr>
      <w:bookmarkStart w:id="10" w:name="_Toc105023894"/>
      <w:r w:rsidRPr="001D59A3">
        <w:rPr>
          <w:rFonts w:hint="eastAsia"/>
        </w:rPr>
        <w:t>1</w:t>
      </w:r>
      <w:r w:rsidRPr="001D59A3">
        <w:t>.1.</w:t>
      </w:r>
      <w:r>
        <w:t>2</w:t>
      </w:r>
      <w:r w:rsidRPr="001D59A3">
        <w:rPr>
          <w:rFonts w:hint="eastAsia"/>
        </w:rPr>
        <w:t>研究</w:t>
      </w:r>
      <w:r>
        <w:rPr>
          <w:rFonts w:hint="eastAsia"/>
        </w:rPr>
        <w:t>意义</w:t>
      </w:r>
      <w:bookmarkStart w:id="11" w:name="_Hlk103561376"/>
      <w:bookmarkEnd w:id="10"/>
    </w:p>
    <w:bookmarkEnd w:id="11"/>
    <w:p w14:paraId="111F337F" w14:textId="75073FD6" w:rsidR="008C770A" w:rsidRDefault="008C770A" w:rsidP="001B02B5">
      <w:pPr>
        <w:spacing w:line="360" w:lineRule="auto"/>
        <w:ind w:firstLineChars="200" w:firstLine="480"/>
        <w:rPr>
          <w:rFonts w:ascii="宋体" w:hAnsi="宋体"/>
          <w:sz w:val="24"/>
          <w:szCs w:val="24"/>
        </w:rPr>
      </w:pPr>
      <w:r w:rsidRPr="008C770A">
        <w:rPr>
          <w:rFonts w:ascii="宋体" w:hAnsi="宋体" w:hint="eastAsia"/>
          <w:sz w:val="24"/>
          <w:szCs w:val="24"/>
        </w:rPr>
        <w:t>近年来，我国基金管理规模不断扩大，证券投资基金的发展前景十分广阔。未来，市场参与者不仅将依靠经济效率来选择基金产品，还将把基金头寸的社会责任表现纳入其投资决策。从个人投资者的角度来看，投资者基于基金头寸的社会责任进行投资的能力对于资本市场的良性循环和健康流动至关重要；从整体市场环境来看，投资者投资理念和投资策略的日益成熟，可以在一定程度上促进机构投资者资源的充分利用；个人投资者积极参与和监督负责任投资，也有助于执行政府有关环境保护、社会治理和公司治理的法律法规。</w:t>
      </w:r>
    </w:p>
    <w:p w14:paraId="6650AE60" w14:textId="1BC5A076" w:rsidR="008C770A" w:rsidRDefault="008C770A" w:rsidP="008C770A">
      <w:pPr>
        <w:spacing w:line="360" w:lineRule="auto"/>
        <w:ind w:firstLineChars="200" w:firstLine="480"/>
        <w:rPr>
          <w:rFonts w:ascii="宋体" w:hAnsi="宋体"/>
          <w:sz w:val="24"/>
          <w:szCs w:val="24"/>
        </w:rPr>
      </w:pPr>
      <w:r w:rsidRPr="008C770A">
        <w:rPr>
          <w:rFonts w:ascii="宋体" w:hAnsi="宋体" w:hint="eastAsia"/>
          <w:sz w:val="24"/>
          <w:szCs w:val="24"/>
        </w:rPr>
        <w:t>与此同时，国际公共卫生突发事件和全球变暖导致的气候变化不仅在政治和社会层面引起了关注，而且在经济层面也引起了关注，资本市场和投资机构日益关注</w:t>
      </w:r>
      <w:r>
        <w:rPr>
          <w:rFonts w:ascii="宋体" w:hAnsi="宋体" w:hint="eastAsia"/>
          <w:sz w:val="24"/>
          <w:szCs w:val="24"/>
        </w:rPr>
        <w:t>到企业关于社会责任承担引发的问题</w:t>
      </w:r>
      <w:r w:rsidRPr="008C770A">
        <w:rPr>
          <w:rFonts w:ascii="宋体" w:hAnsi="宋体" w:hint="eastAsia"/>
          <w:sz w:val="24"/>
          <w:szCs w:val="24"/>
        </w:rPr>
        <w:t>，迫使越来越多的国家在</w:t>
      </w:r>
      <w:r>
        <w:rPr>
          <w:rFonts w:ascii="宋体" w:hAnsi="宋体" w:hint="eastAsia"/>
          <w:sz w:val="24"/>
          <w:szCs w:val="24"/>
        </w:rPr>
        <w:t>环境与社会</w:t>
      </w:r>
      <w:r w:rsidRPr="008C770A">
        <w:rPr>
          <w:rFonts w:ascii="宋体" w:hAnsi="宋体" w:hint="eastAsia"/>
          <w:sz w:val="24"/>
          <w:szCs w:val="24"/>
        </w:rPr>
        <w:t>责任投资实践中寻求解决方案。在金融资产定价领域，考虑ESG因素</w:t>
      </w:r>
      <w:r>
        <w:rPr>
          <w:rFonts w:ascii="宋体" w:hAnsi="宋体" w:hint="eastAsia"/>
          <w:sz w:val="24"/>
          <w:szCs w:val="24"/>
        </w:rPr>
        <w:t>正在成为主流</w:t>
      </w:r>
      <w:r w:rsidRPr="008C770A">
        <w:rPr>
          <w:rFonts w:ascii="宋体" w:hAnsi="宋体" w:hint="eastAsia"/>
          <w:sz w:val="24"/>
          <w:szCs w:val="24"/>
        </w:rPr>
        <w:t>，金</w:t>
      </w:r>
      <w:r w:rsidRPr="008C770A">
        <w:rPr>
          <w:rFonts w:ascii="宋体" w:hAnsi="宋体" w:hint="eastAsia"/>
          <w:sz w:val="24"/>
          <w:szCs w:val="24"/>
        </w:rPr>
        <w:lastRenderedPageBreak/>
        <w:t>融资产投资的社会责任表现正在成为监管机构和市场参与者的共识。建立包括ESG指标在内的基金绩效评估体系，有利于促进中国实现碳中和，有利于建立将各种经济和社会问题融入资本市场的投资决策框架，进一步加快资本市场责任投资的发展速度</w:t>
      </w:r>
      <w:r>
        <w:rPr>
          <w:rFonts w:ascii="宋体" w:hAnsi="宋体" w:hint="eastAsia"/>
          <w:sz w:val="24"/>
          <w:szCs w:val="24"/>
        </w:rPr>
        <w:t>和促进</w:t>
      </w:r>
      <w:r w:rsidRPr="008C770A">
        <w:rPr>
          <w:rFonts w:ascii="宋体" w:hAnsi="宋体" w:hint="eastAsia"/>
          <w:sz w:val="24"/>
          <w:szCs w:val="24"/>
        </w:rPr>
        <w:t>资本市场的正向流动。</w:t>
      </w:r>
    </w:p>
    <w:p w14:paraId="57025B71" w14:textId="73678B1C" w:rsidR="00E94BA7" w:rsidRDefault="00E94BA7" w:rsidP="008C770A">
      <w:pPr>
        <w:pStyle w:val="21"/>
        <w:rPr>
          <w:rFonts w:ascii="楷体_GB2312" w:eastAsia="楷体_GB2312" w:hAnsi="宋体"/>
          <w:color w:val="FF0000"/>
        </w:rPr>
      </w:pPr>
      <w:bookmarkStart w:id="12" w:name="_Toc105023895"/>
      <w:r>
        <w:t>1.2</w:t>
      </w:r>
      <w:r>
        <w:rPr>
          <w:rFonts w:hint="eastAsia"/>
        </w:rPr>
        <w:t>研究内容和方法</w:t>
      </w:r>
      <w:bookmarkEnd w:id="12"/>
    </w:p>
    <w:p w14:paraId="107AE8E7" w14:textId="78DA94FE" w:rsidR="00E94BA7" w:rsidRPr="001D59A3" w:rsidRDefault="00E94BA7" w:rsidP="001B02B5">
      <w:pPr>
        <w:pStyle w:val="4"/>
        <w:rPr>
          <w:rFonts w:ascii="楷体_GB2312" w:eastAsia="楷体_GB2312" w:hAnsi="宋体"/>
          <w:color w:val="FF0000"/>
        </w:rPr>
      </w:pPr>
      <w:bookmarkStart w:id="13" w:name="_Toc105023896"/>
      <w:r w:rsidRPr="001D59A3">
        <w:rPr>
          <w:rFonts w:hint="eastAsia"/>
        </w:rPr>
        <w:t>1</w:t>
      </w:r>
      <w:r w:rsidRPr="001D59A3">
        <w:t>.</w:t>
      </w:r>
      <w:r>
        <w:t>2</w:t>
      </w:r>
      <w:r w:rsidRPr="001D59A3">
        <w:t>.1</w:t>
      </w:r>
      <w:r w:rsidRPr="001D59A3">
        <w:rPr>
          <w:rFonts w:hint="eastAsia"/>
        </w:rPr>
        <w:t>研究</w:t>
      </w:r>
      <w:r>
        <w:rPr>
          <w:rFonts w:hint="eastAsia"/>
        </w:rPr>
        <w:t>内容</w:t>
      </w:r>
      <w:bookmarkEnd w:id="13"/>
    </w:p>
    <w:p w14:paraId="56459A24" w14:textId="77777777" w:rsidR="00AA2520" w:rsidRDefault="00DD0845" w:rsidP="00DD0845">
      <w:pPr>
        <w:spacing w:line="360" w:lineRule="auto"/>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本文参照了w</w:t>
      </w:r>
      <w:r>
        <w:rPr>
          <w:rFonts w:ascii="宋体" w:hAnsi="宋体"/>
          <w:sz w:val="24"/>
          <w:szCs w:val="24"/>
        </w:rPr>
        <w:t>ind</w:t>
      </w:r>
      <w:r>
        <w:rPr>
          <w:rFonts w:ascii="宋体" w:hAnsi="宋体" w:hint="eastAsia"/>
          <w:sz w:val="24"/>
          <w:szCs w:val="24"/>
        </w:rPr>
        <w:t>数据库基金ESG评分体系，得到了</w:t>
      </w:r>
      <w:r w:rsidRPr="00DD0845">
        <w:rPr>
          <w:rFonts w:ascii="宋体" w:hAnsi="宋体" w:hint="eastAsia"/>
          <w:sz w:val="24"/>
          <w:szCs w:val="24"/>
        </w:rPr>
        <w:t>碳中和指标、基金E环境评分、基金S社会评分、基金G治理评分、重仓股票占基金市值比例、重仓股票ESG评分</w:t>
      </w:r>
      <w:r>
        <w:rPr>
          <w:rFonts w:ascii="宋体" w:hAnsi="宋体" w:hint="eastAsia"/>
          <w:sz w:val="24"/>
          <w:szCs w:val="24"/>
        </w:rPr>
        <w:t>等6个创新指标，结合传统基金评价体系指标，建立一套区别于传统评价方法的综合基金绩效评价体系。由此体系对碳中和型基金与非碳中和型基金进行综合评分，并对不同类型基金综合得分结果进行逻辑回归，探究影响基金绩效原因解释。</w:t>
      </w:r>
    </w:p>
    <w:p w14:paraId="47374812" w14:textId="4F7A9230" w:rsidR="00646285" w:rsidRPr="001D59A3" w:rsidRDefault="00646285" w:rsidP="001B02B5">
      <w:pPr>
        <w:pStyle w:val="4"/>
        <w:rPr>
          <w:rFonts w:ascii="楷体_GB2312" w:eastAsia="楷体_GB2312" w:hAnsi="宋体"/>
          <w:color w:val="FF0000"/>
        </w:rPr>
      </w:pPr>
      <w:bookmarkStart w:id="14" w:name="_Toc105023897"/>
      <w:r w:rsidRPr="001D59A3">
        <w:rPr>
          <w:rFonts w:hint="eastAsia"/>
        </w:rPr>
        <w:t>1</w:t>
      </w:r>
      <w:r w:rsidRPr="001D59A3">
        <w:t>.</w:t>
      </w:r>
      <w:r>
        <w:t>2</w:t>
      </w:r>
      <w:r w:rsidRPr="001D59A3">
        <w:t>.</w:t>
      </w:r>
      <w:r>
        <w:t>2</w:t>
      </w:r>
      <w:r w:rsidRPr="001D59A3">
        <w:rPr>
          <w:rFonts w:hint="eastAsia"/>
        </w:rPr>
        <w:t>研究</w:t>
      </w:r>
      <w:r>
        <w:rPr>
          <w:rFonts w:hint="eastAsia"/>
        </w:rPr>
        <w:t>方法</w:t>
      </w:r>
      <w:bookmarkEnd w:id="14"/>
    </w:p>
    <w:p w14:paraId="2ADBFB2F" w14:textId="77777777" w:rsidR="00F83565" w:rsidRDefault="00F83565" w:rsidP="00684029">
      <w:pPr>
        <w:spacing w:line="360" w:lineRule="auto"/>
        <w:ind w:firstLineChars="200" w:firstLine="480"/>
        <w:jc w:val="left"/>
        <w:rPr>
          <w:rFonts w:ascii="宋体" w:hAnsi="宋体"/>
          <w:sz w:val="24"/>
          <w:szCs w:val="24"/>
        </w:rPr>
      </w:pPr>
      <w:bookmarkStart w:id="15" w:name="_Hlk103561359"/>
      <w:r w:rsidRPr="00646285">
        <w:rPr>
          <w:rFonts w:ascii="宋体" w:hAnsi="宋体" w:hint="eastAsia"/>
          <w:sz w:val="24"/>
          <w:szCs w:val="24"/>
        </w:rPr>
        <w:t>在研究方法上，本文主要</w:t>
      </w:r>
      <w:r>
        <w:rPr>
          <w:rFonts w:ascii="宋体" w:hAnsi="宋体" w:hint="eastAsia"/>
          <w:sz w:val="24"/>
          <w:szCs w:val="24"/>
        </w:rPr>
        <w:t>使用文献分析法</w:t>
      </w:r>
      <w:r w:rsidRPr="00646285">
        <w:rPr>
          <w:rFonts w:ascii="宋体" w:hAnsi="宋体" w:hint="eastAsia"/>
          <w:sz w:val="24"/>
          <w:szCs w:val="24"/>
        </w:rPr>
        <w:t>和</w:t>
      </w:r>
      <w:r>
        <w:rPr>
          <w:rFonts w:ascii="宋体" w:hAnsi="宋体" w:hint="eastAsia"/>
          <w:sz w:val="24"/>
          <w:szCs w:val="24"/>
        </w:rPr>
        <w:t>实证分析法</w:t>
      </w:r>
      <w:r w:rsidRPr="00646285">
        <w:rPr>
          <w:rFonts w:ascii="宋体" w:hAnsi="宋体" w:hint="eastAsia"/>
          <w:sz w:val="24"/>
          <w:szCs w:val="24"/>
        </w:rPr>
        <w:t>两</w:t>
      </w:r>
      <w:r>
        <w:rPr>
          <w:rFonts w:ascii="宋体" w:hAnsi="宋体" w:hint="eastAsia"/>
          <w:sz w:val="24"/>
          <w:szCs w:val="24"/>
        </w:rPr>
        <w:t>种方法研究</w:t>
      </w:r>
      <w:r w:rsidRPr="00646285">
        <w:rPr>
          <w:rFonts w:ascii="宋体" w:hAnsi="宋体" w:hint="eastAsia"/>
          <w:sz w:val="24"/>
          <w:szCs w:val="24"/>
        </w:rPr>
        <w:t>股票型基金的绩效表</w:t>
      </w:r>
      <w:r>
        <w:rPr>
          <w:rFonts w:ascii="宋体" w:hAnsi="宋体" w:hint="eastAsia"/>
          <w:sz w:val="24"/>
          <w:szCs w:val="24"/>
        </w:rPr>
        <w:t>现。</w:t>
      </w:r>
    </w:p>
    <w:p w14:paraId="543FFE8F" w14:textId="15B12C77" w:rsidR="00F83565" w:rsidRDefault="00F83565" w:rsidP="00CD3DA3">
      <w:pPr>
        <w:spacing w:line="360" w:lineRule="auto"/>
        <w:ind w:firstLineChars="200" w:firstLine="480"/>
        <w:jc w:val="left"/>
        <w:rPr>
          <w:rFonts w:ascii="宋体" w:hAnsi="宋体"/>
          <w:sz w:val="24"/>
          <w:szCs w:val="24"/>
        </w:rPr>
      </w:pPr>
      <w:r w:rsidRPr="00CD3DA3">
        <w:rPr>
          <w:rFonts w:ascii="宋体" w:hAnsi="宋体" w:hint="eastAsia"/>
          <w:sz w:val="24"/>
          <w:szCs w:val="24"/>
        </w:rPr>
        <w:t>从</w:t>
      </w:r>
      <w:r>
        <w:rPr>
          <w:rFonts w:ascii="宋体" w:hAnsi="宋体" w:hint="eastAsia"/>
          <w:sz w:val="24"/>
          <w:szCs w:val="24"/>
        </w:rPr>
        <w:t>文献分析法</w:t>
      </w:r>
      <w:r w:rsidRPr="00CD3DA3">
        <w:rPr>
          <w:rFonts w:ascii="宋体" w:hAnsi="宋体" w:hint="eastAsia"/>
          <w:sz w:val="24"/>
          <w:szCs w:val="24"/>
        </w:rPr>
        <w:t>角度出发，本文</w:t>
      </w:r>
      <w:bookmarkEnd w:id="15"/>
      <w:r>
        <w:rPr>
          <w:rFonts w:ascii="宋体" w:hAnsi="宋体" w:hint="eastAsia"/>
          <w:sz w:val="24"/>
          <w:szCs w:val="24"/>
        </w:rPr>
        <w:t>对碳中和、ESG投资、基金绩效评价等概念和评价方法进行梳理</w:t>
      </w:r>
      <w:r w:rsidRPr="00CD3DA3">
        <w:rPr>
          <w:rFonts w:ascii="宋体" w:hAnsi="宋体" w:hint="eastAsia"/>
          <w:sz w:val="24"/>
          <w:szCs w:val="24"/>
        </w:rPr>
        <w:t>，</w:t>
      </w:r>
      <w:r>
        <w:rPr>
          <w:rFonts w:ascii="宋体" w:hAnsi="宋体" w:hint="eastAsia"/>
          <w:sz w:val="24"/>
          <w:szCs w:val="24"/>
        </w:rPr>
        <w:t>基于所梳理的文献，我们探讨了相关的概念与方法并提出了本文研究问题</w:t>
      </w:r>
      <w:r w:rsidRPr="00CD3DA3">
        <w:rPr>
          <w:rFonts w:ascii="宋体" w:hAnsi="宋体" w:hint="eastAsia"/>
          <w:sz w:val="24"/>
          <w:szCs w:val="24"/>
        </w:rPr>
        <w:t>。</w:t>
      </w:r>
    </w:p>
    <w:p w14:paraId="309A449A" w14:textId="6571689D" w:rsidR="00646285" w:rsidRPr="00646285" w:rsidRDefault="00646285" w:rsidP="00CD3DA3">
      <w:pPr>
        <w:spacing w:line="360" w:lineRule="auto"/>
        <w:ind w:firstLineChars="200" w:firstLine="480"/>
        <w:jc w:val="left"/>
        <w:rPr>
          <w:rFonts w:ascii="宋体" w:hAnsi="宋体"/>
          <w:sz w:val="24"/>
          <w:szCs w:val="24"/>
        </w:rPr>
      </w:pPr>
      <w:r w:rsidRPr="00646285">
        <w:rPr>
          <w:rFonts w:ascii="宋体" w:hAnsi="宋体" w:hint="eastAsia"/>
          <w:sz w:val="24"/>
          <w:szCs w:val="24"/>
        </w:rPr>
        <w:t>从定量的角度出发，本文使</w:t>
      </w:r>
      <w:r w:rsidR="00CD3DA3" w:rsidRPr="00CD3DA3">
        <w:rPr>
          <w:rFonts w:ascii="宋体" w:hAnsi="宋体" w:hint="eastAsia"/>
          <w:sz w:val="24"/>
          <w:szCs w:val="24"/>
        </w:rPr>
        <w:t>针对股票型基金的特点，本章首先选取了传统基金综合绩效评价体系中常见的收益标准差、年化波动率、非系统风险、最大回撤、选股能力、跟踪误差、信息比率、成立年限、基金规模等9个指标，其次根据本文特点选取了碳中和指标、基金E环境评分、基金S社会评分、基金G治理评分、重仓股票占基金市值比例、重仓股票ESG评分等6个指标。将以上15个指标作为原始数据进行主成分因子分析后得出特征值大于等于1的主成分因子，并且以主成分因子的因子载荷为权重依据进行绩效综合得分分析。</w:t>
      </w:r>
      <w:r w:rsidR="00CD3DA3">
        <w:rPr>
          <w:rFonts w:ascii="宋体" w:hAnsi="宋体" w:hint="eastAsia"/>
          <w:sz w:val="24"/>
          <w:szCs w:val="24"/>
        </w:rPr>
        <w:t>然后</w:t>
      </w:r>
      <w:r w:rsidR="00CD3DA3" w:rsidRPr="00CD3DA3">
        <w:rPr>
          <w:rFonts w:ascii="宋体" w:hAnsi="宋体" w:hint="eastAsia"/>
          <w:sz w:val="24"/>
          <w:szCs w:val="24"/>
        </w:rPr>
        <w:t>对样本基金分别进行了逻辑回归分析，探究不同类型基金绩效表现优劣的原因以及验证本</w:t>
      </w:r>
      <w:r w:rsidR="00CD3DA3" w:rsidRPr="00CD3DA3">
        <w:rPr>
          <w:rFonts w:ascii="宋体" w:hAnsi="宋体" w:hint="eastAsia"/>
          <w:sz w:val="24"/>
          <w:szCs w:val="24"/>
        </w:rPr>
        <w:lastRenderedPageBreak/>
        <w:t>文设计的ESG因子对基金综合绩效的影响强弱。</w:t>
      </w:r>
      <w:r w:rsidRPr="00646285">
        <w:rPr>
          <w:rFonts w:ascii="宋体" w:hAnsi="宋体" w:hint="eastAsia"/>
          <w:sz w:val="24"/>
          <w:szCs w:val="24"/>
        </w:rPr>
        <w:t xml:space="preserve">最后得到了比较客观的研究结论。 </w:t>
      </w:r>
    </w:p>
    <w:p w14:paraId="3618AEEC" w14:textId="48862D6F" w:rsidR="00E94BA7" w:rsidRDefault="00646285" w:rsidP="00811855">
      <w:pPr>
        <w:spacing w:line="360" w:lineRule="auto"/>
        <w:ind w:firstLineChars="200" w:firstLine="480"/>
        <w:jc w:val="left"/>
        <w:rPr>
          <w:rFonts w:ascii="宋体" w:hAnsi="宋体"/>
          <w:sz w:val="24"/>
          <w:szCs w:val="24"/>
        </w:rPr>
      </w:pPr>
      <w:r w:rsidRPr="00646285">
        <w:rPr>
          <w:rFonts w:ascii="宋体" w:hAnsi="宋体" w:hint="eastAsia"/>
          <w:sz w:val="24"/>
          <w:szCs w:val="24"/>
        </w:rPr>
        <w:t>本文主要使用了 SPSS、</w:t>
      </w:r>
      <w:r w:rsidR="00CD3DA3">
        <w:rPr>
          <w:rFonts w:ascii="宋体" w:hAnsi="宋体" w:hint="eastAsia"/>
          <w:sz w:val="24"/>
          <w:szCs w:val="24"/>
        </w:rPr>
        <w:t>wind</w:t>
      </w:r>
      <w:r w:rsidRPr="00646285">
        <w:rPr>
          <w:rFonts w:ascii="宋体" w:hAnsi="宋体" w:hint="eastAsia"/>
          <w:sz w:val="24"/>
          <w:szCs w:val="24"/>
        </w:rPr>
        <w:t>等软件进行处理数据，以下为本文的</w:t>
      </w:r>
      <w:r w:rsidR="003B59DA">
        <w:rPr>
          <w:rFonts w:ascii="宋体" w:hAnsi="宋体" w:hint="eastAsia"/>
          <w:sz w:val="24"/>
          <w:szCs w:val="24"/>
        </w:rPr>
        <w:t>研究路线</w:t>
      </w:r>
      <w:r w:rsidRPr="00646285">
        <w:rPr>
          <w:rFonts w:ascii="宋体" w:hAnsi="宋体" w:hint="eastAsia"/>
          <w:sz w:val="24"/>
          <w:szCs w:val="24"/>
        </w:rPr>
        <w:t>框架图。</w:t>
      </w:r>
    </w:p>
    <w:p w14:paraId="5E89DF6D" w14:textId="77777777" w:rsidR="00CB7406" w:rsidRDefault="00CB7406" w:rsidP="00811855">
      <w:pPr>
        <w:spacing w:line="360" w:lineRule="auto"/>
        <w:ind w:firstLineChars="200" w:firstLine="480"/>
        <w:jc w:val="left"/>
        <w:rPr>
          <w:rFonts w:ascii="宋体" w:hAnsi="宋体"/>
          <w:sz w:val="24"/>
          <w:szCs w:val="24"/>
        </w:rPr>
      </w:pPr>
    </w:p>
    <w:p w14:paraId="0B7E57AA" w14:textId="6D1B79C7" w:rsidR="000D735E" w:rsidRPr="003B59DA" w:rsidRDefault="003B59DA" w:rsidP="003B59DA">
      <w:pPr>
        <w:jc w:val="center"/>
        <w:rPr>
          <w:rFonts w:ascii="宋体" w:hAnsi="宋体"/>
          <w:szCs w:val="21"/>
        </w:rPr>
      </w:pPr>
      <w:r w:rsidRPr="003B59DA">
        <w:rPr>
          <w:rFonts w:ascii="宋体" w:hAnsi="宋体" w:hint="eastAsia"/>
          <w:szCs w:val="21"/>
        </w:rPr>
        <w:t>图1</w:t>
      </w:r>
      <w:r w:rsidR="00752231">
        <w:rPr>
          <w:rFonts w:ascii="宋体" w:hAnsi="宋体"/>
          <w:szCs w:val="21"/>
        </w:rPr>
        <w:t>-1</w:t>
      </w:r>
      <w:r w:rsidRPr="003B59DA">
        <w:rPr>
          <w:rFonts w:ascii="宋体" w:hAnsi="宋体" w:hint="eastAsia"/>
          <w:szCs w:val="21"/>
        </w:rPr>
        <w:t>：研究路线框架图</w:t>
      </w:r>
    </w:p>
    <w:p w14:paraId="06B67AB7" w14:textId="4FD07752" w:rsidR="002946DB" w:rsidRDefault="00321477" w:rsidP="000D735E">
      <w:pPr>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62336" behindDoc="0" locked="0" layoutInCell="1" allowOverlap="1" wp14:anchorId="10CA2E3C" wp14:editId="7A89DE93">
                <wp:simplePos x="0" y="0"/>
                <wp:positionH relativeFrom="column">
                  <wp:posOffset>2028190</wp:posOffset>
                </wp:positionH>
                <wp:positionV relativeFrom="paragraph">
                  <wp:posOffset>155575</wp:posOffset>
                </wp:positionV>
                <wp:extent cx="1113155" cy="250190"/>
                <wp:effectExtent l="12700" t="15240" r="17145" b="10795"/>
                <wp:wrapNone/>
                <wp:docPr id="2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250190"/>
                        </a:xfrm>
                        <a:prstGeom prst="roundRect">
                          <a:avLst>
                            <a:gd name="adj" fmla="val 16667"/>
                          </a:avLst>
                        </a:prstGeom>
                        <a:noFill/>
                        <a:ln w="15875">
                          <a:solidFill>
                            <a:srgbClr val="000000"/>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FA5E37" id="AutoShape 9" o:spid="_x0000_s1026" style="position:absolute;left:0;text-align:left;margin-left:159.7pt;margin-top:12.25pt;width:87.65pt;height:1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SGAIAABIEAAAOAAAAZHJzL2Uyb0RvYy54bWysU9tu2zAMfR+wfxD0vjjO4rQ14hRFug4D&#10;ugvW7QMUSb5ssqhRSpzs60fJSZZub8P8IJCmeHh4SC1v971hO42+A1vxfDLlTFsJqrNNxb9+eXh1&#10;zZkPwiphwOqKH7Tnt6uXL5aDK/UMWjBKIyMQ68vBVbwNwZVZ5mWre+En4LSlYA3Yi0AuNplCMRB6&#10;b7LZdLrIBkDlEKT2nv7ej0G+Svh1rWX4WNdeB2YqTtxCOjGdm3hmq6UoGxSu7eSRhvgHFr3oLBU9&#10;Q92LINgWu7+g+k4ieKjDREKfQV13UqceqJt8+kc3T61wOvVC4nh3lsn/P1j5YffkPmGk7t0jyO+e&#10;WVi3wjb6DhGGVgtF5fIoVDY4X54TouMplW2G96BotGIbIGmwr7GPgNQd2yepD2ep9T4wST/zPH+d&#10;FwVnkmKzYprfpFlkojxlO/ThrYaeRaPiCFurPtM8Uwmxe/Qh6a2YFX2srr5xVveGprcThuWLxeIq&#10;kRbl8TJhnzBjpoWHzpg0f2PZQJSK66sioXswnYrRJAs2m7VBRqjURfqOuM+uJX4JLUr2xqpkB9GZ&#10;0abqxh41jLLFDfXlBtSBJEQYF5MeEhkt4E/OBlrKivsfW4GaM/PO0hhu8vk8bnFy5sXVjBy8jGwu&#10;I8JKgqp44Gw012Hc/K3DrmmpUp7atXBHo6u7cJrxyOpIlhaPrGebfemnW7+f8uoXAAAA//8DAFBL&#10;AwQUAAYACAAAACEAhCPzBOAAAAAJAQAADwAAAGRycy9kb3ducmV2LnhtbEyPy07DMBBF90j8gzVI&#10;7KjTNJQmZFJVPMQCFtCCsnXjIYnwI8q4bfh7zAqWo3t075lyPVkjjjRy7x3CfJaAINd43bsW4X33&#10;eLUCwUE5rYx3hPBNDOvq/KxUhfYn90bHbWhFLHFcKIQuhKGQkpuOrOKZH8jF7NOPVoV4jq3UozrF&#10;cmtkmiRLaVXv4kKnBrrrqPnaHiwC12mfPdevJn2qP+5f2oQfNg0jXl5Mm1sQgabwB8OvflSHKjrt&#10;/cFpFgZhMc+ziCKk2TWICGR5dgNij7Bc5CCrUv7/oPoBAAD//wMAUEsBAi0AFAAGAAgAAAAhALaD&#10;OJL+AAAA4QEAABMAAAAAAAAAAAAAAAAAAAAAAFtDb250ZW50X1R5cGVzXS54bWxQSwECLQAUAAYA&#10;CAAAACEAOP0h/9YAAACUAQAACwAAAAAAAAAAAAAAAAAvAQAAX3JlbHMvLnJlbHNQSwECLQAUAAYA&#10;CAAAACEA2pf20hgCAAASBAAADgAAAAAAAAAAAAAAAAAuAgAAZHJzL2Uyb0RvYy54bWxQSwECLQAU&#10;AAYACAAAACEAhCPzBOAAAAAJAQAADwAAAAAAAAAAAAAAAAByBAAAZHJzL2Rvd25yZXYueG1sUEsF&#10;BgAAAAAEAAQA8wAAAH8FAAAAAA==&#10;" filled="f" strokeweight="1.25pt">
                <v:fill angle="90" focus="100%" type="gradient">
                  <o:fill v:ext="view" type="gradientUnscaled"/>
                </v:fill>
              </v:roundrect>
            </w:pict>
          </mc:Fallback>
        </mc:AlternateContent>
      </w:r>
    </w:p>
    <w:p w14:paraId="4F37DB1F" w14:textId="39E01B8E" w:rsidR="00E94BA7" w:rsidRDefault="00321477" w:rsidP="002946DB">
      <w:pPr>
        <w:ind w:firstLineChars="1450" w:firstLine="3480"/>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63360" behindDoc="0" locked="0" layoutInCell="1" allowOverlap="1" wp14:anchorId="66D7DDA1" wp14:editId="6FE1860A">
                <wp:simplePos x="0" y="0"/>
                <wp:positionH relativeFrom="column">
                  <wp:posOffset>1800860</wp:posOffset>
                </wp:positionH>
                <wp:positionV relativeFrom="paragraph">
                  <wp:posOffset>32385</wp:posOffset>
                </wp:positionV>
                <wp:extent cx="90805" cy="1320165"/>
                <wp:effectExtent l="13970" t="13970" r="9525" b="8890"/>
                <wp:wrapNone/>
                <wp:docPr id="2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320165"/>
                        </a:xfrm>
                        <a:prstGeom prst="leftBrace">
                          <a:avLst>
                            <a:gd name="adj1" fmla="val 121154"/>
                            <a:gd name="adj2" fmla="val 50000"/>
                          </a:avLst>
                        </a:prstGeom>
                        <a:noFill/>
                        <a:ln w="15875">
                          <a:solidFill>
                            <a:schemeClr val="tx1">
                              <a:lumMod val="100000"/>
                              <a:lumOff val="0"/>
                            </a:schemeClr>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1DEA6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0" o:spid="_x0000_s1026" type="#_x0000_t87" style="position:absolute;left:0;text-align:left;margin-left:141.8pt;margin-top:2.55pt;width:7.15pt;height:10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OQpLQIAAFcEAAAOAAAAZHJzL2Uyb0RvYy54bWysVNuO0zAQfUfiHyy/0ySl2e1GTVewyyKk&#10;5SItfIDrSxOwPcZ2m5avZ+ykpcAbog/WeGZy5szMcVe3B6PJXvrQg21pNSspkZaD6O22pV8+P7xY&#10;UhIis4JpsLKlRxno7fr5s9XgGjmHDrSQniCIDc3gWtrF6JqiCLyThoUZOGkxqMAbFvHqt4XwbEB0&#10;o4t5WV4VA3jhPHAZAnrvxyBdZ3ylJI8flQoyEt1S5Bbz6fO5SWexXrFm65nrej7RYP/AwrDeYtEz&#10;1D2LjOx8/xeU6bmHACrOOJgClOq5zD1gN1X5RzdPHXMy94LDCe48pvD/YPmH/ZP75BP14B6Bfws4&#10;kWJwoTlH0iVgDtkM70HgDtkuQm72oLxJX2Ib5JBnejzPVB4i4ei8KZdlTQnHSPUSe7yq08wL1pw+&#10;dj7EtxIMSUZLtVTxtWc89c0atn8MMc9VEMtMKi6+VpQoo3FNe6ZJNa+qejHt8SJpfplUl/ib6k6Q&#10;yOBUOeFbeOi1zmrQlgxItl5e15lDAN2LFE15WZjyTnuCxVsaD1XO0TuDsxl9VSo2KQv9qL/RfyJw&#10;hshj+A3dw86KTKKTTLyZ7Mh6PdpIWttpP2klSeah2YA44no8jOrG14hGB/4HJQMqu6Xh+455SYl+&#10;Z1E6N9VikZ5Cvizq6zle/GVkcxlhliMUdkrJaN7F8fnsnO+3HVYaJ2DhFcpC9fGkn5HVRBbVm7ud&#10;Xlp6Hpf3nPXr/2D9EwAA//8DAFBLAwQUAAYACAAAACEArEeGD+IAAAAJAQAADwAAAGRycy9kb3du&#10;cmV2LnhtbEyPwU7DMBBE70j8g7VIXFDrJBWlDXGqCoHoqYK2SDk69pJE2OsQu23g6zEnuM1qRjNv&#10;i9VoDTvh4DtHAtJpAgxJOd1RI+Cwf5osgPkgSUvjCAV8oYdVeXlRyFy7M73iaRcaFkvI51JAG0Kf&#10;c+5Vi1b6qeuRovfuBitDPIeG60GeY7k1PEuSObeyo7jQyh4fWlQfu6MVsH7eHOrPb2VcV71tql5t&#10;X6rHGyGur8b1PbCAY/gLwy9+RIcyMtXuSNozIyBbzOYxKuA2BRb9bHm3BFZHkc4S4GXB/39Q/gAA&#10;AP//AwBQSwECLQAUAAYACAAAACEAtoM4kv4AAADhAQAAEwAAAAAAAAAAAAAAAAAAAAAAW0NvbnRl&#10;bnRfVHlwZXNdLnhtbFBLAQItABQABgAIAAAAIQA4/SH/1gAAAJQBAAALAAAAAAAAAAAAAAAAAC8B&#10;AABfcmVscy8ucmVsc1BLAQItABQABgAIAAAAIQCgxOQpLQIAAFcEAAAOAAAAAAAAAAAAAAAAAC4C&#10;AABkcnMvZTJvRG9jLnhtbFBLAQItABQABgAIAAAAIQCsR4YP4gAAAAkBAAAPAAAAAAAAAAAAAAAA&#10;AIcEAABkcnMvZG93bnJldi54bWxQSwUGAAAAAAQABADzAAAAlgUAAAAA&#10;" strokecolor="black [3213]" strokeweight="1.25pt">
                <v:fill angle="90" focus="100%" type="gradient">
                  <o:fill v:ext="view" type="gradientUnscaled"/>
                </v:fill>
              </v:shape>
            </w:pict>
          </mc:Fallback>
        </mc:AlternateContent>
      </w:r>
      <w:r w:rsidR="002946DB">
        <w:rPr>
          <w:rFonts w:ascii="宋体" w:hAnsi="宋体" w:hint="eastAsia"/>
          <w:sz w:val="24"/>
          <w:szCs w:val="24"/>
        </w:rPr>
        <w:t>风险指标</w:t>
      </w:r>
    </w:p>
    <w:p w14:paraId="2CDE0D5A" w14:textId="64F48DFC" w:rsidR="00E94BA7" w:rsidRDefault="00321477" w:rsidP="002946DB">
      <w:pPr>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61312" behindDoc="0" locked="0" layoutInCell="1" allowOverlap="1" wp14:anchorId="10CA2E3C" wp14:editId="1B60A05B">
                <wp:simplePos x="0" y="0"/>
                <wp:positionH relativeFrom="column">
                  <wp:posOffset>2057400</wp:posOffset>
                </wp:positionH>
                <wp:positionV relativeFrom="paragraph">
                  <wp:posOffset>175895</wp:posOffset>
                </wp:positionV>
                <wp:extent cx="1113155" cy="250190"/>
                <wp:effectExtent l="13335" t="12700" r="16510" b="13335"/>
                <wp:wrapNone/>
                <wp:docPr id="2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250190"/>
                        </a:xfrm>
                        <a:prstGeom prst="roundRect">
                          <a:avLst>
                            <a:gd name="adj" fmla="val 16667"/>
                          </a:avLst>
                        </a:prstGeom>
                        <a:noFill/>
                        <a:ln w="15875">
                          <a:solidFill>
                            <a:srgbClr val="000000"/>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B8499F" id="AutoShape 8" o:spid="_x0000_s1026" style="position:absolute;left:0;text-align:left;margin-left:162pt;margin-top:13.85pt;width:87.65pt;height: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SGAIAABIEAAAOAAAAZHJzL2Uyb0RvYy54bWysU9tu2zAMfR+wfxD0vjjO4rQ14hRFug4D&#10;ugvW7QMUSb5ssqhRSpzs60fJSZZub8P8IJCmeHh4SC1v971hO42+A1vxfDLlTFsJqrNNxb9+eXh1&#10;zZkPwiphwOqKH7Tnt6uXL5aDK/UMWjBKIyMQ68vBVbwNwZVZ5mWre+En4LSlYA3Yi0AuNplCMRB6&#10;b7LZdLrIBkDlEKT2nv7ej0G+Svh1rWX4WNdeB2YqTtxCOjGdm3hmq6UoGxSu7eSRhvgHFr3oLBU9&#10;Q92LINgWu7+g+k4ieKjDREKfQV13UqceqJt8+kc3T61wOvVC4nh3lsn/P1j5YffkPmGk7t0jyO+e&#10;WVi3wjb6DhGGVgtF5fIoVDY4X54TouMplW2G96BotGIbIGmwr7GPgNQd2yepD2ep9T4wST/zPH+d&#10;FwVnkmKzYprfpFlkojxlO/ThrYaeRaPiCFurPtM8Uwmxe/Qh6a2YFX2srr5xVveGprcThuWLxeIq&#10;kRbl8TJhnzBjpoWHzpg0f2PZQJSK66sioXswnYrRJAs2m7VBRqjURfqOuM+uJX4JLUr2xqpkB9GZ&#10;0abqxh41jLLFDfXlBtSBJEQYF5MeEhkt4E/OBlrKivsfW4GaM/PO0hhu8vk8bnFy5sXVjBy8jGwu&#10;I8JKgqp44Gw012Hc/K3DrmmpUp7atXBHo6u7cJrxyOpIlhaPrGebfemnW7+f8uoXAAAA//8DAFBL&#10;AwQUAAYACAAAACEAslCD9+AAAAAJAQAADwAAAGRycy9kb3ducmV2LnhtbEyPzU7DMBCE70i8g7VI&#10;3KjTNGpoyKaq+BEHOEBplasbL0mEvY5itw1vjznBcTSjmW/K9WSNONHoe8cI81kCgrhxuucWYffx&#10;dHMLwgfFWhnHhPBNHtbV5UWpCu3O/E6nbWhFLGFfKIQuhKGQ0jcdWeVnbiCO3qcbrQpRjq3UozrH&#10;cmtkmiRLaVXPcaFTA9131HxtjxbB12mfvdRvJn2u9w+vbeIfN41HvL6aNncgAk3hLwy/+BEdqsh0&#10;cEfWXhiERZrFLwEhzXMQMZCtVgsQB4RlPgdZlfL/g+oHAAD//wMAUEsBAi0AFAAGAAgAAAAhALaD&#10;OJL+AAAA4QEAABMAAAAAAAAAAAAAAAAAAAAAAFtDb250ZW50X1R5cGVzXS54bWxQSwECLQAUAAYA&#10;CAAAACEAOP0h/9YAAACUAQAACwAAAAAAAAAAAAAAAAAvAQAAX3JlbHMvLnJlbHNQSwECLQAUAAYA&#10;CAAAACEA2pf20hgCAAASBAAADgAAAAAAAAAAAAAAAAAuAgAAZHJzL2Uyb0RvYy54bWxQSwECLQAU&#10;AAYACAAAACEAslCD9+AAAAAJAQAADwAAAAAAAAAAAAAAAAByBAAAZHJzL2Rvd25yZXYueG1sUEsF&#10;BgAAAAAEAAQA8wAAAH8FAAAAAA==&#10;" filled="f" strokeweight="1.25pt">
                <v:fill angle="90" focus="100%" type="gradient">
                  <o:fill v:ext="view" type="gradientUnscaled"/>
                </v:fill>
              </v:roundrect>
            </w:pict>
          </mc:Fallback>
        </mc:AlternateContent>
      </w:r>
      <w:r w:rsidR="002946DB">
        <w:rPr>
          <w:rFonts w:ascii="宋体" w:hAnsi="宋体" w:hint="eastAsia"/>
          <w:sz w:val="24"/>
          <w:szCs w:val="24"/>
        </w:rPr>
        <w:t xml:space="preserve"> </w:t>
      </w:r>
      <w:r w:rsidR="002946DB">
        <w:rPr>
          <w:rFonts w:ascii="宋体" w:hAnsi="宋体"/>
          <w:sz w:val="24"/>
          <w:szCs w:val="24"/>
        </w:rPr>
        <w:t xml:space="preserve">                           </w:t>
      </w:r>
    </w:p>
    <w:p w14:paraId="5DB30E69" w14:textId="7DF8C100" w:rsidR="00E94BA7" w:rsidRDefault="00321477" w:rsidP="002946DB">
      <w:pPr>
        <w:ind w:firstLineChars="1450" w:firstLine="3480"/>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58240" behindDoc="0" locked="0" layoutInCell="1" allowOverlap="1" wp14:anchorId="708E577C" wp14:editId="38891509">
                <wp:simplePos x="0" y="0"/>
                <wp:positionH relativeFrom="column">
                  <wp:posOffset>-104775</wp:posOffset>
                </wp:positionH>
                <wp:positionV relativeFrom="paragraph">
                  <wp:posOffset>170815</wp:posOffset>
                </wp:positionV>
                <wp:extent cx="1819910" cy="241300"/>
                <wp:effectExtent l="13335" t="15240" r="14605" b="10160"/>
                <wp:wrapNone/>
                <wp:docPr id="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910" cy="241300"/>
                        </a:xfrm>
                        <a:prstGeom prst="roundRect">
                          <a:avLst>
                            <a:gd name="adj" fmla="val 16667"/>
                          </a:avLst>
                        </a:prstGeom>
                        <a:noFill/>
                        <a:ln w="15875">
                          <a:solidFill>
                            <a:schemeClr val="tx1">
                              <a:lumMod val="100000"/>
                              <a:lumOff val="0"/>
                            </a:schemeClr>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18E50BE" id="AutoShape 4" o:spid="_x0000_s1026" style="position:absolute;left:0;text-align:left;margin-left:-8.25pt;margin-top:13.45pt;width:143.3pt;height: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7XpMwIAAEkEAAAOAAAAZHJzL2Uyb0RvYy54bWysVNuO2yAQfa/Uf0C8N7bTXK04q1W2W1Xa&#10;XtRtP4AAjmmBoUDipF/fASdp1L5V9QNiZuDMzJmDV3dHo8lB+qDANrQalZRIy0Eou2vo1y+PrxaU&#10;hMisYBqsbOhJBnq3fvli1btajqEDLaQnCGJD3buGdjG6uigC76RhYQROWgy24A2LaPpdITzrEd3o&#10;YlyWs6IHL5wHLkNA78MQpOuM37aSx49tG2QkuqFYW8yrz+s2rcV6xeqdZ65T/FwG+4cqDFMWk16h&#10;HlhkZO/VX1BGcQ8B2jjiYApoW8Vl7gG7qco/unnumJO5FyQnuCtN4f/B8g+HZ/fJp9KDewL+PRAL&#10;m47Znbz3HvpOMoHpqkRU0btQXy8kI+BVsu3fg8DRsn2EzMGx9SYBYnfkmKk+XamWx0g4OqtFtVxW&#10;OBGOsfGkel3mWRSsvtx2PsS3EgxJm4Z62FvxGeeZU7DDU4iZb0EsMym7+EZJazRO78A0qWaz2TwX&#10;zerzYcS+YKabFh6V1nn+2pIeS5ou5tOMHkArkaKZliRFudGeIG5D47HKZ/TeYNuDryrTN2gJ/ai4&#10;wX9pKas5QSCHyPMtem4rF5GYfmNF3kem9LDH89qeqU9sJ2GHegvihMx7GPSM7w83HfiflPSo5YaG&#10;H3vmJSX6ncXpLavJJIk/G5PpfIyGv41sbyPMcoTCTikZtps4PJi982rXYaaBAQv3OPFWxYs0hqrO&#10;xaJec7fnt5UexK2dT/3+A6x/AQAA//8DAFBLAwQUAAYACAAAACEAftq8id8AAAAJAQAADwAAAGRy&#10;cy9kb3ducmV2LnhtbEyPwU7DMBBE70j8g7VI3FonEQ1tGqdClag40AMp3F17m1jE62C7bfh7zAmO&#10;q3maeVtvJjuwC/pgHAnI5xkwJOW0oU7A++F5tgQWoiQtB0co4BsDbJrbm1pW2l3pDS9t7FgqoVBJ&#10;AX2MY8V5UD1aGeZuRErZyXkrYzp9x7WX11RuB15kWcmtNJQWejnitkf12Z6tgL1abM2+Dc77w4vy&#10;y9ed+fjaCXF/Nz2tgUWc4h8Mv/pJHZrkdHRn0oENAmZ5uUiogKJcAUtA8ZjlwI4CyocV8Kbm/z9o&#10;fgAAAP//AwBQSwECLQAUAAYACAAAACEAtoM4kv4AAADhAQAAEwAAAAAAAAAAAAAAAAAAAAAAW0Nv&#10;bnRlbnRfVHlwZXNdLnhtbFBLAQItABQABgAIAAAAIQA4/SH/1gAAAJQBAAALAAAAAAAAAAAAAAAA&#10;AC8BAABfcmVscy8ucmVsc1BLAQItABQABgAIAAAAIQB4G7XpMwIAAEkEAAAOAAAAAAAAAAAAAAAA&#10;AC4CAABkcnMvZTJvRG9jLnhtbFBLAQItABQABgAIAAAAIQB+2ryJ3wAAAAkBAAAPAAAAAAAAAAAA&#10;AAAAAI0EAABkcnMvZG93bnJldi54bWxQSwUGAAAAAAQABADzAAAAmQUAAAAA&#10;" filled="f" strokecolor="black [3213]" strokeweight="1.25pt">
                <v:fill angle="90" focus="100%" type="gradient">
                  <o:fill v:ext="view" type="gradientUnscaled"/>
                </v:fill>
              </v:roundrect>
            </w:pict>
          </mc:Fallback>
        </mc:AlternateContent>
      </w:r>
      <w:r w:rsidR="002946DB">
        <w:rPr>
          <w:rFonts w:ascii="宋体" w:hAnsi="宋体" w:hint="eastAsia"/>
          <w:sz w:val="24"/>
          <w:szCs w:val="24"/>
        </w:rPr>
        <w:t>选股能力指标</w:t>
      </w:r>
    </w:p>
    <w:p w14:paraId="393CAE62" w14:textId="52B9B85C" w:rsidR="00E94BA7" w:rsidRDefault="00321477" w:rsidP="002946DB">
      <w:pPr>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77696" behindDoc="0" locked="0" layoutInCell="1" allowOverlap="1" wp14:anchorId="46D33166" wp14:editId="5DA9B60B">
                <wp:simplePos x="0" y="0"/>
                <wp:positionH relativeFrom="column">
                  <wp:posOffset>3232785</wp:posOffset>
                </wp:positionH>
                <wp:positionV relativeFrom="paragraph">
                  <wp:posOffset>76200</wp:posOffset>
                </wp:positionV>
                <wp:extent cx="1397635" cy="8890"/>
                <wp:effectExtent l="17145" t="13970" r="13970" b="15240"/>
                <wp:wrapNone/>
                <wp:docPr id="1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635" cy="8890"/>
                        </a:xfrm>
                        <a:prstGeom prst="straightConnector1">
                          <a:avLst/>
                        </a:prstGeom>
                        <a:noFill/>
                        <a:ln w="15875">
                          <a:solidFill>
                            <a:schemeClr val="tx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0C6734" id="_x0000_t32" coordsize="21600,21600" o:spt="32" o:oned="t" path="m,l21600,21600e" filled="f">
                <v:path arrowok="t" fillok="f" o:connecttype="none"/>
                <o:lock v:ext="edit" shapetype="t"/>
              </v:shapetype>
              <v:shape id="AutoShape 31" o:spid="_x0000_s1026" type="#_x0000_t32" style="position:absolute;left:0;text-align:left;margin-left:254.55pt;margin-top:6pt;width:110.05pt;height:.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OxK6AEAAM0DAAAOAAAAZHJzL2Uyb0RvYy54bWysU8lu2zAQvRfoPxC817ISOHEEyzk4TS9p&#10;ayDpB4xJyiJKcgiStuS/75Be0uVSBNGB0Cx882bmcXE/WsP2KkSNruX1ZMqZcgKldtuW/3h5/DTn&#10;LCZwEgw61fKDivx++fHDYvCNusIejVSBEYiLzeBb3qfkm6qKolcW4gS9chTsMFhIZIZtJQMMhG5N&#10;dTWd3lQDBukDChUjeR+OQb4s+F2nRPredVElZlpO3FI5Qzk3+ayWC2i2AXyvxYkGvIGFBe2o6AXq&#10;ARKwXdD/QFktAkbs0kSgrbDrtFClB+qmnv7VzXMPXpVeaDjRX8YU3w9WfNuv3Dpk6mJ0z/4Jxc/I&#10;HK56cFtVCLwcPC2uzqOqBh+by5VsRL8ObDN8RUk5sEtYpjB2wWZI6o+NZdiHy7DVmJggZ319d3tz&#10;PeNMUGw+vyu7qKA53/Uhpi8KLcs/LY8pgN72aYXO0VYx1KUS7J9iysygOV/IhR0+amPKco1jA1Wb&#10;zW9n5UZEo2WO5ryiM7Uyge2BFJLGI6rZWero6Kun+TsKhfwkp6P/zPcCUUj8gR5w52Qh0SuQn51k&#10;qczS0VPgmZVVkjOj6OXkv5KZQJv/yaSGjTttJC8hKz42G5SHdcjzyBZpppA66TuL8ne7ZL2+wuUv&#10;AAAA//8DAFBLAwQUAAYACAAAACEAGcvI0d8AAAAJAQAADwAAAGRycy9kb3ducmV2LnhtbEyP3UrD&#10;QBCF7wXfYRnBO7tptK2N2RQRq1BEMPUBttlpEpr9YX+a6NM7XunlnPNx5pxyM+mBndGH3hoB81kG&#10;DE1jVW9aAZ/77c09sBClUXKwBgV8YYBNdXlRykLZ0XzguY4toxATCimgi9EVnIemQy3DzDo05B2t&#10;1zLS6VuuvBwpXA88z7Il17I39KGTDp86bE510gLc+7j4fk5H/8LfTq87t0z1dkxCXF9Njw/AIk7x&#10;D4bf+lQdKup0sMmowAYBi2w9J5SMnDYRsMrXObADCbd3wKuS/19Q/QAAAP//AwBQSwECLQAUAAYA&#10;CAAAACEAtoM4kv4AAADhAQAAEwAAAAAAAAAAAAAAAAAAAAAAW0NvbnRlbnRfVHlwZXNdLnhtbFBL&#10;AQItABQABgAIAAAAIQA4/SH/1gAAAJQBAAALAAAAAAAAAAAAAAAAAC8BAABfcmVscy8ucmVsc1BL&#10;AQItABQABgAIAAAAIQDtsOxK6AEAAM0DAAAOAAAAAAAAAAAAAAAAAC4CAABkcnMvZTJvRG9jLnht&#10;bFBLAQItABQABgAIAAAAIQAZy8jR3wAAAAkBAAAPAAAAAAAAAAAAAAAAAEIEAABkcnMvZG93bnJl&#10;di54bWxQSwUGAAAAAAQABADzAAAATgUAAAAA&#10;" strokecolor="black [3213]" strokeweight="1.25pt"/>
            </w:pict>
          </mc:Fallback>
        </mc:AlternateContent>
      </w:r>
      <w:r>
        <w:rPr>
          <w:rFonts w:ascii="宋体" w:hAnsi="宋体" w:hint="eastAsia"/>
          <w:noProof/>
          <w:sz w:val="24"/>
          <w:szCs w:val="24"/>
        </w:rPr>
        <mc:AlternateContent>
          <mc:Choice Requires="wps">
            <w:drawing>
              <wp:anchor distT="0" distB="0" distL="114300" distR="114300" simplePos="0" relativeHeight="251678720" behindDoc="0" locked="0" layoutInCell="1" allowOverlap="1" wp14:anchorId="10AEE1F8" wp14:editId="6F08E776">
                <wp:simplePos x="0" y="0"/>
                <wp:positionH relativeFrom="column">
                  <wp:posOffset>4639310</wp:posOffset>
                </wp:positionH>
                <wp:positionV relativeFrom="paragraph">
                  <wp:posOffset>85090</wp:posOffset>
                </wp:positionV>
                <wp:extent cx="8890" cy="1362710"/>
                <wp:effectExtent l="52070" t="13335" r="62865" b="24130"/>
                <wp:wrapNone/>
                <wp:docPr id="18"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362710"/>
                        </a:xfrm>
                        <a:prstGeom prst="straightConnector1">
                          <a:avLst/>
                        </a:prstGeom>
                        <a:noFill/>
                        <a:ln w="15875">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121ADA" id="AutoShape 32" o:spid="_x0000_s1026" type="#_x0000_t32" style="position:absolute;left:0;text-align:left;margin-left:365.3pt;margin-top:6.7pt;width:.7pt;height:107.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g57QEAANEDAAAOAAAAZHJzL2Uyb0RvYy54bWysU8tu2zAQvBfoPxC817JcJHEFyzk4TS9p&#10;ayDpB9AkZRElucSStuS/75K2lT7QS1EdCO2Ds7O7w9X96Cw7aowGfMvr2Zwz7SUo4/ct//by+G7J&#10;WUzCK2HB65afdOT367dvVkNo9AJ6sEojIxAfmyG0vE8pNFUVZa+diDMI2lOwA3QikYn7SqEYCN3Z&#10;ajGf31YDoAoIUsdI3odzkK8Lftdpmb52XdSJ2ZYTt1ROLOcun9V6JZo9itAbeaEh/oGFE8ZT0Qnq&#10;QSTBDmj+gHJGIkTo0kyCq6DrjNSlB+qmnv/WzXMvgi690HBimMYU/x+s/HLc+C1m6nL0z+EJ5PfI&#10;PGx64fe6EHg5BVpcnUdVDSE205VsxLBFths+g6IccUhQpjB26DIk9cfGMuzTNGw9JibJuVx+oIVI&#10;CtTvbxd3ddlFJZrr3YAxfdLgWP5peUwozL5PG/CetgpYl0ri+BRTZiaa64Vc2MOjsbYs13o2UI2b&#10;5d1NuRHBGpWjOa/oTG8ssqMghaTxjGoPjjo6++p5/s5CIT/J6ey/8p0gColf0BEOXhUSvRbqo1cs&#10;lVl6ego8s3JacWY1vZz8VzKTMPY1M6GhPdi/ZFPT1l+2kheRVR+bHajTFvNMskW6KcQuGs/C/Nku&#10;Wa8vcf0DAAD//wMAUEsDBBQABgAIAAAAIQCXm7Ai3gAAAAoBAAAPAAAAZHJzL2Rvd25yZXYueG1s&#10;TI/BTsMwEETvSPyDtUjcqE1CmyrEqRASSBUn2kpc3XhJotrrKHbT9O9ZTnBczZvZmWozeycmHGMf&#10;SMPjQoFAaoLtqdVw2L89rEHEZMgaFwg1XDHCpr69qUxpw4U+cdqlVnAIxdJo6FIaSilj06E3cREG&#10;JNa+w+hN4nNspR3NhcO9k5lSK+lNT/yhMwO+dticdmfPNRoK5n1auv7rpLDYf2wP1+VW6/u7+eUZ&#10;RMI5/cHwW589UHOnYziTjcJpKHK1YpSF/AkEA0We8bijhixbK5B1Jf9PqH8AAAD//wMAUEsBAi0A&#10;FAAGAAgAAAAhALaDOJL+AAAA4QEAABMAAAAAAAAAAAAAAAAAAAAAAFtDb250ZW50X1R5cGVzXS54&#10;bWxQSwECLQAUAAYACAAAACEAOP0h/9YAAACUAQAACwAAAAAAAAAAAAAAAAAvAQAAX3JlbHMvLnJl&#10;bHNQSwECLQAUAAYACAAAACEAE9VoOe0BAADRAwAADgAAAAAAAAAAAAAAAAAuAgAAZHJzL2Uyb0Rv&#10;Yy54bWxQSwECLQAUAAYACAAAACEAl5uwIt4AAAAKAQAADwAAAAAAAAAAAAAAAABHBAAAZHJzL2Rv&#10;d25yZXYueG1sUEsFBgAAAAAEAAQA8wAAAFIFAAAAAA==&#10;" strokecolor="black [3213]" strokeweight="1.25pt">
                <v:stroke endarrow="block"/>
              </v:shape>
            </w:pict>
          </mc:Fallback>
        </mc:AlternateContent>
      </w:r>
      <w:r>
        <w:rPr>
          <w:rFonts w:ascii="宋体" w:hAnsi="宋体" w:hint="eastAsia"/>
          <w:noProof/>
          <w:sz w:val="24"/>
          <w:szCs w:val="24"/>
        </w:rPr>
        <mc:AlternateContent>
          <mc:Choice Requires="wps">
            <w:drawing>
              <wp:anchor distT="0" distB="0" distL="114300" distR="114300" simplePos="0" relativeHeight="251659264" behindDoc="0" locked="0" layoutInCell="1" allowOverlap="1" wp14:anchorId="10CA2E3C" wp14:editId="5123957A">
                <wp:simplePos x="0" y="0"/>
                <wp:positionH relativeFrom="column">
                  <wp:posOffset>2068830</wp:posOffset>
                </wp:positionH>
                <wp:positionV relativeFrom="paragraph">
                  <wp:posOffset>162560</wp:posOffset>
                </wp:positionV>
                <wp:extent cx="1113155" cy="250190"/>
                <wp:effectExtent l="15240" t="14605" r="14605" b="11430"/>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250190"/>
                        </a:xfrm>
                        <a:prstGeom prst="roundRect">
                          <a:avLst>
                            <a:gd name="adj" fmla="val 16667"/>
                          </a:avLst>
                        </a:prstGeom>
                        <a:noFill/>
                        <a:ln w="15875">
                          <a:solidFill>
                            <a:schemeClr val="tx1">
                              <a:lumMod val="100000"/>
                              <a:lumOff val="0"/>
                            </a:schemeClr>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10021F" id="AutoShape 6" o:spid="_x0000_s1026" style="position:absolute;left:0;text-align:left;margin-left:162.9pt;margin-top:12.8pt;width:87.65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FEoNAIAAEkEAAAOAAAAZHJzL2Uyb0RvYy54bWysVNuO2yAQfa/Uf0C8NzZpnOxacVarbLeq&#10;tL2o234AARy7BYYCiZN+fQecpFH7VtUPiJmBMzNnDl7eHYwme+VDD7ahbFJSoqwA2dttQ79+eXx1&#10;Q0mI3EquwaqGHlWgd6uXL5aDq9UUOtBSeYIgNtSDa2gXo6uLIohOGR4m4JTFYAve8Iim3xbS8wHR&#10;jS6mZTkvBvDSeRAqBPQ+jEG6yvhtq0T82LZBRaIbirXFvPq8btJarJa83nruul6cyuD/UIXhvcWk&#10;F6gHHjnZ+f4vKNMLDwHaOBFgCmjbXqjcA3bDyj+6ee64U7kXJCe4C03h/8GKD/tn98mn0oN7AvE9&#10;EAvrjtutuvcehk5xielYIqoYXKgvF5IR8CrZDO9B4mj5LkLm4NB6kwCxO3LIVB8vVKtDJAKdjLHX&#10;rKooERibViW7zbMoeH2+7XyIbxUYkjYN9bCz8jPOM6fg+6cQM9+SWG5SdvmNktZonN6ea8Lm8/ki&#10;F83r02HEPmOmmxYee63z/LUlA5ZU3SyqjB5A9zJFMy1JimqtPUHchsYDy2f0zmDbo4+V6Ru1hH5U&#10;3Og/t5TVnCCQQ+T5Gj23lYtITL+xMu8j7/W4x/PanqhPbCdhh3oD8ojMexj1jO8PNx34n5QMqOWG&#10;hh877hUl+p3F6d2y2SyJPxuzajFFw19HNtcRbgVCYaeUjNt1HB/Mzvl+22GmkQEL9zjxto9naYxV&#10;nYpFveZuT28rPYhrO5/6/QdY/QIAAP//AwBQSwMEFAAGAAgAAAAhAGGBWcXdAAAACQEAAA8AAABk&#10;cnMvZG93bnJldi54bWxMjzFPwzAUhHck/oP1kNiokyBHVchLhSpRMdCBFHbXNolF/Bxstw3/HjPB&#10;eLrT3XftZnETO5sQrSeEclUAM6S8tjQgvB2e7tbAYpKk5eTJIHybCJvu+qqVjfYXejXnPg0sl1Bs&#10;JMKY0txwHtVonIwrPxvK3ocPTqYsw8B1kJdc7iZeFUXNnbSUF0Y5m+1o1Gd/cgh7JbZ230cfwuFZ&#10;hfXLzr5/7RBvb5bHB2DJLOkvDL/4GR26zHT0J9KRTQj3lcjoCaESNbAcEEVZAjsi1KIA3rX8/4Pu&#10;BwAA//8DAFBLAQItABQABgAIAAAAIQC2gziS/gAAAOEBAAATAAAAAAAAAAAAAAAAAAAAAABbQ29u&#10;dGVudF9UeXBlc10ueG1sUEsBAi0AFAAGAAgAAAAhADj9If/WAAAAlAEAAAsAAAAAAAAAAAAAAAAA&#10;LwEAAF9yZWxzLy5yZWxzUEsBAi0AFAAGAAgAAAAhAO0AUSg0AgAASQQAAA4AAAAAAAAAAAAAAAAA&#10;LgIAAGRycy9lMm9Eb2MueG1sUEsBAi0AFAAGAAgAAAAhAGGBWcXdAAAACQEAAA8AAAAAAAAAAAAA&#10;AAAAjgQAAGRycy9kb3ducmV2LnhtbFBLBQYAAAAABAAEAPMAAACYBQAAAAA=&#10;" filled="f" strokecolor="black [3213]" strokeweight="1.25pt">
                <v:fill angle="90" focus="100%" type="gradient">
                  <o:fill v:ext="view" type="gradientUnscaled"/>
                </v:fill>
              </v:roundrect>
            </w:pict>
          </mc:Fallback>
        </mc:AlternateContent>
      </w:r>
      <w:r w:rsidR="00EF39B7">
        <w:rPr>
          <w:rFonts w:ascii="宋体" w:hAnsi="宋体" w:hint="eastAsia"/>
          <w:sz w:val="24"/>
          <w:szCs w:val="24"/>
        </w:rPr>
        <w:t>创新的基金绩效评价指标</w:t>
      </w:r>
      <w:r w:rsidR="002946DB">
        <w:rPr>
          <w:rFonts w:ascii="宋体" w:hAnsi="宋体" w:hint="eastAsia"/>
          <w:sz w:val="24"/>
          <w:szCs w:val="24"/>
        </w:rPr>
        <w:t xml:space="preserve"> </w:t>
      </w:r>
      <w:r w:rsidR="002946DB">
        <w:rPr>
          <w:rFonts w:ascii="宋体" w:hAnsi="宋体"/>
          <w:sz w:val="24"/>
          <w:szCs w:val="24"/>
        </w:rPr>
        <w:t xml:space="preserve">      </w:t>
      </w:r>
      <w:r w:rsidR="0094430E">
        <w:rPr>
          <w:rFonts w:ascii="宋体" w:hAnsi="宋体"/>
          <w:sz w:val="24"/>
          <w:szCs w:val="24"/>
        </w:rPr>
        <w:t xml:space="preserve">                           </w:t>
      </w:r>
    </w:p>
    <w:p w14:paraId="3B362884" w14:textId="7EAFED82" w:rsidR="002946DB" w:rsidRDefault="00321477" w:rsidP="002946DB">
      <w:pPr>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64384" behindDoc="0" locked="0" layoutInCell="1" allowOverlap="1" wp14:anchorId="725575DA" wp14:editId="06EAF46F">
                <wp:simplePos x="0" y="0"/>
                <wp:positionH relativeFrom="column">
                  <wp:posOffset>601980</wp:posOffset>
                </wp:positionH>
                <wp:positionV relativeFrom="paragraph">
                  <wp:posOffset>180340</wp:posOffset>
                </wp:positionV>
                <wp:extent cx="111760" cy="1000125"/>
                <wp:effectExtent l="24765" t="11430" r="25400" b="45720"/>
                <wp:wrapNone/>
                <wp:docPr id="16"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760" cy="1000125"/>
                        </a:xfrm>
                        <a:prstGeom prst="downArrow">
                          <a:avLst>
                            <a:gd name="adj1" fmla="val 50000"/>
                            <a:gd name="adj2" fmla="val 223722"/>
                          </a:avLst>
                        </a:prstGeom>
                        <a:gradFill rotWithShape="0">
                          <a:gsLst>
                            <a:gs pos="0">
                              <a:srgbClr val="FFFFFF"/>
                            </a:gs>
                            <a:gs pos="100000">
                              <a:srgbClr val="FFFFFF"/>
                            </a:gs>
                          </a:gsLst>
                          <a:lin ang="0"/>
                        </a:gradFill>
                        <a:ln w="15875">
                          <a:solidFill>
                            <a:schemeClr val="tx1">
                              <a:lumMod val="100000"/>
                              <a:lumOff val="0"/>
                            </a:schemeClr>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16D3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 o:spid="_x0000_s1026" type="#_x0000_t67" style="position:absolute;left:0;text-align:left;margin-left:47.4pt;margin-top:14.2pt;width:8.8pt;height:7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AaffQIAACEFAAAOAAAAZHJzL2Uyb0RvYy54bWysVNtu3CAQfa/Uf0C8N740m02teKMoaapK&#10;6UVKL88sYJsWGArsevP3HbDXXbVSH6rug5dh4MyZMzNcXR+MJnvpgwLb0uqspERaDkLZvqWfP92/&#10;uKQkRGYF02BlS59koNeb58+uRtfIGgbQQnqCIDY0o2vpEKNriiLwQRoWzsBJi84OvGERTd8XwrMR&#10;0Y0u6rK8KEbwwnngMgTcvZucdJPxu07y+KHrgoxEtxS5xfz1+btN32JzxZreMzcoPtNg/8DCMGUx&#10;6AJ1xyIjO6/+gDKKewjQxTMOpoCuU1zmHDCbqvwtm8eBOZlzQXGCW2QK/w+Wv98/uo8+UQ/uAfj3&#10;QCzcDsz28sZ7GAfJBIarklDF6EKzXEhGwKtkO74DgaVluwhZg0PnTQLE7MghS/20SC0PkXDcrKpq&#10;fYEF4eiqyrKs6lUOwZrjbedDfCPBkLRoqYDRZkY5BNs/hJj1FsQyk6KLbxUlndFYvj3TZIWgx/Ke&#10;nKlPz9T1y3Vdz3FnyII1x8hzPcW90pp4iF9VHHJJUjbZGY4sAnGAMk3bwffbW+0J0mjpff7NMfow&#10;XZtOp7yRY9r6+xXk1B9DaWUJVmcWNHk8ywwTjLZkRD1Xl+vVBAtaLc48U3IhFg9VPqN3Bus3kZ0Z&#10;5aHAfRydaT8LibEWCGwGtE7RjYo4yFqZll5OeWWU1D+vrcjryJSe1nhZ27mhUg+lcQ3NFsQT9hMq&#10;nbJLrwouJPuC/5SMOKMtDT92zEtK9FuLcr+qzs/TUGfjfLWu0fCnnu2ph1k+AI4+gk3L2zg9BDvn&#10;VT9grEkQCzfYyZ2Kx5afeM10cQ5z8vObkQb91M6nfr1sm58AAAD//wMAUEsDBBQABgAIAAAAIQD3&#10;acSy3AAAAAkBAAAPAAAAZHJzL2Rvd25yZXYueG1sTI/BTsMwEETvSPyDtUjcqFOroCTEqQAJwRFa&#10;uG9jN0mJ18F228DXsz2V26xmNfOmWk5uEAcbYu9Jw3yWgbDUeNNTq+Fj/XyTg4gJyeDgyWr4sRGW&#10;9eVFhaXxR3q3h1VqBYdQLFFDl9JYShmbzjqMMz9aYm/rg8PEZ2ilCXjkcDdIlWV30mFP3NDhaJ86&#10;23yt9k7DL67Ht9fWhEyl4rOJL99q94haX19ND/cgkp3S+RlO+IwONTNt/J5MFIOGYsHkSYPKFyBO&#10;/lyx2LDIbwuQdSX/L6j/AAAA//8DAFBLAQItABQABgAIAAAAIQC2gziS/gAAAOEBAAATAAAAAAAA&#10;AAAAAAAAAAAAAABbQ29udGVudF9UeXBlc10ueG1sUEsBAi0AFAAGAAgAAAAhADj9If/WAAAAlAEA&#10;AAsAAAAAAAAAAAAAAAAALwEAAF9yZWxzLy5yZWxzUEsBAi0AFAAGAAgAAAAhAITkBp99AgAAIQUA&#10;AA4AAAAAAAAAAAAAAAAALgIAAGRycy9lMm9Eb2MueG1sUEsBAi0AFAAGAAgAAAAhAPdpxLLcAAAA&#10;CQEAAA8AAAAAAAAAAAAAAAAA1wQAAGRycy9kb3ducmV2LnhtbFBLBQYAAAAABAAEAPMAAADgBQAA&#10;AAA=&#10;" strokecolor="black [3213]" strokeweight="1.25pt">
                <v:fill angle="90" focus="100%" type="gradient">
                  <o:fill v:ext="view" type="gradientUnscaled"/>
                </v:fill>
                <v:textbox style="layout-flow:vertical-ideographic"/>
              </v:shape>
            </w:pict>
          </mc:Fallback>
        </mc:AlternateContent>
      </w:r>
      <w:r w:rsidR="002946DB">
        <w:rPr>
          <w:rFonts w:ascii="宋体" w:hAnsi="宋体" w:hint="eastAsia"/>
          <w:sz w:val="24"/>
          <w:szCs w:val="24"/>
        </w:rPr>
        <w:t xml:space="preserve"> </w:t>
      </w:r>
      <w:r w:rsidR="002946DB">
        <w:rPr>
          <w:rFonts w:ascii="宋体" w:hAnsi="宋体"/>
          <w:sz w:val="24"/>
          <w:szCs w:val="24"/>
        </w:rPr>
        <w:t xml:space="preserve">                            </w:t>
      </w:r>
      <w:r w:rsidR="002946DB">
        <w:rPr>
          <w:rFonts w:ascii="宋体" w:hAnsi="宋体" w:hint="eastAsia"/>
          <w:sz w:val="24"/>
          <w:szCs w:val="24"/>
        </w:rPr>
        <w:t>基金结构指标</w:t>
      </w:r>
    </w:p>
    <w:p w14:paraId="67FAB014" w14:textId="0700834F" w:rsidR="00E94BA7" w:rsidRDefault="00321477" w:rsidP="002946DB">
      <w:pPr>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60288" behindDoc="0" locked="0" layoutInCell="1" allowOverlap="1" wp14:anchorId="10CA2E3C" wp14:editId="709E611D">
                <wp:simplePos x="0" y="0"/>
                <wp:positionH relativeFrom="column">
                  <wp:posOffset>2057400</wp:posOffset>
                </wp:positionH>
                <wp:positionV relativeFrom="paragraph">
                  <wp:posOffset>172085</wp:posOffset>
                </wp:positionV>
                <wp:extent cx="1113155" cy="250190"/>
                <wp:effectExtent l="13335" t="10795" r="16510" b="15240"/>
                <wp:wrapNone/>
                <wp:docPr id="1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3155" cy="250190"/>
                        </a:xfrm>
                        <a:prstGeom prst="roundRect">
                          <a:avLst>
                            <a:gd name="adj" fmla="val 16667"/>
                          </a:avLst>
                        </a:prstGeom>
                        <a:noFill/>
                        <a:ln w="15875">
                          <a:solidFill>
                            <a:srgbClr val="000000"/>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C72774" id="AutoShape 7" o:spid="_x0000_s1026" style="position:absolute;left:0;text-align:left;margin-left:162pt;margin-top:13.55pt;width:87.65pt;height:1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bSGAIAABIEAAAOAAAAZHJzL2Uyb0RvYy54bWysU9tu2zAMfR+wfxD0vjjO4rQ14hRFug4D&#10;ugvW7QMUSb5ssqhRSpzs60fJSZZub8P8IJCmeHh4SC1v971hO42+A1vxfDLlTFsJqrNNxb9+eXh1&#10;zZkPwiphwOqKH7Tnt6uXL5aDK/UMWjBKIyMQ68vBVbwNwZVZ5mWre+En4LSlYA3Yi0AuNplCMRB6&#10;b7LZdLrIBkDlEKT2nv7ej0G+Svh1rWX4WNdeB2YqTtxCOjGdm3hmq6UoGxSu7eSRhvgHFr3oLBU9&#10;Q92LINgWu7+g+k4ieKjDREKfQV13UqceqJt8+kc3T61wOvVC4nh3lsn/P1j5YffkPmGk7t0jyO+e&#10;WVi3wjb6DhGGVgtF5fIoVDY4X54TouMplW2G96BotGIbIGmwr7GPgNQd2yepD2ep9T4wST/zPH+d&#10;FwVnkmKzYprfpFlkojxlO/ThrYaeRaPiCFurPtM8Uwmxe/Qh6a2YFX2srr5xVveGprcThuWLxeIq&#10;kRbl8TJhnzBjpoWHzpg0f2PZQJSK66sioXswnYrRJAs2m7VBRqjURfqOuM+uJX4JLUr2xqpkB9GZ&#10;0abqxh41jLLFDfXlBtSBJEQYF5MeEhkt4E/OBlrKivsfW4GaM/PO0hhu8vk8bnFy5sXVjBy8jGwu&#10;I8JKgqp44Gw012Hc/K3DrmmpUp7atXBHo6u7cJrxyOpIlhaPrGebfemnW7+f8uoXAAAA//8DAFBL&#10;AwQUAAYACAAAACEA6pFMsuAAAAAJAQAADwAAAGRycy9kb3ducmV2LnhtbEyPzU7DMBCE70i8g7VI&#10;3KhTN4Q2ZFNV/IgDHKAF5erGSxIR21HWbcPbY05wHM1o5ptiPdleHGnkzjuE+SwBQa72pnMNwvvu&#10;8WoJgoN2RvfeEcI3MazL87NC58af3Bsdt6ERscRxrhHaEIZcSq5bsppnfiAXvU8/Wh2iHBtpRn2K&#10;5baXKkkyaXXn4kKrB7prqf7aHiwCV6pLn6vXXj1VH/cvTcIPm5oRLy+mzS2IQFP4C8MvfkSHMjLt&#10;/cEZFj3CQqXxS0BQN3MQMZCuVgsQe4QsuwZZFvL/g/IHAAD//wMAUEsBAi0AFAAGAAgAAAAhALaD&#10;OJL+AAAA4QEAABMAAAAAAAAAAAAAAAAAAAAAAFtDb250ZW50X1R5cGVzXS54bWxQSwECLQAUAAYA&#10;CAAAACEAOP0h/9YAAACUAQAACwAAAAAAAAAAAAAAAAAvAQAAX3JlbHMvLnJlbHNQSwECLQAUAAYA&#10;CAAAACEA2pf20hgCAAASBAAADgAAAAAAAAAAAAAAAAAuAgAAZHJzL2Uyb0RvYy54bWxQSwECLQAU&#10;AAYACAAAACEA6pFMsuAAAAAJAQAADwAAAAAAAAAAAAAAAAByBAAAZHJzL2Rvd25yZXYueG1sUEsF&#10;BgAAAAAEAAQA8wAAAH8FAAAAAA==&#10;" filled="f" strokeweight="1.25pt">
                <v:fill angle="90" focus="100%" type="gradient">
                  <o:fill v:ext="view" type="gradientUnscaled"/>
                </v:fill>
              </v:roundrect>
            </w:pict>
          </mc:Fallback>
        </mc:AlternateContent>
      </w:r>
    </w:p>
    <w:p w14:paraId="1741DE3D" w14:textId="0FCC9BA5" w:rsidR="00E94BA7" w:rsidRDefault="002946DB" w:rsidP="002946DB">
      <w:pPr>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ESG指标</w:t>
      </w:r>
    </w:p>
    <w:p w14:paraId="54F77E02" w14:textId="5110C22A" w:rsidR="00E94BA7" w:rsidRDefault="0094430E" w:rsidP="002946DB">
      <w:pPr>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p>
    <w:p w14:paraId="48244A52" w14:textId="33A774C3" w:rsidR="00E94BA7" w:rsidRDefault="00E94BA7" w:rsidP="00DD0845">
      <w:pPr>
        <w:spacing w:line="360" w:lineRule="auto"/>
        <w:jc w:val="left"/>
        <w:rPr>
          <w:rFonts w:ascii="宋体" w:hAnsi="宋体"/>
          <w:sz w:val="24"/>
          <w:szCs w:val="24"/>
        </w:rPr>
      </w:pPr>
    </w:p>
    <w:p w14:paraId="3A371DF4" w14:textId="64DC6161" w:rsidR="00212B38" w:rsidRDefault="00321477" w:rsidP="00DD0845">
      <w:pPr>
        <w:spacing w:line="360" w:lineRule="auto"/>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65408" behindDoc="0" locked="0" layoutInCell="1" allowOverlap="1" wp14:anchorId="415986DB" wp14:editId="50AF0194">
                <wp:simplePos x="0" y="0"/>
                <wp:positionH relativeFrom="column">
                  <wp:posOffset>196850</wp:posOffset>
                </wp:positionH>
                <wp:positionV relativeFrom="paragraph">
                  <wp:posOffset>288925</wp:posOffset>
                </wp:positionV>
                <wp:extent cx="991870" cy="284480"/>
                <wp:effectExtent l="10160" t="9525" r="17145" b="10795"/>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870" cy="284480"/>
                        </a:xfrm>
                        <a:prstGeom prst="roundRect">
                          <a:avLst>
                            <a:gd name="adj" fmla="val 16667"/>
                          </a:avLst>
                        </a:prstGeom>
                        <a:noFill/>
                        <a:ln w="15875">
                          <a:solidFill>
                            <a:schemeClr val="tx1">
                              <a:lumMod val="100000"/>
                              <a:lumOff val="0"/>
                            </a:schemeClr>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357CF3" id="AutoShape 12" o:spid="_x0000_s1026" style="position:absolute;left:0;text-align:left;margin-left:15.5pt;margin-top:22.75pt;width:78.1pt;height:2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yqpMgIAAEgEAAAOAAAAZHJzL2Uyb0RvYy54bWysVNuO2yAQfa/Uf0C8N46jXK04q1W2W1Xa&#10;XtRtP4AAjmmBoYDjpF+/A07SqH2r6gfEzMCZOWcGr++ORpOD9EGBrWk5GlMiLQeh7L6m374+vllS&#10;EiKzgmmwsqYnGejd5vWrde8qOYEWtJCeIIgNVe9q2sboqqIIvJWGhRE4aTHYgDcsoun3hfCsR3Sj&#10;i8l4PC968MJ54DIE9D4MQbrJ+E0jefzUNEFGomuKtcW8+rzu0lps1qzae+Zaxc9lsH+owjBlMekV&#10;6oFFRjqv/oIyinsI0MQRB1NA0yguMwdkU47/YPPcMiczFxQnuKtM4f/B8o+HZ/fZp9KDewL+IxAL&#10;25bZvbz3HvpWMoHpyiRU0btQXS8kI+BVsus/gMDWsi5C1uDYeJMAkR05ZqlPV6nlMRKOztWqXC6w&#10;IRxDk+V0usytKFh1uex8iO8kGJI2NfXQWfEF25kzsMNTiFluQSwzKbn4TkljNDbvwDQp5/P5ItfM&#10;qvNhxL5gppsWHpXWuf3akh4pzpaLWUYPoJVI0axKmkS51Z4gbk3jscxndGeQ9eArx+kbRgn9OHCD&#10;/0IpD3OCQAlR5lv0TCsXkYR+a0XeR6b0sMfz2p6VT2KnuQ7VDsQJhfcwjDM+P9y04H9R0uMo1zT8&#10;7JiXlOj3Fpu3KqfTNPvZmM4WEzT8bWR3G2GWIxQypWTYbuPwXjrn1b7FTIMCFu6x4Y2Kl8kYqjoX&#10;i+Oa2Z6fVnoPt3Y+9fsHsHkBAAD//wMAUEsDBBQABgAIAAAAIQD1IWtB3QAAAAgBAAAPAAAAZHJz&#10;L2Rvd25yZXYueG1sTI/BTsMwEETvSPyDtUjcqNOWQAjZVKgSFQd6IIW76yyJRbwOttuGv8c9wXE0&#10;o5k31WqygziSD8YxwnyWgSDWrjXcIbzvnm8KECEqbtXgmBB+KMCqvryoVNm6E7/RsYmdSCUcSoXQ&#10;xziWUgbdk1Vh5kbi5H06b1VM0ney9eqUyu0gF1l2J60ynBZ6NdK6J/3VHCzCVudrs22C8373on3x&#10;ujEf3xvE66vp6RFEpCn+heGMn9ChTkx7d+A2iAFhOU9XIsJtnoM4+8X9AsQe4SFbgqwr+f9A/QsA&#10;AP//AwBQSwECLQAUAAYACAAAACEAtoM4kv4AAADhAQAAEwAAAAAAAAAAAAAAAAAAAAAAW0NvbnRl&#10;bnRfVHlwZXNdLnhtbFBLAQItABQABgAIAAAAIQA4/SH/1gAAAJQBAAALAAAAAAAAAAAAAAAAAC8B&#10;AABfcmVscy8ucmVsc1BLAQItABQABgAIAAAAIQCxvyqpMgIAAEgEAAAOAAAAAAAAAAAAAAAAAC4C&#10;AABkcnMvZTJvRG9jLnhtbFBLAQItABQABgAIAAAAIQD1IWtB3QAAAAgBAAAPAAAAAAAAAAAAAAAA&#10;AIwEAABkcnMvZG93bnJldi54bWxQSwUGAAAAAAQABADzAAAAlgUAAAAA&#10;" filled="f" strokecolor="black [3213]" strokeweight="1.25pt">
                <v:fill angle="90" focus="100%" type="gradient">
                  <o:fill v:ext="view" type="gradientUnscaled"/>
                </v:fill>
              </v:roundrect>
            </w:pict>
          </mc:Fallback>
        </mc:AlternateContent>
      </w:r>
    </w:p>
    <w:p w14:paraId="2508D99C" w14:textId="79B668A6" w:rsidR="00E43765" w:rsidRDefault="00321477" w:rsidP="00212B38">
      <w:pPr>
        <w:spacing w:line="360" w:lineRule="auto"/>
        <w:ind w:firstLineChars="200" w:firstLine="480"/>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76672" behindDoc="0" locked="0" layoutInCell="1" allowOverlap="1" wp14:anchorId="66CC28C0" wp14:editId="17C4F34C">
                <wp:simplePos x="0" y="0"/>
                <wp:positionH relativeFrom="column">
                  <wp:posOffset>4251325</wp:posOffset>
                </wp:positionH>
                <wp:positionV relativeFrom="paragraph">
                  <wp:posOffset>43815</wp:posOffset>
                </wp:positionV>
                <wp:extent cx="775970" cy="207010"/>
                <wp:effectExtent l="16510" t="13970" r="17145" b="17145"/>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207010"/>
                        </a:xfrm>
                        <a:prstGeom prst="roundRect">
                          <a:avLst>
                            <a:gd name="adj" fmla="val 16667"/>
                          </a:avLst>
                        </a:prstGeom>
                        <a:noFill/>
                        <a:ln w="15875">
                          <a:solidFill>
                            <a:schemeClr val="tx1">
                              <a:lumMod val="100000"/>
                              <a:lumOff val="0"/>
                            </a:schemeClr>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A6BEFE" id="AutoShape 29" o:spid="_x0000_s1026" style="position:absolute;left:0;text-align:left;margin-left:334.75pt;margin-top:3.45pt;width:61.1pt;height:1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zKMQIAAEgEAAAOAAAAZHJzL2Uyb0RvYy54bWysVNuO2yAQfa/Uf0C8N7ajJN614qxW2W5V&#10;aXtRt/0AAjimxQwFHCf9+h2wk0btW1U/IGYGzsw5M3h9d+w0OUjnFZiaFrOcEmk4CGX2Nf329fHN&#10;DSU+MCOYBiNrepKe3m1ev1oPtpJzaEEL6QiCGF8NtqZtCLbKMs9b2TE/AysNBhtwHQtoun0mHBsQ&#10;vdPZPM9X2QBOWAdceo/ehzFINwm/aSQPn5rGy0B0TbG2kFaX1l1cs82aVXvHbKv4VAb7hyo6pgwm&#10;vUA9sMBI79RfUJ3iDjw0Ycahy6BpFJeJA7Ip8j/YPLfMysQFxfH2IpP/f7D84+HZfnaxdG+fgP/w&#10;xMC2ZWYv752DoZVMYLoiCpUN1leXC9HweJXshg8gsLWsD5A0ODaui4DIjhyT1KeL1PIYCEdnWS5v&#10;S2wIx9A8L5F7ysCq82XrfHgnoSNxU1MHvRFfsJ0pAzs8+ZDkFsSwLiYX3ylpOo3NOzBNitVqVU6I&#10;0+GMVWfMeNPAo9I6tV8bMiDF5U25TOgetBIxmlSJkyi32hHErWk4FumM7jtkPfqKPH7jKKEfB270&#10;nymlYY4QKCHKfI2eaKUiotBvjUj7wJQe93hem0n5KHaca1/tQJxQeAfjOOPzw00L7hclA45yTf3P&#10;njlJiX5vsHm3xWIRZz8Zi2U5R8NdR3bXEWY4QiFTSsbtNozvpbdO7VvMNCpg4B4b3qhwnoyxqqlY&#10;HNfEdnpa8T1c2+nU7x/A5gUAAP//AwBQSwMEFAAGAAgAAAAhAIMjf3fdAAAACAEAAA8AAABkcnMv&#10;ZG93bnJldi54bWxMj0FPwzAMhe9I/IfISNxYOtC6tTSd0CQmDuxAB/csMW1F45Qk28q/x5zYzfZ7&#10;ev5etZ7cIE4YYu9JwXyWgUAy3vbUKnjfP9+tQMSkyerBEyr4wQjr+vqq0qX1Z3rDU5NawSEUS62g&#10;S2kspYymQ6fjzI9IrH364HTiNbTSBn3mcDfI+yzLpdM98YdOj7jp0Hw1R6dgZxabftdEH8L+xYTV&#10;67b/+N4qdXszPT2CSDilfzP84TM61Mx08EeyUQwK8rxYsJWHAgTry2K+BHFQ8MB3WVfyskD9CwAA&#10;//8DAFBLAQItABQABgAIAAAAIQC2gziS/gAAAOEBAAATAAAAAAAAAAAAAAAAAAAAAABbQ29udGVu&#10;dF9UeXBlc10ueG1sUEsBAi0AFAAGAAgAAAAhADj9If/WAAAAlAEAAAsAAAAAAAAAAAAAAAAALwEA&#10;AF9yZWxzLy5yZWxzUEsBAi0AFAAGAAgAAAAhAIezLMoxAgAASAQAAA4AAAAAAAAAAAAAAAAALgIA&#10;AGRycy9lMm9Eb2MueG1sUEsBAi0AFAAGAAgAAAAhAIMjf3fdAAAACAEAAA8AAAAAAAAAAAAAAAAA&#10;iwQAAGRycy9kb3ducmV2LnhtbFBLBQYAAAAABAAEAPMAAACVBQAAAAA=&#10;" filled="f" strokecolor="black [3213]" strokeweight="1.25pt">
                <v:fill angle="90" focus="100%" type="gradient">
                  <o:fill v:ext="view" type="gradientUnscaled"/>
                </v:fill>
              </v:roundrect>
            </w:pict>
          </mc:Fallback>
        </mc:AlternateContent>
      </w:r>
      <w:r w:rsidR="00212B38">
        <w:rPr>
          <w:rFonts w:ascii="宋体" w:hAnsi="宋体" w:hint="eastAsia"/>
          <w:sz w:val="24"/>
          <w:szCs w:val="24"/>
        </w:rPr>
        <w:t>主成分分析</w:t>
      </w:r>
      <w:r w:rsidR="0094430E">
        <w:rPr>
          <w:rFonts w:ascii="宋体" w:hAnsi="宋体" w:hint="eastAsia"/>
          <w:sz w:val="24"/>
          <w:szCs w:val="24"/>
        </w:rPr>
        <w:t xml:space="preserve"> </w:t>
      </w:r>
      <w:r w:rsidR="00996C5F">
        <w:rPr>
          <w:rFonts w:ascii="宋体" w:hAnsi="宋体"/>
          <w:sz w:val="24"/>
          <w:szCs w:val="24"/>
        </w:rPr>
        <w:t xml:space="preserve">        </w:t>
      </w:r>
      <w:r w:rsidR="0094430E">
        <w:rPr>
          <w:rFonts w:ascii="宋体" w:hAnsi="宋体"/>
          <w:sz w:val="24"/>
          <w:szCs w:val="24"/>
        </w:rPr>
        <w:t xml:space="preserve">                                  </w:t>
      </w:r>
      <w:r w:rsidR="00996C5F">
        <w:rPr>
          <w:rFonts w:ascii="宋体" w:hAnsi="宋体" w:hint="eastAsia"/>
          <w:sz w:val="24"/>
          <w:szCs w:val="24"/>
        </w:rPr>
        <w:t>逻辑回归</w:t>
      </w:r>
    </w:p>
    <w:p w14:paraId="58440655" w14:textId="6BBCD3EB" w:rsidR="00E43765" w:rsidRDefault="00321477" w:rsidP="00DD0845">
      <w:pPr>
        <w:spacing w:line="360" w:lineRule="auto"/>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679744" behindDoc="0" locked="0" layoutInCell="1" allowOverlap="1" wp14:anchorId="495AAC63" wp14:editId="47142ADA">
                <wp:simplePos x="0" y="0"/>
                <wp:positionH relativeFrom="column">
                  <wp:posOffset>4639310</wp:posOffset>
                </wp:positionH>
                <wp:positionV relativeFrom="paragraph">
                  <wp:posOffset>31750</wp:posOffset>
                </wp:positionV>
                <wp:extent cx="8890" cy="1345565"/>
                <wp:effectExtent l="52070" t="13335" r="62865" b="22225"/>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345565"/>
                        </a:xfrm>
                        <a:prstGeom prst="straightConnector1">
                          <a:avLst/>
                        </a:prstGeom>
                        <a:noFill/>
                        <a:ln w="15875">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ED711" id="AutoShape 33" o:spid="_x0000_s1026" type="#_x0000_t32" style="position:absolute;left:0;text-align:left;margin-left:365.3pt;margin-top:2.5pt;width:.7pt;height:10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O7wEAANEDAAAOAAAAZHJzL2Uyb0RvYy54bWysU8tu2zAQvBfoPxC817LSKnUEyzk4TS9p&#10;ayDJB9AkZRElucSStuS/75J2nD7QS1EdCO2Ds7O7w+Xt5Cw7aIwGfMfr2Zwz7SUo43cdf366f7fg&#10;LCbhlbDgdcePOvLb1ds3yzG0+goGsEojIxAf2zF0fEgptFUV5aCdiDMI2lOwB3QikYm7SqEYCd3Z&#10;6mo+v65GQBUQpI6RvHenIF8V/L7XMn3r+6gTsx0nbqmcWM5tPqvVUrQ7FGEw8kxD/AMLJ4ynoheo&#10;O5EE26P5A8oZiRChTzMJroK+N1KXHqibev5bN4+DCLr0QsOJ4TKm+P9g5dfD2m8wU5eTfwwPIL9H&#10;5mE9CL/ThcDTMdDi6jyqagyxvVzJRgwbZNvxCyjKEfsEZQpTjy5DUn9sKsM+Xoatp8QkOReLG1qI&#10;pED9/kPTXDelgGhf7gaM6bMGx/JPx2NCYXZDWoP3tFXAulQSh4eYMjPRvlzIhT3cG2vLcq1nI9Vo&#10;Fh+bciOCNSpHc17RmV5bZAdBCknTCdXuHXV08tXz/J2EQn6S08lfXFT2AlFI/IKOsPeqkBi0UJ+8&#10;YqnM0tNT4JmV04ozq+nl5L+SmYSxr5kJDe3B/iWbqlt/3kpeRFZ9bLegjhvMM8kW6aYQO2s8C/Nn&#10;u2S9vsTVDwAAAP//AwBQSwMEFAAGAAgAAAAhAJsz08feAAAACQEAAA8AAABkcnMvZG93bnJldi54&#10;bWxMj0FPwzAMhe9I/IfIk7ixdJ3aQtd0QkggTZzYJnHNGtNWS5yqybru32NOcLP1np+/V21nZ8WE&#10;Y+g9KVgtExBIjTc9tQqOh7fHJxAhajLaekIFNwywre/vKl0af6VPnPaxFRxCodQKuhiHUsrQdOh0&#10;WPoBibVvPzodeR1baUZ95XBnZZokuXS6J/7Q6QFfO2zO+4tjjIa8fp8y23+dEywOH7vjLdsp9bCY&#10;XzYgIs7xzwy/+HwDNTOd/IVMEFZBsU5ytirIuBLrxTrl4aQgXeXPIOtK/m9Q/wAAAP//AwBQSwEC&#10;LQAUAAYACAAAACEAtoM4kv4AAADhAQAAEwAAAAAAAAAAAAAAAAAAAAAAW0NvbnRlbnRfVHlwZXNd&#10;LnhtbFBLAQItABQABgAIAAAAIQA4/SH/1gAAAJQBAAALAAAAAAAAAAAAAAAAAC8BAABfcmVscy8u&#10;cmVsc1BLAQItABQABgAIAAAAIQCPrV/O7wEAANEDAAAOAAAAAAAAAAAAAAAAAC4CAABkcnMvZTJv&#10;RG9jLnhtbFBLAQItABQABgAIAAAAIQCbM9PH3gAAAAkBAAAPAAAAAAAAAAAAAAAAAEkEAABkcnMv&#10;ZG93bnJldi54bWxQSwUGAAAAAAQABADzAAAAVAUAAAAA&#10;" strokecolor="black [3213]" strokeweight="1.25pt">
                <v:stroke endarrow="block"/>
              </v:shape>
            </w:pict>
          </mc:Fallback>
        </mc:AlternateContent>
      </w:r>
      <w:r>
        <w:rPr>
          <w:rFonts w:ascii="宋体" w:hAnsi="宋体"/>
          <w:noProof/>
          <w:sz w:val="24"/>
          <w:szCs w:val="24"/>
        </w:rPr>
        <mc:AlternateContent>
          <mc:Choice Requires="wps">
            <w:drawing>
              <wp:anchor distT="0" distB="0" distL="114300" distR="114300" simplePos="0" relativeHeight="251666432" behindDoc="0" locked="0" layoutInCell="1" allowOverlap="1" wp14:anchorId="725575DA" wp14:editId="62FFFD5D">
                <wp:simplePos x="0" y="0"/>
                <wp:positionH relativeFrom="column">
                  <wp:posOffset>601980</wp:posOffset>
                </wp:positionH>
                <wp:positionV relativeFrom="paragraph">
                  <wp:posOffset>89535</wp:posOffset>
                </wp:positionV>
                <wp:extent cx="94615" cy="623570"/>
                <wp:effectExtent l="24765" t="13970" r="23495" b="38735"/>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15" cy="623570"/>
                        </a:xfrm>
                        <a:prstGeom prst="downArrow">
                          <a:avLst>
                            <a:gd name="adj1" fmla="val 50000"/>
                            <a:gd name="adj2" fmla="val 164765"/>
                          </a:avLst>
                        </a:prstGeom>
                        <a:gradFill rotWithShape="0">
                          <a:gsLst>
                            <a:gs pos="0">
                              <a:srgbClr val="FFFFFF"/>
                            </a:gs>
                            <a:gs pos="100000">
                              <a:srgbClr val="FFFFFF"/>
                            </a:gs>
                          </a:gsLst>
                          <a:lin ang="0"/>
                        </a:gradFill>
                        <a:ln w="1587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1AA78" id="AutoShape 13" o:spid="_x0000_s1026" type="#_x0000_t67" style="position:absolute;left:0;text-align:left;margin-left:47.4pt;margin-top:7.05pt;width:7.45pt;height:49.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wnyYAIAAOgEAAAOAAAAZHJzL2Uyb0RvYy54bWysVEtv2zAMvg/YfxB0Xx1ncdIadYqiXYcB&#10;3QPoHmdFkm1tkqhJSpz++1Kyk6XbZRjmg0yJFPnxI6nLq73RZCd9UGAbWp7NKJGWg1C2a+iXz3ev&#10;zikJkVnBNFjZ0EcZ6NX65YvLwdVyDj1oIT1BJzbUg2toH6OriyLwXhoWzsBJi8oWvGERt74rhGcD&#10;eje6mM9my2IAL5wHLkPA09tRSdfZf9tKHj+2bZCR6IYitphXn9dNWov1Jas7z1yv+ASD/QMKw5TF&#10;oEdXtywysvXqD1dGcQ8B2njGwRTQtorLnANmU85+y+ahZ07mXJCc4I40hf/nln/YPbhPPkEP7h74&#10;j0As3PTMdvLaexh6yQSGKxNRxeBCfbyQNgGvks3wHgSWlm0jZA72rTfJIWZH9pnqxyPVch8Jx8OL&#10;xbKsKOGoWc5fV6tciYLVh7vOh/hWgiFJaKiAwWY8OQDb3YeY2RbEMpNii+8lJa3RWLwd06Sa4TcV&#10;98RmfmpTLherZZUTY/XkEhEcIk/VFHdKa+IhflOxzwVJuWRlOKAIxAGSNB4H321utCcIo6F3+Zti&#10;dGG8NlqXCeLfXEFM3SGUVpZgbSY6k8azjDB51pYMWKrqfFVlgAG0OiqfwcqhD5Q/MzMq4jxqZRp6&#10;PgLME5La4I0VWY5M6VHG+NpOfZFaIU1dqDcgHrEtkLIEMz0OKEj2Ff+UDDhqDQ0/t8xLSvQ7i7xd&#10;lItFms28WVSrOW78qWZzqmGW94ATjM5G8SaO87x1XnU9xipz9hausSFbFQ+dO+Ka4OI4ofRsXk/3&#10;2erXA7V+AgAA//8DAFBLAwQUAAYACAAAACEAb5BXnOAAAAAJAQAADwAAAGRycy9kb3ducmV2Lnht&#10;bEyPQU+DQBCF7yb+h82YeLMLlVhKWRrTaNKDF6keelvYEYjsLLLbgv56pye9zZs3ee+bfDvbXpxx&#10;9J0jBfEiAoFUO9NRo+Dt8HyXgvBBk9G9I1TwjR62xfVVrjPjJnrFcxkawSHkM62gDWHIpPR1i1b7&#10;hRuQ2Ptwo9WB5dhIM+qJw20vl1H0IK3uiBtaPeCuxfqzPFkF6e64L4enkOzTn/evqov9tDq8KHV7&#10;Mz9uQAScw98xXPAZHQpmqtyJjBe9gnXC5IH3SQzi4kfrFYiKh3h5D7LI5f8Pil8AAAD//wMAUEsB&#10;Ai0AFAAGAAgAAAAhALaDOJL+AAAA4QEAABMAAAAAAAAAAAAAAAAAAAAAAFtDb250ZW50X1R5cGVz&#10;XS54bWxQSwECLQAUAAYACAAAACEAOP0h/9YAAACUAQAACwAAAAAAAAAAAAAAAAAvAQAAX3JlbHMv&#10;LnJlbHNQSwECLQAUAAYACAAAACEA93sJ8mACAADoBAAADgAAAAAAAAAAAAAAAAAuAgAAZHJzL2Uy&#10;b0RvYy54bWxQSwECLQAUAAYACAAAACEAb5BXnOAAAAAJAQAADwAAAAAAAAAAAAAAAAC6BAAAZHJz&#10;L2Rvd25yZXYueG1sUEsFBgAAAAAEAAQA8wAAAMcFAAAAAA==&#10;" strokeweight="1.25pt">
                <v:fill angle="90" focus="100%" type="gradient">
                  <o:fill v:ext="view" type="gradientUnscaled"/>
                </v:fill>
                <v:textbox style="layout-flow:vertical-ideographic"/>
              </v:shape>
            </w:pict>
          </mc:Fallback>
        </mc:AlternateContent>
      </w:r>
    </w:p>
    <w:p w14:paraId="432C2EDF" w14:textId="110F0A24" w:rsidR="00E43765" w:rsidRDefault="00E43765" w:rsidP="00DD0845">
      <w:pPr>
        <w:spacing w:line="360" w:lineRule="auto"/>
        <w:jc w:val="left"/>
        <w:rPr>
          <w:rFonts w:ascii="宋体" w:hAnsi="宋体"/>
          <w:sz w:val="24"/>
          <w:szCs w:val="24"/>
        </w:rPr>
      </w:pPr>
    </w:p>
    <w:p w14:paraId="0904B47D" w14:textId="7A9860FB" w:rsidR="00E43765" w:rsidRDefault="00321477" w:rsidP="00DD0845">
      <w:pPr>
        <w:spacing w:line="360" w:lineRule="auto"/>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672576" behindDoc="0" locked="0" layoutInCell="1" allowOverlap="1" wp14:anchorId="7B30E407" wp14:editId="3A2D656A">
                <wp:simplePos x="0" y="0"/>
                <wp:positionH relativeFrom="column">
                  <wp:posOffset>-252095</wp:posOffset>
                </wp:positionH>
                <wp:positionV relativeFrom="paragraph">
                  <wp:posOffset>161290</wp:posOffset>
                </wp:positionV>
                <wp:extent cx="1725295" cy="1734185"/>
                <wp:effectExtent l="8890" t="13335" r="8890" b="5080"/>
                <wp:wrapNone/>
                <wp:docPr id="10"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5295" cy="1734185"/>
                        </a:xfrm>
                        <a:prstGeom prst="roundRect">
                          <a:avLst>
                            <a:gd name="adj" fmla="val 16667"/>
                          </a:avLst>
                        </a:prstGeom>
                        <a:noFill/>
                        <a:ln w="6350" cap="flat">
                          <a:solidFill>
                            <a:schemeClr val="tx1">
                              <a:lumMod val="100000"/>
                              <a:lumOff val="0"/>
                            </a:schemeClr>
                          </a:solidFill>
                          <a:prstDash val="lgDash"/>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18670D" id="AutoShape 19" o:spid="_x0000_s1026" style="position:absolute;left:0;text-align:left;margin-left:-19.85pt;margin-top:12.7pt;width:135.85pt;height:13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maSAIAAG4EAAAOAAAAZHJzL2Uyb0RvYy54bWysVNtu2zAMfR+wfxD0vjpOc2mNOEXRrsOA&#10;7oJ1+wBGkmNvsqhJSpz260dJThZsb8P8IJCUdEgeHnl1c+g12yvnOzQ1Ly8mnCkjUHZmW/NvXx/e&#10;XHHmAxgJGo2q+bPy/Gb9+tVqsJWaYotaKscIxPhqsDVvQ7BVUXjRqh78BVplaLNB10Mg120L6WAg&#10;9F4X08lkUQzopHUolPcUvc+bfJ3wm0aJ8KlpvApM15xqC2l1ad3EtVivoNo6sG0nxjLgH6rooTOU&#10;9AR1DwHYznV/QfWdcOixCRcC+wKbphMq9UDdlJM/unlqwarUC5Hj7Ykm//9gxcf9k/3sYunePqL4&#10;4ZnBuxbMVt06h0OrQFK6MhJVDNZXpwvR8XSVbYYPKGm0sAuYODg0ro+A1B07JKqfT1SrQ2CCguVy&#10;Op9ezzkTtFcuL2fl1TzlgOp43Tof3insWTRq7nBn5BcaaMoB+0cfEuGSGehjevmds6bXNL49aFYu&#10;FovliDgeLqA6YsabBh86rZMAtGFDzReXc5KIAJJhoyHn8ag7Gc8lhqIq1Z12jDLUPBzKVIve9cRA&#10;jpWT+GVZUZzEl+MpRAUkYUcIopO8c/RY2z34Nl/Q22hnoNR6KjSO462RyQ7Q6WwTkjbjfOJIovp9&#10;tUH5TONxmEVPj5SMFt0LZwMJvub+5w6c4ky/NzTi63I2iy8kObP5ckqOO9/ZnO+AEQRFHHCWzbuQ&#10;X9XOum7bUqbMjcFbkkXThaN+clVjsSTqxMP4AOOrOffTqd+/ifUvAAAA//8DAFBLAwQUAAYACAAA&#10;ACEA2xwkgd8AAAAKAQAADwAAAGRycy9kb3ducmV2LnhtbEyPy07DMBBF90j8gzVI7FqnSQtpiFMh&#10;EFskWlTBbhobO8KPKHaa8PcMK7qb0RzdObfezc6ysxpiF7yA1TIDpnwbZOe1gPfDy6IEFhN6iTZ4&#10;JeBHRdg111c1VjJM/k2d90kzCvGxQgEmpb7iPLZGOYzL0CtPt68wOEy0DprLAScKd5bnWXbHHXae&#10;Phjs1ZNR7fd+dAIirk1h+8NRf65ej5M25cf4XApxezM/PgBLak7/MPzpkzo05HQKo5eRWQGLYntP&#10;qIB8swZGQF7kVO5Ew7bcAG9qflmh+QUAAP//AwBQSwECLQAUAAYACAAAACEAtoM4kv4AAADhAQAA&#10;EwAAAAAAAAAAAAAAAAAAAAAAW0NvbnRlbnRfVHlwZXNdLnhtbFBLAQItABQABgAIAAAAIQA4/SH/&#10;1gAAAJQBAAALAAAAAAAAAAAAAAAAAC8BAABfcmVscy8ucmVsc1BLAQItABQABgAIAAAAIQAVnyma&#10;SAIAAG4EAAAOAAAAAAAAAAAAAAAAAC4CAABkcnMvZTJvRG9jLnhtbFBLAQItABQABgAIAAAAIQDb&#10;HCSB3wAAAAoBAAAPAAAAAAAAAAAAAAAAAKIEAABkcnMvZG93bnJldi54bWxQSwUGAAAAAAQABADz&#10;AAAArgUAAAAA&#10;" filled="f" strokecolor="black [3213]" strokeweight=".5pt">
                <v:fill angle="90" focus="100%" type="gradient">
                  <o:fill v:ext="view" type="gradientUnscaled"/>
                </v:fill>
                <v:stroke dashstyle="longDash"/>
              </v:roundrect>
            </w:pict>
          </mc:Fallback>
        </mc:AlternateContent>
      </w:r>
      <w:r>
        <w:rPr>
          <w:rFonts w:ascii="宋体" w:hAnsi="宋体"/>
          <w:noProof/>
          <w:sz w:val="24"/>
          <w:szCs w:val="24"/>
        </w:rPr>
        <mc:AlternateContent>
          <mc:Choice Requires="wps">
            <w:drawing>
              <wp:anchor distT="0" distB="0" distL="114300" distR="114300" simplePos="0" relativeHeight="251671552" behindDoc="0" locked="0" layoutInCell="1" allowOverlap="1" wp14:anchorId="1F54D262" wp14:editId="7EE00F93">
                <wp:simplePos x="0" y="0"/>
                <wp:positionH relativeFrom="column">
                  <wp:posOffset>-104775</wp:posOffset>
                </wp:positionH>
                <wp:positionV relativeFrom="paragraph">
                  <wp:posOffset>337820</wp:posOffset>
                </wp:positionV>
                <wp:extent cx="1370965" cy="207010"/>
                <wp:effectExtent l="13335" t="8890" r="15875" b="12700"/>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965" cy="207010"/>
                        </a:xfrm>
                        <a:prstGeom prst="roundRect">
                          <a:avLst>
                            <a:gd name="adj" fmla="val 16667"/>
                          </a:avLst>
                        </a:prstGeom>
                        <a:noFill/>
                        <a:ln w="15875">
                          <a:solidFill>
                            <a:srgbClr val="000000"/>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0C96F1" id="AutoShape 18" o:spid="_x0000_s1026" style="position:absolute;left:0;text-align:left;margin-left:-8.25pt;margin-top:26.6pt;width:107.95pt;height:1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grFgIAABIEAAAOAAAAZHJzL2Uyb0RvYy54bWysU9tu2zAMfR+wfxD0vtjOcmmNOEWRrsOA&#10;7oJ1+wBFkmNvsqhRSpzu60fJTpZub8P8IJCmeHh4SK1ujp1hB42+BVvxYpJzpq0E1dpdxb9+uX91&#10;xZkPwiphwOqKP2nPb9YvX6x6V+opNGCURkYg1pe9q3gTgiuzzMtGd8JPwGlLwRqwE4Fc3GUKRU/o&#10;ncmmeb7IekDlEKT2nv7eDUG+Tvh1rWX4WNdeB2YqTtxCOjGd23hm65Uodyhc08qRhvgHFp1oLRU9&#10;Q92JINge27+gulYieKjDREKXQV23UqceqJsi/6Obx0Y4nXohcbw7y+T/H6z8cHh0nzBS9+4B5HfP&#10;LGwaYXf6FhH6RgtF5YooVNY7X54TouMplW3796BotGIfIGlwrLGLgNQdOyapn85S62Ngkn4Wr5f5&#10;9WLOmaTYNF9S86mEKE/ZDn14q6Fj0ag4wt6qzzTPVEIcHnxIeitmRRerq2+c1Z2h6R2EYcVisViO&#10;iOPlTJQnzJhp4b41Js3fWNYTpfnVcp7QPZhWxWiSBXfbjUFGqNRF+kbcZ9cSv4QWJXtjVbKDaM1g&#10;U3VjRw2jbHFDfbkF9UQSIgyLSQ+JjAbwJ2c9LWXF/Y+9QM2ZeWdpDNfFbBa3ODmz+XJKDl5GtpcR&#10;YSVBVTxwNpibMGz+3mG7a6hSkdq1cEujq9twmvHAaiRLi0fWs82+9NOt3095/QsAAP//AwBQSwME&#10;FAAGAAgAAAAhAEpZOxTgAAAACQEAAA8AAABkcnMvZG93bnJldi54bWxMj8tOwzAQRfdI/IM1SOxa&#10;p6Gp0hCnqniIBSyggLJ14yGJsMdRxm3D3+OuYDm6R/eeKTeTs+KII/eeFCzmCQikxpueWgUf74+z&#10;HAQHTUZbT6jgBxk21eVFqQvjT/SGx11oRSwhLrSCLoShkJKbDp3muR+QYvblR6dDPMdWmlGfYrmz&#10;Mk2SlXS6p7jQ6QHvOmy+dwengOu0Xz7XrzZ9qj/vX9qEH7YNK3V9NW1vQQScwh8MZ/2oDlV02vsD&#10;GRZWwWyxyiKqILtJQZyB9XoJYq8gz3KQVSn/f1D9AgAA//8DAFBLAQItABQABgAIAAAAIQC2gziS&#10;/gAAAOEBAAATAAAAAAAAAAAAAAAAAAAAAABbQ29udGVudF9UeXBlc10ueG1sUEsBAi0AFAAGAAgA&#10;AAAhADj9If/WAAAAlAEAAAsAAAAAAAAAAAAAAAAALwEAAF9yZWxzLy5yZWxzUEsBAi0AFAAGAAgA&#10;AAAhAKxXaCsWAgAAEgQAAA4AAAAAAAAAAAAAAAAALgIAAGRycy9lMm9Eb2MueG1sUEsBAi0AFAAG&#10;AAgAAAAhAEpZOxTgAAAACQEAAA8AAAAAAAAAAAAAAAAAcAQAAGRycy9kb3ducmV2LnhtbFBLBQYA&#10;AAAABAAEAPMAAAB9BQAAAAA=&#10;" filled="f" strokeweight="1.25pt">
                <v:fill angle="90" focus="100%" type="gradient">
                  <o:fill v:ext="view" type="gradientUnscaled"/>
                </v:fill>
              </v:roundrect>
            </w:pict>
          </mc:Fallback>
        </mc:AlternateContent>
      </w:r>
      <w:r w:rsidR="00996C5F">
        <w:rPr>
          <w:rFonts w:ascii="宋体" w:hAnsi="宋体" w:hint="eastAsia"/>
          <w:sz w:val="24"/>
          <w:szCs w:val="24"/>
        </w:rPr>
        <w:t xml:space="preserve"> </w:t>
      </w:r>
      <w:r w:rsidR="00996C5F">
        <w:rPr>
          <w:rFonts w:ascii="宋体" w:hAnsi="宋体"/>
          <w:sz w:val="24"/>
          <w:szCs w:val="24"/>
        </w:rPr>
        <w:t xml:space="preserve">                                                          </w:t>
      </w:r>
      <w:r w:rsidR="00996C5F">
        <w:rPr>
          <w:rFonts w:ascii="宋体" w:hAnsi="宋体" w:hint="eastAsia"/>
          <w:sz w:val="24"/>
          <w:szCs w:val="24"/>
        </w:rPr>
        <w:t>解释</w:t>
      </w:r>
    </w:p>
    <w:p w14:paraId="79F05B38" w14:textId="2F3ACF19" w:rsidR="00E43765" w:rsidRDefault="00321477" w:rsidP="00212B38">
      <w:pPr>
        <w:spacing w:line="360" w:lineRule="auto"/>
        <w:ind w:firstLineChars="200" w:firstLine="480"/>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70528" behindDoc="0" locked="0" layoutInCell="1" allowOverlap="1" wp14:anchorId="1F54D262" wp14:editId="10E7FF53">
                <wp:simplePos x="0" y="0"/>
                <wp:positionH relativeFrom="column">
                  <wp:posOffset>-90805</wp:posOffset>
                </wp:positionH>
                <wp:positionV relativeFrom="paragraph">
                  <wp:posOffset>327660</wp:posOffset>
                </wp:positionV>
                <wp:extent cx="1370965" cy="207010"/>
                <wp:effectExtent l="8255" t="10160" r="11430" b="11430"/>
                <wp:wrapNone/>
                <wp:docPr id="8"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965" cy="207010"/>
                        </a:xfrm>
                        <a:prstGeom prst="roundRect">
                          <a:avLst>
                            <a:gd name="adj" fmla="val 16667"/>
                          </a:avLst>
                        </a:prstGeom>
                        <a:noFill/>
                        <a:ln w="15875">
                          <a:solidFill>
                            <a:srgbClr val="000000"/>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7A64E6" id="AutoShape 17" o:spid="_x0000_s1026" style="position:absolute;left:0;text-align:left;margin-left:-7.15pt;margin-top:25.8pt;width:107.95pt;height:1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grFgIAABIEAAAOAAAAZHJzL2Uyb0RvYy54bWysU9tu2zAMfR+wfxD0vtjOcmmNOEWRrsOA&#10;7oJ1+wBFkmNvsqhRSpzu60fJTpZub8P8IJCmeHh4SK1ujp1hB42+BVvxYpJzpq0E1dpdxb9+uX91&#10;xZkPwiphwOqKP2nPb9YvX6x6V+opNGCURkYg1pe9q3gTgiuzzMtGd8JPwGlLwRqwE4Fc3GUKRU/o&#10;ncmmeb7IekDlEKT2nv7eDUG+Tvh1rWX4WNdeB2YqTtxCOjGd23hm65Uodyhc08qRhvgHFp1oLRU9&#10;Q92JINge27+gulYieKjDREKXQV23UqceqJsi/6Obx0Y4nXohcbw7y+T/H6z8cHh0nzBS9+4B5HfP&#10;LGwaYXf6FhH6RgtF5YooVNY7X54TouMplW3796BotGIfIGlwrLGLgNQdOyapn85S62Ngkn4Wr5f5&#10;9WLOmaTYNF9S86mEKE/ZDn14q6Fj0ag4wt6qzzTPVEIcHnxIeitmRRerq2+c1Z2h6R2EYcVisViO&#10;iOPlTJQnzJhp4b41Js3fWNYTpfnVcp7QPZhWxWiSBXfbjUFGqNRF+kbcZ9cSv4QWJXtjVbKDaM1g&#10;U3VjRw2jbHFDfbkF9UQSIgyLSQ+JjAbwJ2c9LWXF/Y+9QM2ZeWdpDNfFbBa3ODmz+XJKDl5GtpcR&#10;YSVBVTxwNpibMGz+3mG7a6hSkdq1cEujq9twmvHAaiRLi0fWs82+9NOt3095/QsAAP//AwBQSwME&#10;FAAGAAgAAAAhAPEp6NfgAAAACQEAAA8AAABkcnMvZG93bnJldi54bWxMj8tOwzAQRfdI/IM1SOxa&#10;OyZUVZpJVfEQC1iUQpWtG5skwh5HsduGv8ddwW5Gc3Tn3HI9OctOZgy9J4RsLoAZarzuqUX4/Hie&#10;LYGFqEgr68kg/JgA6+r6qlSF9md6N6ddbFkKoVAohC7GoeA8NJ1xKsz9YCjdvvzoVEzr2HI9qnMK&#10;d5ZLIRbcqZ7Sh04N5qEzzffu6BBCLfv8td5a+VLvH99aEZ42TUC8vZk2K2DRTPEPhot+UocqOR38&#10;kXRgFmGW5XcJRbjPFsASIMVlOCAscwm8Kvn/BtUvAAAA//8DAFBLAQItABQABgAIAAAAIQC2gziS&#10;/gAAAOEBAAATAAAAAAAAAAAAAAAAAAAAAABbQ29udGVudF9UeXBlc10ueG1sUEsBAi0AFAAGAAgA&#10;AAAhADj9If/WAAAAlAEAAAsAAAAAAAAAAAAAAAAALwEAAF9yZWxzLy5yZWxzUEsBAi0AFAAGAAgA&#10;AAAhAKxXaCsWAgAAEgQAAA4AAAAAAAAAAAAAAAAALgIAAGRycy9lMm9Eb2MueG1sUEsBAi0AFAAG&#10;AAgAAAAhAPEp6NfgAAAACQEAAA8AAAAAAAAAAAAAAAAAcAQAAGRycy9kb3ducmV2LnhtbFBLBQYA&#10;AAAABAAEAPMAAAB9BQAAAAA=&#10;" filled="f" strokeweight="1.25pt">
                <v:fill angle="90" focus="100%" type="gradient">
                  <o:fill v:ext="view" type="gradientUnscaled"/>
                </v:fill>
              </v:roundrect>
            </w:pict>
          </mc:Fallback>
        </mc:AlternateContent>
      </w:r>
      <w:r w:rsidR="00212B38">
        <w:rPr>
          <w:rFonts w:ascii="宋体" w:hAnsi="宋体" w:hint="eastAsia"/>
          <w:sz w:val="24"/>
          <w:szCs w:val="24"/>
        </w:rPr>
        <w:t>风险因子</w:t>
      </w:r>
      <w:r w:rsidR="00996C5F">
        <w:rPr>
          <w:rFonts w:ascii="宋体" w:hAnsi="宋体" w:hint="eastAsia"/>
          <w:sz w:val="24"/>
          <w:szCs w:val="24"/>
        </w:rPr>
        <w:t xml:space="preserve"> </w:t>
      </w:r>
      <w:r w:rsidR="00996C5F">
        <w:rPr>
          <w:rFonts w:ascii="宋体" w:hAnsi="宋体"/>
          <w:sz w:val="24"/>
          <w:szCs w:val="24"/>
        </w:rPr>
        <w:t xml:space="preserve">                                         </w:t>
      </w:r>
    </w:p>
    <w:p w14:paraId="341B99D1" w14:textId="47ACEACE" w:rsidR="00E43765" w:rsidRDefault="00321477" w:rsidP="00212B38">
      <w:pPr>
        <w:spacing w:line="360" w:lineRule="auto"/>
        <w:ind w:firstLineChars="100" w:firstLine="240"/>
        <w:jc w:val="left"/>
        <w:rPr>
          <w:rFonts w:ascii="宋体" w:hAnsi="宋体"/>
          <w:sz w:val="24"/>
          <w:szCs w:val="24"/>
        </w:rPr>
      </w:pPr>
      <w:r>
        <w:rPr>
          <w:rFonts w:ascii="宋体" w:hAnsi="宋体"/>
          <w:noProof/>
          <w:sz w:val="24"/>
          <w:szCs w:val="24"/>
        </w:rPr>
        <mc:AlternateContent>
          <mc:Choice Requires="wps">
            <w:drawing>
              <wp:anchor distT="0" distB="0" distL="114300" distR="114300" simplePos="0" relativeHeight="251674624" behindDoc="0" locked="0" layoutInCell="1" allowOverlap="1" wp14:anchorId="415986DB" wp14:editId="7C96FE76">
                <wp:simplePos x="0" y="0"/>
                <wp:positionH relativeFrom="column">
                  <wp:posOffset>3817620</wp:posOffset>
                </wp:positionH>
                <wp:positionV relativeFrom="paragraph">
                  <wp:posOffset>297180</wp:posOffset>
                </wp:positionV>
                <wp:extent cx="1399540" cy="284480"/>
                <wp:effectExtent l="11430" t="10160" r="8255" b="10160"/>
                <wp:wrapNone/>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9540" cy="284480"/>
                        </a:xfrm>
                        <a:prstGeom prst="roundRect">
                          <a:avLst>
                            <a:gd name="adj" fmla="val 16667"/>
                          </a:avLst>
                        </a:prstGeom>
                        <a:noFill/>
                        <a:ln w="15875">
                          <a:solidFill>
                            <a:srgbClr val="000000"/>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BE5486" id="AutoShape 21" o:spid="_x0000_s1026" style="position:absolute;left:0;text-align:left;margin-left:300.6pt;margin-top:23.4pt;width:110.2pt;height:2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JrFwIAABIEAAAOAAAAZHJzL2Uyb0RvYy54bWysU9uOEzEMfUfiH6K80+mUttuOOl2tuixC&#10;Wi5i4QPSJHOBTByctNPy9TiZtnThDTEPkT2Oj+1znNXtoTNsr9G3YEuej8acaStBtbYu+dcvD68W&#10;nPkgrBIGrC75UXt+u375YtW7Qk+gAaM0MgKxvuhdyZsQXJFlXja6E34ETlsKVoCdCORinSkUPaF3&#10;JpuMx/OsB1QOQWrv6e/9EOTrhF9VWoaPVeV1YKbk1FtIJ6ZzG89svRJFjcI1rTy1If6hi060lope&#10;oO5FEGyH7V9QXSsRPFRhJKHLoKpaqdMMNE0+/mOap0Y4nWYhcry70OT/H6z8sH9ynzC27t0jyO+e&#10;Wdg0wtb6DhH6RgtF5fJIVNY7X1wSouMplW3796BIWrELkDg4VNhFQJqOHRLVxwvV+hCYpJ/56+Vy&#10;NiVFJMUmi+l0kbTIRHHOdujDWw0di0bJEXZWfSY9Uwmxf/Qh8a2YFV2srr5xVnWG1NsLw/L5fH6T&#10;mhbF6TJhnzFjpoWH1pikv7Gsp5Zmi5tZQvdgWhWjiRastxuDjFBpivSdcJ9dS/0ltEjZG6uSHURr&#10;BpuqG3viMNIWN9QXW1BHohBhWEx6SGQ0gD8562kpS+5/7ARqzsw7SzIs82nkLCRnOruZkIPXke11&#10;RFhJUCUPnA3mJgybv3PY1g1VytO4Fu5IuqoNZ42Hrk7N0uKR9Wyzr/106/dTXv8CAAD//wMAUEsD&#10;BBQABgAIAAAAIQB6DIp+3wAAAAkBAAAPAAAAZHJzL2Rvd25yZXYueG1sTI9NT8MwDIbvSPyHyEjc&#10;WNJoqkbXdJr4EAc4wGDqNWtCW9E4VZ1t5d9jTnCyLD96/bzlZg6DOPmJ+ogGsoUC4bGJrsfWwMf7&#10;480KBCWLzg4RvYFvT7CpLi9KW7h4xjd/2qVWcAhSYQ10KY2FlNR0PlhaxNEj3z7jFGzidWqlm+yZ&#10;w8MgtVK5DLZH/tDZ0d91vvnaHYMBqnW/fK5fB/1U7+9fWkUP24aMub6at2sQyc/pD4ZffVaHip0O&#10;8YiOxGAgV5lm1MAy5woMrHSWgzgYuOUpq1L+b1D9AAAA//8DAFBLAQItABQABgAIAAAAIQC2gziS&#10;/gAAAOEBAAATAAAAAAAAAAAAAAAAAAAAAABbQ29udGVudF9UeXBlc10ueG1sUEsBAi0AFAAGAAgA&#10;AAAhADj9If/WAAAAlAEAAAsAAAAAAAAAAAAAAAAALwEAAF9yZWxzLy5yZWxzUEsBAi0AFAAGAAgA&#10;AAAhAFEAwmsXAgAAEgQAAA4AAAAAAAAAAAAAAAAALgIAAGRycy9lMm9Eb2MueG1sUEsBAi0AFAAG&#10;AAgAAAAhAHoMin7fAAAACQEAAA8AAAAAAAAAAAAAAAAAcQQAAGRycy9kb3ducmV2LnhtbFBLBQYA&#10;AAAABAAEAPMAAAB9BQAAAAA=&#10;" filled="f" strokeweight="1.25pt">
                <v:fill angle="90" focus="100%" type="gradient">
                  <o:fill v:ext="view" type="gradientUnscaled"/>
                </v:fill>
              </v:roundrect>
            </w:pict>
          </mc:Fallback>
        </mc:AlternateContent>
      </w:r>
      <w:r w:rsidR="00212B38">
        <w:rPr>
          <w:rFonts w:ascii="宋体" w:hAnsi="宋体" w:hint="eastAsia"/>
          <w:sz w:val="24"/>
          <w:szCs w:val="24"/>
        </w:rPr>
        <w:t>选股择时因子</w:t>
      </w:r>
    </w:p>
    <w:p w14:paraId="27F06BB0" w14:textId="71E8B65B" w:rsidR="00212B38" w:rsidRDefault="00321477" w:rsidP="00212B38">
      <w:pPr>
        <w:spacing w:line="360" w:lineRule="auto"/>
        <w:ind w:firstLineChars="200" w:firstLine="480"/>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73600" behindDoc="0" locked="0" layoutInCell="1" allowOverlap="1" wp14:anchorId="014536CC" wp14:editId="4E501955">
                <wp:simplePos x="0" y="0"/>
                <wp:positionH relativeFrom="column">
                  <wp:posOffset>1619885</wp:posOffset>
                </wp:positionH>
                <wp:positionV relativeFrom="paragraph">
                  <wp:posOffset>168275</wp:posOffset>
                </wp:positionV>
                <wp:extent cx="2087880" cy="0"/>
                <wp:effectExtent l="13970" t="63500" r="22225" b="60325"/>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7880" cy="0"/>
                        </a:xfrm>
                        <a:prstGeom prst="straightConnector1">
                          <a:avLst/>
                        </a:prstGeom>
                        <a:noFill/>
                        <a:ln w="15875">
                          <a:solidFill>
                            <a:schemeClr val="tx1">
                              <a:lumMod val="100000"/>
                              <a:lumOff val="0"/>
                            </a:schemeClr>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46C171" id="AutoShape 20" o:spid="_x0000_s1026" type="#_x0000_t32" style="position:absolute;left:0;text-align:left;margin-left:127.55pt;margin-top:13.25pt;width:164.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1Q6gEAAM4DAAAOAAAAZHJzL2Uyb0RvYy54bWysU01v2zAMvQ/YfxB0X+wE6BoYcXpI1126&#10;LUDbH8BIcixMEgVJiZ1/P0pJ3G7DLsV8EMwPPT6ST6u70Rp2VCFqdC2fz2rOlBMotdu3/OX54dOS&#10;s5jASTDoVMtPKvK79ccPq8E3aoE9GqkCIxAXm8G3vE/JN1UVRa8sxBl65SjYYbCQyAz7SgYYCN2a&#10;alHXn6sBg/QBhYqRvPfnIF8X/K5TIv3ouqgSMy0nbqmcoZy7fFbrFTT7AL7X4kID3sHCgnZUdIK6&#10;hwTsEPRfUFaLgBG7NBNoK+w6LVTpgbqZ139089SDV6UXGk7005ji/4MV348btw2Zuhjdk39E8TMy&#10;h5se3F4VAs8nT4ub51FVg4/NdCUb0W8D2w3fUFIOHBKWKYxdsBmS+mNjGfZpGrYaExPkXNTL2+WS&#10;diKusQqa60UfYvqq0LL80/KYAuh9nzboHK0Uw7yUgeNjTJkWNNcLuarDB21M2axxbCDuN8vbm3Ij&#10;otEyR3NeEZnamMCOQPJI4xnVHCy1c/bN6/ydVUJ+0tLZX1xUdoIoJH5DD3hwspDoFcgvTrJUBuno&#10;HfDMyirJmVH0bPJfyUygzWtmCpqWYP6RTdWNu6wkbyFLPjY7lKdtyDPJFommELsIPKvyrV2yXp/h&#10;+hcAAAD//wMAUEsDBBQABgAIAAAAIQBXOMaR3AAAAAkBAAAPAAAAZHJzL2Rvd25yZXYueG1sTI9P&#10;S8NAEMXvgt9hGcGb3bSytcZsiggKxZNtwes0Oyah2dmQ3abpt3fEg97mz5v3flOsJ9+pkYbYBrYw&#10;n2WgiKvgWq4t7HevdytQMSE77AKThQtFWJfXVwXmLpz5g8ZtqpWYcMzRQpNSn2sdq4Y8xlnoiWX3&#10;FQaPSdqh1m7As5j7Ti+ybKk9tiwJDfb00lB13J68YFQc8G00Xft5zOhh977ZX8zG2tub6fkJVKIp&#10;/YnhB19uoBSmQzixi6qzsDBmLlIplgaUCMzq/hHU4Xegy0L//6D8BgAA//8DAFBLAQItABQABgAI&#10;AAAAIQC2gziS/gAAAOEBAAATAAAAAAAAAAAAAAAAAAAAAABbQ29udGVudF9UeXBlc10ueG1sUEsB&#10;Ai0AFAAGAAgAAAAhADj9If/WAAAAlAEAAAsAAAAAAAAAAAAAAAAALwEAAF9yZWxzLy5yZWxzUEsB&#10;Ai0AFAAGAAgAAAAhABT4nVDqAQAAzgMAAA4AAAAAAAAAAAAAAAAALgIAAGRycy9lMm9Eb2MueG1s&#10;UEsBAi0AFAAGAAgAAAAhAFc4xpHcAAAACQEAAA8AAAAAAAAAAAAAAAAARAQAAGRycy9kb3ducmV2&#10;LnhtbFBLBQYAAAAABAAEAPMAAABNBQAAAAA=&#10;" strokecolor="black [3213]" strokeweight="1.25pt">
                <v:stroke endarrow="block"/>
              </v:shape>
            </w:pict>
          </mc:Fallback>
        </mc:AlternateContent>
      </w:r>
      <w:r>
        <w:rPr>
          <w:rFonts w:ascii="宋体" w:hAnsi="宋体" w:hint="eastAsia"/>
          <w:noProof/>
          <w:sz w:val="24"/>
          <w:szCs w:val="24"/>
        </w:rPr>
        <mc:AlternateContent>
          <mc:Choice Requires="wps">
            <w:drawing>
              <wp:anchor distT="0" distB="0" distL="114300" distR="114300" simplePos="0" relativeHeight="251669504" behindDoc="0" locked="0" layoutInCell="1" allowOverlap="1" wp14:anchorId="1F54D262" wp14:editId="02B66E21">
                <wp:simplePos x="0" y="0"/>
                <wp:positionH relativeFrom="column">
                  <wp:posOffset>-70485</wp:posOffset>
                </wp:positionH>
                <wp:positionV relativeFrom="paragraph">
                  <wp:posOffset>55880</wp:posOffset>
                </wp:positionV>
                <wp:extent cx="1370965" cy="207010"/>
                <wp:effectExtent l="9525" t="8255" r="10160" b="13335"/>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965" cy="207010"/>
                        </a:xfrm>
                        <a:prstGeom prst="roundRect">
                          <a:avLst>
                            <a:gd name="adj" fmla="val 16667"/>
                          </a:avLst>
                        </a:prstGeom>
                        <a:noFill/>
                        <a:ln w="15875">
                          <a:solidFill>
                            <a:srgbClr val="000000"/>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606DE8" id="AutoShape 16" o:spid="_x0000_s1026" style="position:absolute;left:0;text-align:left;margin-left:-5.55pt;margin-top:4.4pt;width:107.95pt;height:1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grFgIAABIEAAAOAAAAZHJzL2Uyb0RvYy54bWysU9tu2zAMfR+wfxD0vtjOcmmNOEWRrsOA&#10;7oJ1+wBFkmNvsqhRSpzu60fJTpZub8P8IJCmeHh4SK1ujp1hB42+BVvxYpJzpq0E1dpdxb9+uX91&#10;xZkPwiphwOqKP2nPb9YvX6x6V+opNGCURkYg1pe9q3gTgiuzzMtGd8JPwGlLwRqwE4Fc3GUKRU/o&#10;ncmmeb7IekDlEKT2nv7eDUG+Tvh1rWX4WNdeB2YqTtxCOjGd23hm65Uodyhc08qRhvgHFp1oLRU9&#10;Q92JINge27+gulYieKjDREKXQV23UqceqJsi/6Obx0Y4nXohcbw7y+T/H6z8cHh0nzBS9+4B5HfP&#10;LGwaYXf6FhH6RgtF5YooVNY7X54TouMplW3796BotGIfIGlwrLGLgNQdOyapn85S62Ngkn4Wr5f5&#10;9WLOmaTYNF9S86mEKE/ZDn14q6Fj0ag4wt6qzzTPVEIcHnxIeitmRRerq2+c1Z2h6R2EYcVisViO&#10;iOPlTJQnzJhp4b41Js3fWNYTpfnVcp7QPZhWxWiSBXfbjUFGqNRF+kbcZ9cSv4QWJXtjVbKDaM1g&#10;U3VjRw2jbHFDfbkF9UQSIgyLSQ+JjAbwJ2c9LWXF/Y+9QM2ZeWdpDNfFbBa3ODmz+XJKDl5GtpcR&#10;YSVBVTxwNpibMGz+3mG7a6hSkdq1cEujq9twmvHAaiRLi0fWs82+9NOt3095/QsAAP//AwBQSwME&#10;FAAGAAgAAAAhAALjuxbeAAAACAEAAA8AAABkcnMvZG93bnJldi54bWxMj0tPwzAQhO9I/Adrkbi1&#10;dqIIVSFOVfEQBzhAAeXqxtskqh9R1m3Dv2c50duOZjT7TbWevRMnnGiIQUO2VCAwtNEOodPw9fm8&#10;WIGgZII1LgbU8IME6/r6qjKljefwgadt6gSXBCqNhj6lsZSS2h69oWUcMbC3j5M3ieXUSTuZM5d7&#10;J3Ol7qQ3Q+APvRnxocf2sD16DdTkQ/HavLv8pfl+fOsUPW1a0vr2Zt7cg0g4p/8w/OEzOtTMtIvH&#10;YEk4DYssyziqYcUL2M9VwcdOQ5EVIOtKXg6ofwEAAP//AwBQSwECLQAUAAYACAAAACEAtoM4kv4A&#10;AADhAQAAEwAAAAAAAAAAAAAAAAAAAAAAW0NvbnRlbnRfVHlwZXNdLnhtbFBLAQItABQABgAIAAAA&#10;IQA4/SH/1gAAAJQBAAALAAAAAAAAAAAAAAAAAC8BAABfcmVscy8ucmVsc1BLAQItABQABgAIAAAA&#10;IQCsV2grFgIAABIEAAAOAAAAAAAAAAAAAAAAAC4CAABkcnMvZTJvRG9jLnhtbFBLAQItABQABgAI&#10;AAAAIQAC47sW3gAAAAgBAAAPAAAAAAAAAAAAAAAAAHAEAABkcnMvZG93bnJldi54bWxQSwUGAAAA&#10;AAQABADzAAAAewUAAAAA&#10;" filled="f" strokeweight="1.25pt">
                <v:fill angle="90" focus="100%" type="gradient">
                  <o:fill v:ext="view" type="gradientUnscaled"/>
                </v:fill>
              </v:roundrect>
            </w:pict>
          </mc:Fallback>
        </mc:AlternateContent>
      </w:r>
      <w:r w:rsidR="00212B38">
        <w:rPr>
          <w:rFonts w:ascii="宋体" w:hAnsi="宋体" w:hint="eastAsia"/>
          <w:sz w:val="24"/>
          <w:szCs w:val="24"/>
        </w:rPr>
        <w:t>ESG因子</w:t>
      </w:r>
      <w:r w:rsidR="0032070E">
        <w:rPr>
          <w:rFonts w:ascii="宋体" w:hAnsi="宋体" w:hint="eastAsia"/>
          <w:sz w:val="24"/>
          <w:szCs w:val="24"/>
        </w:rPr>
        <w:t xml:space="preserve"> </w:t>
      </w:r>
      <w:r w:rsidR="0032070E">
        <w:rPr>
          <w:rFonts w:ascii="宋体" w:hAnsi="宋体"/>
          <w:sz w:val="24"/>
          <w:szCs w:val="24"/>
        </w:rPr>
        <w:t xml:space="preserve">                                       </w:t>
      </w:r>
      <w:r w:rsidR="0032070E">
        <w:rPr>
          <w:rFonts w:ascii="宋体" w:hAnsi="宋体" w:hint="eastAsia"/>
          <w:sz w:val="24"/>
          <w:szCs w:val="24"/>
        </w:rPr>
        <w:t>基金绩效综合得分</w:t>
      </w:r>
    </w:p>
    <w:p w14:paraId="6AA3242B" w14:textId="59A020F9" w:rsidR="00212B38" w:rsidRDefault="00321477" w:rsidP="00212B38">
      <w:pPr>
        <w:spacing w:line="360" w:lineRule="auto"/>
        <w:ind w:firstLineChars="200" w:firstLine="480"/>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68480" behindDoc="0" locked="0" layoutInCell="1" allowOverlap="1" wp14:anchorId="1F54D262" wp14:editId="247FE5D0">
                <wp:simplePos x="0" y="0"/>
                <wp:positionH relativeFrom="column">
                  <wp:posOffset>-70485</wp:posOffset>
                </wp:positionH>
                <wp:positionV relativeFrom="paragraph">
                  <wp:posOffset>52070</wp:posOffset>
                </wp:positionV>
                <wp:extent cx="1370965" cy="207010"/>
                <wp:effectExtent l="9525" t="15875" r="10160" b="15240"/>
                <wp:wrapNone/>
                <wp:docPr id="3"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965" cy="207010"/>
                        </a:xfrm>
                        <a:prstGeom prst="roundRect">
                          <a:avLst>
                            <a:gd name="adj" fmla="val 16667"/>
                          </a:avLst>
                        </a:prstGeom>
                        <a:noFill/>
                        <a:ln w="15875">
                          <a:solidFill>
                            <a:srgbClr val="000000"/>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0133B2" id="AutoShape 15" o:spid="_x0000_s1026" style="position:absolute;left:0;text-align:left;margin-left:-5.55pt;margin-top:4.1pt;width:107.95pt;height:1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grFgIAABIEAAAOAAAAZHJzL2Uyb0RvYy54bWysU9tu2zAMfR+wfxD0vtjOcmmNOEWRrsOA&#10;7oJ1+wBFkmNvsqhRSpzu60fJTpZub8P8IJCmeHh4SK1ujp1hB42+BVvxYpJzpq0E1dpdxb9+uX91&#10;xZkPwiphwOqKP2nPb9YvX6x6V+opNGCURkYg1pe9q3gTgiuzzMtGd8JPwGlLwRqwE4Fc3GUKRU/o&#10;ncmmeb7IekDlEKT2nv7eDUG+Tvh1rWX4WNdeB2YqTtxCOjGd23hm65Uodyhc08qRhvgHFp1oLRU9&#10;Q92JINge27+gulYieKjDREKXQV23UqceqJsi/6Obx0Y4nXohcbw7y+T/H6z8cHh0nzBS9+4B5HfP&#10;LGwaYXf6FhH6RgtF5YooVNY7X54TouMplW3796BotGIfIGlwrLGLgNQdOyapn85S62Ngkn4Wr5f5&#10;9WLOmaTYNF9S86mEKE/ZDn14q6Fj0ag4wt6qzzTPVEIcHnxIeitmRRerq2+c1Z2h6R2EYcVisViO&#10;iOPlTJQnzJhp4b41Js3fWNYTpfnVcp7QPZhWxWiSBXfbjUFGqNRF+kbcZ9cSv4QWJXtjVbKDaM1g&#10;U3VjRw2jbHFDfbkF9UQSIgyLSQ+JjAbwJ2c9LWXF/Y+9QM2ZeWdpDNfFbBa3ODmz+XJKDl5GtpcR&#10;YSVBVTxwNpibMGz+3mG7a6hSkdq1cEujq9twmvHAaiRLi0fWs82+9NOt3095/QsAAP//AwBQSwME&#10;FAAGAAgAAAAhAGbWJRLeAAAACAEAAA8AAABkcnMvZG93bnJldi54bWxMj81OwzAQhO9IvIO1SNxa&#10;O1aEopBNVfEjDnCAAsrVjZckIrajrNuGt8ec6HE0o5lvqs3iRnGkmYfgEbK1AkG+DXbwHcLH++Oq&#10;AMHReGvG4Anhhxg29eVFZUobTv6NjrvYiVTiuTQIfYxTKSW3PTnD6zCRT95XmJ2JSc6dtLM5pXI3&#10;Sq3UjXRm8GmhNxPd9dR+7w4OgRs95M/N66ifms/7l07xw7ZlxOurZXsLItIS/8Pwh5/QoU5M+3Dw&#10;lsWIsMqyLEURCg0i+Vrl6coeIVcFyLqS5wfqXwAAAP//AwBQSwECLQAUAAYACAAAACEAtoM4kv4A&#10;AADhAQAAEwAAAAAAAAAAAAAAAAAAAAAAW0NvbnRlbnRfVHlwZXNdLnhtbFBLAQItABQABgAIAAAA&#10;IQA4/SH/1gAAAJQBAAALAAAAAAAAAAAAAAAAAC8BAABfcmVscy8ucmVsc1BLAQItABQABgAIAAAA&#10;IQCsV2grFgIAABIEAAAOAAAAAAAAAAAAAAAAAC4CAABkcnMvZTJvRG9jLnhtbFBLAQItABQABgAI&#10;AAAAIQBm1iUS3gAAAAgBAAAPAAAAAAAAAAAAAAAAAHAEAABkcnMvZG93bnJldi54bWxQSwUGAAAA&#10;AAQABADzAAAAewUAAAAA&#10;" filled="f" strokeweight="1.25pt">
                <v:fill angle="90" focus="100%" type="gradient">
                  <o:fill v:ext="view" type="gradientUnscaled"/>
                </v:fill>
              </v:roundrect>
            </w:pict>
          </mc:Fallback>
        </mc:AlternateContent>
      </w:r>
      <w:r w:rsidR="00212B38">
        <w:rPr>
          <w:rFonts w:ascii="宋体" w:hAnsi="宋体" w:hint="eastAsia"/>
          <w:sz w:val="24"/>
          <w:szCs w:val="24"/>
        </w:rPr>
        <w:t>结构因子</w:t>
      </w:r>
    </w:p>
    <w:p w14:paraId="5C1E51E2" w14:textId="52267881" w:rsidR="00811855" w:rsidRPr="009274CD" w:rsidRDefault="00321477" w:rsidP="009274CD">
      <w:pPr>
        <w:spacing w:line="360" w:lineRule="auto"/>
        <w:jc w:val="left"/>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667456" behindDoc="0" locked="0" layoutInCell="1" allowOverlap="1" wp14:anchorId="1F54D262" wp14:editId="56CA5281">
                <wp:simplePos x="0" y="0"/>
                <wp:positionH relativeFrom="column">
                  <wp:posOffset>-70485</wp:posOffset>
                </wp:positionH>
                <wp:positionV relativeFrom="paragraph">
                  <wp:posOffset>39370</wp:posOffset>
                </wp:positionV>
                <wp:extent cx="1370965" cy="207010"/>
                <wp:effectExtent l="9525" t="14605" r="10160" b="1651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0965" cy="207010"/>
                        </a:xfrm>
                        <a:prstGeom prst="roundRect">
                          <a:avLst>
                            <a:gd name="adj" fmla="val 16667"/>
                          </a:avLst>
                        </a:prstGeom>
                        <a:noFill/>
                        <a:ln w="15875">
                          <a:solidFill>
                            <a:schemeClr val="tx1">
                              <a:lumMod val="100000"/>
                              <a:lumOff val="0"/>
                            </a:schemeClr>
                          </a:solidFill>
                          <a:round/>
                          <a:headEnd/>
                          <a:tailEnd/>
                        </a:ln>
                        <a:extLst>
                          <a:ext uri="{909E8E84-426E-40DD-AFC4-6F175D3DCCD1}">
                            <a14:hiddenFill xmlns:a14="http://schemas.microsoft.com/office/drawing/2010/main">
                              <a:gradFill rotWithShape="0">
                                <a:gsLst>
                                  <a:gs pos="0">
                                    <a:srgbClr val="FFFFFF"/>
                                  </a:gs>
                                  <a:gs pos="100000">
                                    <a:srgbClr val="FFFFFF"/>
                                  </a:gs>
                                </a:gsLst>
                                <a:lin ang="0"/>
                              </a:gra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177D7C" id="AutoShape 14" o:spid="_x0000_s1026" style="position:absolute;left:0;text-align:left;margin-left:-5.55pt;margin-top:3.1pt;width:107.95pt;height:1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FuMgIAAEkEAAAOAAAAZHJzL2Uyb0RvYy54bWysVNuO2yAQfa/Uf0C8N7bTXHatOKtVtltV&#10;2l7UbT+AAI5pgaFA4qRf3wE7adS+VfUDYmbgzJwzg1d3R6PJQfqgwDa0mpSUSMtBKLtr6Ncvj69u&#10;KAmRWcE0WNnQkwz0bv3yxap3tZxCB1pITxDEhrp3De1idHVRBN5Jw8IEnLQYbMEbFtH0u0J41iO6&#10;0cW0LBdFD144D1yGgN6HIUjXGb9tJY8f2zbISHRDsbaYV5/XbVqL9YrVO89cp/hYBvuHKgxTFpNe&#10;oB5YZGTv1V9QRnEPAdo44WAKaFvFZeaAbKryDzbPHXMyc0FxgrvIFP4fLP9weHaffCo9uCfg3wOx&#10;sOmY3cl776HvJBOYrkpCFb0L9eVCMgJeJdv+PQhsLdtHyBocW28SILIjxyz16SK1PEbC0Vm9Xpa3&#10;izklHGPTconkcwpWn287H+JbCYakTUM97K34jP3MKdjhKcSstyCWmZRdfKOkNRq7d2CaVIvFYjki&#10;jocLVp8x000Lj0rr3H9tSY8lzW+W84weQCuRolmWNIpyoz1B3IbGY5XP6L1B2oOvKtM3zBL6ceIG&#10;/5lSnuYEgRqiztfomVYuIin9xoq8j0zpYY/ntR2lT2qnwQ71FsQJlfcwzDO+P9x04H9S0uMsNzT8&#10;2DMvKdHvLHbvtprN0vBnYzZfTtHw15HtdYRZjlDIlJJhu4nDg9k7r3YdZhoUsHCPHW9VPI/GUNVY&#10;LM5rZju+rfQgru186vcfYP0LAAD//wMAUEsDBBQABgAIAAAAIQDgudnu3QAAAAgBAAAPAAAAZHJz&#10;L2Rvd25yZXYueG1sTI/BTsMwEETvSPyDtUjcWicBqihkU6FKVBzogRTubrwkFrEdbLcNf89yosfR&#10;jGbe1OvZjuJEIRrvEPJlBoJc57VxPcL7/nlRgohJOa1G7wjhhyKsm+urWlXan90bndrUCy5xsVII&#10;Q0pTJWXsBrIqLv1Ejr1PH6xKLEMvdVBnLrejLLJsJa0yjhcGNdFmoO6rPVqEXfewMbs2+hD2L10o&#10;X7fm43uLeHszPz2CSDSn/zD84TM6NMx08EenoxgRFnmecxRhVYBgv8ju+coB4a4sQTa1vDzQ/AIA&#10;AP//AwBQSwECLQAUAAYACAAAACEAtoM4kv4AAADhAQAAEwAAAAAAAAAAAAAAAAAAAAAAW0NvbnRl&#10;bnRfVHlwZXNdLnhtbFBLAQItABQABgAIAAAAIQA4/SH/1gAAAJQBAAALAAAAAAAAAAAAAAAAAC8B&#10;AABfcmVscy8ucmVsc1BLAQItABQABgAIAAAAIQCfhNFuMgIAAEkEAAAOAAAAAAAAAAAAAAAAAC4C&#10;AABkcnMvZTJvRG9jLnhtbFBLAQItABQABgAIAAAAIQDgudnu3QAAAAgBAAAPAAAAAAAAAAAAAAAA&#10;AIwEAABkcnMvZG93bnJldi54bWxQSwUGAAAAAAQABADzAAAAlgUAAAAA&#10;" filled="f" strokecolor="black [3213]" strokeweight="1.25pt">
                <v:fill angle="90" focus="100%" type="gradient">
                  <o:fill v:ext="view" type="gradientUnscaled"/>
                </v:fill>
              </v:roundrect>
            </w:pict>
          </mc:Fallback>
        </mc:AlternateContent>
      </w:r>
      <w:r w:rsidR="00212B38">
        <w:rPr>
          <w:rFonts w:ascii="宋体" w:hAnsi="宋体" w:hint="eastAsia"/>
          <w:sz w:val="24"/>
          <w:szCs w:val="24"/>
        </w:rPr>
        <w:t>重仓股票ESG因子</w:t>
      </w:r>
    </w:p>
    <w:p w14:paraId="66CE2FE2" w14:textId="68A55C7B" w:rsidR="00E43765" w:rsidRDefault="00E43765" w:rsidP="00DD0845">
      <w:pPr>
        <w:spacing w:line="360" w:lineRule="auto"/>
        <w:jc w:val="left"/>
        <w:rPr>
          <w:rFonts w:ascii="宋体" w:hAnsi="宋体"/>
          <w:sz w:val="24"/>
          <w:szCs w:val="24"/>
        </w:rPr>
      </w:pPr>
    </w:p>
    <w:p w14:paraId="7FB26A89" w14:textId="567EC079" w:rsidR="008C52D4" w:rsidRPr="001D59A3" w:rsidRDefault="008C52D4" w:rsidP="008C52D4">
      <w:pPr>
        <w:pStyle w:val="4"/>
        <w:rPr>
          <w:rFonts w:ascii="楷体_GB2312" w:eastAsia="楷体_GB2312" w:hAnsi="宋体"/>
          <w:color w:val="FF0000"/>
        </w:rPr>
      </w:pPr>
      <w:bookmarkStart w:id="16" w:name="_Toc105023898"/>
      <w:r w:rsidRPr="001D59A3">
        <w:rPr>
          <w:rFonts w:hint="eastAsia"/>
        </w:rPr>
        <w:t>1</w:t>
      </w:r>
      <w:r w:rsidRPr="001D59A3">
        <w:t>.</w:t>
      </w:r>
      <w:r>
        <w:t>2</w:t>
      </w:r>
      <w:r w:rsidRPr="001D59A3">
        <w:t>.</w:t>
      </w:r>
      <w:r>
        <w:t>3</w:t>
      </w:r>
      <w:r>
        <w:rPr>
          <w:rFonts w:hint="eastAsia"/>
        </w:rPr>
        <w:t>研究方法的不足之处</w:t>
      </w:r>
      <w:bookmarkEnd w:id="16"/>
    </w:p>
    <w:p w14:paraId="2AD9C6F5" w14:textId="09BE5723" w:rsidR="008C52D4" w:rsidRPr="008C52D4" w:rsidRDefault="006B1B6F" w:rsidP="00B65820">
      <w:pPr>
        <w:spacing w:line="360" w:lineRule="auto"/>
        <w:ind w:firstLineChars="200" w:firstLine="480"/>
        <w:jc w:val="left"/>
        <w:rPr>
          <w:rFonts w:ascii="宋体" w:hAnsi="宋体"/>
          <w:sz w:val="24"/>
          <w:szCs w:val="24"/>
        </w:rPr>
      </w:pPr>
      <w:r>
        <w:rPr>
          <w:rFonts w:ascii="宋体" w:hAnsi="宋体" w:hint="eastAsia"/>
          <w:sz w:val="24"/>
          <w:szCs w:val="24"/>
        </w:rPr>
        <w:t>本文的不足之处在于，在数据选取上，数据选取的区间为成立时间在2</w:t>
      </w:r>
      <w:r>
        <w:rPr>
          <w:rFonts w:ascii="宋体" w:hAnsi="宋体"/>
          <w:sz w:val="24"/>
          <w:szCs w:val="24"/>
        </w:rPr>
        <w:t>018-2021</w:t>
      </w:r>
      <w:r>
        <w:rPr>
          <w:rFonts w:ascii="宋体" w:hAnsi="宋体" w:hint="eastAsia"/>
          <w:sz w:val="24"/>
          <w:szCs w:val="24"/>
        </w:rPr>
        <w:t>年期间基金的数据，而指标选取的区间为2</w:t>
      </w:r>
      <w:r>
        <w:rPr>
          <w:rFonts w:ascii="宋体" w:hAnsi="宋体"/>
          <w:sz w:val="24"/>
          <w:szCs w:val="24"/>
        </w:rPr>
        <w:t>019</w:t>
      </w:r>
      <w:r>
        <w:rPr>
          <w:rFonts w:ascii="宋体" w:hAnsi="宋体" w:hint="eastAsia"/>
          <w:sz w:val="24"/>
          <w:szCs w:val="24"/>
        </w:rPr>
        <w:t>年1月至2</w:t>
      </w:r>
      <w:r>
        <w:rPr>
          <w:rFonts w:ascii="宋体" w:hAnsi="宋体"/>
          <w:sz w:val="24"/>
          <w:szCs w:val="24"/>
        </w:rPr>
        <w:t>021</w:t>
      </w:r>
      <w:r>
        <w:rPr>
          <w:rFonts w:ascii="宋体" w:hAnsi="宋体" w:hint="eastAsia"/>
          <w:sz w:val="24"/>
          <w:szCs w:val="24"/>
        </w:rPr>
        <w:t>年1</w:t>
      </w:r>
      <w:r>
        <w:rPr>
          <w:rFonts w:ascii="宋体" w:hAnsi="宋体"/>
          <w:sz w:val="24"/>
          <w:szCs w:val="24"/>
        </w:rPr>
        <w:t>2</w:t>
      </w:r>
      <w:r>
        <w:rPr>
          <w:rFonts w:ascii="宋体" w:hAnsi="宋体" w:hint="eastAsia"/>
          <w:sz w:val="24"/>
          <w:szCs w:val="24"/>
        </w:rPr>
        <w:t>月三年。首先是选取区间比较短，样本数据较少，对实证结果会有一定影响；其次是由于选取了特定的时间区间，</w:t>
      </w:r>
      <w:r w:rsidR="007D391A">
        <w:rPr>
          <w:rFonts w:ascii="宋体" w:hAnsi="宋体" w:hint="eastAsia"/>
          <w:sz w:val="24"/>
          <w:szCs w:val="24"/>
        </w:rPr>
        <w:t>模型回归得到的结论将受到这三年期间特定政策的</w:t>
      </w:r>
      <w:r w:rsidR="007D391A">
        <w:rPr>
          <w:rFonts w:ascii="宋体" w:hAnsi="宋体" w:hint="eastAsia"/>
          <w:sz w:val="24"/>
          <w:szCs w:val="24"/>
        </w:rPr>
        <w:lastRenderedPageBreak/>
        <w:t>影响，对实证结果有一定影响。</w:t>
      </w:r>
    </w:p>
    <w:p w14:paraId="2A4DC684" w14:textId="7F3D842B" w:rsidR="009274CD" w:rsidRPr="001D59A3" w:rsidRDefault="009274CD" w:rsidP="009274CD">
      <w:pPr>
        <w:pStyle w:val="4"/>
        <w:rPr>
          <w:rFonts w:ascii="楷体_GB2312" w:eastAsia="楷体_GB2312" w:hAnsi="宋体"/>
          <w:color w:val="FF0000"/>
        </w:rPr>
      </w:pPr>
      <w:bookmarkStart w:id="17" w:name="_Toc105023899"/>
      <w:r w:rsidRPr="001D59A3">
        <w:rPr>
          <w:rFonts w:hint="eastAsia"/>
        </w:rPr>
        <w:t>1</w:t>
      </w:r>
      <w:r w:rsidRPr="001D59A3">
        <w:t>.</w:t>
      </w:r>
      <w:r>
        <w:t>2</w:t>
      </w:r>
      <w:r w:rsidRPr="001D59A3">
        <w:t>.</w:t>
      </w:r>
      <w:r w:rsidR="008C52D4">
        <w:t>4</w:t>
      </w:r>
      <w:r>
        <w:rPr>
          <w:rFonts w:hint="eastAsia"/>
        </w:rPr>
        <w:t>全文结构</w:t>
      </w:r>
      <w:bookmarkEnd w:id="17"/>
    </w:p>
    <w:p w14:paraId="6F8BCB83" w14:textId="27AF185E" w:rsidR="00E43765" w:rsidRDefault="009274CD" w:rsidP="009274CD">
      <w:pPr>
        <w:spacing w:line="360" w:lineRule="auto"/>
        <w:ind w:firstLineChars="200" w:firstLine="480"/>
        <w:jc w:val="left"/>
        <w:rPr>
          <w:rFonts w:ascii="宋体" w:hAnsi="宋体"/>
          <w:sz w:val="24"/>
          <w:szCs w:val="24"/>
        </w:rPr>
      </w:pPr>
      <w:r>
        <w:rPr>
          <w:rFonts w:ascii="宋体" w:hAnsi="宋体" w:hint="eastAsia"/>
          <w:sz w:val="24"/>
          <w:szCs w:val="24"/>
        </w:rPr>
        <w:t>全文结构安排如下：</w:t>
      </w:r>
    </w:p>
    <w:p w14:paraId="03468BD2" w14:textId="730E549E" w:rsidR="009274CD" w:rsidRDefault="009274CD" w:rsidP="009274CD">
      <w:pPr>
        <w:spacing w:line="360" w:lineRule="auto"/>
        <w:ind w:firstLineChars="200" w:firstLine="480"/>
        <w:jc w:val="left"/>
        <w:rPr>
          <w:rFonts w:ascii="宋体" w:hAnsi="宋体"/>
          <w:sz w:val="24"/>
          <w:szCs w:val="24"/>
        </w:rPr>
      </w:pPr>
      <w:r>
        <w:rPr>
          <w:rFonts w:ascii="宋体" w:hAnsi="宋体" w:hint="eastAsia"/>
          <w:sz w:val="24"/>
          <w:szCs w:val="24"/>
        </w:rPr>
        <w:t>第2章作为文献综述，从碳中和及其相关投资概念、</w:t>
      </w:r>
      <w:r w:rsidR="00C7405D">
        <w:rPr>
          <w:rFonts w:ascii="宋体" w:hAnsi="宋体" w:hint="eastAsia"/>
          <w:sz w:val="24"/>
          <w:szCs w:val="24"/>
        </w:rPr>
        <w:t>ESG投资起源及其绩效研究与基金绩效评价体系发展三个方面梳理和总结了相关文献。</w:t>
      </w:r>
    </w:p>
    <w:p w14:paraId="07D1216C" w14:textId="20652110" w:rsidR="00C7405D" w:rsidRDefault="00C7405D" w:rsidP="009274CD">
      <w:pPr>
        <w:spacing w:line="360" w:lineRule="auto"/>
        <w:ind w:firstLineChars="200" w:firstLine="480"/>
        <w:jc w:val="left"/>
        <w:rPr>
          <w:rFonts w:ascii="宋体" w:hAnsi="宋体"/>
          <w:sz w:val="24"/>
          <w:szCs w:val="24"/>
        </w:rPr>
      </w:pPr>
      <w:r>
        <w:rPr>
          <w:rFonts w:ascii="宋体" w:hAnsi="宋体" w:hint="eastAsia"/>
          <w:sz w:val="24"/>
          <w:szCs w:val="24"/>
        </w:rPr>
        <w:t>第3章是构建基金绩效评价体系。首先阐述了绩效评价体系原始指标选取的原因</w:t>
      </w:r>
      <w:r w:rsidR="00FC5304">
        <w:rPr>
          <w:rFonts w:ascii="宋体" w:hAnsi="宋体" w:hint="eastAsia"/>
          <w:sz w:val="24"/>
          <w:szCs w:val="24"/>
        </w:rPr>
        <w:t>、</w:t>
      </w:r>
      <w:r>
        <w:rPr>
          <w:rFonts w:ascii="宋体" w:hAnsi="宋体" w:hint="eastAsia"/>
          <w:sz w:val="24"/>
          <w:szCs w:val="24"/>
        </w:rPr>
        <w:t>具体指标内容</w:t>
      </w:r>
      <w:r w:rsidR="00FC5304">
        <w:rPr>
          <w:rFonts w:ascii="宋体" w:hAnsi="宋体" w:hint="eastAsia"/>
          <w:sz w:val="24"/>
          <w:szCs w:val="24"/>
        </w:rPr>
        <w:t>以及原始指标数据来源。接下来利用主成分分析法对原始数据进行处理提取了主因子，最后根据提取的主因子进行了综合得分计算并且分析了实证结果。</w:t>
      </w:r>
      <w:r w:rsidR="00FC5304" w:rsidRPr="00FC5304">
        <w:rPr>
          <w:rFonts w:ascii="宋体" w:hAnsi="宋体" w:hint="eastAsia"/>
          <w:sz w:val="24"/>
          <w:szCs w:val="24"/>
        </w:rPr>
        <w:t>从综合绩效计算可以看出碳中和基金的绩效高于非碳中和基金。</w:t>
      </w:r>
      <w:r w:rsidR="00FC5304">
        <w:rPr>
          <w:rFonts w:ascii="宋体" w:hAnsi="宋体" w:hint="eastAsia"/>
          <w:sz w:val="24"/>
          <w:szCs w:val="24"/>
        </w:rPr>
        <w:t>并且</w:t>
      </w:r>
      <w:r w:rsidR="00FC5304" w:rsidRPr="00FC5304">
        <w:rPr>
          <w:rFonts w:ascii="宋体" w:hAnsi="宋体" w:hint="eastAsia"/>
          <w:sz w:val="24"/>
          <w:szCs w:val="24"/>
        </w:rPr>
        <w:t>得到结论基金持仓公司涉及碳中和行业，将会对其绩效有正向影响。</w:t>
      </w:r>
    </w:p>
    <w:p w14:paraId="62B21576" w14:textId="09D4EB3B" w:rsidR="00FC5304" w:rsidRDefault="00FC5304" w:rsidP="009274CD">
      <w:pPr>
        <w:spacing w:line="360" w:lineRule="auto"/>
        <w:ind w:firstLineChars="200" w:firstLine="480"/>
        <w:jc w:val="left"/>
        <w:rPr>
          <w:rFonts w:ascii="宋体" w:hAnsi="宋体"/>
          <w:sz w:val="24"/>
          <w:szCs w:val="24"/>
        </w:rPr>
      </w:pPr>
      <w:r>
        <w:rPr>
          <w:rFonts w:ascii="宋体" w:hAnsi="宋体" w:hint="eastAsia"/>
          <w:sz w:val="24"/>
          <w:szCs w:val="24"/>
        </w:rPr>
        <w:t>第4章是</w:t>
      </w:r>
      <w:r w:rsidRPr="00FC5304">
        <w:rPr>
          <w:rFonts w:ascii="宋体" w:hAnsi="宋体" w:hint="eastAsia"/>
          <w:sz w:val="24"/>
          <w:szCs w:val="24"/>
        </w:rPr>
        <w:t>对前文第</w:t>
      </w:r>
      <w:r>
        <w:rPr>
          <w:rFonts w:ascii="宋体" w:hAnsi="宋体" w:hint="eastAsia"/>
          <w:sz w:val="24"/>
          <w:szCs w:val="24"/>
        </w:rPr>
        <w:t>3</w:t>
      </w:r>
      <w:r w:rsidRPr="00FC5304">
        <w:rPr>
          <w:rFonts w:ascii="宋体" w:hAnsi="宋体" w:hint="eastAsia"/>
          <w:sz w:val="24"/>
          <w:szCs w:val="24"/>
        </w:rPr>
        <w:t>章构造的综合绩效评价指标进行合理性论证及实证检验，本章对样本基金</w:t>
      </w:r>
      <w:r>
        <w:rPr>
          <w:rFonts w:ascii="宋体" w:hAnsi="宋体" w:hint="eastAsia"/>
          <w:sz w:val="24"/>
          <w:szCs w:val="24"/>
        </w:rPr>
        <w:t>数据</w:t>
      </w:r>
      <w:r w:rsidRPr="00FC5304">
        <w:rPr>
          <w:rFonts w:ascii="宋体" w:hAnsi="宋体" w:hint="eastAsia"/>
          <w:sz w:val="24"/>
          <w:szCs w:val="24"/>
        </w:rPr>
        <w:t>进行了逻辑回归分析，探究不同类型基金绩效与收益表现优劣的原因以及验证本文设计的ESG因子对基金综合绩效的影响强弱。不同基金绩效表现的差异由三种基金本身的特性决定。</w:t>
      </w:r>
      <w:r w:rsidR="00677ED8">
        <w:rPr>
          <w:rFonts w:ascii="宋体" w:hAnsi="宋体" w:hint="eastAsia"/>
          <w:sz w:val="24"/>
          <w:szCs w:val="24"/>
        </w:rPr>
        <w:t>得到结论</w:t>
      </w:r>
      <w:r w:rsidR="00677ED8" w:rsidRPr="00677ED8">
        <w:rPr>
          <w:rFonts w:ascii="宋体" w:hAnsi="宋体" w:hint="eastAsia"/>
          <w:sz w:val="24"/>
          <w:szCs w:val="24"/>
        </w:rPr>
        <w:t>基金获得超额收益是因为其承担了较大的非系统风险，符合风险收益匹配关系</w:t>
      </w:r>
      <w:r w:rsidR="00677ED8">
        <w:rPr>
          <w:rFonts w:ascii="宋体" w:hAnsi="宋体" w:hint="eastAsia"/>
          <w:sz w:val="24"/>
          <w:szCs w:val="24"/>
        </w:rPr>
        <w:t>；若</w:t>
      </w:r>
      <w:r w:rsidR="00677ED8" w:rsidRPr="00677ED8">
        <w:rPr>
          <w:rFonts w:ascii="宋体" w:hAnsi="宋体" w:hint="eastAsia"/>
          <w:sz w:val="24"/>
          <w:szCs w:val="24"/>
        </w:rPr>
        <w:t>基金为碳中和概念基金，其年化收益率超过沪深300的可能性比非碳中和概念基金增加</w:t>
      </w:r>
      <w:r w:rsidR="00677ED8">
        <w:rPr>
          <w:rFonts w:ascii="宋体" w:hAnsi="宋体" w:hint="eastAsia"/>
          <w:sz w:val="24"/>
          <w:szCs w:val="24"/>
        </w:rPr>
        <w:t>；</w:t>
      </w:r>
      <w:r w:rsidR="00677ED8" w:rsidRPr="00677ED8">
        <w:rPr>
          <w:rFonts w:ascii="宋体" w:hAnsi="宋体" w:hint="eastAsia"/>
          <w:sz w:val="24"/>
          <w:szCs w:val="24"/>
        </w:rPr>
        <w:t>对比基金规模与基金成立年限两个基金结构指标，基金成立年限对基金获得超额收益的正向影响大于基金规模</w:t>
      </w:r>
      <w:r w:rsidR="00677ED8">
        <w:rPr>
          <w:rFonts w:ascii="宋体" w:hAnsi="宋体" w:hint="eastAsia"/>
          <w:sz w:val="24"/>
          <w:szCs w:val="24"/>
        </w:rPr>
        <w:t>；最后，在ESG系列指标中，</w:t>
      </w:r>
      <w:r w:rsidR="00677ED8" w:rsidRPr="00677ED8">
        <w:rPr>
          <w:rFonts w:ascii="宋体" w:hAnsi="宋体" w:hint="eastAsia"/>
          <w:sz w:val="24"/>
          <w:szCs w:val="24"/>
        </w:rPr>
        <w:t>基金E环境评分指标对基金综合绩效正向影响程度最大</w:t>
      </w:r>
      <w:r w:rsidR="00677ED8">
        <w:rPr>
          <w:rFonts w:ascii="宋体" w:hAnsi="宋体" w:hint="eastAsia"/>
          <w:sz w:val="24"/>
          <w:szCs w:val="24"/>
        </w:rPr>
        <w:t>。同事，此章通过改变模型与替换变量方式对本文实证模型进行了稳健性检验，结果说明本文使用的模型是稳健的。</w:t>
      </w:r>
    </w:p>
    <w:p w14:paraId="4850F0CD" w14:textId="0818B63D" w:rsidR="00677ED8" w:rsidRDefault="00677ED8" w:rsidP="009274CD">
      <w:pPr>
        <w:spacing w:line="360" w:lineRule="auto"/>
        <w:ind w:firstLineChars="200" w:firstLine="480"/>
        <w:jc w:val="left"/>
        <w:rPr>
          <w:rFonts w:ascii="宋体" w:hAnsi="宋体"/>
          <w:sz w:val="24"/>
          <w:szCs w:val="24"/>
        </w:rPr>
      </w:pPr>
      <w:r>
        <w:rPr>
          <w:rFonts w:ascii="宋体" w:hAnsi="宋体" w:hint="eastAsia"/>
          <w:sz w:val="24"/>
          <w:szCs w:val="24"/>
        </w:rPr>
        <w:t>第5章是研究结论与建议。本章总结了前文的实证结果与结论，从个人投资者、基金管理公司、监管机构三个角度提出了建议。</w:t>
      </w:r>
      <w:r w:rsidR="0047608F">
        <w:rPr>
          <w:rFonts w:ascii="宋体" w:hAnsi="宋体" w:hint="eastAsia"/>
          <w:sz w:val="24"/>
          <w:szCs w:val="24"/>
        </w:rPr>
        <w:t>希望各方</w:t>
      </w:r>
      <w:r w:rsidR="0047608F" w:rsidRPr="0047608F">
        <w:rPr>
          <w:rFonts w:ascii="宋体" w:hAnsi="宋体" w:hint="eastAsia"/>
          <w:sz w:val="24"/>
          <w:szCs w:val="24"/>
        </w:rPr>
        <w:t>逐步将ESG环境、社会责任、公司治理纳入</w:t>
      </w:r>
      <w:r w:rsidR="0047608F">
        <w:rPr>
          <w:rFonts w:ascii="宋体" w:hAnsi="宋体" w:hint="eastAsia"/>
          <w:sz w:val="24"/>
          <w:szCs w:val="24"/>
        </w:rPr>
        <w:t>投资决策</w:t>
      </w:r>
      <w:r w:rsidR="0047608F" w:rsidRPr="0047608F">
        <w:rPr>
          <w:rFonts w:ascii="宋体" w:hAnsi="宋体" w:hint="eastAsia"/>
          <w:sz w:val="24"/>
          <w:szCs w:val="24"/>
        </w:rPr>
        <w:t>框架，完善相关方面的法律法规，这对资本市场的正向循环与健康流动具有重要意义。</w:t>
      </w:r>
    </w:p>
    <w:p w14:paraId="3713FDF4" w14:textId="15025189" w:rsidR="0047608F" w:rsidRDefault="0047608F" w:rsidP="009274CD">
      <w:pPr>
        <w:spacing w:line="360" w:lineRule="auto"/>
        <w:ind w:firstLineChars="200" w:firstLine="480"/>
        <w:jc w:val="left"/>
        <w:rPr>
          <w:rFonts w:ascii="宋体" w:hAnsi="宋体"/>
          <w:sz w:val="24"/>
          <w:szCs w:val="24"/>
        </w:rPr>
      </w:pPr>
    </w:p>
    <w:p w14:paraId="14FEAAB9" w14:textId="3F5B1386" w:rsidR="0047608F" w:rsidRDefault="0047608F" w:rsidP="009274CD">
      <w:pPr>
        <w:spacing w:line="360" w:lineRule="auto"/>
        <w:ind w:firstLineChars="200" w:firstLine="480"/>
        <w:jc w:val="left"/>
        <w:rPr>
          <w:rFonts w:ascii="宋体" w:hAnsi="宋体"/>
          <w:sz w:val="24"/>
          <w:szCs w:val="24"/>
        </w:rPr>
      </w:pPr>
    </w:p>
    <w:p w14:paraId="212091ED" w14:textId="77777777" w:rsidR="0047608F" w:rsidRDefault="0047608F" w:rsidP="00B65820">
      <w:pPr>
        <w:spacing w:line="360" w:lineRule="auto"/>
        <w:jc w:val="left"/>
        <w:rPr>
          <w:rFonts w:ascii="宋体" w:hAnsi="宋体"/>
          <w:sz w:val="24"/>
          <w:szCs w:val="24"/>
        </w:rPr>
      </w:pPr>
    </w:p>
    <w:p w14:paraId="54A6C69A" w14:textId="680AB833" w:rsidR="00E43765" w:rsidRPr="00340D1E" w:rsidRDefault="00E43765" w:rsidP="00340D1E">
      <w:pPr>
        <w:pStyle w:val="11"/>
      </w:pPr>
      <w:bookmarkStart w:id="18" w:name="_Toc105023900"/>
      <w:r w:rsidRPr="00340D1E">
        <w:lastRenderedPageBreak/>
        <w:t>2</w:t>
      </w:r>
      <w:r w:rsidRPr="00340D1E">
        <w:rPr>
          <w:rFonts w:hint="eastAsia"/>
        </w:rPr>
        <w:t>文献综述</w:t>
      </w:r>
      <w:bookmarkEnd w:id="18"/>
    </w:p>
    <w:p w14:paraId="1D1DE7C6" w14:textId="5E1A5B71" w:rsidR="00E43765" w:rsidRDefault="00E43765" w:rsidP="001B02B5">
      <w:pPr>
        <w:pStyle w:val="21"/>
        <w:rPr>
          <w:rFonts w:ascii="楷体_GB2312" w:eastAsia="楷体_GB2312" w:hAnsi="宋体"/>
          <w:color w:val="FF0000"/>
        </w:rPr>
      </w:pPr>
      <w:bookmarkStart w:id="19" w:name="_Toc105023901"/>
      <w:r>
        <w:t>2.1</w:t>
      </w:r>
      <w:r>
        <w:rPr>
          <w:rFonts w:hint="eastAsia"/>
        </w:rPr>
        <w:t>碳中和相关概念文献综述</w:t>
      </w:r>
      <w:bookmarkEnd w:id="19"/>
    </w:p>
    <w:p w14:paraId="4FCD3AE4" w14:textId="0FDCEF35" w:rsidR="00684029" w:rsidRPr="001D59A3" w:rsidRDefault="00684029" w:rsidP="001B02B5">
      <w:pPr>
        <w:pStyle w:val="4"/>
        <w:rPr>
          <w:rFonts w:ascii="楷体_GB2312" w:eastAsia="楷体_GB2312" w:hAnsi="宋体"/>
          <w:color w:val="FF0000"/>
        </w:rPr>
      </w:pPr>
      <w:bookmarkStart w:id="20" w:name="_Toc105023902"/>
      <w:r>
        <w:t>2</w:t>
      </w:r>
      <w:r w:rsidRPr="001D59A3">
        <w:t>.1.</w:t>
      </w:r>
      <w:r>
        <w:t>1</w:t>
      </w:r>
      <w:r>
        <w:rPr>
          <w:rFonts w:hint="eastAsia"/>
        </w:rPr>
        <w:t>碳中和基本概念</w:t>
      </w:r>
      <w:bookmarkStart w:id="21" w:name="_Hlk103566942"/>
      <w:bookmarkStart w:id="22" w:name="_Hlk103563113"/>
      <w:bookmarkStart w:id="23" w:name="_Hlk103563098"/>
      <w:bookmarkEnd w:id="20"/>
    </w:p>
    <w:bookmarkEnd w:id="21"/>
    <w:p w14:paraId="7F9E4FD2" w14:textId="11EE01B1" w:rsidR="00FF70C2" w:rsidRDefault="00FF70C2" w:rsidP="00FF70C2">
      <w:pPr>
        <w:spacing w:line="360" w:lineRule="auto"/>
        <w:ind w:firstLineChars="200" w:firstLine="480"/>
        <w:rPr>
          <w:rFonts w:ascii="宋体" w:hAnsi="宋体"/>
          <w:sz w:val="24"/>
          <w:szCs w:val="24"/>
        </w:rPr>
      </w:pPr>
      <w:r>
        <w:rPr>
          <w:rFonts w:ascii="宋体" w:hAnsi="宋体" w:hint="eastAsia"/>
          <w:sz w:val="24"/>
          <w:szCs w:val="24"/>
        </w:rPr>
        <w:t>刘仁厚（2</w:t>
      </w:r>
      <w:r>
        <w:rPr>
          <w:rFonts w:ascii="宋体" w:hAnsi="宋体"/>
          <w:sz w:val="24"/>
          <w:szCs w:val="24"/>
        </w:rPr>
        <w:t>022</w:t>
      </w:r>
      <w:r>
        <w:rPr>
          <w:rFonts w:ascii="宋体" w:hAnsi="宋体" w:hint="eastAsia"/>
          <w:sz w:val="24"/>
          <w:szCs w:val="24"/>
        </w:rPr>
        <w:t>）提出从国家政策看，</w:t>
      </w:r>
      <w:r w:rsidRPr="00FF70C2">
        <w:rPr>
          <w:rFonts w:ascii="宋体" w:hAnsi="宋体" w:hint="eastAsia"/>
          <w:sz w:val="24"/>
          <w:szCs w:val="24"/>
        </w:rPr>
        <w:t>2021 年是“十四五”开局之年，也是碳达峰的关键期和窗口期，对于如何实现碳达</w:t>
      </w:r>
      <w:bookmarkEnd w:id="22"/>
      <w:r w:rsidRPr="00FF70C2">
        <w:rPr>
          <w:rFonts w:ascii="宋体" w:hAnsi="宋体" w:hint="eastAsia"/>
          <w:sz w:val="24"/>
          <w:szCs w:val="24"/>
        </w:rPr>
        <w:t>峰、碳中和</w:t>
      </w:r>
      <w:bookmarkEnd w:id="23"/>
      <w:r w:rsidRPr="00FF70C2">
        <w:rPr>
          <w:rFonts w:ascii="宋体" w:hAnsi="宋体" w:hint="eastAsia"/>
          <w:sz w:val="24"/>
          <w:szCs w:val="24"/>
        </w:rPr>
        <w:t>，国家陆续发布了《中共中央国务院关于完整准确全面贯彻新发展理念做好碳达峰碳中和工作的意见》《2030 年前碳达峰行动方案》等重要文件，“双碳”战略稳步推进，实现了良好开局。</w:t>
      </w:r>
      <w:r>
        <w:rPr>
          <w:rFonts w:ascii="宋体" w:hAnsi="宋体" w:hint="eastAsia"/>
          <w:sz w:val="24"/>
          <w:szCs w:val="24"/>
        </w:rPr>
        <w:t>需要</w:t>
      </w:r>
      <w:r w:rsidRPr="00FF70C2">
        <w:rPr>
          <w:rFonts w:ascii="宋体" w:hAnsi="宋体" w:hint="eastAsia"/>
          <w:sz w:val="24"/>
          <w:szCs w:val="24"/>
        </w:rPr>
        <w:t>从四个方面认识和把握碳达峰碳中和战略</w:t>
      </w:r>
      <w:r>
        <w:rPr>
          <w:rFonts w:ascii="宋体" w:hAnsi="宋体" w:hint="eastAsia"/>
          <w:sz w:val="24"/>
          <w:szCs w:val="24"/>
        </w:rPr>
        <w:t>。</w:t>
      </w:r>
      <w:r w:rsidRPr="00FF70C2">
        <w:rPr>
          <w:rFonts w:ascii="宋体" w:hAnsi="宋体" w:hint="eastAsia"/>
          <w:sz w:val="24"/>
          <w:szCs w:val="24"/>
        </w:rPr>
        <w:t>碳达峰碳中和是实现生态文明的必要路径。碳达峰碳中和是推动高质量发展的必要条件。碳达峰碳中和是统筹应对国际气候变化合作与竞争的必要措施。碳达峰碳中和是科技创新的必然体现。</w:t>
      </w:r>
    </w:p>
    <w:p w14:paraId="33440BDA" w14:textId="57554905" w:rsidR="00E94BA7" w:rsidRDefault="00684029" w:rsidP="00FF70C2">
      <w:pPr>
        <w:spacing w:line="360" w:lineRule="auto"/>
        <w:ind w:firstLineChars="200" w:firstLine="480"/>
        <w:rPr>
          <w:rFonts w:ascii="宋体" w:hAnsi="宋体"/>
          <w:sz w:val="24"/>
          <w:szCs w:val="24"/>
        </w:rPr>
      </w:pPr>
      <w:r>
        <w:rPr>
          <w:rFonts w:ascii="宋体" w:hAnsi="宋体" w:hint="eastAsia"/>
          <w:sz w:val="24"/>
          <w:szCs w:val="24"/>
        </w:rPr>
        <w:t>程嘉梵，丁字津等（2</w:t>
      </w:r>
      <w:r>
        <w:rPr>
          <w:rFonts w:ascii="宋体" w:hAnsi="宋体"/>
          <w:sz w:val="24"/>
          <w:szCs w:val="24"/>
        </w:rPr>
        <w:t>022</w:t>
      </w:r>
      <w:r>
        <w:rPr>
          <w:rFonts w:ascii="宋体" w:hAnsi="宋体" w:hint="eastAsia"/>
          <w:sz w:val="24"/>
          <w:szCs w:val="24"/>
        </w:rPr>
        <w:t>）研究了</w:t>
      </w:r>
      <w:r w:rsidRPr="00684029">
        <w:rPr>
          <w:rFonts w:ascii="宋体" w:hAnsi="宋体" w:hint="eastAsia"/>
          <w:sz w:val="24"/>
          <w:szCs w:val="24"/>
        </w:rPr>
        <w:t>碳中和的缘起、实现路径与关键科学问题</w:t>
      </w:r>
      <w:r w:rsidR="00FF70C2">
        <w:rPr>
          <w:rFonts w:ascii="宋体" w:hAnsi="宋体" w:hint="eastAsia"/>
          <w:sz w:val="24"/>
          <w:szCs w:val="24"/>
        </w:rPr>
        <w:t>。提出</w:t>
      </w:r>
      <w:r w:rsidR="00FF70C2" w:rsidRPr="00FF70C2">
        <w:rPr>
          <w:rFonts w:ascii="宋体" w:hAnsi="宋体" w:hint="eastAsia"/>
          <w:sz w:val="24"/>
          <w:szCs w:val="24"/>
        </w:rPr>
        <w:t>碳中和是我国应对气候变化的新目标，提出以来引起国内外广泛关注</w:t>
      </w:r>
      <w:r w:rsidR="00AA1423">
        <w:rPr>
          <w:rFonts w:ascii="宋体" w:hAnsi="宋体" w:hint="eastAsia"/>
          <w:sz w:val="24"/>
          <w:szCs w:val="24"/>
        </w:rPr>
        <w:t>。</w:t>
      </w:r>
      <w:r w:rsidR="00FF70C2" w:rsidRPr="00FF70C2">
        <w:rPr>
          <w:rFonts w:ascii="宋体" w:hAnsi="宋体" w:hint="eastAsia"/>
          <w:sz w:val="24"/>
          <w:szCs w:val="24"/>
        </w:rPr>
        <w:t>简要梳理</w:t>
      </w:r>
      <w:r w:rsidR="00AA1423">
        <w:rPr>
          <w:rFonts w:ascii="宋体" w:hAnsi="宋体" w:hint="eastAsia"/>
          <w:sz w:val="24"/>
          <w:szCs w:val="24"/>
        </w:rPr>
        <w:t>了</w:t>
      </w:r>
      <w:r w:rsidR="00FF70C2" w:rsidRPr="00FF70C2">
        <w:rPr>
          <w:rFonts w:ascii="宋体" w:hAnsi="宋体" w:hint="eastAsia"/>
          <w:sz w:val="24"/>
          <w:szCs w:val="24"/>
        </w:rPr>
        <w:t>碳中和提出的气候变化和温控目标缘起，归纳碳中和实现的碳源、碳汇的多元路径，强调从碳源的需求侧推动可持续城市化对于碳中和目标实现的重要作用，并且可能是成本低、潜力大、更直接有效的方案途径。提出适应与减缓气候变化下碳中和与可持续城市化研究领域8个方面的科学问题</w:t>
      </w:r>
      <w:r w:rsidR="00AA1423">
        <w:rPr>
          <w:rFonts w:ascii="宋体" w:hAnsi="宋体" w:hint="eastAsia"/>
          <w:sz w:val="24"/>
          <w:szCs w:val="24"/>
        </w:rPr>
        <w:t>，包括</w:t>
      </w:r>
      <w:r w:rsidR="00FF70C2" w:rsidRPr="00FF70C2">
        <w:rPr>
          <w:rFonts w:ascii="宋体" w:hAnsi="宋体" w:hint="eastAsia"/>
          <w:sz w:val="24"/>
          <w:szCs w:val="24"/>
        </w:rPr>
        <w:t>绿色生活方式与低碳社会、绿色生产方式与低碳经济、能源结构优化、风险与不确定性和碳中和长效机制的治理创新等，以及该领域当前研究面临的机遇和挑战</w:t>
      </w:r>
      <w:r w:rsidR="00AA1423">
        <w:rPr>
          <w:rFonts w:ascii="宋体" w:hAnsi="宋体" w:hint="eastAsia"/>
          <w:sz w:val="24"/>
          <w:szCs w:val="24"/>
        </w:rPr>
        <w:t>等</w:t>
      </w:r>
    </w:p>
    <w:p w14:paraId="641DA8B5" w14:textId="2C5DFD77" w:rsidR="0093225D" w:rsidRPr="001D59A3" w:rsidRDefault="0093225D" w:rsidP="001B02B5">
      <w:pPr>
        <w:pStyle w:val="4"/>
        <w:rPr>
          <w:rFonts w:ascii="楷体_GB2312" w:eastAsia="楷体_GB2312" w:hAnsi="宋体"/>
          <w:color w:val="FF0000"/>
        </w:rPr>
      </w:pPr>
      <w:bookmarkStart w:id="24" w:name="_Toc105023903"/>
      <w:r>
        <w:t>2</w:t>
      </w:r>
      <w:r w:rsidRPr="001D59A3">
        <w:t>.1.</w:t>
      </w:r>
      <w:r>
        <w:t>2</w:t>
      </w:r>
      <w:r>
        <w:rPr>
          <w:rFonts w:hint="eastAsia"/>
        </w:rPr>
        <w:t>碳中和投资布局</w:t>
      </w:r>
      <w:bookmarkEnd w:id="24"/>
    </w:p>
    <w:p w14:paraId="62CEA4B3" w14:textId="27D95300" w:rsidR="0093225D" w:rsidRDefault="0093225D" w:rsidP="00D7785A">
      <w:pPr>
        <w:spacing w:line="360" w:lineRule="auto"/>
        <w:ind w:firstLineChars="200" w:firstLine="480"/>
        <w:rPr>
          <w:rFonts w:ascii="宋体" w:hAnsi="宋体"/>
          <w:sz w:val="24"/>
          <w:szCs w:val="24"/>
        </w:rPr>
      </w:pPr>
      <w:r w:rsidRPr="0093225D">
        <w:rPr>
          <w:rFonts w:ascii="宋体" w:hAnsi="宋体" w:hint="eastAsia"/>
          <w:sz w:val="24"/>
          <w:szCs w:val="24"/>
        </w:rPr>
        <w:t>徐枫,王帅斌,汪亚楠</w:t>
      </w:r>
      <w:r>
        <w:rPr>
          <w:rFonts w:ascii="宋体" w:hAnsi="宋体" w:hint="eastAsia"/>
          <w:sz w:val="24"/>
          <w:szCs w:val="24"/>
        </w:rPr>
        <w:t>（2</w:t>
      </w:r>
      <w:r>
        <w:rPr>
          <w:rFonts w:ascii="宋体" w:hAnsi="宋体"/>
          <w:sz w:val="24"/>
          <w:szCs w:val="24"/>
        </w:rPr>
        <w:t>022</w:t>
      </w:r>
      <w:r>
        <w:rPr>
          <w:rFonts w:ascii="宋体" w:hAnsi="宋体" w:hint="eastAsia"/>
          <w:sz w:val="24"/>
          <w:szCs w:val="24"/>
        </w:rPr>
        <w:t>）</w:t>
      </w:r>
      <w:r w:rsidR="00D7785A">
        <w:rPr>
          <w:rFonts w:ascii="宋体" w:hAnsi="宋体" w:hint="eastAsia"/>
          <w:sz w:val="24"/>
          <w:szCs w:val="24"/>
        </w:rPr>
        <w:t>提出</w:t>
      </w:r>
      <w:r w:rsidRPr="0093225D">
        <w:rPr>
          <w:rFonts w:ascii="宋体" w:hAnsi="宋体" w:hint="eastAsia"/>
          <w:sz w:val="24"/>
          <w:szCs w:val="24"/>
        </w:rPr>
        <w:t>“政府+市场”耦合机制下的财政金融政策协同是推进碳中和目标的必然抉择</w:t>
      </w:r>
      <w:r>
        <w:rPr>
          <w:rFonts w:ascii="宋体" w:hAnsi="宋体" w:hint="eastAsia"/>
          <w:sz w:val="24"/>
          <w:szCs w:val="24"/>
        </w:rPr>
        <w:t>。</w:t>
      </w:r>
      <w:r w:rsidR="00D7785A">
        <w:rPr>
          <w:rFonts w:ascii="宋体" w:hAnsi="宋体" w:hint="eastAsia"/>
          <w:sz w:val="24"/>
          <w:szCs w:val="24"/>
        </w:rPr>
        <w:t>分析了</w:t>
      </w:r>
      <w:r w:rsidR="00D7785A" w:rsidRPr="00D7785A">
        <w:rPr>
          <w:rFonts w:ascii="宋体" w:hAnsi="宋体" w:hint="eastAsia"/>
          <w:sz w:val="24"/>
          <w:szCs w:val="24"/>
        </w:rPr>
        <w:t>财政金融政策与碳中和目标实现的内在关联</w:t>
      </w:r>
      <w:r w:rsidR="00D7785A">
        <w:rPr>
          <w:rFonts w:ascii="宋体" w:hAnsi="宋体" w:hint="eastAsia"/>
          <w:sz w:val="24"/>
          <w:szCs w:val="24"/>
        </w:rPr>
        <w:t>。聚焦</w:t>
      </w:r>
      <w:r w:rsidR="00D7785A" w:rsidRPr="00D7785A">
        <w:rPr>
          <w:rFonts w:ascii="宋体" w:hAnsi="宋体" w:hint="eastAsia"/>
          <w:sz w:val="24"/>
          <w:szCs w:val="24"/>
        </w:rPr>
        <w:t>政策工具研究，探究实现产业结构调整、能源结构重构以及发展自然碳汇等推动碳中和实现路径的政策支持方案。并通过对 2008—2016 年中央和地方财政对可再生能源的投入进行数据分析，发现大量财政资金的投入促进了清洁能源产业的快速增长，刺激绿色经济发展。</w:t>
      </w:r>
    </w:p>
    <w:p w14:paraId="1C99E603" w14:textId="2D795A3D" w:rsidR="009F4D2F" w:rsidRDefault="009F4D2F" w:rsidP="001B02B5">
      <w:pPr>
        <w:pStyle w:val="21"/>
        <w:rPr>
          <w:rFonts w:ascii="楷体_GB2312" w:eastAsia="楷体_GB2312" w:hAnsi="宋体"/>
          <w:color w:val="FF0000"/>
        </w:rPr>
      </w:pPr>
      <w:bookmarkStart w:id="25" w:name="_Toc105023904"/>
      <w:r>
        <w:lastRenderedPageBreak/>
        <w:t>2.2</w:t>
      </w:r>
      <w:r>
        <w:rPr>
          <w:rFonts w:hint="eastAsia"/>
        </w:rPr>
        <w:t>ESG</w:t>
      </w:r>
      <w:r>
        <w:rPr>
          <w:rFonts w:hint="eastAsia"/>
        </w:rPr>
        <w:t>投资相关概念文献综述</w:t>
      </w:r>
      <w:bookmarkEnd w:id="25"/>
    </w:p>
    <w:p w14:paraId="5719BC0F" w14:textId="499E0EAE" w:rsidR="009F4D2F" w:rsidRPr="001D59A3" w:rsidRDefault="009F4D2F" w:rsidP="001B02B5">
      <w:pPr>
        <w:pStyle w:val="4"/>
        <w:rPr>
          <w:rFonts w:ascii="楷体_GB2312" w:eastAsia="楷体_GB2312" w:hAnsi="宋体"/>
          <w:color w:val="FF0000"/>
        </w:rPr>
      </w:pPr>
      <w:bookmarkStart w:id="26" w:name="_Toc105023905"/>
      <w:r>
        <w:t>2</w:t>
      </w:r>
      <w:r w:rsidRPr="001D59A3">
        <w:t>.</w:t>
      </w:r>
      <w:r>
        <w:t>2</w:t>
      </w:r>
      <w:r w:rsidRPr="001D59A3">
        <w:t>.</w:t>
      </w:r>
      <w:r>
        <w:t>1</w:t>
      </w:r>
      <w:r>
        <w:rPr>
          <w:rFonts w:hint="eastAsia"/>
        </w:rPr>
        <w:t>ESG投资起源</w:t>
      </w:r>
      <w:bookmarkStart w:id="27" w:name="_Hlk103563892"/>
      <w:bookmarkStart w:id="28" w:name="_Hlk103563459"/>
      <w:bookmarkEnd w:id="26"/>
    </w:p>
    <w:bookmarkEnd w:id="27"/>
    <w:p w14:paraId="5D463EE8" w14:textId="65E23890" w:rsidR="009F4D2F" w:rsidRDefault="009F4D2F" w:rsidP="00510CC3">
      <w:pPr>
        <w:spacing w:line="360" w:lineRule="auto"/>
        <w:ind w:firstLineChars="200" w:firstLine="480"/>
        <w:rPr>
          <w:rFonts w:ascii="宋体" w:hAnsi="宋体"/>
          <w:sz w:val="24"/>
          <w:szCs w:val="24"/>
        </w:rPr>
      </w:pPr>
      <w:r w:rsidRPr="009F4D2F">
        <w:rPr>
          <w:rFonts w:ascii="宋体" w:hAnsi="宋体" w:hint="eastAsia"/>
          <w:sz w:val="24"/>
          <w:szCs w:val="24"/>
        </w:rPr>
        <w:t>ESG 理论</w:t>
      </w:r>
      <w:r w:rsidR="00352EB6">
        <w:rPr>
          <w:rFonts w:ascii="宋体" w:hAnsi="宋体" w:hint="eastAsia"/>
          <w:sz w:val="24"/>
          <w:szCs w:val="24"/>
        </w:rPr>
        <w:t>起源于</w:t>
      </w:r>
      <w:r w:rsidRPr="009F4D2F">
        <w:rPr>
          <w:rFonts w:ascii="宋体" w:hAnsi="宋体" w:hint="eastAsia"/>
          <w:sz w:val="24"/>
          <w:szCs w:val="24"/>
        </w:rPr>
        <w:t>现代公司治理理论，</w:t>
      </w:r>
      <w:r w:rsidR="00352EB6">
        <w:rPr>
          <w:rFonts w:ascii="宋体" w:hAnsi="宋体" w:hint="eastAsia"/>
          <w:sz w:val="24"/>
          <w:szCs w:val="24"/>
        </w:rPr>
        <w:t>说明了治理的最终目标是从环境、社会责任、公司治理三方面达到综合最优</w:t>
      </w:r>
      <w:r w:rsidRPr="009F4D2F">
        <w:rPr>
          <w:rFonts w:ascii="宋体" w:hAnsi="宋体" w:hint="eastAsia"/>
          <w:sz w:val="24"/>
          <w:szCs w:val="24"/>
        </w:rPr>
        <w:t>。Freeman(1984)提出的公司治理的分支理论是利益相关者管理理论，该理</w:t>
      </w:r>
      <w:bookmarkEnd w:id="28"/>
      <w:r w:rsidRPr="009F4D2F">
        <w:rPr>
          <w:rFonts w:ascii="宋体" w:hAnsi="宋体" w:hint="eastAsia"/>
          <w:sz w:val="24"/>
          <w:szCs w:val="24"/>
        </w:rPr>
        <w:t>论指出，</w:t>
      </w:r>
      <w:r w:rsidR="00352EB6">
        <w:rPr>
          <w:rFonts w:ascii="宋体" w:hAnsi="宋体" w:hint="eastAsia"/>
          <w:sz w:val="24"/>
          <w:szCs w:val="24"/>
        </w:rPr>
        <w:t>公司需要满足</w:t>
      </w:r>
      <w:bookmarkStart w:id="29" w:name="_Hlk104226635"/>
      <w:r w:rsidR="00352EB6">
        <w:rPr>
          <w:rFonts w:ascii="宋体" w:hAnsi="宋体" w:hint="eastAsia"/>
          <w:sz w:val="24"/>
          <w:szCs w:val="24"/>
        </w:rPr>
        <w:t>环境、</w:t>
      </w:r>
      <w:r w:rsidR="00510CC3">
        <w:rPr>
          <w:rFonts w:ascii="宋体" w:hAnsi="宋体" w:hint="eastAsia"/>
          <w:sz w:val="24"/>
          <w:szCs w:val="24"/>
        </w:rPr>
        <w:t>社会责任、公司治理等多方面</w:t>
      </w:r>
      <w:bookmarkEnd w:id="29"/>
      <w:r w:rsidR="00510CC3">
        <w:rPr>
          <w:rFonts w:ascii="宋体" w:hAnsi="宋体" w:hint="eastAsia"/>
          <w:sz w:val="24"/>
          <w:szCs w:val="24"/>
        </w:rPr>
        <w:t>需求才更有可能维持可持续发展</w:t>
      </w:r>
      <w:r w:rsidRPr="009F4D2F">
        <w:rPr>
          <w:rFonts w:ascii="宋体" w:hAnsi="宋体" w:hint="eastAsia"/>
          <w:sz w:val="24"/>
          <w:szCs w:val="24"/>
        </w:rPr>
        <w:t>。</w:t>
      </w:r>
      <w:r w:rsidR="00510CC3">
        <w:rPr>
          <w:rFonts w:ascii="宋体" w:hAnsi="宋体" w:hint="eastAsia"/>
          <w:sz w:val="24"/>
          <w:szCs w:val="24"/>
        </w:rPr>
        <w:t>片面追求其中单独一方的利益，都可能对公司造成负面影响</w:t>
      </w:r>
      <w:r w:rsidRPr="009F4D2F">
        <w:rPr>
          <w:rFonts w:ascii="宋体" w:hAnsi="宋体" w:hint="eastAsia"/>
          <w:sz w:val="24"/>
          <w:szCs w:val="24"/>
        </w:rPr>
        <w:t>。在</w:t>
      </w:r>
      <w:r w:rsidR="00510CC3">
        <w:rPr>
          <w:rFonts w:ascii="宋体" w:hAnsi="宋体" w:hint="eastAsia"/>
          <w:sz w:val="24"/>
          <w:szCs w:val="24"/>
        </w:rPr>
        <w:t>这种理论的</w:t>
      </w:r>
      <w:r w:rsidRPr="009F4D2F">
        <w:rPr>
          <w:rFonts w:ascii="宋体" w:hAnsi="宋体" w:hint="eastAsia"/>
          <w:sz w:val="24"/>
          <w:szCs w:val="24"/>
        </w:rPr>
        <w:t>基础上，</w:t>
      </w:r>
      <w:r w:rsidR="00510CC3">
        <w:rPr>
          <w:rFonts w:ascii="宋体" w:hAnsi="宋体" w:hint="eastAsia"/>
          <w:sz w:val="24"/>
          <w:szCs w:val="24"/>
        </w:rPr>
        <w:t>企业应当从</w:t>
      </w:r>
      <w:r w:rsidR="00510CC3" w:rsidRPr="00510CC3">
        <w:rPr>
          <w:rFonts w:ascii="宋体" w:hAnsi="宋体" w:hint="eastAsia"/>
          <w:sz w:val="24"/>
          <w:szCs w:val="24"/>
        </w:rPr>
        <w:t>环境、社会责任、公司治理等多方面</w:t>
      </w:r>
      <w:r w:rsidR="00510CC3">
        <w:rPr>
          <w:rFonts w:ascii="宋体" w:hAnsi="宋体" w:hint="eastAsia"/>
          <w:sz w:val="24"/>
          <w:szCs w:val="24"/>
        </w:rPr>
        <w:t>出发，切实考虑企业利益的长期发展。</w:t>
      </w:r>
    </w:p>
    <w:p w14:paraId="0BE40BC7" w14:textId="166CEF75" w:rsidR="00E43765" w:rsidRDefault="00510CC3" w:rsidP="009F4D2F">
      <w:pPr>
        <w:spacing w:line="360" w:lineRule="auto"/>
        <w:ind w:firstLineChars="200" w:firstLine="480"/>
        <w:rPr>
          <w:rFonts w:ascii="宋体" w:hAnsi="宋体"/>
          <w:sz w:val="24"/>
          <w:szCs w:val="24"/>
        </w:rPr>
      </w:pPr>
      <w:r>
        <w:rPr>
          <w:rFonts w:ascii="宋体" w:hAnsi="宋体" w:hint="eastAsia"/>
          <w:sz w:val="24"/>
          <w:szCs w:val="24"/>
        </w:rPr>
        <w:t>过往的投资研究中一般重视的是企业短期或者中期内的财务绩效，但是随着社会发展与ESG相关政策推进，研究者发现财务绩效难以准确评估企业的整体绩效</w:t>
      </w:r>
      <w:r w:rsidR="009F4D2F" w:rsidRPr="009F4D2F">
        <w:rPr>
          <w:rFonts w:ascii="宋体" w:hAnsi="宋体" w:hint="eastAsia"/>
          <w:sz w:val="24"/>
          <w:szCs w:val="24"/>
        </w:rPr>
        <w:t>。Jo 等（2015）研究 29 个国家环境数据，</w:t>
      </w:r>
      <w:r w:rsidR="00D019A2">
        <w:rPr>
          <w:rFonts w:ascii="宋体" w:hAnsi="宋体" w:hint="eastAsia"/>
          <w:sz w:val="24"/>
          <w:szCs w:val="24"/>
        </w:rPr>
        <w:t>得到结论企业更多的遵从ESG投资理念可以降低企业生产过程中产生的环境成本，</w:t>
      </w:r>
      <w:r w:rsidR="009F4D2F" w:rsidRPr="009F4D2F">
        <w:rPr>
          <w:rFonts w:ascii="宋体" w:hAnsi="宋体" w:hint="eastAsia"/>
          <w:sz w:val="24"/>
          <w:szCs w:val="24"/>
        </w:rPr>
        <w:t>进而提升资产收益率。</w:t>
      </w:r>
    </w:p>
    <w:p w14:paraId="1AAF712C" w14:textId="28DBEF97" w:rsidR="00B67485" w:rsidRDefault="00B67485" w:rsidP="001B02B5">
      <w:pPr>
        <w:pStyle w:val="4"/>
        <w:rPr>
          <w:rFonts w:ascii="楷体_GB2312" w:eastAsia="楷体_GB2312" w:hAnsi="宋体"/>
          <w:color w:val="FF0000"/>
        </w:rPr>
      </w:pPr>
      <w:bookmarkStart w:id="30" w:name="_Toc105023906"/>
      <w:r>
        <w:t>2</w:t>
      </w:r>
      <w:r w:rsidRPr="001D59A3">
        <w:t>.</w:t>
      </w:r>
      <w:r>
        <w:t>2</w:t>
      </w:r>
      <w:r w:rsidRPr="001D59A3">
        <w:t>.</w:t>
      </w:r>
      <w:r w:rsidR="00E13971">
        <w:t>2</w:t>
      </w:r>
      <w:r>
        <w:rPr>
          <w:rFonts w:hint="eastAsia"/>
        </w:rPr>
        <w:t>ESG三大指标绩效研究</w:t>
      </w:r>
      <w:bookmarkEnd w:id="30"/>
    </w:p>
    <w:p w14:paraId="29395AC2" w14:textId="7282B039" w:rsidR="00B67485" w:rsidRPr="00B67485" w:rsidRDefault="00B67485" w:rsidP="00B67485">
      <w:pPr>
        <w:spacing w:beforeLines="50" w:before="156" w:afterLines="50" w:after="156"/>
        <w:ind w:firstLineChars="200" w:firstLine="480"/>
        <w:rPr>
          <w:rFonts w:ascii="楷体_GB2312" w:eastAsia="楷体_GB2312" w:hAnsi="宋体"/>
          <w:color w:val="FF0000"/>
        </w:rPr>
      </w:pPr>
      <w:r w:rsidRPr="00B67485">
        <w:rPr>
          <w:rFonts w:ascii="宋体" w:hAnsi="宋体" w:hint="eastAsia"/>
          <w:sz w:val="24"/>
          <w:szCs w:val="24"/>
        </w:rPr>
        <w:t xml:space="preserve">（1）环境指标 </w:t>
      </w:r>
    </w:p>
    <w:p w14:paraId="5304FC7E" w14:textId="5CB6DBFE" w:rsidR="00B67485" w:rsidRPr="00B67485" w:rsidRDefault="00B67485" w:rsidP="005E5C4C">
      <w:pPr>
        <w:spacing w:line="360" w:lineRule="auto"/>
        <w:ind w:firstLineChars="200" w:firstLine="480"/>
        <w:rPr>
          <w:rFonts w:ascii="宋体" w:hAnsi="宋体"/>
          <w:sz w:val="24"/>
          <w:szCs w:val="24"/>
        </w:rPr>
      </w:pPr>
      <w:r w:rsidRPr="00B67485">
        <w:rPr>
          <w:rFonts w:ascii="宋体" w:hAnsi="宋体" w:hint="eastAsia"/>
          <w:sz w:val="24"/>
          <w:szCs w:val="24"/>
        </w:rPr>
        <w:t>Theyel（2010）</w:t>
      </w:r>
      <w:r w:rsidR="00FA37C4">
        <w:rPr>
          <w:rFonts w:ascii="宋体" w:hAnsi="宋体" w:hint="eastAsia"/>
          <w:sz w:val="24"/>
          <w:szCs w:val="24"/>
        </w:rPr>
        <w:t>通过研究得到结论，在环境创新与和环境绩效方面，</w:t>
      </w:r>
      <w:r w:rsidRPr="00B67485">
        <w:rPr>
          <w:rFonts w:ascii="宋体" w:hAnsi="宋体" w:hint="eastAsia"/>
          <w:sz w:val="24"/>
          <w:szCs w:val="24"/>
        </w:rPr>
        <w:t>环境管理因素（如</w:t>
      </w:r>
      <w:r w:rsidR="00FA37C4">
        <w:rPr>
          <w:rFonts w:ascii="宋体" w:hAnsi="宋体" w:hint="eastAsia"/>
          <w:sz w:val="24"/>
          <w:szCs w:val="24"/>
        </w:rPr>
        <w:t>科研开发</w:t>
      </w:r>
      <w:r w:rsidRPr="00B67485">
        <w:rPr>
          <w:rFonts w:ascii="宋体" w:hAnsi="宋体" w:hint="eastAsia"/>
          <w:sz w:val="24"/>
          <w:szCs w:val="24"/>
        </w:rPr>
        <w:t>、</w:t>
      </w:r>
      <w:r w:rsidR="00FA37C4">
        <w:rPr>
          <w:rFonts w:ascii="宋体" w:hAnsi="宋体" w:hint="eastAsia"/>
          <w:sz w:val="24"/>
          <w:szCs w:val="24"/>
        </w:rPr>
        <w:t>职工参与度</w:t>
      </w:r>
      <w:r w:rsidRPr="00B67485">
        <w:rPr>
          <w:rFonts w:ascii="宋体" w:hAnsi="宋体" w:hint="eastAsia"/>
          <w:sz w:val="24"/>
          <w:szCs w:val="24"/>
        </w:rPr>
        <w:t>、</w:t>
      </w:r>
      <w:r w:rsidR="00FA37C4">
        <w:rPr>
          <w:rFonts w:ascii="宋体" w:hAnsi="宋体" w:hint="eastAsia"/>
          <w:sz w:val="24"/>
          <w:szCs w:val="24"/>
        </w:rPr>
        <w:t>全线</w:t>
      </w:r>
      <w:r w:rsidRPr="00B67485">
        <w:rPr>
          <w:rFonts w:ascii="宋体" w:hAnsi="宋体" w:hint="eastAsia"/>
          <w:sz w:val="24"/>
          <w:szCs w:val="24"/>
        </w:rPr>
        <w:t>质量管理、</w:t>
      </w:r>
      <w:r w:rsidR="00FA37C4">
        <w:rPr>
          <w:rFonts w:ascii="宋体" w:hAnsi="宋体" w:hint="eastAsia"/>
          <w:sz w:val="24"/>
          <w:szCs w:val="24"/>
        </w:rPr>
        <w:t>采购商</w:t>
      </w:r>
      <w:r w:rsidRPr="00B67485">
        <w:rPr>
          <w:rFonts w:ascii="宋体" w:hAnsi="宋体" w:hint="eastAsia"/>
          <w:sz w:val="24"/>
          <w:szCs w:val="24"/>
        </w:rPr>
        <w:t>供应商认证</w:t>
      </w:r>
      <w:r w:rsidR="00FA37C4">
        <w:rPr>
          <w:rFonts w:ascii="宋体" w:hAnsi="宋体" w:hint="eastAsia"/>
          <w:sz w:val="24"/>
          <w:szCs w:val="24"/>
        </w:rPr>
        <w:t>、发展与培训</w:t>
      </w:r>
      <w:r w:rsidRPr="00B67485">
        <w:rPr>
          <w:rFonts w:ascii="宋体" w:hAnsi="宋体" w:hint="eastAsia"/>
          <w:sz w:val="24"/>
          <w:szCs w:val="24"/>
        </w:rPr>
        <w:t>等）可以</w:t>
      </w:r>
      <w:r w:rsidR="00FA37C4">
        <w:rPr>
          <w:rFonts w:ascii="宋体" w:hAnsi="宋体" w:hint="eastAsia"/>
          <w:sz w:val="24"/>
          <w:szCs w:val="24"/>
        </w:rPr>
        <w:t>显著</w:t>
      </w:r>
      <w:r w:rsidR="00910A19">
        <w:rPr>
          <w:rFonts w:ascii="宋体" w:hAnsi="宋体" w:hint="eastAsia"/>
          <w:sz w:val="24"/>
          <w:szCs w:val="24"/>
        </w:rPr>
        <w:t>提高</w:t>
      </w:r>
      <w:r w:rsidR="00FA37C4">
        <w:rPr>
          <w:rFonts w:ascii="宋体" w:hAnsi="宋体" w:hint="eastAsia"/>
          <w:sz w:val="24"/>
          <w:szCs w:val="24"/>
        </w:rPr>
        <w:t>相关</w:t>
      </w:r>
      <w:r w:rsidRPr="00B67485">
        <w:rPr>
          <w:rFonts w:ascii="宋体" w:hAnsi="宋体" w:hint="eastAsia"/>
          <w:sz w:val="24"/>
          <w:szCs w:val="24"/>
        </w:rPr>
        <w:t>产出效果。Saunila 等（2018）认为，</w:t>
      </w:r>
      <w:r w:rsidR="00FA37C4" w:rsidRPr="00B67485">
        <w:rPr>
          <w:rFonts w:ascii="宋体" w:hAnsi="宋体" w:hint="eastAsia"/>
          <w:sz w:val="24"/>
          <w:szCs w:val="24"/>
        </w:rPr>
        <w:t>绿色投入水平</w:t>
      </w:r>
      <w:r w:rsidR="00FA37C4">
        <w:rPr>
          <w:rFonts w:ascii="宋体" w:hAnsi="宋体" w:hint="eastAsia"/>
          <w:sz w:val="24"/>
          <w:szCs w:val="24"/>
        </w:rPr>
        <w:t>是考</w:t>
      </w:r>
      <w:r w:rsidRPr="00B67485">
        <w:rPr>
          <w:rFonts w:ascii="宋体" w:hAnsi="宋体" w:hint="eastAsia"/>
          <w:sz w:val="24"/>
          <w:szCs w:val="24"/>
        </w:rPr>
        <w:t>量企业绿色</w:t>
      </w:r>
      <w:r w:rsidR="00FA37C4">
        <w:rPr>
          <w:rFonts w:ascii="宋体" w:hAnsi="宋体" w:hint="eastAsia"/>
          <w:sz w:val="24"/>
          <w:szCs w:val="24"/>
        </w:rPr>
        <w:t>环保</w:t>
      </w:r>
      <w:r w:rsidRPr="00B67485">
        <w:rPr>
          <w:rFonts w:ascii="宋体" w:hAnsi="宋体" w:hint="eastAsia"/>
          <w:sz w:val="24"/>
          <w:szCs w:val="24"/>
        </w:rPr>
        <w:t>治理状况</w:t>
      </w:r>
      <w:r w:rsidR="00FA37C4">
        <w:rPr>
          <w:rFonts w:ascii="宋体" w:hAnsi="宋体" w:hint="eastAsia"/>
          <w:sz w:val="24"/>
          <w:szCs w:val="24"/>
        </w:rPr>
        <w:t>、是否可以到的可持续发展目标</w:t>
      </w:r>
      <w:r w:rsidRPr="00B67485">
        <w:rPr>
          <w:rFonts w:ascii="宋体" w:hAnsi="宋体" w:hint="eastAsia"/>
          <w:sz w:val="24"/>
          <w:szCs w:val="24"/>
        </w:rPr>
        <w:t>的一个</w:t>
      </w:r>
      <w:r w:rsidR="00FA37C4">
        <w:rPr>
          <w:rFonts w:ascii="宋体" w:hAnsi="宋体" w:hint="eastAsia"/>
          <w:sz w:val="24"/>
          <w:szCs w:val="24"/>
        </w:rPr>
        <w:t>关键</w:t>
      </w:r>
      <w:r w:rsidRPr="00B67485">
        <w:rPr>
          <w:rFonts w:ascii="宋体" w:hAnsi="宋体" w:hint="eastAsia"/>
          <w:sz w:val="24"/>
          <w:szCs w:val="24"/>
        </w:rPr>
        <w:t>因素。黎文靖等（2015）</w:t>
      </w:r>
      <w:r w:rsidR="00B07277">
        <w:rPr>
          <w:rFonts w:ascii="宋体" w:hAnsi="宋体" w:hint="eastAsia"/>
          <w:sz w:val="24"/>
          <w:szCs w:val="24"/>
        </w:rPr>
        <w:t>在</w:t>
      </w:r>
      <w:r w:rsidRPr="00B67485">
        <w:rPr>
          <w:rFonts w:ascii="宋体" w:hAnsi="宋体" w:hint="eastAsia"/>
          <w:sz w:val="24"/>
          <w:szCs w:val="24"/>
        </w:rPr>
        <w:t>衡量</w:t>
      </w:r>
      <w:r w:rsidR="00FA37C4">
        <w:rPr>
          <w:rFonts w:ascii="宋体" w:hAnsi="宋体" w:hint="eastAsia"/>
          <w:sz w:val="24"/>
          <w:szCs w:val="24"/>
        </w:rPr>
        <w:t>公司的</w:t>
      </w:r>
      <w:r w:rsidRPr="00B67485">
        <w:rPr>
          <w:rFonts w:ascii="宋体" w:hAnsi="宋体" w:hint="eastAsia"/>
          <w:sz w:val="24"/>
          <w:szCs w:val="24"/>
        </w:rPr>
        <w:t>社会责任水平</w:t>
      </w:r>
      <w:r w:rsidR="00B07277">
        <w:rPr>
          <w:rFonts w:ascii="宋体" w:hAnsi="宋体" w:hint="eastAsia"/>
          <w:sz w:val="24"/>
          <w:szCs w:val="24"/>
        </w:rPr>
        <w:t>时，新</w:t>
      </w:r>
      <w:r w:rsidR="00FA37C4">
        <w:rPr>
          <w:rFonts w:ascii="宋体" w:hAnsi="宋体" w:hint="eastAsia"/>
          <w:sz w:val="24"/>
          <w:szCs w:val="24"/>
        </w:rPr>
        <w:t>添加</w:t>
      </w:r>
      <w:r w:rsidR="00B07277">
        <w:rPr>
          <w:rFonts w:ascii="宋体" w:hAnsi="宋体" w:hint="eastAsia"/>
          <w:sz w:val="24"/>
          <w:szCs w:val="24"/>
        </w:rPr>
        <w:t>环境</w:t>
      </w:r>
      <w:r w:rsidR="00FA37C4">
        <w:rPr>
          <w:rFonts w:ascii="宋体" w:hAnsi="宋体" w:hint="eastAsia"/>
          <w:sz w:val="24"/>
          <w:szCs w:val="24"/>
        </w:rPr>
        <w:t>指标</w:t>
      </w:r>
      <w:r w:rsidR="00B07277">
        <w:rPr>
          <w:rFonts w:ascii="宋体" w:hAnsi="宋体" w:hint="eastAsia"/>
          <w:sz w:val="24"/>
          <w:szCs w:val="24"/>
        </w:rPr>
        <w:t>作为</w:t>
      </w:r>
      <w:r w:rsidR="00FA37C4">
        <w:rPr>
          <w:rFonts w:ascii="宋体" w:hAnsi="宋体" w:hint="eastAsia"/>
          <w:sz w:val="24"/>
          <w:szCs w:val="24"/>
        </w:rPr>
        <w:t>企业绩效评价体系原始指标之一</w:t>
      </w:r>
      <w:r w:rsidRPr="00B67485">
        <w:rPr>
          <w:rFonts w:ascii="宋体" w:hAnsi="宋体" w:hint="eastAsia"/>
          <w:sz w:val="24"/>
          <w:szCs w:val="24"/>
        </w:rPr>
        <w:t>，这</w:t>
      </w:r>
      <w:r w:rsidR="00FA37C4">
        <w:rPr>
          <w:rFonts w:ascii="宋体" w:hAnsi="宋体" w:hint="eastAsia"/>
          <w:sz w:val="24"/>
          <w:szCs w:val="24"/>
        </w:rPr>
        <w:t>更加全面的从</w:t>
      </w:r>
      <w:r w:rsidR="00B07277">
        <w:rPr>
          <w:rFonts w:ascii="宋体" w:hAnsi="宋体" w:hint="eastAsia"/>
          <w:sz w:val="24"/>
          <w:szCs w:val="24"/>
        </w:rPr>
        <w:t>ESG角度</w:t>
      </w:r>
      <w:r w:rsidRPr="00B67485">
        <w:rPr>
          <w:rFonts w:ascii="宋体" w:hAnsi="宋体" w:hint="eastAsia"/>
          <w:sz w:val="24"/>
          <w:szCs w:val="24"/>
        </w:rPr>
        <w:t>上反映了企业</w:t>
      </w:r>
      <w:r w:rsidR="00FA37C4">
        <w:rPr>
          <w:rFonts w:ascii="宋体" w:hAnsi="宋体" w:hint="eastAsia"/>
          <w:sz w:val="24"/>
          <w:szCs w:val="24"/>
        </w:rPr>
        <w:t>总体</w:t>
      </w:r>
      <w:r w:rsidRPr="00B67485">
        <w:rPr>
          <w:rFonts w:ascii="宋体" w:hAnsi="宋体" w:hint="eastAsia"/>
          <w:sz w:val="24"/>
          <w:szCs w:val="24"/>
        </w:rPr>
        <w:t>环境责任履行情况，从而对</w:t>
      </w:r>
      <w:r w:rsidR="00580E35">
        <w:rPr>
          <w:rFonts w:ascii="宋体" w:hAnsi="宋体" w:hint="eastAsia"/>
          <w:sz w:val="24"/>
          <w:szCs w:val="24"/>
        </w:rPr>
        <w:t>公司的整体</w:t>
      </w:r>
      <w:r w:rsidRPr="00B67485">
        <w:rPr>
          <w:rFonts w:ascii="宋体" w:hAnsi="宋体" w:hint="eastAsia"/>
          <w:sz w:val="24"/>
          <w:szCs w:val="24"/>
        </w:rPr>
        <w:t>绩效作出</w:t>
      </w:r>
      <w:r w:rsidR="00580E35">
        <w:rPr>
          <w:rFonts w:ascii="宋体" w:hAnsi="宋体" w:hint="eastAsia"/>
          <w:sz w:val="24"/>
          <w:szCs w:val="24"/>
        </w:rPr>
        <w:t>科学</w:t>
      </w:r>
      <w:r w:rsidRPr="00B67485">
        <w:rPr>
          <w:rFonts w:ascii="宋体" w:hAnsi="宋体" w:hint="eastAsia"/>
          <w:sz w:val="24"/>
          <w:szCs w:val="24"/>
        </w:rPr>
        <w:t>合理评价。Martin 和 Moser（2016）的研究表明，</w:t>
      </w:r>
      <w:r w:rsidR="00580E35">
        <w:rPr>
          <w:rFonts w:ascii="宋体" w:hAnsi="宋体" w:hint="eastAsia"/>
          <w:sz w:val="24"/>
          <w:szCs w:val="24"/>
        </w:rPr>
        <w:t>随着社会发展和时代变化，投资者在进行投资是会考虑企业在环境指标方面表现情况，并且把绿色环保投资信息披露情况作为自身投资决策考虑因素之一。</w:t>
      </w:r>
    </w:p>
    <w:p w14:paraId="01574239" w14:textId="77777777" w:rsidR="00B67485" w:rsidRPr="00B67485" w:rsidRDefault="00B67485" w:rsidP="00B67485">
      <w:pPr>
        <w:spacing w:line="360" w:lineRule="auto"/>
        <w:ind w:firstLineChars="200" w:firstLine="480"/>
        <w:rPr>
          <w:rFonts w:ascii="宋体" w:hAnsi="宋体"/>
          <w:sz w:val="24"/>
          <w:szCs w:val="24"/>
        </w:rPr>
      </w:pPr>
      <w:r w:rsidRPr="00B67485">
        <w:rPr>
          <w:rFonts w:ascii="宋体" w:hAnsi="宋体" w:hint="eastAsia"/>
          <w:sz w:val="24"/>
          <w:szCs w:val="24"/>
        </w:rPr>
        <w:t xml:space="preserve">（2）社会责任指标 </w:t>
      </w:r>
    </w:p>
    <w:p w14:paraId="7FEACA5E" w14:textId="241551B9" w:rsidR="00B67485" w:rsidRPr="00B67485" w:rsidRDefault="00B67485" w:rsidP="0014297F">
      <w:pPr>
        <w:spacing w:line="360" w:lineRule="auto"/>
        <w:ind w:firstLineChars="200" w:firstLine="480"/>
        <w:rPr>
          <w:rFonts w:ascii="宋体" w:hAnsi="宋体"/>
          <w:sz w:val="24"/>
          <w:szCs w:val="24"/>
        </w:rPr>
      </w:pPr>
      <w:r w:rsidRPr="00B67485">
        <w:rPr>
          <w:rFonts w:ascii="宋体" w:hAnsi="宋体" w:hint="eastAsia"/>
          <w:sz w:val="24"/>
          <w:szCs w:val="24"/>
        </w:rPr>
        <w:t>洪波（2010）</w:t>
      </w:r>
      <w:r w:rsidR="00580E35">
        <w:rPr>
          <w:rFonts w:ascii="宋体" w:hAnsi="宋体" w:hint="eastAsia"/>
          <w:sz w:val="24"/>
          <w:szCs w:val="24"/>
        </w:rPr>
        <w:t>通过</w:t>
      </w:r>
      <w:r w:rsidRPr="00B67485">
        <w:rPr>
          <w:rFonts w:ascii="宋体" w:hAnsi="宋体" w:hint="eastAsia"/>
          <w:sz w:val="24"/>
          <w:szCs w:val="24"/>
        </w:rPr>
        <w:t>分析上海的制造业，得</w:t>
      </w:r>
      <w:r w:rsidR="00580E35">
        <w:rPr>
          <w:rFonts w:ascii="宋体" w:hAnsi="宋体" w:hint="eastAsia"/>
          <w:sz w:val="24"/>
          <w:szCs w:val="24"/>
        </w:rPr>
        <w:t>到结论公司的社会责任承担情况对公司的财务绩效存在正面影响。</w:t>
      </w:r>
      <w:r w:rsidRPr="00B67485">
        <w:rPr>
          <w:rFonts w:ascii="宋体" w:hAnsi="宋体" w:hint="eastAsia"/>
          <w:sz w:val="24"/>
          <w:szCs w:val="24"/>
        </w:rPr>
        <w:t>王怀明（2012）分析了企业</w:t>
      </w:r>
      <w:r w:rsidR="00580E35">
        <w:rPr>
          <w:rFonts w:ascii="宋体" w:hAnsi="宋体" w:hint="eastAsia"/>
          <w:sz w:val="24"/>
          <w:szCs w:val="24"/>
        </w:rPr>
        <w:t>在管理经营中对员工的管理程度与社会责任承担对企业经营绩效的影响程度</w:t>
      </w:r>
      <w:r w:rsidRPr="00B67485">
        <w:rPr>
          <w:rFonts w:ascii="宋体" w:hAnsi="宋体" w:hint="eastAsia"/>
          <w:sz w:val="24"/>
          <w:szCs w:val="24"/>
        </w:rPr>
        <w:t>，</w:t>
      </w:r>
      <w:r w:rsidR="00580E35">
        <w:rPr>
          <w:rFonts w:ascii="宋体" w:hAnsi="宋体" w:hint="eastAsia"/>
          <w:sz w:val="24"/>
          <w:szCs w:val="24"/>
        </w:rPr>
        <w:t>得到结论</w:t>
      </w:r>
      <w:r w:rsidRPr="00B67485">
        <w:rPr>
          <w:rFonts w:ascii="宋体" w:hAnsi="宋体" w:hint="eastAsia"/>
          <w:sz w:val="24"/>
          <w:szCs w:val="24"/>
        </w:rPr>
        <w:t>企业承担的社会责</w:t>
      </w:r>
      <w:r w:rsidRPr="00B67485">
        <w:rPr>
          <w:rFonts w:ascii="宋体" w:hAnsi="宋体" w:hint="eastAsia"/>
          <w:sz w:val="24"/>
          <w:szCs w:val="24"/>
        </w:rPr>
        <w:lastRenderedPageBreak/>
        <w:t>任会对经营绩效存在</w:t>
      </w:r>
      <w:r w:rsidR="00580E35">
        <w:rPr>
          <w:rFonts w:ascii="宋体" w:hAnsi="宋体" w:hint="eastAsia"/>
          <w:sz w:val="24"/>
          <w:szCs w:val="24"/>
        </w:rPr>
        <w:t>负向</w:t>
      </w:r>
      <w:r w:rsidRPr="00B67485">
        <w:rPr>
          <w:rFonts w:ascii="宋体" w:hAnsi="宋体" w:hint="eastAsia"/>
          <w:sz w:val="24"/>
          <w:szCs w:val="24"/>
        </w:rPr>
        <w:t>影响。朱金凤（2010）</w:t>
      </w:r>
      <w:r w:rsidR="0014297F">
        <w:rPr>
          <w:rFonts w:ascii="宋体" w:hAnsi="宋体" w:hint="eastAsia"/>
          <w:sz w:val="24"/>
          <w:szCs w:val="24"/>
        </w:rPr>
        <w:t>通过对</w:t>
      </w:r>
      <w:r w:rsidRPr="00B67485">
        <w:rPr>
          <w:rFonts w:ascii="宋体" w:hAnsi="宋体" w:hint="eastAsia"/>
          <w:sz w:val="24"/>
          <w:szCs w:val="24"/>
        </w:rPr>
        <w:t>我国部分上市企业</w:t>
      </w:r>
      <w:r w:rsidR="0014297F">
        <w:rPr>
          <w:rFonts w:ascii="宋体" w:hAnsi="宋体" w:hint="eastAsia"/>
          <w:sz w:val="24"/>
          <w:szCs w:val="24"/>
        </w:rPr>
        <w:t>的分析</w:t>
      </w:r>
      <w:r w:rsidRPr="00B67485">
        <w:rPr>
          <w:rFonts w:ascii="宋体" w:hAnsi="宋体" w:hint="eastAsia"/>
          <w:sz w:val="24"/>
          <w:szCs w:val="24"/>
        </w:rPr>
        <w:t>，公司对债权人的社会责任</w:t>
      </w:r>
      <w:r w:rsidR="0014297F">
        <w:rPr>
          <w:rFonts w:ascii="宋体" w:hAnsi="宋体" w:hint="eastAsia"/>
          <w:sz w:val="24"/>
          <w:szCs w:val="24"/>
        </w:rPr>
        <w:t>对公司的整体绩效有正面影响</w:t>
      </w:r>
      <w:r w:rsidRPr="00B67485">
        <w:rPr>
          <w:rFonts w:ascii="宋体" w:hAnsi="宋体" w:hint="eastAsia"/>
          <w:sz w:val="24"/>
          <w:szCs w:val="24"/>
        </w:rPr>
        <w:t>，针对员工的社会责任会</w:t>
      </w:r>
      <w:r w:rsidR="0014297F">
        <w:rPr>
          <w:rFonts w:ascii="宋体" w:hAnsi="宋体" w:hint="eastAsia"/>
          <w:sz w:val="24"/>
          <w:szCs w:val="24"/>
        </w:rPr>
        <w:t>对公司整体经营绩效有负向影响</w:t>
      </w:r>
      <w:r w:rsidRPr="00B67485">
        <w:rPr>
          <w:rFonts w:ascii="宋体" w:hAnsi="宋体" w:hint="eastAsia"/>
          <w:sz w:val="24"/>
          <w:szCs w:val="24"/>
        </w:rPr>
        <w:t>，</w:t>
      </w:r>
      <w:r w:rsidR="0014297F" w:rsidRPr="00B67485">
        <w:rPr>
          <w:rFonts w:ascii="宋体" w:hAnsi="宋体" w:hint="eastAsia"/>
          <w:sz w:val="24"/>
          <w:szCs w:val="24"/>
        </w:rPr>
        <w:t>对</w:t>
      </w:r>
      <w:r w:rsidR="0014297F">
        <w:rPr>
          <w:rFonts w:ascii="宋体" w:hAnsi="宋体" w:hint="eastAsia"/>
          <w:sz w:val="24"/>
          <w:szCs w:val="24"/>
        </w:rPr>
        <w:t>公司综合</w:t>
      </w:r>
      <w:r w:rsidR="0014297F" w:rsidRPr="00B67485">
        <w:rPr>
          <w:rFonts w:ascii="宋体" w:hAnsi="宋体" w:hint="eastAsia"/>
          <w:sz w:val="24"/>
          <w:szCs w:val="24"/>
        </w:rPr>
        <w:t>绩效产生不利影响</w:t>
      </w:r>
      <w:r w:rsidR="0014297F">
        <w:rPr>
          <w:rFonts w:ascii="宋体" w:hAnsi="宋体" w:hint="eastAsia"/>
          <w:sz w:val="24"/>
          <w:szCs w:val="24"/>
        </w:rPr>
        <w:t>的还有承担</w:t>
      </w:r>
      <w:r w:rsidRPr="00B67485">
        <w:rPr>
          <w:rFonts w:ascii="宋体" w:hAnsi="宋体" w:hint="eastAsia"/>
          <w:sz w:val="24"/>
          <w:szCs w:val="24"/>
        </w:rPr>
        <w:t>对供应商与公益事业的责任</w:t>
      </w:r>
      <w:r w:rsidR="0014297F">
        <w:rPr>
          <w:rFonts w:ascii="宋体" w:hAnsi="宋体" w:hint="eastAsia"/>
          <w:sz w:val="24"/>
          <w:szCs w:val="24"/>
        </w:rPr>
        <w:t>。</w:t>
      </w:r>
    </w:p>
    <w:p w14:paraId="6D6284A3" w14:textId="77777777" w:rsidR="00B67485" w:rsidRPr="00B67485" w:rsidRDefault="00B67485" w:rsidP="00B67485">
      <w:pPr>
        <w:spacing w:line="360" w:lineRule="auto"/>
        <w:ind w:firstLineChars="200" w:firstLine="480"/>
        <w:rPr>
          <w:rFonts w:ascii="宋体" w:hAnsi="宋体"/>
          <w:sz w:val="24"/>
          <w:szCs w:val="24"/>
        </w:rPr>
      </w:pPr>
      <w:r w:rsidRPr="00B67485">
        <w:rPr>
          <w:rFonts w:ascii="宋体" w:hAnsi="宋体" w:hint="eastAsia"/>
          <w:sz w:val="24"/>
          <w:szCs w:val="24"/>
        </w:rPr>
        <w:t xml:space="preserve">（3）公司治理指标 </w:t>
      </w:r>
    </w:p>
    <w:p w14:paraId="2F165BCB" w14:textId="7D9B10A9" w:rsidR="00E43765" w:rsidRDefault="00B67485" w:rsidP="00B67485">
      <w:pPr>
        <w:spacing w:line="360" w:lineRule="auto"/>
        <w:ind w:firstLineChars="200" w:firstLine="480"/>
        <w:rPr>
          <w:rFonts w:ascii="宋体" w:hAnsi="宋体"/>
          <w:sz w:val="24"/>
          <w:szCs w:val="24"/>
        </w:rPr>
      </w:pPr>
      <w:bookmarkStart w:id="31" w:name="_Hlk103564178"/>
      <w:r w:rsidRPr="00B67485">
        <w:rPr>
          <w:rFonts w:ascii="宋体" w:hAnsi="宋体" w:hint="eastAsia"/>
          <w:sz w:val="24"/>
          <w:szCs w:val="24"/>
        </w:rPr>
        <w:t>学术界对公司治理的相关研究大部分集中在公司内部创新激励、董事会内部监察机制、股权结构等</w:t>
      </w:r>
      <w:bookmarkEnd w:id="31"/>
      <w:r w:rsidRPr="00B67485">
        <w:rPr>
          <w:rFonts w:ascii="宋体" w:hAnsi="宋体" w:hint="eastAsia"/>
          <w:sz w:val="24"/>
          <w:szCs w:val="24"/>
        </w:rPr>
        <w:t>公司治理内容，以及探讨</w:t>
      </w:r>
      <w:r w:rsidR="005E5C4C">
        <w:rPr>
          <w:rFonts w:ascii="宋体" w:hAnsi="宋体" w:hint="eastAsia"/>
          <w:sz w:val="24"/>
          <w:szCs w:val="24"/>
        </w:rPr>
        <w:t>持股比例不同的股东</w:t>
      </w:r>
      <w:r w:rsidRPr="00B67485">
        <w:rPr>
          <w:rFonts w:ascii="宋体" w:hAnsi="宋体" w:hint="eastAsia"/>
          <w:sz w:val="24"/>
          <w:szCs w:val="24"/>
        </w:rPr>
        <w:t>、管理人与</w:t>
      </w:r>
      <w:r w:rsidR="005E5C4C">
        <w:rPr>
          <w:rFonts w:ascii="宋体" w:hAnsi="宋体" w:hint="eastAsia"/>
          <w:sz w:val="24"/>
          <w:szCs w:val="24"/>
        </w:rPr>
        <w:t>董事会</w:t>
      </w:r>
      <w:r w:rsidRPr="00B67485">
        <w:rPr>
          <w:rFonts w:ascii="宋体" w:hAnsi="宋体" w:hint="eastAsia"/>
          <w:sz w:val="24"/>
          <w:szCs w:val="24"/>
        </w:rPr>
        <w:t>之间的委托代理问题。目前，研究学者 Bake 和 Gompers（2004）发现</w:t>
      </w:r>
      <w:r w:rsidR="005E5C4C">
        <w:rPr>
          <w:rFonts w:ascii="宋体" w:hAnsi="宋体" w:hint="eastAsia"/>
          <w:sz w:val="24"/>
          <w:szCs w:val="24"/>
        </w:rPr>
        <w:t>实现公司可通过</w:t>
      </w:r>
      <w:r w:rsidRPr="00B67485">
        <w:rPr>
          <w:rFonts w:ascii="宋体" w:hAnsi="宋体" w:hint="eastAsia"/>
          <w:sz w:val="24"/>
          <w:szCs w:val="24"/>
        </w:rPr>
        <w:t>薪酬激励</w:t>
      </w:r>
      <w:r w:rsidR="005E5C4C">
        <w:rPr>
          <w:rFonts w:ascii="宋体" w:hAnsi="宋体" w:hint="eastAsia"/>
          <w:sz w:val="24"/>
          <w:szCs w:val="24"/>
        </w:rPr>
        <w:t>、</w:t>
      </w:r>
      <w:r w:rsidR="005E5C4C" w:rsidRPr="00B67485">
        <w:rPr>
          <w:rFonts w:ascii="宋体" w:hAnsi="宋体" w:hint="eastAsia"/>
          <w:sz w:val="24"/>
          <w:szCs w:val="24"/>
        </w:rPr>
        <w:t>派驻董事</w:t>
      </w:r>
      <w:r w:rsidRPr="00B67485">
        <w:rPr>
          <w:rFonts w:ascii="宋体" w:hAnsi="宋体" w:hint="eastAsia"/>
          <w:sz w:val="24"/>
          <w:szCs w:val="24"/>
        </w:rPr>
        <w:t>等</w:t>
      </w:r>
      <w:r w:rsidR="005E5C4C">
        <w:rPr>
          <w:rFonts w:ascii="宋体" w:hAnsi="宋体" w:hint="eastAsia"/>
          <w:sz w:val="24"/>
          <w:szCs w:val="24"/>
        </w:rPr>
        <w:t>因素</w:t>
      </w:r>
      <w:r w:rsidR="0014297F">
        <w:rPr>
          <w:rFonts w:ascii="宋体" w:hAnsi="宋体" w:hint="eastAsia"/>
          <w:sz w:val="24"/>
          <w:szCs w:val="24"/>
        </w:rPr>
        <w:t>达到</w:t>
      </w:r>
      <w:r w:rsidRPr="00B67485">
        <w:rPr>
          <w:rFonts w:ascii="宋体" w:hAnsi="宋体" w:hint="eastAsia"/>
          <w:sz w:val="24"/>
          <w:szCs w:val="24"/>
        </w:rPr>
        <w:t>提升公司治理水平</w:t>
      </w:r>
      <w:r w:rsidR="0014297F">
        <w:rPr>
          <w:rFonts w:ascii="宋体" w:hAnsi="宋体" w:hint="eastAsia"/>
          <w:sz w:val="24"/>
          <w:szCs w:val="24"/>
        </w:rPr>
        <w:t>的目的</w:t>
      </w:r>
      <w:r w:rsidRPr="00B67485">
        <w:rPr>
          <w:rFonts w:ascii="宋体" w:hAnsi="宋体" w:hint="eastAsia"/>
          <w:sz w:val="24"/>
          <w:szCs w:val="24"/>
        </w:rPr>
        <w:t>。白重恩等（2005）提出，好的公司治理对企业绩效的提升乃至社会发展都有促进作用。李伟（2014）指出</w:t>
      </w:r>
      <w:r w:rsidR="005E5C4C">
        <w:rPr>
          <w:rFonts w:ascii="宋体" w:hAnsi="宋体" w:hint="eastAsia"/>
          <w:sz w:val="24"/>
          <w:szCs w:val="24"/>
        </w:rPr>
        <w:t>对于</w:t>
      </w:r>
      <w:r w:rsidRPr="00B67485">
        <w:rPr>
          <w:rFonts w:ascii="宋体" w:hAnsi="宋体" w:hint="eastAsia"/>
          <w:sz w:val="24"/>
          <w:szCs w:val="24"/>
        </w:rPr>
        <w:t>中小板上市企业</w:t>
      </w:r>
      <w:r w:rsidR="005E5C4C">
        <w:rPr>
          <w:rFonts w:ascii="宋体" w:hAnsi="宋体" w:hint="eastAsia"/>
          <w:sz w:val="24"/>
          <w:szCs w:val="24"/>
        </w:rPr>
        <w:t>，</w:t>
      </w:r>
      <w:r w:rsidRPr="00B67485">
        <w:rPr>
          <w:rFonts w:ascii="宋体" w:hAnsi="宋体" w:hint="eastAsia"/>
          <w:sz w:val="24"/>
          <w:szCs w:val="24"/>
        </w:rPr>
        <w:t>第一大股东持股比例、</w:t>
      </w:r>
      <w:r w:rsidR="005E5C4C">
        <w:rPr>
          <w:rFonts w:ascii="宋体" w:hAnsi="宋体" w:hint="eastAsia"/>
          <w:sz w:val="24"/>
          <w:szCs w:val="24"/>
        </w:rPr>
        <w:t>不同持股比例股东</w:t>
      </w:r>
      <w:r w:rsidRPr="00B67485">
        <w:rPr>
          <w:rFonts w:ascii="宋体" w:hAnsi="宋体" w:hint="eastAsia"/>
          <w:sz w:val="24"/>
          <w:szCs w:val="24"/>
        </w:rPr>
        <w:t>股权激励</w:t>
      </w:r>
      <w:r w:rsidR="005E5C4C">
        <w:rPr>
          <w:rFonts w:ascii="宋体" w:hAnsi="宋体" w:hint="eastAsia"/>
          <w:sz w:val="24"/>
          <w:szCs w:val="24"/>
        </w:rPr>
        <w:t>计划</w:t>
      </w:r>
      <w:r w:rsidR="00B07277">
        <w:rPr>
          <w:rFonts w:ascii="宋体" w:hAnsi="宋体" w:hint="eastAsia"/>
          <w:sz w:val="24"/>
          <w:szCs w:val="24"/>
        </w:rPr>
        <w:t>对公司整体</w:t>
      </w:r>
      <w:r w:rsidRPr="00B67485">
        <w:rPr>
          <w:rFonts w:ascii="宋体" w:hAnsi="宋体" w:hint="eastAsia"/>
          <w:sz w:val="24"/>
          <w:szCs w:val="24"/>
        </w:rPr>
        <w:t>创新投入</w:t>
      </w:r>
      <w:r w:rsidR="005E5C4C">
        <w:rPr>
          <w:rFonts w:ascii="宋体" w:hAnsi="宋体" w:hint="eastAsia"/>
          <w:sz w:val="24"/>
          <w:szCs w:val="24"/>
        </w:rPr>
        <w:t>绩效</w:t>
      </w:r>
      <w:r w:rsidRPr="00B67485">
        <w:rPr>
          <w:rFonts w:ascii="宋体" w:hAnsi="宋体" w:hint="eastAsia"/>
          <w:sz w:val="24"/>
          <w:szCs w:val="24"/>
        </w:rPr>
        <w:t>与绩效</w:t>
      </w:r>
      <w:r w:rsidR="005E5C4C">
        <w:rPr>
          <w:rFonts w:ascii="宋体" w:hAnsi="宋体" w:hint="eastAsia"/>
          <w:sz w:val="24"/>
          <w:szCs w:val="24"/>
        </w:rPr>
        <w:t>评级</w:t>
      </w:r>
      <w:r w:rsidR="00B07277">
        <w:rPr>
          <w:rFonts w:ascii="宋体" w:hAnsi="宋体" w:hint="eastAsia"/>
          <w:sz w:val="24"/>
          <w:szCs w:val="24"/>
        </w:rPr>
        <w:t>具有</w:t>
      </w:r>
      <w:r w:rsidRPr="00B67485">
        <w:rPr>
          <w:rFonts w:ascii="宋体" w:hAnsi="宋体" w:hint="eastAsia"/>
          <w:sz w:val="24"/>
          <w:szCs w:val="24"/>
        </w:rPr>
        <w:t>负向调节作用。靳玲（2016）研究发现，</w:t>
      </w:r>
      <w:r w:rsidR="005E5C4C">
        <w:rPr>
          <w:rFonts w:ascii="宋体" w:hAnsi="宋体" w:hint="eastAsia"/>
          <w:sz w:val="24"/>
          <w:szCs w:val="24"/>
        </w:rPr>
        <w:t>对于</w:t>
      </w:r>
      <w:r w:rsidRPr="00B67485">
        <w:rPr>
          <w:rFonts w:ascii="宋体" w:hAnsi="宋体" w:hint="eastAsia"/>
          <w:sz w:val="24"/>
          <w:szCs w:val="24"/>
        </w:rPr>
        <w:t>家族式的上市企业</w:t>
      </w:r>
      <w:r w:rsidR="005E5C4C">
        <w:rPr>
          <w:rFonts w:ascii="宋体" w:hAnsi="宋体" w:hint="eastAsia"/>
          <w:sz w:val="24"/>
          <w:szCs w:val="24"/>
        </w:rPr>
        <w:t>，从</w:t>
      </w:r>
      <w:r w:rsidRPr="00B67485">
        <w:rPr>
          <w:rFonts w:ascii="宋体" w:hAnsi="宋体" w:hint="eastAsia"/>
          <w:sz w:val="24"/>
          <w:szCs w:val="24"/>
        </w:rPr>
        <w:t>董事会结构</w:t>
      </w:r>
      <w:r w:rsidR="005E5C4C">
        <w:rPr>
          <w:rFonts w:ascii="宋体" w:hAnsi="宋体" w:hint="eastAsia"/>
          <w:sz w:val="24"/>
          <w:szCs w:val="24"/>
        </w:rPr>
        <w:t>调度验证了其对</w:t>
      </w:r>
      <w:r w:rsidRPr="00B67485">
        <w:rPr>
          <w:rFonts w:ascii="宋体" w:hAnsi="宋体" w:hint="eastAsia"/>
          <w:sz w:val="24"/>
          <w:szCs w:val="24"/>
        </w:rPr>
        <w:t>企业的所有权程度</w:t>
      </w:r>
      <w:r w:rsidR="005E5C4C">
        <w:rPr>
          <w:rFonts w:ascii="宋体" w:hAnsi="宋体" w:hint="eastAsia"/>
          <w:sz w:val="24"/>
          <w:szCs w:val="24"/>
        </w:rPr>
        <w:t>的负向调节作用</w:t>
      </w:r>
      <w:r w:rsidRPr="00B67485">
        <w:rPr>
          <w:rFonts w:ascii="宋体" w:hAnsi="宋体" w:hint="eastAsia"/>
          <w:sz w:val="24"/>
          <w:szCs w:val="24"/>
        </w:rPr>
        <w:t>，从而影响</w:t>
      </w:r>
      <w:r w:rsidR="0014297F">
        <w:rPr>
          <w:rFonts w:ascii="宋体" w:hAnsi="宋体" w:hint="eastAsia"/>
          <w:sz w:val="24"/>
          <w:szCs w:val="24"/>
        </w:rPr>
        <w:t>科学</w:t>
      </w:r>
      <w:r w:rsidRPr="00B67485">
        <w:rPr>
          <w:rFonts w:ascii="宋体" w:hAnsi="宋体" w:hint="eastAsia"/>
          <w:sz w:val="24"/>
          <w:szCs w:val="24"/>
        </w:rPr>
        <w:t>研发投入，认为公司治理会对企业</w:t>
      </w:r>
      <w:r w:rsidR="0014297F">
        <w:rPr>
          <w:rFonts w:ascii="宋体" w:hAnsi="宋体" w:hint="eastAsia"/>
          <w:sz w:val="24"/>
          <w:szCs w:val="24"/>
        </w:rPr>
        <w:t>总体</w:t>
      </w:r>
      <w:r w:rsidRPr="00B67485">
        <w:rPr>
          <w:rFonts w:ascii="宋体" w:hAnsi="宋体" w:hint="eastAsia"/>
          <w:sz w:val="24"/>
          <w:szCs w:val="24"/>
        </w:rPr>
        <w:t>绩效产生</w:t>
      </w:r>
      <w:r w:rsidR="0014297F">
        <w:rPr>
          <w:rFonts w:ascii="宋体" w:hAnsi="宋体" w:hint="eastAsia"/>
          <w:sz w:val="24"/>
          <w:szCs w:val="24"/>
        </w:rPr>
        <w:t>负向调节作用。</w:t>
      </w:r>
    </w:p>
    <w:p w14:paraId="48777F85" w14:textId="3217BFE6" w:rsidR="00751406" w:rsidRDefault="00751406" w:rsidP="001B02B5">
      <w:pPr>
        <w:pStyle w:val="21"/>
        <w:rPr>
          <w:rFonts w:ascii="楷体_GB2312" w:eastAsia="楷体_GB2312" w:hAnsi="宋体"/>
          <w:color w:val="FF0000"/>
        </w:rPr>
      </w:pPr>
      <w:bookmarkStart w:id="32" w:name="_Toc105023907"/>
      <w:r>
        <w:t>2.3</w:t>
      </w:r>
      <w:r w:rsidR="00E13971" w:rsidRPr="00E13971">
        <w:rPr>
          <w:rFonts w:hAnsi="黑体" w:hint="eastAsia"/>
        </w:rPr>
        <w:t>基金</w:t>
      </w:r>
      <w:r>
        <w:rPr>
          <w:rFonts w:hint="eastAsia"/>
        </w:rPr>
        <w:t>绩效评价模型文献综述</w:t>
      </w:r>
      <w:bookmarkEnd w:id="32"/>
    </w:p>
    <w:p w14:paraId="2B63E95C" w14:textId="7E4C348B" w:rsidR="00751406" w:rsidRPr="001D59A3" w:rsidRDefault="00751406" w:rsidP="001B02B5">
      <w:pPr>
        <w:pStyle w:val="4"/>
        <w:rPr>
          <w:rFonts w:ascii="楷体_GB2312" w:eastAsia="楷体_GB2312" w:hAnsi="宋体"/>
          <w:color w:val="FF0000"/>
        </w:rPr>
      </w:pPr>
      <w:bookmarkStart w:id="33" w:name="_Toc105023908"/>
      <w:r>
        <w:t>2</w:t>
      </w:r>
      <w:r w:rsidRPr="001D59A3">
        <w:t>.</w:t>
      </w:r>
      <w:r>
        <w:t>3</w:t>
      </w:r>
      <w:r w:rsidRPr="001D59A3">
        <w:t>.</w:t>
      </w:r>
      <w:r>
        <w:t>1</w:t>
      </w:r>
      <w:r w:rsidR="00225F73">
        <w:rPr>
          <w:rFonts w:hint="eastAsia"/>
        </w:rPr>
        <w:t>国外文献综述</w:t>
      </w:r>
      <w:bookmarkStart w:id="34" w:name="_Hlk103564288"/>
      <w:bookmarkEnd w:id="33"/>
    </w:p>
    <w:p w14:paraId="4354A17E" w14:textId="62766E16" w:rsidR="00E43765" w:rsidRDefault="00225F73" w:rsidP="00225F73">
      <w:pPr>
        <w:spacing w:line="360" w:lineRule="auto"/>
        <w:ind w:firstLineChars="200" w:firstLine="480"/>
        <w:rPr>
          <w:rFonts w:ascii="宋体" w:hAnsi="宋体"/>
          <w:sz w:val="24"/>
          <w:szCs w:val="24"/>
        </w:rPr>
      </w:pPr>
      <w:r w:rsidRPr="00225F73">
        <w:rPr>
          <w:rFonts w:ascii="宋体" w:hAnsi="宋体" w:hint="eastAsia"/>
          <w:sz w:val="24"/>
          <w:szCs w:val="24"/>
        </w:rPr>
        <w:t>Fama和French构造了三因子模型，其认为</w:t>
      </w:r>
      <w:r w:rsidR="00FF5FF7">
        <w:rPr>
          <w:rFonts w:ascii="宋体" w:hAnsi="宋体" w:hint="eastAsia"/>
          <w:sz w:val="24"/>
          <w:szCs w:val="24"/>
        </w:rPr>
        <w:t>投资组合超额收益的来源在于</w:t>
      </w:r>
      <w:r w:rsidRPr="00225F73">
        <w:rPr>
          <w:rFonts w:ascii="宋体" w:hAnsi="宋体" w:hint="eastAsia"/>
          <w:sz w:val="24"/>
          <w:szCs w:val="24"/>
        </w:rPr>
        <w:t>市场因素、规模因素、价</w:t>
      </w:r>
      <w:bookmarkEnd w:id="34"/>
      <w:r w:rsidRPr="00225F73">
        <w:rPr>
          <w:rFonts w:ascii="宋体" w:hAnsi="宋体" w:hint="eastAsia"/>
          <w:sz w:val="24"/>
          <w:szCs w:val="24"/>
        </w:rPr>
        <w:t>值因素。Carhart增加了动量因素，构造了四因子模型来阐释基金的收益。随后，Fama和French又增加了盈利因素和投资因素，提出了更加科学完备的五因子模型。</w:t>
      </w:r>
      <w:r w:rsidR="00065DCD" w:rsidRPr="00065DCD">
        <w:rPr>
          <w:rFonts w:ascii="宋体" w:hAnsi="宋体" w:hint="eastAsia"/>
          <w:sz w:val="24"/>
          <w:szCs w:val="24"/>
        </w:rPr>
        <w:t>Leite，Cortez</w:t>
      </w:r>
      <w:r w:rsidRPr="00225F73">
        <w:rPr>
          <w:rFonts w:ascii="宋体" w:hAnsi="宋体" w:hint="eastAsia"/>
          <w:sz w:val="24"/>
          <w:szCs w:val="24"/>
        </w:rPr>
        <w:t>（</w:t>
      </w:r>
      <w:r w:rsidR="00065DCD">
        <w:rPr>
          <w:rFonts w:ascii="宋体" w:hAnsi="宋体"/>
          <w:sz w:val="24"/>
          <w:szCs w:val="24"/>
        </w:rPr>
        <w:t>2020</w:t>
      </w:r>
      <w:r w:rsidRPr="00225F73">
        <w:rPr>
          <w:rFonts w:ascii="宋体" w:hAnsi="宋体" w:hint="eastAsia"/>
          <w:sz w:val="24"/>
          <w:szCs w:val="24"/>
        </w:rPr>
        <w:t>）</w:t>
      </w:r>
      <w:r w:rsidR="00065DCD">
        <w:rPr>
          <w:rFonts w:ascii="宋体" w:hAnsi="宋体" w:hint="eastAsia"/>
          <w:sz w:val="24"/>
          <w:szCs w:val="24"/>
        </w:rPr>
        <w:t>提出在</w:t>
      </w:r>
      <w:r w:rsidR="006247F1">
        <w:rPr>
          <w:rFonts w:ascii="宋体" w:hAnsi="宋体" w:hint="eastAsia"/>
          <w:sz w:val="24"/>
          <w:szCs w:val="24"/>
        </w:rPr>
        <w:t>基金绩效评价中加入投资和盈利因素</w:t>
      </w:r>
      <w:r w:rsidRPr="00225F73">
        <w:rPr>
          <w:rFonts w:ascii="宋体" w:hAnsi="宋体" w:hint="eastAsia"/>
          <w:sz w:val="24"/>
          <w:szCs w:val="24"/>
        </w:rPr>
        <w:t>；</w:t>
      </w:r>
      <w:r w:rsidR="006247F1">
        <w:rPr>
          <w:rFonts w:ascii="宋体" w:hAnsi="宋体" w:hint="eastAsia"/>
          <w:sz w:val="24"/>
          <w:szCs w:val="24"/>
        </w:rPr>
        <w:t>H</w:t>
      </w:r>
      <w:r w:rsidR="006247F1">
        <w:rPr>
          <w:rFonts w:ascii="宋体" w:hAnsi="宋体"/>
          <w:sz w:val="24"/>
          <w:szCs w:val="24"/>
        </w:rPr>
        <w:t>ong-Mei Zhang</w:t>
      </w:r>
      <w:r w:rsidRPr="00225F73">
        <w:rPr>
          <w:rFonts w:ascii="宋体" w:hAnsi="宋体" w:hint="eastAsia"/>
          <w:sz w:val="24"/>
          <w:szCs w:val="24"/>
        </w:rPr>
        <w:t>(20</w:t>
      </w:r>
      <w:r w:rsidR="006247F1">
        <w:rPr>
          <w:rFonts w:ascii="宋体" w:hAnsi="宋体"/>
          <w:sz w:val="24"/>
          <w:szCs w:val="24"/>
        </w:rPr>
        <w:t>1</w:t>
      </w:r>
      <w:r w:rsidRPr="00225F73">
        <w:rPr>
          <w:rFonts w:ascii="宋体" w:hAnsi="宋体" w:hint="eastAsia"/>
          <w:sz w:val="24"/>
          <w:szCs w:val="24"/>
        </w:rPr>
        <w:t>6)</w:t>
      </w:r>
      <w:r w:rsidR="006247F1" w:rsidRPr="006247F1">
        <w:rPr>
          <w:rFonts w:ascii="宋体" w:hAnsi="宋体" w:hint="eastAsia"/>
          <w:sz w:val="24"/>
          <w:szCs w:val="24"/>
        </w:rPr>
        <w:t>根据国内外已有的研究成果以及引导基金的特点，构建了引导基金绩效评价的指标体系</w:t>
      </w:r>
      <w:r w:rsidR="00002364">
        <w:rPr>
          <w:rFonts w:ascii="宋体" w:hAnsi="宋体" w:hint="eastAsia"/>
          <w:sz w:val="24"/>
          <w:szCs w:val="24"/>
        </w:rPr>
        <w:t>，选取的企业数据为</w:t>
      </w:r>
      <w:r w:rsidR="006247F1" w:rsidRPr="006247F1">
        <w:rPr>
          <w:rFonts w:ascii="宋体" w:hAnsi="宋体" w:hint="eastAsia"/>
          <w:sz w:val="24"/>
          <w:szCs w:val="24"/>
        </w:rPr>
        <w:t>政府引导风险投资基金共享的部分企业，运用因子分析法对评价模型进行优化，并基于DEA-BCC模型进行实证分析。结果表明，优化后的评价模型能够全面评价引导基金的绩效。</w:t>
      </w:r>
      <w:r w:rsidR="00C60B98" w:rsidRPr="00C60B98">
        <w:rPr>
          <w:rFonts w:ascii="宋体" w:hAnsi="宋体"/>
          <w:sz w:val="24"/>
          <w:szCs w:val="24"/>
        </w:rPr>
        <w:t>Jun Gao,Niall O’Sullivan,Meadhbh Sherman</w:t>
      </w:r>
      <w:r w:rsidR="00C60B98">
        <w:rPr>
          <w:rFonts w:ascii="宋体" w:hAnsi="宋体"/>
          <w:sz w:val="24"/>
          <w:szCs w:val="24"/>
        </w:rPr>
        <w:t>(2019)</w:t>
      </w:r>
      <w:r w:rsidR="00C60B98" w:rsidRPr="00C60B98">
        <w:rPr>
          <w:rFonts w:ascii="宋体" w:hAnsi="宋体" w:hint="eastAsia"/>
          <w:sz w:val="24"/>
          <w:szCs w:val="24"/>
        </w:rPr>
        <w:t>评估了2002年5月至2014年5月期间投资于中国国内股票的开放式证券投资基金的业绩。研究了419只基金的</w:t>
      </w:r>
      <w:r w:rsidR="00C60B98" w:rsidRPr="00C60B98">
        <w:rPr>
          <w:rFonts w:ascii="宋体" w:hAnsi="宋体" w:hint="eastAsia"/>
          <w:sz w:val="24"/>
          <w:szCs w:val="24"/>
        </w:rPr>
        <w:lastRenderedPageBreak/>
        <w:t>数据集。采用了高频的周数据。研究实施了一系列风险调整后的业绩衡量标准，分为三大类：(i)无条件模型；(ii)条件-贝塔模型，其中允许因子载荷以公开信息为条件变化；(iii)条件阿尔法-贝塔模型，其中阿尔法也以经济信息为条件进行时间变化。然后应用估计诊断法，在这三类模型中的每一类中选择一个</w:t>
      </w:r>
      <w:r w:rsidR="00C60B98">
        <w:rPr>
          <w:rFonts w:ascii="宋体" w:hAnsi="宋体" w:hint="eastAsia"/>
          <w:sz w:val="24"/>
          <w:szCs w:val="24"/>
        </w:rPr>
        <w:t>最合适</w:t>
      </w:r>
      <w:r w:rsidR="00C60B98" w:rsidRPr="00C60B98">
        <w:rPr>
          <w:rFonts w:ascii="宋体" w:hAnsi="宋体" w:hint="eastAsia"/>
          <w:sz w:val="24"/>
          <w:szCs w:val="24"/>
        </w:rPr>
        <w:t>的模型。</w:t>
      </w:r>
    </w:p>
    <w:p w14:paraId="681BD43A" w14:textId="561C00C5" w:rsidR="00065DCD" w:rsidRPr="001D59A3" w:rsidRDefault="00065DCD" w:rsidP="001B02B5">
      <w:pPr>
        <w:pStyle w:val="4"/>
        <w:rPr>
          <w:rFonts w:ascii="楷体_GB2312" w:eastAsia="楷体_GB2312" w:hAnsi="宋体"/>
          <w:color w:val="FF0000"/>
        </w:rPr>
      </w:pPr>
      <w:bookmarkStart w:id="35" w:name="_Toc105023909"/>
      <w:r>
        <w:t>2</w:t>
      </w:r>
      <w:r w:rsidRPr="001D59A3">
        <w:t>.</w:t>
      </w:r>
      <w:r>
        <w:t>3</w:t>
      </w:r>
      <w:r w:rsidRPr="001D59A3">
        <w:t>.</w:t>
      </w:r>
      <w:r>
        <w:t>2</w:t>
      </w:r>
      <w:r>
        <w:rPr>
          <w:rFonts w:hint="eastAsia"/>
        </w:rPr>
        <w:t>国内文献综述</w:t>
      </w:r>
      <w:bookmarkEnd w:id="35"/>
    </w:p>
    <w:p w14:paraId="1B69AFB8" w14:textId="7FF99889" w:rsidR="00DE45DD" w:rsidRPr="00FF5FF7" w:rsidRDefault="00FE4DFE" w:rsidP="00FF5FF7">
      <w:pPr>
        <w:spacing w:line="360" w:lineRule="auto"/>
        <w:ind w:firstLineChars="200" w:firstLine="480"/>
        <w:rPr>
          <w:rFonts w:ascii="宋体" w:hAnsi="宋体"/>
          <w:sz w:val="24"/>
          <w:szCs w:val="24"/>
        </w:rPr>
      </w:pPr>
      <w:r w:rsidRPr="00FE4DFE">
        <w:rPr>
          <w:rFonts w:ascii="宋体" w:hAnsi="宋体" w:hint="eastAsia"/>
          <w:sz w:val="24"/>
          <w:szCs w:val="24"/>
        </w:rPr>
        <w:t>罗春风（2012）采用三大指数分布对股票型、混合型和债券型基金的总体绩效进行了对比分析，并得出</w:t>
      </w:r>
      <w:r w:rsidR="00FF5FF7" w:rsidRPr="00FE4DFE">
        <w:rPr>
          <w:rFonts w:ascii="宋体" w:hAnsi="宋体" w:hint="eastAsia"/>
          <w:sz w:val="24"/>
          <w:szCs w:val="24"/>
        </w:rPr>
        <w:t>债券型基金比较稳定</w:t>
      </w:r>
      <w:r w:rsidR="00FF5FF7">
        <w:rPr>
          <w:rFonts w:ascii="宋体" w:hAnsi="宋体" w:hint="eastAsia"/>
          <w:sz w:val="24"/>
          <w:szCs w:val="24"/>
        </w:rPr>
        <w:t>、</w:t>
      </w:r>
      <w:r w:rsidRPr="00FE4DFE">
        <w:rPr>
          <w:rFonts w:ascii="宋体" w:hAnsi="宋体" w:hint="eastAsia"/>
          <w:sz w:val="24"/>
          <w:szCs w:val="24"/>
        </w:rPr>
        <w:t>混合型基金业绩分布接近正态分布</w:t>
      </w:r>
      <w:r w:rsidR="00FF5FF7">
        <w:rPr>
          <w:rFonts w:ascii="宋体" w:hAnsi="宋体" w:hint="eastAsia"/>
          <w:sz w:val="24"/>
          <w:szCs w:val="24"/>
        </w:rPr>
        <w:t>以及</w:t>
      </w:r>
      <w:r w:rsidR="00FF5FF7" w:rsidRPr="00FE4DFE">
        <w:rPr>
          <w:rFonts w:ascii="宋体" w:hAnsi="宋体" w:hint="eastAsia"/>
          <w:sz w:val="24"/>
          <w:szCs w:val="24"/>
        </w:rPr>
        <w:t>股票型基金极不均衡</w:t>
      </w:r>
      <w:r w:rsidRPr="00FE4DFE">
        <w:rPr>
          <w:rFonts w:ascii="宋体" w:hAnsi="宋体" w:hint="eastAsia"/>
          <w:sz w:val="24"/>
          <w:szCs w:val="24"/>
        </w:rPr>
        <w:t>的结论</w:t>
      </w:r>
      <w:r>
        <w:rPr>
          <w:rFonts w:ascii="宋体" w:hAnsi="宋体" w:hint="eastAsia"/>
          <w:sz w:val="24"/>
          <w:szCs w:val="24"/>
        </w:rPr>
        <w:t>；</w:t>
      </w:r>
      <w:r w:rsidRPr="00FE4DFE">
        <w:rPr>
          <w:rFonts w:ascii="宋体" w:hAnsi="宋体" w:hint="eastAsia"/>
          <w:sz w:val="24"/>
          <w:szCs w:val="24"/>
        </w:rPr>
        <w:t>王进搏,田卫民</w:t>
      </w:r>
      <w:r>
        <w:rPr>
          <w:rFonts w:ascii="宋体" w:hAnsi="宋体" w:hint="eastAsia"/>
          <w:sz w:val="24"/>
          <w:szCs w:val="24"/>
        </w:rPr>
        <w:t>（2</w:t>
      </w:r>
      <w:r>
        <w:rPr>
          <w:rFonts w:ascii="宋体" w:hAnsi="宋体"/>
          <w:sz w:val="24"/>
          <w:szCs w:val="24"/>
        </w:rPr>
        <w:t>015</w:t>
      </w:r>
      <w:r>
        <w:rPr>
          <w:rFonts w:ascii="宋体" w:hAnsi="宋体" w:hint="eastAsia"/>
          <w:sz w:val="24"/>
          <w:szCs w:val="24"/>
        </w:rPr>
        <w:t>）</w:t>
      </w:r>
      <w:r w:rsidR="008C26CE">
        <w:rPr>
          <w:rFonts w:ascii="宋体" w:hAnsi="宋体" w:hint="eastAsia"/>
          <w:sz w:val="24"/>
          <w:szCs w:val="24"/>
        </w:rPr>
        <w:t>对开放型基金的绩效进行分析和评价，并通过因子分析计算得出各基金的综合排名</w:t>
      </w:r>
      <w:r>
        <w:rPr>
          <w:rFonts w:ascii="宋体" w:hAnsi="宋体" w:hint="eastAsia"/>
          <w:sz w:val="24"/>
          <w:szCs w:val="24"/>
        </w:rPr>
        <w:t>；韦</w:t>
      </w:r>
      <w:r w:rsidRPr="006174EE">
        <w:rPr>
          <w:rFonts w:ascii="宋体" w:hAnsi="宋体" w:hint="eastAsia"/>
          <w:sz w:val="24"/>
          <w:szCs w:val="24"/>
        </w:rPr>
        <w:t>璐（2019）以我国开放式股票基金和债券基金</w:t>
      </w:r>
      <w:r w:rsidR="00FF5FF7">
        <w:rPr>
          <w:rFonts w:ascii="宋体" w:hAnsi="宋体" w:hint="eastAsia"/>
          <w:sz w:val="24"/>
          <w:szCs w:val="24"/>
        </w:rPr>
        <w:t>作为</w:t>
      </w:r>
      <w:r w:rsidRPr="006174EE">
        <w:rPr>
          <w:rFonts w:ascii="宋体" w:hAnsi="宋体" w:hint="eastAsia"/>
          <w:sz w:val="24"/>
          <w:szCs w:val="24"/>
        </w:rPr>
        <w:t>标的，分析基金规模等因素对不同类型基金绩效的影响程度</w:t>
      </w:r>
      <w:r>
        <w:rPr>
          <w:rFonts w:ascii="宋体" w:hAnsi="宋体" w:hint="eastAsia"/>
          <w:sz w:val="24"/>
          <w:szCs w:val="24"/>
        </w:rPr>
        <w:t>。</w:t>
      </w:r>
      <w:r w:rsidR="008C26CE" w:rsidRPr="008C26CE">
        <w:rPr>
          <w:rFonts w:ascii="宋体" w:hAnsi="宋体" w:hint="eastAsia"/>
          <w:sz w:val="24"/>
          <w:szCs w:val="24"/>
        </w:rPr>
        <w:t>宋贺,房严,常维</w:t>
      </w:r>
      <w:r w:rsidR="007F4E96">
        <w:rPr>
          <w:rFonts w:ascii="宋体" w:hAnsi="宋体" w:hint="eastAsia"/>
          <w:sz w:val="24"/>
          <w:szCs w:val="24"/>
        </w:rPr>
        <w:t>（2</w:t>
      </w:r>
      <w:r w:rsidR="007F4E96">
        <w:rPr>
          <w:rFonts w:ascii="宋体" w:hAnsi="宋体"/>
          <w:sz w:val="24"/>
          <w:szCs w:val="24"/>
        </w:rPr>
        <w:t>020</w:t>
      </w:r>
      <w:r w:rsidR="007F4E96">
        <w:rPr>
          <w:rFonts w:ascii="宋体" w:hAnsi="宋体" w:hint="eastAsia"/>
          <w:sz w:val="24"/>
          <w:szCs w:val="24"/>
        </w:rPr>
        <w:t>）</w:t>
      </w:r>
      <w:r w:rsidR="00FF5FF7">
        <w:rPr>
          <w:rFonts w:ascii="宋体" w:hAnsi="宋体" w:hint="eastAsia"/>
          <w:sz w:val="24"/>
          <w:szCs w:val="24"/>
        </w:rPr>
        <w:t>创新性</w:t>
      </w:r>
      <w:r w:rsidR="007F4E96" w:rsidRPr="007F4E96">
        <w:rPr>
          <w:rFonts w:ascii="宋体" w:hAnsi="宋体" w:hint="eastAsia"/>
          <w:sz w:val="24"/>
          <w:szCs w:val="24"/>
        </w:rPr>
        <w:t>使用T-M模型</w:t>
      </w:r>
      <w:r w:rsidR="00FF5FF7">
        <w:rPr>
          <w:rFonts w:ascii="宋体" w:hAnsi="宋体" w:hint="eastAsia"/>
          <w:sz w:val="24"/>
          <w:szCs w:val="24"/>
        </w:rPr>
        <w:t>、</w:t>
      </w:r>
      <w:r w:rsidR="007F4E96" w:rsidRPr="007F4E96">
        <w:rPr>
          <w:rFonts w:ascii="宋体" w:hAnsi="宋体" w:hint="eastAsia"/>
          <w:sz w:val="24"/>
          <w:szCs w:val="24"/>
        </w:rPr>
        <w:t>H-M模型、C-L 模型</w:t>
      </w:r>
      <w:r w:rsidR="00FF5FF7">
        <w:rPr>
          <w:rFonts w:ascii="宋体" w:hAnsi="宋体" w:hint="eastAsia"/>
          <w:sz w:val="24"/>
          <w:szCs w:val="24"/>
        </w:rPr>
        <w:t>结合绩效评价</w:t>
      </w:r>
      <w:r w:rsidR="007F4E96" w:rsidRPr="007F4E96">
        <w:rPr>
          <w:rFonts w:ascii="宋体" w:hAnsi="宋体" w:hint="eastAsia"/>
          <w:sz w:val="24"/>
          <w:szCs w:val="24"/>
        </w:rPr>
        <w:t>对基金经理人股票选股与择时能力进行分析</w:t>
      </w:r>
      <w:r w:rsidR="00FF5FF7">
        <w:rPr>
          <w:rFonts w:ascii="宋体" w:hAnsi="宋体" w:hint="eastAsia"/>
          <w:sz w:val="24"/>
          <w:szCs w:val="24"/>
        </w:rPr>
        <w:t>，同时</w:t>
      </w:r>
      <w:r w:rsidR="00FF5FF7" w:rsidRPr="007F4E96">
        <w:rPr>
          <w:rFonts w:ascii="宋体" w:hAnsi="宋体" w:hint="eastAsia"/>
          <w:sz w:val="24"/>
          <w:szCs w:val="24"/>
        </w:rPr>
        <w:t>运用詹森指数、特雷诺比率、夏普指数和信息比率等单因素模型和 Fama-French 三因素模型对开放式基金的绩效进行分析</w:t>
      </w:r>
      <w:r w:rsidR="00FF5FF7">
        <w:rPr>
          <w:rFonts w:ascii="宋体" w:hAnsi="宋体" w:hint="eastAsia"/>
          <w:sz w:val="24"/>
          <w:szCs w:val="24"/>
        </w:rPr>
        <w:t>。</w:t>
      </w:r>
    </w:p>
    <w:p w14:paraId="13CCC81D" w14:textId="3225C625" w:rsidR="00DE45DD" w:rsidRDefault="00DE45DD" w:rsidP="007F4E96">
      <w:pPr>
        <w:spacing w:line="360" w:lineRule="auto"/>
        <w:ind w:firstLineChars="200" w:firstLine="480"/>
        <w:rPr>
          <w:rFonts w:ascii="宋体" w:hAnsi="宋体"/>
          <w:sz w:val="24"/>
          <w:szCs w:val="24"/>
        </w:rPr>
      </w:pPr>
    </w:p>
    <w:p w14:paraId="6E2F4976" w14:textId="272233C6" w:rsidR="00DE45DD" w:rsidRDefault="00DE45DD" w:rsidP="007F4E96">
      <w:pPr>
        <w:spacing w:line="360" w:lineRule="auto"/>
        <w:ind w:firstLineChars="200" w:firstLine="480"/>
        <w:rPr>
          <w:rFonts w:ascii="宋体" w:hAnsi="宋体"/>
          <w:sz w:val="24"/>
          <w:szCs w:val="24"/>
        </w:rPr>
      </w:pPr>
    </w:p>
    <w:p w14:paraId="6628E8CD" w14:textId="4A77F150" w:rsidR="00DE45DD" w:rsidRDefault="00DE45DD" w:rsidP="007F4E96">
      <w:pPr>
        <w:spacing w:line="360" w:lineRule="auto"/>
        <w:ind w:firstLineChars="200" w:firstLine="480"/>
        <w:rPr>
          <w:rFonts w:ascii="宋体" w:hAnsi="宋体"/>
          <w:sz w:val="24"/>
          <w:szCs w:val="24"/>
        </w:rPr>
      </w:pPr>
    </w:p>
    <w:p w14:paraId="76717907" w14:textId="7A3D021E" w:rsidR="00DE45DD" w:rsidRDefault="00DE45DD" w:rsidP="007F4E96">
      <w:pPr>
        <w:spacing w:line="360" w:lineRule="auto"/>
        <w:ind w:firstLineChars="200" w:firstLine="480"/>
        <w:rPr>
          <w:rFonts w:ascii="宋体" w:hAnsi="宋体"/>
          <w:sz w:val="24"/>
          <w:szCs w:val="24"/>
        </w:rPr>
      </w:pPr>
    </w:p>
    <w:p w14:paraId="11872D6A" w14:textId="09E6005F" w:rsidR="00DE45DD" w:rsidRDefault="00DE45DD" w:rsidP="007F4E96">
      <w:pPr>
        <w:spacing w:line="360" w:lineRule="auto"/>
        <w:ind w:firstLineChars="200" w:firstLine="480"/>
        <w:rPr>
          <w:rFonts w:ascii="宋体" w:hAnsi="宋体"/>
          <w:sz w:val="24"/>
          <w:szCs w:val="24"/>
        </w:rPr>
      </w:pPr>
    </w:p>
    <w:p w14:paraId="57A8ED37" w14:textId="7CAF6934" w:rsidR="00DE45DD" w:rsidRDefault="00DE45DD" w:rsidP="007F4E96">
      <w:pPr>
        <w:spacing w:line="360" w:lineRule="auto"/>
        <w:ind w:firstLineChars="200" w:firstLine="480"/>
        <w:rPr>
          <w:rFonts w:ascii="宋体" w:hAnsi="宋体"/>
          <w:sz w:val="24"/>
          <w:szCs w:val="24"/>
        </w:rPr>
      </w:pPr>
    </w:p>
    <w:p w14:paraId="7063E66D" w14:textId="438BE227" w:rsidR="004E02AE" w:rsidRDefault="004E02AE" w:rsidP="007F4E96">
      <w:pPr>
        <w:spacing w:line="360" w:lineRule="auto"/>
        <w:ind w:firstLineChars="200" w:firstLine="480"/>
        <w:rPr>
          <w:rFonts w:ascii="宋体" w:hAnsi="宋体"/>
          <w:sz w:val="24"/>
          <w:szCs w:val="24"/>
        </w:rPr>
      </w:pPr>
    </w:p>
    <w:p w14:paraId="686FC410" w14:textId="22C1881C" w:rsidR="004E02AE" w:rsidRDefault="004E02AE" w:rsidP="007F4E96">
      <w:pPr>
        <w:spacing w:line="360" w:lineRule="auto"/>
        <w:ind w:firstLineChars="200" w:firstLine="480"/>
        <w:rPr>
          <w:rFonts w:ascii="宋体" w:hAnsi="宋体"/>
          <w:sz w:val="24"/>
          <w:szCs w:val="24"/>
        </w:rPr>
      </w:pPr>
    </w:p>
    <w:p w14:paraId="758F5C08" w14:textId="17CA9226" w:rsidR="004E02AE" w:rsidRDefault="004E02AE" w:rsidP="007F4E96">
      <w:pPr>
        <w:spacing w:line="360" w:lineRule="auto"/>
        <w:ind w:firstLineChars="200" w:firstLine="480"/>
        <w:rPr>
          <w:rFonts w:ascii="宋体" w:hAnsi="宋体"/>
          <w:sz w:val="24"/>
          <w:szCs w:val="24"/>
        </w:rPr>
      </w:pPr>
    </w:p>
    <w:p w14:paraId="51557D5E" w14:textId="57B75684" w:rsidR="004E02AE" w:rsidRDefault="004E02AE" w:rsidP="007F4E96">
      <w:pPr>
        <w:spacing w:line="360" w:lineRule="auto"/>
        <w:ind w:firstLineChars="200" w:firstLine="480"/>
        <w:rPr>
          <w:rFonts w:ascii="宋体" w:hAnsi="宋体"/>
          <w:sz w:val="24"/>
          <w:szCs w:val="24"/>
        </w:rPr>
      </w:pPr>
    </w:p>
    <w:p w14:paraId="2F7ED7DA" w14:textId="302B8E21" w:rsidR="004E02AE" w:rsidRDefault="004E02AE" w:rsidP="007F4E96">
      <w:pPr>
        <w:spacing w:line="360" w:lineRule="auto"/>
        <w:ind w:firstLineChars="200" w:firstLine="480"/>
        <w:rPr>
          <w:rFonts w:ascii="宋体" w:hAnsi="宋体"/>
          <w:sz w:val="24"/>
          <w:szCs w:val="24"/>
        </w:rPr>
      </w:pPr>
    </w:p>
    <w:p w14:paraId="11F849DA" w14:textId="77777777" w:rsidR="004E02AE" w:rsidRDefault="004E02AE" w:rsidP="007F4E96">
      <w:pPr>
        <w:spacing w:line="360" w:lineRule="auto"/>
        <w:ind w:firstLineChars="200" w:firstLine="480"/>
        <w:rPr>
          <w:rFonts w:ascii="宋体" w:hAnsi="宋体"/>
          <w:sz w:val="24"/>
          <w:szCs w:val="24"/>
        </w:rPr>
      </w:pPr>
    </w:p>
    <w:p w14:paraId="713C7590" w14:textId="3776FC0A" w:rsidR="00DE45DD" w:rsidRDefault="00DE45DD" w:rsidP="007F4E96">
      <w:pPr>
        <w:spacing w:line="360" w:lineRule="auto"/>
        <w:ind w:firstLineChars="200" w:firstLine="480"/>
        <w:rPr>
          <w:rFonts w:ascii="宋体" w:hAnsi="宋体"/>
          <w:sz w:val="24"/>
          <w:szCs w:val="24"/>
        </w:rPr>
      </w:pPr>
    </w:p>
    <w:p w14:paraId="3D507542" w14:textId="77777777" w:rsidR="00DE45DD" w:rsidRDefault="00DE45DD" w:rsidP="001B02B5">
      <w:pPr>
        <w:spacing w:line="360" w:lineRule="auto"/>
        <w:rPr>
          <w:rFonts w:ascii="宋体" w:hAnsi="宋体"/>
          <w:sz w:val="24"/>
          <w:szCs w:val="24"/>
        </w:rPr>
      </w:pPr>
    </w:p>
    <w:p w14:paraId="1F518E14" w14:textId="171ADC07" w:rsidR="00DE45DD" w:rsidRDefault="00DE45DD" w:rsidP="001B02B5">
      <w:pPr>
        <w:pStyle w:val="11"/>
        <w:rPr>
          <w:rFonts w:ascii="楷体_GB2312" w:eastAsia="楷体_GB2312"/>
        </w:rPr>
      </w:pPr>
      <w:bookmarkStart w:id="36" w:name="_Toc105023910"/>
      <w:r>
        <w:lastRenderedPageBreak/>
        <w:t>3</w:t>
      </w:r>
      <w:r w:rsidRPr="00DE45DD">
        <w:rPr>
          <w:rFonts w:hint="eastAsia"/>
        </w:rPr>
        <w:t>基金综合绩效评价指标构建及分析</w:t>
      </w:r>
      <w:bookmarkEnd w:id="36"/>
    </w:p>
    <w:p w14:paraId="6842E5C7" w14:textId="77777777" w:rsidR="00DE45DD" w:rsidRDefault="00DE45DD" w:rsidP="00DE45DD">
      <w:pPr>
        <w:spacing w:line="360" w:lineRule="auto"/>
        <w:ind w:firstLineChars="200" w:firstLine="480"/>
        <w:rPr>
          <w:rFonts w:ascii="宋体" w:hAnsi="宋体"/>
          <w:sz w:val="24"/>
          <w:szCs w:val="24"/>
        </w:rPr>
      </w:pPr>
      <w:r w:rsidRPr="00831EC3">
        <w:rPr>
          <w:rFonts w:ascii="宋体" w:hAnsi="宋体" w:hint="eastAsia"/>
          <w:sz w:val="24"/>
          <w:szCs w:val="24"/>
        </w:rPr>
        <w:t>本章的目的是构建一个综合性的基金绩效评价指标</w:t>
      </w:r>
      <w:r>
        <w:rPr>
          <w:rFonts w:ascii="宋体" w:hAnsi="宋体" w:hint="eastAsia"/>
          <w:sz w:val="24"/>
          <w:szCs w:val="24"/>
        </w:rPr>
        <w:t>，通过指标所得出的绩效得分来比较不同选股类型的基金绩效高低，从而评判碳中和类型基金和普通型基金的表现。</w:t>
      </w:r>
    </w:p>
    <w:p w14:paraId="6975DF87" w14:textId="77777777" w:rsidR="00DE45DD" w:rsidRDefault="00DE45DD" w:rsidP="00DE45DD">
      <w:pPr>
        <w:spacing w:line="360" w:lineRule="auto"/>
        <w:ind w:firstLineChars="200" w:firstLine="480"/>
        <w:rPr>
          <w:rFonts w:ascii="宋体" w:hAnsi="宋体"/>
          <w:sz w:val="24"/>
          <w:szCs w:val="24"/>
        </w:rPr>
      </w:pPr>
      <w:r>
        <w:rPr>
          <w:rFonts w:ascii="宋体" w:hAnsi="宋体" w:hint="eastAsia"/>
          <w:sz w:val="24"/>
          <w:szCs w:val="24"/>
        </w:rPr>
        <w:t>针对股票型基金的特点，</w:t>
      </w:r>
      <w:bookmarkStart w:id="37" w:name="_Hlk103672489"/>
      <w:r>
        <w:rPr>
          <w:rFonts w:ascii="宋体" w:hAnsi="宋体" w:hint="eastAsia"/>
          <w:sz w:val="24"/>
          <w:szCs w:val="24"/>
        </w:rPr>
        <w:t>本章首先选取了传统基金综合绩效评价体系中常见的</w:t>
      </w:r>
      <w:bookmarkStart w:id="38" w:name="_Hlk101993523"/>
      <w:bookmarkStart w:id="39" w:name="_Hlk102049660"/>
      <w:r w:rsidRPr="00831EC3">
        <w:rPr>
          <w:rFonts w:ascii="宋体" w:hAnsi="宋体" w:hint="eastAsia"/>
          <w:sz w:val="24"/>
          <w:szCs w:val="24"/>
        </w:rPr>
        <w:t>收益标准差、年化波动率、非系统风险、最大回撤</w:t>
      </w:r>
      <w:r>
        <w:rPr>
          <w:rFonts w:ascii="宋体" w:hAnsi="宋体" w:hint="eastAsia"/>
          <w:sz w:val="24"/>
          <w:szCs w:val="24"/>
        </w:rPr>
        <w:t>、</w:t>
      </w:r>
      <w:r w:rsidRPr="00831EC3">
        <w:rPr>
          <w:rFonts w:ascii="宋体" w:hAnsi="宋体" w:hint="eastAsia"/>
          <w:sz w:val="24"/>
          <w:szCs w:val="24"/>
        </w:rPr>
        <w:t>选</w:t>
      </w:r>
      <w:r>
        <w:rPr>
          <w:rFonts w:ascii="宋体" w:hAnsi="宋体" w:hint="eastAsia"/>
          <w:sz w:val="24"/>
          <w:szCs w:val="24"/>
        </w:rPr>
        <w:t>股</w:t>
      </w:r>
      <w:r w:rsidRPr="00831EC3">
        <w:rPr>
          <w:rFonts w:ascii="宋体" w:hAnsi="宋体" w:hint="eastAsia"/>
          <w:sz w:val="24"/>
          <w:szCs w:val="24"/>
        </w:rPr>
        <w:t>能力</w:t>
      </w:r>
      <w:bookmarkStart w:id="40" w:name="_Hlk102034976"/>
      <w:r w:rsidRPr="00831EC3">
        <w:rPr>
          <w:rFonts w:ascii="宋体" w:hAnsi="宋体" w:hint="eastAsia"/>
          <w:sz w:val="24"/>
          <w:szCs w:val="24"/>
        </w:rPr>
        <w:t>、跟踪误差、信息比率</w:t>
      </w:r>
      <w:bookmarkEnd w:id="40"/>
      <w:r>
        <w:rPr>
          <w:rFonts w:ascii="宋体" w:hAnsi="宋体" w:hint="eastAsia"/>
          <w:sz w:val="24"/>
          <w:szCs w:val="24"/>
        </w:rPr>
        <w:t>、</w:t>
      </w:r>
      <w:r w:rsidRPr="00831EC3">
        <w:rPr>
          <w:rFonts w:ascii="宋体" w:hAnsi="宋体" w:hint="eastAsia"/>
          <w:sz w:val="24"/>
          <w:szCs w:val="24"/>
        </w:rPr>
        <w:t>成立年限、基金规模</w:t>
      </w:r>
      <w:bookmarkEnd w:id="38"/>
      <w:r>
        <w:rPr>
          <w:rFonts w:ascii="宋体" w:hAnsi="宋体" w:hint="eastAsia"/>
          <w:sz w:val="24"/>
          <w:szCs w:val="24"/>
        </w:rPr>
        <w:t>等</w:t>
      </w:r>
      <w:r>
        <w:rPr>
          <w:rFonts w:ascii="宋体" w:hAnsi="宋体"/>
          <w:sz w:val="24"/>
          <w:szCs w:val="24"/>
        </w:rPr>
        <w:t>9</w:t>
      </w:r>
      <w:r>
        <w:rPr>
          <w:rFonts w:ascii="宋体" w:hAnsi="宋体" w:hint="eastAsia"/>
          <w:sz w:val="24"/>
          <w:szCs w:val="24"/>
        </w:rPr>
        <w:t>个指标，其次根据本文特点选取了碳中和指标、</w:t>
      </w:r>
      <w:r w:rsidRPr="008869CA">
        <w:rPr>
          <w:rFonts w:ascii="宋体" w:hAnsi="宋体" w:hint="eastAsia"/>
          <w:sz w:val="24"/>
          <w:szCs w:val="24"/>
        </w:rPr>
        <w:t>基金</w:t>
      </w:r>
      <w:r w:rsidRPr="008869CA">
        <w:rPr>
          <w:rFonts w:ascii="宋体" w:hAnsi="宋体"/>
          <w:sz w:val="24"/>
          <w:szCs w:val="24"/>
        </w:rPr>
        <w:t>E环境评分</w:t>
      </w:r>
      <w:r>
        <w:rPr>
          <w:rFonts w:ascii="宋体" w:hAnsi="宋体" w:hint="eastAsia"/>
          <w:sz w:val="24"/>
          <w:szCs w:val="24"/>
        </w:rPr>
        <w:t>、</w:t>
      </w:r>
      <w:r w:rsidRPr="008869CA">
        <w:rPr>
          <w:rFonts w:ascii="宋体" w:hAnsi="宋体"/>
          <w:sz w:val="24"/>
          <w:szCs w:val="24"/>
        </w:rPr>
        <w:t>基金S社会评分</w:t>
      </w:r>
      <w:r>
        <w:rPr>
          <w:rFonts w:ascii="宋体" w:hAnsi="宋体" w:hint="eastAsia"/>
          <w:sz w:val="24"/>
          <w:szCs w:val="24"/>
        </w:rPr>
        <w:t>、</w:t>
      </w:r>
      <w:r w:rsidRPr="008869CA">
        <w:rPr>
          <w:rFonts w:ascii="宋体" w:hAnsi="宋体"/>
          <w:sz w:val="24"/>
          <w:szCs w:val="24"/>
        </w:rPr>
        <w:t>基金G治理评分</w:t>
      </w:r>
      <w:r>
        <w:rPr>
          <w:rFonts w:ascii="宋体" w:hAnsi="宋体" w:hint="eastAsia"/>
          <w:sz w:val="24"/>
          <w:szCs w:val="24"/>
        </w:rPr>
        <w:t>、</w:t>
      </w:r>
      <w:r w:rsidRPr="008869CA">
        <w:rPr>
          <w:rFonts w:ascii="宋体" w:hAnsi="宋体" w:hint="eastAsia"/>
          <w:sz w:val="24"/>
          <w:szCs w:val="24"/>
        </w:rPr>
        <w:t>重仓股票</w:t>
      </w:r>
      <w:r>
        <w:rPr>
          <w:rFonts w:ascii="宋体" w:hAnsi="宋体" w:hint="eastAsia"/>
          <w:sz w:val="24"/>
          <w:szCs w:val="24"/>
        </w:rPr>
        <w:t>占基金市值</w:t>
      </w:r>
      <w:r w:rsidRPr="008869CA">
        <w:rPr>
          <w:rFonts w:ascii="宋体" w:hAnsi="宋体" w:hint="eastAsia"/>
          <w:sz w:val="24"/>
          <w:szCs w:val="24"/>
        </w:rPr>
        <w:t>比例</w:t>
      </w:r>
      <w:r>
        <w:rPr>
          <w:rFonts w:ascii="宋体" w:hAnsi="宋体" w:hint="eastAsia"/>
          <w:sz w:val="24"/>
          <w:szCs w:val="24"/>
        </w:rPr>
        <w:t>、</w:t>
      </w:r>
      <w:r w:rsidRPr="008869CA">
        <w:rPr>
          <w:rFonts w:ascii="宋体" w:hAnsi="宋体" w:hint="eastAsia"/>
          <w:sz w:val="24"/>
          <w:szCs w:val="24"/>
        </w:rPr>
        <w:t>重仓股票</w:t>
      </w:r>
      <w:r w:rsidRPr="008869CA">
        <w:rPr>
          <w:rFonts w:ascii="宋体" w:hAnsi="宋体"/>
          <w:sz w:val="24"/>
          <w:szCs w:val="24"/>
        </w:rPr>
        <w:t>ESG评分</w:t>
      </w:r>
      <w:bookmarkEnd w:id="39"/>
      <w:r>
        <w:rPr>
          <w:rFonts w:ascii="宋体" w:hAnsi="宋体" w:hint="eastAsia"/>
          <w:sz w:val="24"/>
          <w:szCs w:val="24"/>
        </w:rPr>
        <w:t>等6个指标。将以上1</w:t>
      </w:r>
      <w:r>
        <w:rPr>
          <w:rFonts w:ascii="宋体" w:hAnsi="宋体"/>
          <w:sz w:val="24"/>
          <w:szCs w:val="24"/>
        </w:rPr>
        <w:t>5</w:t>
      </w:r>
      <w:r>
        <w:rPr>
          <w:rFonts w:ascii="宋体" w:hAnsi="宋体" w:hint="eastAsia"/>
          <w:sz w:val="24"/>
          <w:szCs w:val="24"/>
        </w:rPr>
        <w:t>个指标作为原始数据进行主成分因子分析后得出3个特征值大于等于1的主成分因子，并且以这三个主成分因子的因子载荷为权重依据进行绩效综合得分分析。</w:t>
      </w:r>
    </w:p>
    <w:p w14:paraId="6A0D2EE2" w14:textId="1C91D28E" w:rsidR="00DE45DD" w:rsidRPr="00DE45DD" w:rsidRDefault="00DE45DD" w:rsidP="001B02B5">
      <w:pPr>
        <w:pStyle w:val="21"/>
      </w:pPr>
      <w:bookmarkStart w:id="41" w:name="_Toc105023911"/>
      <w:bookmarkEnd w:id="37"/>
      <w:r w:rsidRPr="00DE45DD">
        <w:rPr>
          <w:rFonts w:hint="eastAsia"/>
        </w:rPr>
        <w:t>3</w:t>
      </w:r>
      <w:r w:rsidRPr="00DE45DD">
        <w:t>.1</w:t>
      </w:r>
      <w:r w:rsidRPr="00DE45DD">
        <w:rPr>
          <w:rFonts w:hint="eastAsia"/>
        </w:rPr>
        <w:t>综合绩效评价体系构建</w:t>
      </w:r>
      <w:bookmarkEnd w:id="41"/>
    </w:p>
    <w:p w14:paraId="16CC8313" w14:textId="3BE9853E" w:rsidR="00DE45DD" w:rsidRPr="00DE45DD" w:rsidRDefault="00DE45DD" w:rsidP="001B02B5">
      <w:pPr>
        <w:pStyle w:val="4"/>
      </w:pPr>
      <w:bookmarkStart w:id="42" w:name="_Toc105023912"/>
      <w:r w:rsidRPr="00DE45DD">
        <w:rPr>
          <w:rFonts w:hint="eastAsia"/>
        </w:rPr>
        <w:t>3</w:t>
      </w:r>
      <w:r w:rsidRPr="00DE45DD">
        <w:t>.1.1</w:t>
      </w:r>
      <w:r w:rsidRPr="00DE45DD">
        <w:rPr>
          <w:rFonts w:hint="eastAsia"/>
        </w:rPr>
        <w:t>原始指标选取</w:t>
      </w:r>
      <w:bookmarkStart w:id="43" w:name="_Hlk103569435"/>
      <w:bookmarkEnd w:id="42"/>
    </w:p>
    <w:bookmarkEnd w:id="43"/>
    <w:p w14:paraId="3ECD23C1" w14:textId="77777777" w:rsidR="00DE45DD" w:rsidRDefault="00DE45DD" w:rsidP="00DE45DD">
      <w:pPr>
        <w:spacing w:line="360" w:lineRule="auto"/>
        <w:ind w:firstLineChars="200" w:firstLine="480"/>
        <w:rPr>
          <w:rFonts w:ascii="宋体" w:hAnsi="宋体"/>
          <w:sz w:val="24"/>
          <w:szCs w:val="24"/>
        </w:rPr>
      </w:pPr>
      <w:r>
        <w:rPr>
          <w:rFonts w:ascii="宋体" w:hAnsi="宋体" w:hint="eastAsia"/>
          <w:sz w:val="24"/>
          <w:szCs w:val="24"/>
        </w:rPr>
        <w:t>第一，在基金类型的选择上，为了保证ESG评分的全面性与充分性，选取了开放式股票型基金作为研究对象。由于</w:t>
      </w:r>
      <w:r w:rsidRPr="00A57067">
        <w:rPr>
          <w:rFonts w:ascii="宋体" w:hAnsi="宋体"/>
          <w:sz w:val="24"/>
          <w:szCs w:val="24"/>
        </w:rPr>
        <w:t>ETF连接型基金与指数增强型基金</w:t>
      </w:r>
      <w:r>
        <w:rPr>
          <w:rFonts w:ascii="宋体" w:hAnsi="宋体" w:hint="eastAsia"/>
          <w:sz w:val="24"/>
          <w:szCs w:val="24"/>
        </w:rPr>
        <w:t>选股策略来源与ETF或者指数，不直接构成选股策略，所以同时避免了股票型基金中的ETF连接型基金与指数增强型基金。</w:t>
      </w:r>
    </w:p>
    <w:p w14:paraId="5EE17143" w14:textId="77777777" w:rsidR="00DE45DD" w:rsidRDefault="00DE45DD" w:rsidP="00DE45DD">
      <w:pPr>
        <w:spacing w:line="360" w:lineRule="auto"/>
        <w:ind w:firstLineChars="200" w:firstLine="480"/>
        <w:rPr>
          <w:rFonts w:ascii="宋体" w:hAnsi="宋体"/>
          <w:sz w:val="24"/>
          <w:szCs w:val="24"/>
        </w:rPr>
      </w:pPr>
      <w:r>
        <w:rPr>
          <w:rFonts w:ascii="宋体" w:hAnsi="宋体" w:hint="eastAsia"/>
          <w:sz w:val="24"/>
          <w:szCs w:val="24"/>
        </w:rPr>
        <w:t>第二，在时间区间的选择上，为了保证基金数据的客观性、完整性、全面性，避免偶发性事件与偶发政策对基金原始指标的影响，选取2</w:t>
      </w:r>
      <w:r>
        <w:rPr>
          <w:rFonts w:ascii="宋体" w:hAnsi="宋体"/>
          <w:sz w:val="24"/>
          <w:szCs w:val="24"/>
        </w:rPr>
        <w:t>019-2021</w:t>
      </w:r>
      <w:r>
        <w:rPr>
          <w:rFonts w:ascii="宋体" w:hAnsi="宋体" w:hint="eastAsia"/>
          <w:sz w:val="24"/>
          <w:szCs w:val="24"/>
        </w:rPr>
        <w:t>三年为原值指标数据获得的区间。</w:t>
      </w:r>
    </w:p>
    <w:p w14:paraId="09C3027E" w14:textId="5A4A8CD2" w:rsidR="00DE45DD" w:rsidRDefault="00DE45DD" w:rsidP="00DE45DD">
      <w:pPr>
        <w:spacing w:line="360" w:lineRule="auto"/>
        <w:ind w:firstLineChars="200" w:firstLine="480"/>
        <w:rPr>
          <w:rFonts w:ascii="宋体" w:hAnsi="宋体"/>
          <w:sz w:val="24"/>
          <w:szCs w:val="24"/>
        </w:rPr>
      </w:pPr>
      <w:r>
        <w:rPr>
          <w:rFonts w:ascii="宋体" w:hAnsi="宋体" w:hint="eastAsia"/>
          <w:sz w:val="24"/>
          <w:szCs w:val="24"/>
        </w:rPr>
        <w:t>第三，在具体基金的选择上，为了保证原始指标的完整性，在各项原始指标均完善的基金中随机选取了</w:t>
      </w:r>
      <w:r w:rsidR="00665C49">
        <w:rPr>
          <w:rFonts w:ascii="宋体" w:hAnsi="宋体"/>
          <w:sz w:val="24"/>
          <w:szCs w:val="24"/>
        </w:rPr>
        <w:t>123</w:t>
      </w:r>
      <w:r>
        <w:rPr>
          <w:rFonts w:ascii="宋体" w:hAnsi="宋体" w:hint="eastAsia"/>
          <w:sz w:val="24"/>
          <w:szCs w:val="24"/>
        </w:rPr>
        <w:t>支作为研究对象</w:t>
      </w:r>
      <w:r w:rsidR="00665C49">
        <w:rPr>
          <w:rFonts w:ascii="宋体" w:hAnsi="宋体" w:hint="eastAsia"/>
          <w:sz w:val="24"/>
          <w:szCs w:val="24"/>
        </w:rPr>
        <w:t>，其中6</w:t>
      </w:r>
      <w:r w:rsidR="00665C49">
        <w:rPr>
          <w:rFonts w:ascii="宋体" w:hAnsi="宋体"/>
          <w:sz w:val="24"/>
          <w:szCs w:val="24"/>
        </w:rPr>
        <w:t>2</w:t>
      </w:r>
      <w:r w:rsidR="00665C49">
        <w:rPr>
          <w:rFonts w:ascii="宋体" w:hAnsi="宋体" w:hint="eastAsia"/>
          <w:sz w:val="24"/>
          <w:szCs w:val="24"/>
        </w:rPr>
        <w:t>支为碳中和基金，6</w:t>
      </w:r>
      <w:r w:rsidR="00665C49">
        <w:rPr>
          <w:rFonts w:ascii="宋体" w:hAnsi="宋体"/>
          <w:sz w:val="24"/>
          <w:szCs w:val="24"/>
        </w:rPr>
        <w:t>1</w:t>
      </w:r>
      <w:r w:rsidR="00665C49">
        <w:rPr>
          <w:rFonts w:ascii="宋体" w:hAnsi="宋体" w:hint="eastAsia"/>
          <w:sz w:val="24"/>
          <w:szCs w:val="24"/>
        </w:rPr>
        <w:t>支为非碳中和基金。</w:t>
      </w:r>
    </w:p>
    <w:p w14:paraId="790941FB" w14:textId="455EE1C5" w:rsidR="009E3D79" w:rsidRDefault="009E3D79" w:rsidP="00DE45DD">
      <w:pPr>
        <w:spacing w:line="360" w:lineRule="auto"/>
        <w:ind w:firstLineChars="200" w:firstLine="480"/>
        <w:rPr>
          <w:rFonts w:ascii="宋体" w:hAnsi="宋体"/>
          <w:sz w:val="24"/>
          <w:szCs w:val="24"/>
        </w:rPr>
      </w:pPr>
      <w:r>
        <w:rPr>
          <w:rFonts w:ascii="宋体" w:hAnsi="宋体" w:hint="eastAsia"/>
          <w:sz w:val="24"/>
          <w:szCs w:val="24"/>
        </w:rPr>
        <w:t>第四，在ESG相关指标获取方面，数据直接引用于w</w:t>
      </w:r>
      <w:r>
        <w:rPr>
          <w:rFonts w:ascii="宋体" w:hAnsi="宋体"/>
          <w:sz w:val="24"/>
          <w:szCs w:val="24"/>
        </w:rPr>
        <w:t>ind</w:t>
      </w:r>
      <w:r>
        <w:rPr>
          <w:rFonts w:ascii="宋体" w:hAnsi="宋体" w:hint="eastAsia"/>
          <w:sz w:val="24"/>
          <w:szCs w:val="24"/>
        </w:rPr>
        <w:t>数据库ESG评分体系。</w:t>
      </w:r>
      <w:r w:rsidR="00E774D7">
        <w:rPr>
          <w:rFonts w:ascii="宋体" w:hAnsi="宋体"/>
          <w:sz w:val="24"/>
          <w:szCs w:val="24"/>
        </w:rPr>
        <w:t>Wind ESG</w:t>
      </w:r>
      <w:r w:rsidR="00E774D7">
        <w:rPr>
          <w:rFonts w:ascii="宋体" w:hAnsi="宋体" w:hint="eastAsia"/>
          <w:sz w:val="24"/>
          <w:szCs w:val="24"/>
        </w:rPr>
        <w:t>评级致力于预见性的评估企业实质性ESG风险及其可持续经营的能力，帮助投资者识别投资中的重要风险与机遇。</w:t>
      </w:r>
      <w:r w:rsidR="00E774D7">
        <w:rPr>
          <w:rFonts w:ascii="宋体" w:hAnsi="宋体"/>
          <w:sz w:val="24"/>
          <w:szCs w:val="24"/>
        </w:rPr>
        <w:t>W</w:t>
      </w:r>
      <w:r w:rsidR="00E774D7">
        <w:rPr>
          <w:rFonts w:ascii="宋体" w:hAnsi="宋体" w:hint="eastAsia"/>
          <w:sz w:val="24"/>
          <w:szCs w:val="24"/>
        </w:rPr>
        <w:t>ind以ESG核心内涵为基础，接轨国</w:t>
      </w:r>
      <w:r w:rsidR="00E774D7">
        <w:rPr>
          <w:rFonts w:ascii="宋体" w:hAnsi="宋体" w:hint="eastAsia"/>
          <w:sz w:val="24"/>
          <w:szCs w:val="24"/>
        </w:rPr>
        <w:lastRenderedPageBreak/>
        <w:t>际标准和评估框架，并根据中国企业发展特色和资本市场现状，开发了一套科学严谨的评级方法论。Wind</w:t>
      </w:r>
      <w:r w:rsidR="00E774D7">
        <w:rPr>
          <w:rFonts w:ascii="宋体" w:hAnsi="宋体"/>
          <w:sz w:val="24"/>
          <w:szCs w:val="24"/>
        </w:rPr>
        <w:t xml:space="preserve"> </w:t>
      </w:r>
      <w:r w:rsidR="00E774D7">
        <w:rPr>
          <w:rFonts w:ascii="宋体" w:hAnsi="宋体" w:hint="eastAsia"/>
          <w:sz w:val="24"/>
          <w:szCs w:val="24"/>
        </w:rPr>
        <w:t>ESG指标体系如下：</w:t>
      </w:r>
    </w:p>
    <w:p w14:paraId="45B4659E" w14:textId="33F967AA" w:rsidR="00E535D9" w:rsidRPr="00E535D9" w:rsidRDefault="00E535D9" w:rsidP="00E535D9">
      <w:pPr>
        <w:spacing w:line="360" w:lineRule="auto"/>
        <w:ind w:firstLineChars="200" w:firstLine="420"/>
        <w:jc w:val="center"/>
        <w:rPr>
          <w:rFonts w:ascii="宋体" w:hAnsi="宋体"/>
          <w:szCs w:val="21"/>
        </w:rPr>
      </w:pPr>
      <w:r>
        <w:rPr>
          <w:rFonts w:ascii="宋体" w:hAnsi="宋体" w:hint="eastAsia"/>
          <w:szCs w:val="21"/>
        </w:rPr>
        <w:t>表</w:t>
      </w:r>
      <w:r w:rsidR="00752231">
        <w:rPr>
          <w:rFonts w:ascii="宋体" w:hAnsi="宋体"/>
          <w:szCs w:val="21"/>
        </w:rPr>
        <w:t>3-1</w:t>
      </w:r>
      <w:r w:rsidR="003B59DA" w:rsidRPr="003B59DA">
        <w:rPr>
          <w:rFonts w:ascii="宋体" w:hAnsi="宋体" w:hint="eastAsia"/>
          <w:szCs w:val="21"/>
        </w:rPr>
        <w:t>：</w:t>
      </w:r>
      <w:r w:rsidR="003B59DA" w:rsidRPr="003B59DA">
        <w:rPr>
          <w:rFonts w:ascii="宋体" w:hAnsi="宋体"/>
          <w:szCs w:val="21"/>
        </w:rPr>
        <w:t>Wind ESG</w:t>
      </w:r>
      <w:r w:rsidR="003B59DA" w:rsidRPr="003B59DA">
        <w:rPr>
          <w:rFonts w:ascii="宋体" w:hAnsi="宋体" w:hint="eastAsia"/>
          <w:szCs w:val="21"/>
        </w:rPr>
        <w:t>评价体系</w:t>
      </w:r>
    </w:p>
    <w:tbl>
      <w:tblPr>
        <w:tblW w:w="8778" w:type="dxa"/>
        <w:jc w:val="center"/>
        <w:tblLayout w:type="fixed"/>
        <w:tblCellMar>
          <w:top w:w="15" w:type="dxa"/>
        </w:tblCellMar>
        <w:tblLook w:val="04A0" w:firstRow="1" w:lastRow="0" w:firstColumn="1" w:lastColumn="0" w:noHBand="0" w:noVBand="1"/>
      </w:tblPr>
      <w:tblGrid>
        <w:gridCol w:w="1309"/>
        <w:gridCol w:w="1854"/>
        <w:gridCol w:w="2684"/>
        <w:gridCol w:w="2688"/>
        <w:gridCol w:w="243"/>
      </w:tblGrid>
      <w:tr w:rsidR="00E535D9" w:rsidRPr="00E535D9" w14:paraId="2070E210" w14:textId="77777777" w:rsidTr="00E535D9">
        <w:trPr>
          <w:gridAfter w:val="1"/>
          <w:wAfter w:w="240" w:type="dxa"/>
          <w:trHeight w:val="330"/>
          <w:jc w:val="center"/>
        </w:trPr>
        <w:tc>
          <w:tcPr>
            <w:tcW w:w="8538"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D2493" w14:textId="77777777" w:rsidR="00E535D9" w:rsidRPr="00E535D9" w:rsidRDefault="00E535D9" w:rsidP="00E535D9">
            <w:pPr>
              <w:widowControl/>
              <w:jc w:val="center"/>
              <w:rPr>
                <w:rFonts w:ascii="宋体" w:hAnsi="宋体" w:cs="宋体"/>
                <w:b/>
                <w:bCs/>
                <w:color w:val="000000"/>
                <w:kern w:val="0"/>
                <w:sz w:val="20"/>
              </w:rPr>
            </w:pPr>
            <w:r w:rsidRPr="00E535D9">
              <w:rPr>
                <w:rFonts w:ascii="宋体" w:hAnsi="宋体" w:cs="宋体" w:hint="eastAsia"/>
                <w:b/>
                <w:bCs/>
                <w:color w:val="000000"/>
                <w:kern w:val="0"/>
                <w:sz w:val="20"/>
              </w:rPr>
              <w:t>Wind  ESG指标体系</w:t>
            </w:r>
          </w:p>
        </w:tc>
      </w:tr>
      <w:tr w:rsidR="00E535D9" w:rsidRPr="00E535D9" w14:paraId="61E99F6D" w14:textId="77777777" w:rsidTr="00E535D9">
        <w:trPr>
          <w:gridAfter w:val="1"/>
          <w:wAfter w:w="243" w:type="dxa"/>
          <w:trHeight w:val="330"/>
          <w:jc w:val="center"/>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59D3E4E" w14:textId="77777777" w:rsidR="00E535D9" w:rsidRPr="00E535D9" w:rsidRDefault="00E535D9" w:rsidP="00E535D9">
            <w:pPr>
              <w:widowControl/>
              <w:jc w:val="center"/>
              <w:rPr>
                <w:rFonts w:ascii="宋体" w:hAnsi="宋体" w:cs="宋体"/>
                <w:b/>
                <w:bCs/>
                <w:color w:val="000000"/>
                <w:kern w:val="0"/>
                <w:sz w:val="20"/>
              </w:rPr>
            </w:pPr>
            <w:r w:rsidRPr="00E535D9">
              <w:rPr>
                <w:rFonts w:ascii="宋体" w:hAnsi="宋体" w:cs="宋体" w:hint="eastAsia"/>
                <w:b/>
                <w:bCs/>
                <w:color w:val="000000"/>
                <w:kern w:val="0"/>
                <w:sz w:val="20"/>
              </w:rPr>
              <w:t>3大维度</w:t>
            </w:r>
          </w:p>
        </w:tc>
        <w:tc>
          <w:tcPr>
            <w:tcW w:w="1855" w:type="dxa"/>
            <w:tcBorders>
              <w:top w:val="nil"/>
              <w:left w:val="nil"/>
              <w:bottom w:val="single" w:sz="4" w:space="0" w:color="auto"/>
              <w:right w:val="single" w:sz="4" w:space="0" w:color="auto"/>
            </w:tcBorders>
            <w:shd w:val="clear" w:color="auto" w:fill="auto"/>
            <w:noWrap/>
            <w:vAlign w:val="bottom"/>
            <w:hideMark/>
          </w:tcPr>
          <w:p w14:paraId="1C6BFC8C" w14:textId="77777777" w:rsidR="00E535D9" w:rsidRPr="00E535D9" w:rsidRDefault="00E535D9" w:rsidP="00E535D9">
            <w:pPr>
              <w:widowControl/>
              <w:jc w:val="center"/>
              <w:rPr>
                <w:rFonts w:ascii="宋体" w:hAnsi="宋体" w:cs="宋体"/>
                <w:b/>
                <w:bCs/>
                <w:color w:val="000000"/>
                <w:kern w:val="0"/>
                <w:sz w:val="20"/>
              </w:rPr>
            </w:pPr>
            <w:r w:rsidRPr="00E535D9">
              <w:rPr>
                <w:rFonts w:ascii="宋体" w:hAnsi="宋体" w:cs="宋体" w:hint="eastAsia"/>
                <w:b/>
                <w:bCs/>
                <w:color w:val="000000"/>
                <w:kern w:val="0"/>
                <w:sz w:val="20"/>
              </w:rPr>
              <w:t>环境</w:t>
            </w:r>
          </w:p>
        </w:tc>
        <w:tc>
          <w:tcPr>
            <w:tcW w:w="2685" w:type="dxa"/>
            <w:tcBorders>
              <w:top w:val="nil"/>
              <w:left w:val="nil"/>
              <w:bottom w:val="single" w:sz="4" w:space="0" w:color="auto"/>
              <w:right w:val="single" w:sz="4" w:space="0" w:color="auto"/>
            </w:tcBorders>
            <w:shd w:val="clear" w:color="auto" w:fill="auto"/>
            <w:noWrap/>
            <w:vAlign w:val="bottom"/>
            <w:hideMark/>
          </w:tcPr>
          <w:p w14:paraId="75C441E6" w14:textId="77777777" w:rsidR="00E535D9" w:rsidRPr="00E535D9" w:rsidRDefault="00E535D9" w:rsidP="00E535D9">
            <w:pPr>
              <w:widowControl/>
              <w:jc w:val="center"/>
              <w:rPr>
                <w:rFonts w:ascii="宋体" w:hAnsi="宋体" w:cs="宋体"/>
                <w:b/>
                <w:bCs/>
                <w:color w:val="000000"/>
                <w:kern w:val="0"/>
                <w:sz w:val="20"/>
              </w:rPr>
            </w:pPr>
            <w:r w:rsidRPr="00E535D9">
              <w:rPr>
                <w:rFonts w:ascii="宋体" w:hAnsi="宋体" w:cs="宋体" w:hint="eastAsia"/>
                <w:b/>
                <w:bCs/>
                <w:color w:val="000000"/>
                <w:kern w:val="0"/>
                <w:sz w:val="20"/>
              </w:rPr>
              <w:t>社会</w:t>
            </w:r>
          </w:p>
        </w:tc>
        <w:tc>
          <w:tcPr>
            <w:tcW w:w="2686" w:type="dxa"/>
            <w:tcBorders>
              <w:top w:val="nil"/>
              <w:left w:val="nil"/>
              <w:bottom w:val="single" w:sz="4" w:space="0" w:color="auto"/>
              <w:right w:val="single" w:sz="4" w:space="0" w:color="auto"/>
            </w:tcBorders>
            <w:shd w:val="clear" w:color="auto" w:fill="auto"/>
            <w:noWrap/>
            <w:vAlign w:val="bottom"/>
            <w:hideMark/>
          </w:tcPr>
          <w:p w14:paraId="052119DB" w14:textId="77777777" w:rsidR="00E535D9" w:rsidRPr="00E535D9" w:rsidRDefault="00E535D9" w:rsidP="00E535D9">
            <w:pPr>
              <w:widowControl/>
              <w:jc w:val="center"/>
              <w:rPr>
                <w:rFonts w:ascii="宋体" w:hAnsi="宋体" w:cs="宋体"/>
                <w:b/>
                <w:bCs/>
                <w:color w:val="000000"/>
                <w:kern w:val="0"/>
                <w:sz w:val="20"/>
              </w:rPr>
            </w:pPr>
            <w:r w:rsidRPr="00E535D9">
              <w:rPr>
                <w:rFonts w:ascii="宋体" w:hAnsi="宋体" w:cs="宋体" w:hint="eastAsia"/>
                <w:b/>
                <w:bCs/>
                <w:color w:val="000000"/>
                <w:kern w:val="0"/>
                <w:sz w:val="20"/>
              </w:rPr>
              <w:t>治理</w:t>
            </w:r>
          </w:p>
        </w:tc>
      </w:tr>
      <w:tr w:rsidR="00E535D9" w:rsidRPr="00E535D9" w14:paraId="679EFC99" w14:textId="77777777" w:rsidTr="00E535D9">
        <w:trPr>
          <w:gridAfter w:val="1"/>
          <w:wAfter w:w="243" w:type="dxa"/>
          <w:trHeight w:val="359"/>
          <w:jc w:val="center"/>
        </w:trPr>
        <w:tc>
          <w:tcPr>
            <w:tcW w:w="130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9613A1" w14:textId="77777777" w:rsidR="00E535D9" w:rsidRPr="00E535D9" w:rsidRDefault="00E535D9" w:rsidP="00E535D9">
            <w:pPr>
              <w:widowControl/>
              <w:jc w:val="left"/>
              <w:rPr>
                <w:rFonts w:ascii="宋体" w:hAnsi="宋体" w:cs="宋体"/>
                <w:color w:val="000000"/>
                <w:kern w:val="0"/>
                <w:sz w:val="20"/>
              </w:rPr>
            </w:pPr>
            <w:r w:rsidRPr="00E535D9">
              <w:rPr>
                <w:rFonts w:ascii="宋体" w:hAnsi="宋体" w:cs="宋体" w:hint="eastAsia"/>
                <w:color w:val="000000"/>
                <w:kern w:val="0"/>
                <w:sz w:val="20"/>
              </w:rPr>
              <w:t>27个议题</w:t>
            </w:r>
          </w:p>
        </w:tc>
        <w:tc>
          <w:tcPr>
            <w:tcW w:w="185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A7BEB11" w14:textId="77777777" w:rsidR="00E535D9" w:rsidRPr="00E535D9" w:rsidRDefault="00E535D9" w:rsidP="00E535D9">
            <w:pPr>
              <w:widowControl/>
              <w:jc w:val="center"/>
              <w:rPr>
                <w:rFonts w:ascii="宋体" w:hAnsi="宋体" w:cs="宋体"/>
                <w:color w:val="000000"/>
                <w:kern w:val="0"/>
                <w:sz w:val="20"/>
              </w:rPr>
            </w:pPr>
            <w:r w:rsidRPr="00E535D9">
              <w:rPr>
                <w:rFonts w:ascii="宋体" w:hAnsi="宋体" w:cs="宋体" w:hint="eastAsia"/>
                <w:color w:val="000000"/>
                <w:kern w:val="0"/>
                <w:sz w:val="20"/>
              </w:rPr>
              <w:t>环境管理、能源与气候变化、水资源、原材料与废弃物、废气废水、生物多样性</w:t>
            </w:r>
          </w:p>
        </w:tc>
        <w:tc>
          <w:tcPr>
            <w:tcW w:w="268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EF5D461" w14:textId="77777777" w:rsidR="00E535D9" w:rsidRPr="00E535D9" w:rsidRDefault="00E535D9" w:rsidP="00E535D9">
            <w:pPr>
              <w:widowControl/>
              <w:jc w:val="center"/>
              <w:rPr>
                <w:rFonts w:ascii="宋体" w:hAnsi="宋体" w:cs="宋体"/>
                <w:color w:val="000000"/>
                <w:kern w:val="0"/>
                <w:sz w:val="20"/>
              </w:rPr>
            </w:pPr>
            <w:r w:rsidRPr="00E535D9">
              <w:rPr>
                <w:rFonts w:ascii="宋体" w:hAnsi="宋体" w:cs="宋体" w:hint="eastAsia"/>
                <w:color w:val="000000"/>
                <w:kern w:val="0"/>
                <w:sz w:val="20"/>
              </w:rPr>
              <w:t>雇佣、职业健康与安全生产、发展与培训、研发与创新、供应链、产品质量、可持续产品、客户、隐私保护</w:t>
            </w:r>
          </w:p>
        </w:tc>
        <w:tc>
          <w:tcPr>
            <w:tcW w:w="268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7E1419E" w14:textId="77777777" w:rsidR="00E535D9" w:rsidRPr="00E535D9" w:rsidRDefault="00E535D9" w:rsidP="00E535D9">
            <w:pPr>
              <w:widowControl/>
              <w:jc w:val="center"/>
              <w:rPr>
                <w:rFonts w:ascii="宋体" w:hAnsi="宋体" w:cs="宋体"/>
                <w:color w:val="000000"/>
                <w:kern w:val="0"/>
                <w:sz w:val="20"/>
              </w:rPr>
            </w:pPr>
            <w:r w:rsidRPr="00E535D9">
              <w:rPr>
                <w:rFonts w:ascii="宋体" w:hAnsi="宋体" w:cs="宋体" w:hint="eastAsia"/>
                <w:color w:val="000000"/>
                <w:kern w:val="0"/>
                <w:sz w:val="20"/>
              </w:rPr>
              <w:t>ESG治理、董监高、股权及股东、审计、业务连续性管理、贪污腐败、反垄断与公平竞争</w:t>
            </w:r>
          </w:p>
        </w:tc>
      </w:tr>
      <w:tr w:rsidR="00E535D9" w:rsidRPr="00E535D9" w14:paraId="319F1092" w14:textId="77777777" w:rsidTr="00E535D9">
        <w:trPr>
          <w:trHeight w:val="330"/>
          <w:jc w:val="center"/>
        </w:trPr>
        <w:tc>
          <w:tcPr>
            <w:tcW w:w="1309" w:type="dxa"/>
            <w:vMerge/>
            <w:tcBorders>
              <w:top w:val="nil"/>
              <w:left w:val="single" w:sz="4" w:space="0" w:color="auto"/>
              <w:bottom w:val="single" w:sz="4" w:space="0" w:color="auto"/>
              <w:right w:val="single" w:sz="4" w:space="0" w:color="auto"/>
            </w:tcBorders>
            <w:vAlign w:val="center"/>
            <w:hideMark/>
          </w:tcPr>
          <w:p w14:paraId="594D6E3F" w14:textId="77777777" w:rsidR="00E535D9" w:rsidRPr="00E535D9" w:rsidRDefault="00E535D9" w:rsidP="00E535D9">
            <w:pPr>
              <w:widowControl/>
              <w:jc w:val="left"/>
              <w:rPr>
                <w:rFonts w:ascii="宋体" w:hAnsi="宋体" w:cs="宋体"/>
                <w:color w:val="000000"/>
                <w:kern w:val="0"/>
                <w:sz w:val="20"/>
              </w:rPr>
            </w:pPr>
          </w:p>
        </w:tc>
        <w:tc>
          <w:tcPr>
            <w:tcW w:w="1855" w:type="dxa"/>
            <w:vMerge/>
            <w:tcBorders>
              <w:top w:val="nil"/>
              <w:left w:val="single" w:sz="4" w:space="0" w:color="auto"/>
              <w:bottom w:val="single" w:sz="4" w:space="0" w:color="auto"/>
              <w:right w:val="single" w:sz="4" w:space="0" w:color="auto"/>
            </w:tcBorders>
            <w:vAlign w:val="center"/>
            <w:hideMark/>
          </w:tcPr>
          <w:p w14:paraId="0A8B399C" w14:textId="77777777" w:rsidR="00E535D9" w:rsidRPr="00E535D9" w:rsidRDefault="00E535D9" w:rsidP="00E535D9">
            <w:pPr>
              <w:widowControl/>
              <w:jc w:val="left"/>
              <w:rPr>
                <w:rFonts w:ascii="宋体" w:hAnsi="宋体" w:cs="宋体"/>
                <w:color w:val="000000"/>
                <w:kern w:val="0"/>
                <w:sz w:val="20"/>
              </w:rPr>
            </w:pPr>
          </w:p>
        </w:tc>
        <w:tc>
          <w:tcPr>
            <w:tcW w:w="2685" w:type="dxa"/>
            <w:vMerge/>
            <w:tcBorders>
              <w:top w:val="nil"/>
              <w:left w:val="single" w:sz="4" w:space="0" w:color="auto"/>
              <w:bottom w:val="single" w:sz="4" w:space="0" w:color="auto"/>
              <w:right w:val="single" w:sz="4" w:space="0" w:color="auto"/>
            </w:tcBorders>
            <w:vAlign w:val="center"/>
            <w:hideMark/>
          </w:tcPr>
          <w:p w14:paraId="1A2DDD88" w14:textId="77777777" w:rsidR="00E535D9" w:rsidRPr="00E535D9" w:rsidRDefault="00E535D9" w:rsidP="00E535D9">
            <w:pPr>
              <w:widowControl/>
              <w:jc w:val="left"/>
              <w:rPr>
                <w:rFonts w:ascii="宋体" w:hAnsi="宋体" w:cs="宋体"/>
                <w:color w:val="000000"/>
                <w:kern w:val="0"/>
                <w:sz w:val="20"/>
              </w:rPr>
            </w:pPr>
          </w:p>
        </w:tc>
        <w:tc>
          <w:tcPr>
            <w:tcW w:w="2686" w:type="dxa"/>
            <w:vMerge/>
            <w:tcBorders>
              <w:top w:val="nil"/>
              <w:left w:val="single" w:sz="4" w:space="0" w:color="auto"/>
              <w:bottom w:val="single" w:sz="4" w:space="0" w:color="auto"/>
              <w:right w:val="single" w:sz="4" w:space="0" w:color="auto"/>
            </w:tcBorders>
            <w:vAlign w:val="center"/>
            <w:hideMark/>
          </w:tcPr>
          <w:p w14:paraId="6C98654C" w14:textId="77777777" w:rsidR="00E535D9" w:rsidRPr="00E535D9" w:rsidRDefault="00E535D9" w:rsidP="00E535D9">
            <w:pPr>
              <w:widowControl/>
              <w:jc w:val="left"/>
              <w:rPr>
                <w:rFonts w:ascii="宋体" w:hAnsi="宋体" w:cs="宋体"/>
                <w:color w:val="000000"/>
                <w:kern w:val="0"/>
                <w:sz w:val="20"/>
              </w:rPr>
            </w:pPr>
          </w:p>
        </w:tc>
        <w:tc>
          <w:tcPr>
            <w:tcW w:w="243" w:type="dxa"/>
            <w:tcBorders>
              <w:top w:val="nil"/>
              <w:left w:val="nil"/>
              <w:bottom w:val="nil"/>
              <w:right w:val="nil"/>
            </w:tcBorders>
            <w:shd w:val="clear" w:color="auto" w:fill="auto"/>
            <w:noWrap/>
            <w:vAlign w:val="bottom"/>
            <w:hideMark/>
          </w:tcPr>
          <w:p w14:paraId="2D730BF9" w14:textId="77777777" w:rsidR="00E535D9" w:rsidRPr="00E535D9" w:rsidRDefault="00E535D9" w:rsidP="00E535D9">
            <w:pPr>
              <w:widowControl/>
              <w:jc w:val="center"/>
              <w:rPr>
                <w:rFonts w:ascii="宋体" w:hAnsi="宋体" w:cs="宋体"/>
                <w:color w:val="000000"/>
                <w:kern w:val="0"/>
                <w:sz w:val="20"/>
              </w:rPr>
            </w:pPr>
          </w:p>
        </w:tc>
      </w:tr>
      <w:tr w:rsidR="00E535D9" w:rsidRPr="00E535D9" w14:paraId="0E37D15A" w14:textId="77777777" w:rsidTr="00E535D9">
        <w:trPr>
          <w:trHeight w:val="330"/>
          <w:jc w:val="center"/>
        </w:trPr>
        <w:tc>
          <w:tcPr>
            <w:tcW w:w="1309" w:type="dxa"/>
            <w:vMerge/>
            <w:tcBorders>
              <w:top w:val="nil"/>
              <w:left w:val="single" w:sz="4" w:space="0" w:color="auto"/>
              <w:bottom w:val="single" w:sz="4" w:space="0" w:color="auto"/>
              <w:right w:val="single" w:sz="4" w:space="0" w:color="auto"/>
            </w:tcBorders>
            <w:vAlign w:val="center"/>
            <w:hideMark/>
          </w:tcPr>
          <w:p w14:paraId="3E4B84F6" w14:textId="77777777" w:rsidR="00E535D9" w:rsidRPr="00E535D9" w:rsidRDefault="00E535D9" w:rsidP="00E535D9">
            <w:pPr>
              <w:widowControl/>
              <w:jc w:val="left"/>
              <w:rPr>
                <w:rFonts w:ascii="宋体" w:hAnsi="宋体" w:cs="宋体"/>
                <w:color w:val="000000"/>
                <w:kern w:val="0"/>
                <w:sz w:val="20"/>
              </w:rPr>
            </w:pPr>
          </w:p>
        </w:tc>
        <w:tc>
          <w:tcPr>
            <w:tcW w:w="1855" w:type="dxa"/>
            <w:vMerge/>
            <w:tcBorders>
              <w:top w:val="nil"/>
              <w:left w:val="single" w:sz="4" w:space="0" w:color="auto"/>
              <w:bottom w:val="single" w:sz="4" w:space="0" w:color="auto"/>
              <w:right w:val="single" w:sz="4" w:space="0" w:color="auto"/>
            </w:tcBorders>
            <w:vAlign w:val="center"/>
            <w:hideMark/>
          </w:tcPr>
          <w:p w14:paraId="723895A0" w14:textId="77777777" w:rsidR="00E535D9" w:rsidRPr="00E535D9" w:rsidRDefault="00E535D9" w:rsidP="00E535D9">
            <w:pPr>
              <w:widowControl/>
              <w:jc w:val="left"/>
              <w:rPr>
                <w:rFonts w:ascii="宋体" w:hAnsi="宋体" w:cs="宋体"/>
                <w:color w:val="000000"/>
                <w:kern w:val="0"/>
                <w:sz w:val="20"/>
              </w:rPr>
            </w:pPr>
          </w:p>
        </w:tc>
        <w:tc>
          <w:tcPr>
            <w:tcW w:w="2685" w:type="dxa"/>
            <w:vMerge/>
            <w:tcBorders>
              <w:top w:val="nil"/>
              <w:left w:val="single" w:sz="4" w:space="0" w:color="auto"/>
              <w:bottom w:val="single" w:sz="4" w:space="0" w:color="auto"/>
              <w:right w:val="single" w:sz="4" w:space="0" w:color="auto"/>
            </w:tcBorders>
            <w:vAlign w:val="center"/>
            <w:hideMark/>
          </w:tcPr>
          <w:p w14:paraId="7FD1072B" w14:textId="77777777" w:rsidR="00E535D9" w:rsidRPr="00E535D9" w:rsidRDefault="00E535D9" w:rsidP="00E535D9">
            <w:pPr>
              <w:widowControl/>
              <w:jc w:val="left"/>
              <w:rPr>
                <w:rFonts w:ascii="宋体" w:hAnsi="宋体" w:cs="宋体"/>
                <w:color w:val="000000"/>
                <w:kern w:val="0"/>
                <w:sz w:val="20"/>
              </w:rPr>
            </w:pPr>
          </w:p>
        </w:tc>
        <w:tc>
          <w:tcPr>
            <w:tcW w:w="2686" w:type="dxa"/>
            <w:vMerge/>
            <w:tcBorders>
              <w:top w:val="nil"/>
              <w:left w:val="single" w:sz="4" w:space="0" w:color="auto"/>
              <w:bottom w:val="single" w:sz="4" w:space="0" w:color="auto"/>
              <w:right w:val="single" w:sz="4" w:space="0" w:color="auto"/>
            </w:tcBorders>
            <w:vAlign w:val="center"/>
            <w:hideMark/>
          </w:tcPr>
          <w:p w14:paraId="110CFA21" w14:textId="77777777" w:rsidR="00E535D9" w:rsidRPr="00E535D9" w:rsidRDefault="00E535D9" w:rsidP="00E535D9">
            <w:pPr>
              <w:widowControl/>
              <w:jc w:val="left"/>
              <w:rPr>
                <w:rFonts w:ascii="宋体" w:hAnsi="宋体" w:cs="宋体"/>
                <w:color w:val="000000"/>
                <w:kern w:val="0"/>
                <w:sz w:val="20"/>
              </w:rPr>
            </w:pPr>
          </w:p>
        </w:tc>
        <w:tc>
          <w:tcPr>
            <w:tcW w:w="243" w:type="dxa"/>
            <w:tcBorders>
              <w:top w:val="nil"/>
              <w:left w:val="nil"/>
              <w:bottom w:val="nil"/>
              <w:right w:val="nil"/>
            </w:tcBorders>
            <w:shd w:val="clear" w:color="auto" w:fill="auto"/>
            <w:noWrap/>
            <w:vAlign w:val="bottom"/>
            <w:hideMark/>
          </w:tcPr>
          <w:p w14:paraId="39E4810E" w14:textId="77777777" w:rsidR="00E535D9" w:rsidRPr="00E535D9" w:rsidRDefault="00E535D9" w:rsidP="00E535D9">
            <w:pPr>
              <w:widowControl/>
              <w:jc w:val="left"/>
              <w:rPr>
                <w:rFonts w:eastAsia="Times New Roman"/>
                <w:kern w:val="0"/>
                <w:sz w:val="20"/>
              </w:rPr>
            </w:pPr>
          </w:p>
        </w:tc>
      </w:tr>
      <w:tr w:rsidR="00E535D9" w:rsidRPr="00E535D9" w14:paraId="6CE7E910" w14:textId="77777777" w:rsidTr="00E535D9">
        <w:trPr>
          <w:trHeight w:val="1036"/>
          <w:jc w:val="center"/>
        </w:trPr>
        <w:tc>
          <w:tcPr>
            <w:tcW w:w="1309" w:type="dxa"/>
            <w:vMerge/>
            <w:tcBorders>
              <w:top w:val="nil"/>
              <w:left w:val="single" w:sz="4" w:space="0" w:color="auto"/>
              <w:bottom w:val="single" w:sz="4" w:space="0" w:color="auto"/>
              <w:right w:val="single" w:sz="4" w:space="0" w:color="auto"/>
            </w:tcBorders>
            <w:vAlign w:val="center"/>
            <w:hideMark/>
          </w:tcPr>
          <w:p w14:paraId="0E672651" w14:textId="77777777" w:rsidR="00E535D9" w:rsidRPr="00E535D9" w:rsidRDefault="00E535D9" w:rsidP="00E535D9">
            <w:pPr>
              <w:widowControl/>
              <w:jc w:val="left"/>
              <w:rPr>
                <w:rFonts w:ascii="宋体" w:hAnsi="宋体" w:cs="宋体"/>
                <w:color w:val="000000"/>
                <w:kern w:val="0"/>
                <w:sz w:val="20"/>
              </w:rPr>
            </w:pPr>
          </w:p>
        </w:tc>
        <w:tc>
          <w:tcPr>
            <w:tcW w:w="1855" w:type="dxa"/>
            <w:vMerge/>
            <w:tcBorders>
              <w:top w:val="nil"/>
              <w:left w:val="single" w:sz="4" w:space="0" w:color="auto"/>
              <w:bottom w:val="single" w:sz="4" w:space="0" w:color="auto"/>
              <w:right w:val="single" w:sz="4" w:space="0" w:color="auto"/>
            </w:tcBorders>
            <w:vAlign w:val="center"/>
            <w:hideMark/>
          </w:tcPr>
          <w:p w14:paraId="2635A2E1" w14:textId="77777777" w:rsidR="00E535D9" w:rsidRPr="00E535D9" w:rsidRDefault="00E535D9" w:rsidP="00E535D9">
            <w:pPr>
              <w:widowControl/>
              <w:jc w:val="left"/>
              <w:rPr>
                <w:rFonts w:ascii="宋体" w:hAnsi="宋体" w:cs="宋体"/>
                <w:color w:val="000000"/>
                <w:kern w:val="0"/>
                <w:sz w:val="20"/>
              </w:rPr>
            </w:pPr>
          </w:p>
        </w:tc>
        <w:tc>
          <w:tcPr>
            <w:tcW w:w="2685" w:type="dxa"/>
            <w:vMerge/>
            <w:tcBorders>
              <w:top w:val="nil"/>
              <w:left w:val="single" w:sz="4" w:space="0" w:color="auto"/>
              <w:bottom w:val="single" w:sz="4" w:space="0" w:color="auto"/>
              <w:right w:val="single" w:sz="4" w:space="0" w:color="auto"/>
            </w:tcBorders>
            <w:vAlign w:val="center"/>
            <w:hideMark/>
          </w:tcPr>
          <w:p w14:paraId="72B66714" w14:textId="77777777" w:rsidR="00E535D9" w:rsidRPr="00E535D9" w:rsidRDefault="00E535D9" w:rsidP="00E535D9">
            <w:pPr>
              <w:widowControl/>
              <w:jc w:val="left"/>
              <w:rPr>
                <w:rFonts w:ascii="宋体" w:hAnsi="宋体" w:cs="宋体"/>
                <w:color w:val="000000"/>
                <w:kern w:val="0"/>
                <w:sz w:val="20"/>
              </w:rPr>
            </w:pPr>
          </w:p>
        </w:tc>
        <w:tc>
          <w:tcPr>
            <w:tcW w:w="2686" w:type="dxa"/>
            <w:vMerge/>
            <w:tcBorders>
              <w:top w:val="nil"/>
              <w:left w:val="single" w:sz="4" w:space="0" w:color="auto"/>
              <w:bottom w:val="single" w:sz="4" w:space="0" w:color="auto"/>
              <w:right w:val="single" w:sz="4" w:space="0" w:color="auto"/>
            </w:tcBorders>
            <w:vAlign w:val="center"/>
            <w:hideMark/>
          </w:tcPr>
          <w:p w14:paraId="5A9D6632" w14:textId="77777777" w:rsidR="00E535D9" w:rsidRPr="00E535D9" w:rsidRDefault="00E535D9" w:rsidP="00E535D9">
            <w:pPr>
              <w:widowControl/>
              <w:jc w:val="left"/>
              <w:rPr>
                <w:rFonts w:ascii="宋体" w:hAnsi="宋体" w:cs="宋体"/>
                <w:color w:val="000000"/>
                <w:kern w:val="0"/>
                <w:sz w:val="20"/>
              </w:rPr>
            </w:pPr>
          </w:p>
        </w:tc>
        <w:tc>
          <w:tcPr>
            <w:tcW w:w="243" w:type="dxa"/>
            <w:tcBorders>
              <w:top w:val="nil"/>
              <w:left w:val="nil"/>
              <w:bottom w:val="nil"/>
              <w:right w:val="nil"/>
            </w:tcBorders>
            <w:shd w:val="clear" w:color="auto" w:fill="auto"/>
            <w:noWrap/>
            <w:vAlign w:val="bottom"/>
            <w:hideMark/>
          </w:tcPr>
          <w:p w14:paraId="636676C9" w14:textId="77777777" w:rsidR="00E535D9" w:rsidRPr="00E535D9" w:rsidRDefault="00E535D9" w:rsidP="00E535D9">
            <w:pPr>
              <w:widowControl/>
              <w:jc w:val="left"/>
              <w:rPr>
                <w:rFonts w:eastAsia="Times New Roman"/>
                <w:kern w:val="0"/>
                <w:sz w:val="20"/>
              </w:rPr>
            </w:pPr>
          </w:p>
        </w:tc>
      </w:tr>
    </w:tbl>
    <w:p w14:paraId="19434583" w14:textId="44296952" w:rsidR="00DE45DD" w:rsidRDefault="00DE45DD" w:rsidP="00E535D9">
      <w:pPr>
        <w:spacing w:line="360" w:lineRule="auto"/>
        <w:ind w:firstLineChars="200" w:firstLine="480"/>
        <w:rPr>
          <w:rFonts w:ascii="宋体" w:hAnsi="宋体"/>
          <w:sz w:val="24"/>
          <w:szCs w:val="24"/>
        </w:rPr>
      </w:pPr>
      <w:r>
        <w:rPr>
          <w:rFonts w:ascii="宋体" w:hAnsi="宋体" w:hint="eastAsia"/>
          <w:sz w:val="24"/>
          <w:szCs w:val="24"/>
        </w:rPr>
        <w:t>本文样本数据主要来源为W</w:t>
      </w:r>
      <w:r>
        <w:rPr>
          <w:rFonts w:ascii="宋体" w:hAnsi="宋体"/>
          <w:sz w:val="24"/>
          <w:szCs w:val="24"/>
        </w:rPr>
        <w:t>ind</w:t>
      </w:r>
      <w:r>
        <w:rPr>
          <w:rFonts w:ascii="宋体" w:hAnsi="宋体" w:hint="eastAsia"/>
          <w:sz w:val="24"/>
          <w:szCs w:val="24"/>
        </w:rPr>
        <w:t>数据库，选取的</w:t>
      </w:r>
      <w:bookmarkStart w:id="44" w:name="_Hlk102040079"/>
      <w:r>
        <w:rPr>
          <w:rFonts w:ascii="宋体" w:hAnsi="宋体" w:hint="eastAsia"/>
          <w:sz w:val="24"/>
          <w:szCs w:val="24"/>
        </w:rPr>
        <w:t>样本区间为2</w:t>
      </w:r>
      <w:r>
        <w:rPr>
          <w:rFonts w:ascii="宋体" w:hAnsi="宋体"/>
          <w:sz w:val="24"/>
          <w:szCs w:val="24"/>
        </w:rPr>
        <w:t>019</w:t>
      </w:r>
      <w:r>
        <w:rPr>
          <w:rFonts w:ascii="宋体" w:hAnsi="宋体" w:hint="eastAsia"/>
          <w:sz w:val="24"/>
          <w:szCs w:val="24"/>
        </w:rPr>
        <w:t>年1月至2</w:t>
      </w:r>
      <w:r>
        <w:rPr>
          <w:rFonts w:ascii="宋体" w:hAnsi="宋体"/>
          <w:sz w:val="24"/>
          <w:szCs w:val="24"/>
        </w:rPr>
        <w:t>021年</w:t>
      </w:r>
      <w:r>
        <w:rPr>
          <w:rFonts w:ascii="宋体" w:hAnsi="宋体" w:hint="eastAsia"/>
          <w:sz w:val="24"/>
          <w:szCs w:val="24"/>
        </w:rPr>
        <w:t>1</w:t>
      </w:r>
      <w:r>
        <w:rPr>
          <w:rFonts w:ascii="宋体" w:hAnsi="宋体"/>
          <w:sz w:val="24"/>
          <w:szCs w:val="24"/>
        </w:rPr>
        <w:t>2月</w:t>
      </w:r>
      <w:bookmarkEnd w:id="44"/>
      <w:r>
        <w:rPr>
          <w:rFonts w:ascii="宋体" w:hAnsi="宋体"/>
          <w:sz w:val="24"/>
          <w:szCs w:val="24"/>
        </w:rPr>
        <w:t>，</w:t>
      </w:r>
      <w:r>
        <w:rPr>
          <w:rFonts w:ascii="宋体" w:hAnsi="宋体" w:hint="eastAsia"/>
          <w:sz w:val="24"/>
          <w:szCs w:val="24"/>
        </w:rPr>
        <w:t>无风险利率选取数据为一年定存利率（税前），标的指数选取的指数为沪深</w:t>
      </w:r>
      <w:r w:rsidRPr="00450C54">
        <w:rPr>
          <w:rFonts w:ascii="宋体" w:hAnsi="宋体"/>
          <w:sz w:val="24"/>
          <w:szCs w:val="24"/>
        </w:rPr>
        <w:t>300指数。其中ESG相关指标直接来源于Wind数据库ESG评分。</w:t>
      </w:r>
      <w:r>
        <w:rPr>
          <w:rFonts w:ascii="宋体" w:hAnsi="宋体" w:hint="eastAsia"/>
          <w:sz w:val="24"/>
          <w:szCs w:val="24"/>
        </w:rPr>
        <w:t>具体的指标选取如下：</w:t>
      </w:r>
    </w:p>
    <w:p w14:paraId="03BA58E4" w14:textId="70B4D6F6" w:rsidR="003B59DA" w:rsidRPr="003B59DA" w:rsidRDefault="003B59DA" w:rsidP="003B59DA">
      <w:pPr>
        <w:spacing w:line="360" w:lineRule="auto"/>
        <w:ind w:firstLineChars="200" w:firstLine="420"/>
        <w:jc w:val="center"/>
        <w:rPr>
          <w:rFonts w:ascii="宋体" w:hAnsi="宋体"/>
          <w:szCs w:val="21"/>
        </w:rPr>
      </w:pPr>
      <w:r w:rsidRPr="003B59DA">
        <w:rPr>
          <w:rFonts w:ascii="宋体" w:hAnsi="宋体" w:hint="eastAsia"/>
          <w:szCs w:val="21"/>
        </w:rPr>
        <w:t>表</w:t>
      </w:r>
      <w:r w:rsidR="00752231">
        <w:rPr>
          <w:rFonts w:ascii="宋体" w:hAnsi="宋体" w:hint="eastAsia"/>
          <w:szCs w:val="21"/>
        </w:rPr>
        <w:t>3</w:t>
      </w:r>
      <w:r w:rsidR="00752231">
        <w:rPr>
          <w:rFonts w:ascii="宋体" w:hAnsi="宋体"/>
          <w:szCs w:val="21"/>
        </w:rPr>
        <w:t>-</w:t>
      </w:r>
      <w:r w:rsidR="00E535D9">
        <w:rPr>
          <w:rFonts w:ascii="宋体" w:hAnsi="宋体"/>
          <w:szCs w:val="21"/>
        </w:rPr>
        <w:t>2</w:t>
      </w:r>
      <w:r w:rsidRPr="003B59DA">
        <w:rPr>
          <w:rFonts w:ascii="宋体" w:hAnsi="宋体" w:hint="eastAsia"/>
          <w:szCs w:val="21"/>
        </w:rPr>
        <w:t>：指标选取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3927"/>
      </w:tblGrid>
      <w:tr w:rsidR="00452F8E" w14:paraId="7F7D63FA" w14:textId="77777777" w:rsidTr="00E048D9">
        <w:tc>
          <w:tcPr>
            <w:tcW w:w="2074" w:type="dxa"/>
            <w:vMerge w:val="restart"/>
            <w:shd w:val="clear" w:color="auto" w:fill="auto"/>
            <w:vAlign w:val="center"/>
          </w:tcPr>
          <w:p w14:paraId="44CE6CBC" w14:textId="77777777" w:rsidR="00DE45DD" w:rsidRPr="00E048D9" w:rsidRDefault="00DE45DD" w:rsidP="00E048D9">
            <w:pPr>
              <w:spacing w:line="360" w:lineRule="auto"/>
              <w:jc w:val="center"/>
              <w:rPr>
                <w:rFonts w:ascii="宋体" w:hAnsi="宋体"/>
                <w:b/>
                <w:bCs/>
                <w:szCs w:val="21"/>
              </w:rPr>
            </w:pPr>
            <w:r w:rsidRPr="00E048D9">
              <w:rPr>
                <w:rFonts w:ascii="宋体" w:hAnsi="宋体" w:hint="eastAsia"/>
                <w:b/>
                <w:bCs/>
                <w:szCs w:val="21"/>
              </w:rPr>
              <w:t>风险指标</w:t>
            </w:r>
          </w:p>
        </w:tc>
        <w:tc>
          <w:tcPr>
            <w:tcW w:w="2074" w:type="dxa"/>
            <w:shd w:val="clear" w:color="auto" w:fill="auto"/>
          </w:tcPr>
          <w:p w14:paraId="3E2E4057" w14:textId="77777777" w:rsidR="00DE45DD" w:rsidRPr="00E048D9" w:rsidRDefault="00DE45DD" w:rsidP="00E048D9">
            <w:pPr>
              <w:spacing w:line="360" w:lineRule="auto"/>
              <w:rPr>
                <w:rFonts w:ascii="宋体" w:hAnsi="宋体"/>
                <w:szCs w:val="21"/>
              </w:rPr>
            </w:pPr>
            <w:r w:rsidRPr="00E048D9">
              <w:rPr>
                <w:rFonts w:ascii="宋体" w:hAnsi="宋体"/>
                <w:szCs w:val="21"/>
              </w:rPr>
              <w:t>收益标准差</w:t>
            </w:r>
          </w:p>
        </w:tc>
        <w:tc>
          <w:tcPr>
            <w:tcW w:w="3927" w:type="dxa"/>
            <w:shd w:val="clear" w:color="auto" w:fill="auto"/>
          </w:tcPr>
          <w:p w14:paraId="0F670D7E"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实际收益率与平均收益率分布离散程度</w:t>
            </w:r>
          </w:p>
        </w:tc>
      </w:tr>
      <w:tr w:rsidR="00452F8E" w14:paraId="0A50EA1C" w14:textId="77777777" w:rsidTr="00E048D9">
        <w:tc>
          <w:tcPr>
            <w:tcW w:w="2074" w:type="dxa"/>
            <w:vMerge/>
            <w:shd w:val="clear" w:color="auto" w:fill="auto"/>
          </w:tcPr>
          <w:p w14:paraId="0871596C" w14:textId="77777777" w:rsidR="00DE45DD" w:rsidRPr="00E048D9" w:rsidRDefault="00DE45DD" w:rsidP="00E048D9">
            <w:pPr>
              <w:spacing w:line="360" w:lineRule="auto"/>
              <w:rPr>
                <w:rFonts w:ascii="宋体" w:hAnsi="宋体"/>
                <w:b/>
                <w:bCs/>
                <w:szCs w:val="21"/>
              </w:rPr>
            </w:pPr>
          </w:p>
        </w:tc>
        <w:tc>
          <w:tcPr>
            <w:tcW w:w="2074" w:type="dxa"/>
            <w:shd w:val="clear" w:color="auto" w:fill="auto"/>
          </w:tcPr>
          <w:p w14:paraId="7F80316A" w14:textId="77777777" w:rsidR="00DE45DD" w:rsidRPr="00E048D9" w:rsidRDefault="00DE45DD" w:rsidP="00E048D9">
            <w:pPr>
              <w:spacing w:line="360" w:lineRule="auto"/>
              <w:rPr>
                <w:rFonts w:ascii="宋体" w:hAnsi="宋体"/>
                <w:szCs w:val="21"/>
              </w:rPr>
            </w:pPr>
            <w:r w:rsidRPr="00E048D9">
              <w:rPr>
                <w:rFonts w:ascii="宋体" w:hAnsi="宋体"/>
                <w:szCs w:val="21"/>
              </w:rPr>
              <w:t>年化波动率</w:t>
            </w:r>
          </w:p>
        </w:tc>
        <w:tc>
          <w:tcPr>
            <w:tcW w:w="3927" w:type="dxa"/>
            <w:shd w:val="clear" w:color="auto" w:fill="auto"/>
          </w:tcPr>
          <w:p w14:paraId="73F49DA6"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年回报率的对数值的标准差</w:t>
            </w:r>
          </w:p>
        </w:tc>
      </w:tr>
      <w:tr w:rsidR="00452F8E" w14:paraId="73E94AFC" w14:textId="77777777" w:rsidTr="00E048D9">
        <w:tc>
          <w:tcPr>
            <w:tcW w:w="2074" w:type="dxa"/>
            <w:vMerge/>
            <w:shd w:val="clear" w:color="auto" w:fill="auto"/>
          </w:tcPr>
          <w:p w14:paraId="5D31F0F0" w14:textId="77777777" w:rsidR="00DE45DD" w:rsidRPr="00E048D9" w:rsidRDefault="00DE45DD" w:rsidP="00E048D9">
            <w:pPr>
              <w:spacing w:line="360" w:lineRule="auto"/>
              <w:rPr>
                <w:rFonts w:ascii="宋体" w:hAnsi="宋体"/>
                <w:b/>
                <w:bCs/>
                <w:szCs w:val="21"/>
              </w:rPr>
            </w:pPr>
          </w:p>
        </w:tc>
        <w:tc>
          <w:tcPr>
            <w:tcW w:w="2074" w:type="dxa"/>
            <w:shd w:val="clear" w:color="auto" w:fill="auto"/>
          </w:tcPr>
          <w:p w14:paraId="5FF50CF0" w14:textId="77777777" w:rsidR="00DE45DD" w:rsidRPr="00E048D9" w:rsidRDefault="00DE45DD" w:rsidP="00E048D9">
            <w:pPr>
              <w:spacing w:line="360" w:lineRule="auto"/>
              <w:rPr>
                <w:rFonts w:ascii="宋体" w:hAnsi="宋体"/>
                <w:szCs w:val="21"/>
              </w:rPr>
            </w:pPr>
            <w:r w:rsidRPr="00E048D9">
              <w:rPr>
                <w:rFonts w:ascii="宋体" w:hAnsi="宋体"/>
                <w:szCs w:val="21"/>
              </w:rPr>
              <w:t>非系统风险</w:t>
            </w:r>
          </w:p>
        </w:tc>
        <w:tc>
          <w:tcPr>
            <w:tcW w:w="3927" w:type="dxa"/>
            <w:shd w:val="clear" w:color="auto" w:fill="auto"/>
          </w:tcPr>
          <w:p w14:paraId="56FE46A7" w14:textId="77777777" w:rsidR="00DE45DD" w:rsidRPr="00E048D9" w:rsidRDefault="00DE45DD" w:rsidP="00E048D9">
            <w:pPr>
              <w:spacing w:line="360" w:lineRule="auto"/>
              <w:rPr>
                <w:rFonts w:ascii="宋体" w:hAnsi="宋体"/>
                <w:szCs w:val="21"/>
              </w:rPr>
            </w:pPr>
            <w:r w:rsidRPr="00E048D9">
              <w:rPr>
                <w:rFonts w:ascii="宋体" w:hAnsi="宋体"/>
                <w:szCs w:val="21"/>
              </w:rPr>
              <w:t>非系统风险</w:t>
            </w:r>
          </w:p>
        </w:tc>
      </w:tr>
      <w:tr w:rsidR="00452F8E" w14:paraId="18629488" w14:textId="77777777" w:rsidTr="00E048D9">
        <w:tc>
          <w:tcPr>
            <w:tcW w:w="2074" w:type="dxa"/>
            <w:vMerge/>
            <w:shd w:val="clear" w:color="auto" w:fill="auto"/>
          </w:tcPr>
          <w:p w14:paraId="57EE88FA" w14:textId="77777777" w:rsidR="00DE45DD" w:rsidRPr="00E048D9" w:rsidRDefault="00DE45DD" w:rsidP="00E048D9">
            <w:pPr>
              <w:spacing w:line="360" w:lineRule="auto"/>
              <w:rPr>
                <w:rFonts w:ascii="宋体" w:hAnsi="宋体"/>
                <w:b/>
                <w:bCs/>
                <w:szCs w:val="21"/>
              </w:rPr>
            </w:pPr>
          </w:p>
        </w:tc>
        <w:tc>
          <w:tcPr>
            <w:tcW w:w="2074" w:type="dxa"/>
            <w:shd w:val="clear" w:color="auto" w:fill="auto"/>
          </w:tcPr>
          <w:p w14:paraId="7509BA28" w14:textId="77777777" w:rsidR="00DE45DD" w:rsidRPr="00E048D9" w:rsidRDefault="00DE45DD" w:rsidP="00E048D9">
            <w:pPr>
              <w:spacing w:line="360" w:lineRule="auto"/>
              <w:rPr>
                <w:rFonts w:ascii="宋体" w:hAnsi="宋体"/>
                <w:szCs w:val="21"/>
              </w:rPr>
            </w:pPr>
            <w:r w:rsidRPr="00E048D9">
              <w:rPr>
                <w:rFonts w:ascii="宋体" w:hAnsi="宋体"/>
                <w:szCs w:val="21"/>
              </w:rPr>
              <w:t>最大回撤</w:t>
            </w:r>
          </w:p>
        </w:tc>
        <w:tc>
          <w:tcPr>
            <w:tcW w:w="3927" w:type="dxa"/>
            <w:shd w:val="clear" w:color="auto" w:fill="auto"/>
          </w:tcPr>
          <w:p w14:paraId="11377A7C"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资产净值最低点时的收益率回撤幅度的最大值</w:t>
            </w:r>
          </w:p>
        </w:tc>
      </w:tr>
      <w:tr w:rsidR="00452F8E" w14:paraId="467D1294" w14:textId="77777777" w:rsidTr="00E048D9">
        <w:tc>
          <w:tcPr>
            <w:tcW w:w="2074" w:type="dxa"/>
            <w:vMerge w:val="restart"/>
            <w:shd w:val="clear" w:color="auto" w:fill="auto"/>
            <w:vAlign w:val="center"/>
          </w:tcPr>
          <w:p w14:paraId="18E8E2B3" w14:textId="4CC62493" w:rsidR="00DE45DD" w:rsidRPr="00E048D9" w:rsidRDefault="00DE45DD" w:rsidP="00E048D9">
            <w:pPr>
              <w:spacing w:line="360" w:lineRule="auto"/>
              <w:jc w:val="center"/>
              <w:rPr>
                <w:rFonts w:ascii="宋体" w:hAnsi="宋体"/>
                <w:b/>
                <w:bCs/>
                <w:szCs w:val="21"/>
              </w:rPr>
            </w:pPr>
            <w:r w:rsidRPr="00E048D9">
              <w:rPr>
                <w:rFonts w:ascii="宋体" w:hAnsi="宋体" w:hint="eastAsia"/>
                <w:b/>
                <w:bCs/>
                <w:szCs w:val="21"/>
              </w:rPr>
              <w:t>选股能力指标</w:t>
            </w:r>
          </w:p>
        </w:tc>
        <w:tc>
          <w:tcPr>
            <w:tcW w:w="2074" w:type="dxa"/>
            <w:shd w:val="clear" w:color="auto" w:fill="auto"/>
          </w:tcPr>
          <w:p w14:paraId="394DB6D5"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选股能力</w:t>
            </w:r>
          </w:p>
        </w:tc>
        <w:tc>
          <w:tcPr>
            <w:tcW w:w="3927" w:type="dxa"/>
            <w:shd w:val="clear" w:color="auto" w:fill="auto"/>
          </w:tcPr>
          <w:p w14:paraId="756BDFFE"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度量基金经理的选股能力</w:t>
            </w:r>
          </w:p>
        </w:tc>
      </w:tr>
      <w:tr w:rsidR="00452F8E" w14:paraId="4F498313" w14:textId="77777777" w:rsidTr="00E048D9">
        <w:tc>
          <w:tcPr>
            <w:tcW w:w="2074" w:type="dxa"/>
            <w:vMerge/>
            <w:shd w:val="clear" w:color="auto" w:fill="auto"/>
            <w:vAlign w:val="center"/>
          </w:tcPr>
          <w:p w14:paraId="473E829E" w14:textId="77777777" w:rsidR="00DE45DD" w:rsidRPr="00E048D9" w:rsidRDefault="00DE45DD" w:rsidP="00E048D9">
            <w:pPr>
              <w:spacing w:line="360" w:lineRule="auto"/>
              <w:jc w:val="center"/>
              <w:rPr>
                <w:rFonts w:ascii="宋体" w:hAnsi="宋体"/>
                <w:b/>
                <w:bCs/>
                <w:szCs w:val="21"/>
              </w:rPr>
            </w:pPr>
          </w:p>
        </w:tc>
        <w:tc>
          <w:tcPr>
            <w:tcW w:w="2074" w:type="dxa"/>
            <w:shd w:val="clear" w:color="auto" w:fill="auto"/>
          </w:tcPr>
          <w:p w14:paraId="4425D2D8"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跟踪误差</w:t>
            </w:r>
          </w:p>
        </w:tc>
        <w:tc>
          <w:tcPr>
            <w:tcW w:w="3927" w:type="dxa"/>
            <w:shd w:val="clear" w:color="auto" w:fill="auto"/>
          </w:tcPr>
          <w:p w14:paraId="7A169470"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基金的收益率与追踪基准收益率的偏差</w:t>
            </w:r>
          </w:p>
        </w:tc>
      </w:tr>
      <w:tr w:rsidR="00452F8E" w14:paraId="7D41DB7F" w14:textId="77777777" w:rsidTr="00E048D9">
        <w:tc>
          <w:tcPr>
            <w:tcW w:w="2074" w:type="dxa"/>
            <w:vMerge/>
            <w:shd w:val="clear" w:color="auto" w:fill="auto"/>
            <w:vAlign w:val="center"/>
          </w:tcPr>
          <w:p w14:paraId="52364971" w14:textId="77777777" w:rsidR="00DE45DD" w:rsidRPr="00E048D9" w:rsidRDefault="00DE45DD" w:rsidP="00E048D9">
            <w:pPr>
              <w:spacing w:line="360" w:lineRule="auto"/>
              <w:jc w:val="center"/>
              <w:rPr>
                <w:rFonts w:ascii="宋体" w:hAnsi="宋体"/>
                <w:b/>
                <w:bCs/>
                <w:szCs w:val="21"/>
              </w:rPr>
            </w:pPr>
          </w:p>
        </w:tc>
        <w:tc>
          <w:tcPr>
            <w:tcW w:w="2074" w:type="dxa"/>
            <w:shd w:val="clear" w:color="auto" w:fill="auto"/>
          </w:tcPr>
          <w:p w14:paraId="07AC5037"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信息比率</w:t>
            </w:r>
          </w:p>
        </w:tc>
        <w:tc>
          <w:tcPr>
            <w:tcW w:w="3927" w:type="dxa"/>
            <w:shd w:val="clear" w:color="auto" w:fill="auto"/>
          </w:tcPr>
          <w:p w14:paraId="788E117D"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每承担单位超额风险所带来的超额回报</w:t>
            </w:r>
          </w:p>
        </w:tc>
      </w:tr>
      <w:tr w:rsidR="00452F8E" w14:paraId="682D9230" w14:textId="77777777" w:rsidTr="00E048D9">
        <w:tc>
          <w:tcPr>
            <w:tcW w:w="2074" w:type="dxa"/>
            <w:vMerge w:val="restart"/>
            <w:shd w:val="clear" w:color="auto" w:fill="auto"/>
            <w:vAlign w:val="center"/>
          </w:tcPr>
          <w:p w14:paraId="628E9756" w14:textId="77777777" w:rsidR="00DE45DD" w:rsidRPr="00E048D9" w:rsidRDefault="00DE45DD" w:rsidP="00E048D9">
            <w:pPr>
              <w:spacing w:line="360" w:lineRule="auto"/>
              <w:jc w:val="center"/>
              <w:rPr>
                <w:rFonts w:ascii="宋体" w:hAnsi="宋体"/>
                <w:b/>
                <w:bCs/>
                <w:szCs w:val="21"/>
              </w:rPr>
            </w:pPr>
            <w:r w:rsidRPr="00E048D9">
              <w:rPr>
                <w:rFonts w:ascii="宋体" w:hAnsi="宋体" w:hint="eastAsia"/>
                <w:b/>
                <w:bCs/>
                <w:szCs w:val="21"/>
              </w:rPr>
              <w:t>基金结构指标</w:t>
            </w:r>
          </w:p>
        </w:tc>
        <w:tc>
          <w:tcPr>
            <w:tcW w:w="2074" w:type="dxa"/>
            <w:shd w:val="clear" w:color="auto" w:fill="auto"/>
          </w:tcPr>
          <w:p w14:paraId="1350B65B" w14:textId="77777777" w:rsidR="00DE45DD" w:rsidRPr="00E048D9" w:rsidRDefault="00DE45DD" w:rsidP="00E048D9">
            <w:pPr>
              <w:spacing w:line="360" w:lineRule="auto"/>
              <w:rPr>
                <w:rFonts w:ascii="宋体" w:hAnsi="宋体"/>
                <w:szCs w:val="21"/>
              </w:rPr>
            </w:pPr>
            <w:r w:rsidRPr="00E048D9">
              <w:rPr>
                <w:rFonts w:ascii="宋体" w:hAnsi="宋体"/>
                <w:szCs w:val="21"/>
              </w:rPr>
              <w:t>成立年限</w:t>
            </w:r>
          </w:p>
        </w:tc>
        <w:tc>
          <w:tcPr>
            <w:tcW w:w="3927" w:type="dxa"/>
            <w:shd w:val="clear" w:color="auto" w:fill="auto"/>
          </w:tcPr>
          <w:p w14:paraId="1A707B0E"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基金成立年限</w:t>
            </w:r>
          </w:p>
        </w:tc>
      </w:tr>
      <w:tr w:rsidR="00452F8E" w14:paraId="05EB30B3" w14:textId="77777777" w:rsidTr="00E048D9">
        <w:tc>
          <w:tcPr>
            <w:tcW w:w="2074" w:type="dxa"/>
            <w:vMerge/>
            <w:shd w:val="clear" w:color="auto" w:fill="auto"/>
            <w:vAlign w:val="center"/>
          </w:tcPr>
          <w:p w14:paraId="374E2DEE" w14:textId="77777777" w:rsidR="00DE45DD" w:rsidRPr="00E048D9" w:rsidRDefault="00DE45DD" w:rsidP="00E048D9">
            <w:pPr>
              <w:spacing w:line="360" w:lineRule="auto"/>
              <w:jc w:val="center"/>
              <w:rPr>
                <w:rFonts w:ascii="宋体" w:hAnsi="宋体"/>
                <w:b/>
                <w:bCs/>
                <w:szCs w:val="21"/>
              </w:rPr>
            </w:pPr>
          </w:p>
        </w:tc>
        <w:tc>
          <w:tcPr>
            <w:tcW w:w="2074" w:type="dxa"/>
            <w:shd w:val="clear" w:color="auto" w:fill="auto"/>
          </w:tcPr>
          <w:p w14:paraId="4D44CBEB" w14:textId="77777777" w:rsidR="00DE45DD" w:rsidRPr="00E048D9" w:rsidRDefault="00DE45DD" w:rsidP="00E048D9">
            <w:pPr>
              <w:spacing w:line="360" w:lineRule="auto"/>
              <w:rPr>
                <w:rFonts w:ascii="宋体" w:hAnsi="宋体"/>
                <w:szCs w:val="21"/>
              </w:rPr>
            </w:pPr>
            <w:r w:rsidRPr="00E048D9">
              <w:rPr>
                <w:rFonts w:ascii="宋体" w:hAnsi="宋体"/>
                <w:szCs w:val="21"/>
              </w:rPr>
              <w:t>基金规模</w:t>
            </w:r>
          </w:p>
        </w:tc>
        <w:tc>
          <w:tcPr>
            <w:tcW w:w="3927" w:type="dxa"/>
            <w:shd w:val="clear" w:color="auto" w:fill="auto"/>
          </w:tcPr>
          <w:p w14:paraId="634FC2A5"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基金规模（亿元）</w:t>
            </w:r>
          </w:p>
        </w:tc>
      </w:tr>
      <w:tr w:rsidR="00452F8E" w14:paraId="758E1114" w14:textId="77777777" w:rsidTr="00E048D9">
        <w:tc>
          <w:tcPr>
            <w:tcW w:w="2074" w:type="dxa"/>
            <w:vMerge w:val="restart"/>
            <w:shd w:val="clear" w:color="auto" w:fill="auto"/>
            <w:vAlign w:val="center"/>
          </w:tcPr>
          <w:p w14:paraId="2AB80710" w14:textId="77777777" w:rsidR="00DE45DD" w:rsidRPr="00E048D9" w:rsidRDefault="00DE45DD" w:rsidP="00E048D9">
            <w:pPr>
              <w:spacing w:line="360" w:lineRule="auto"/>
              <w:jc w:val="center"/>
              <w:rPr>
                <w:rFonts w:ascii="宋体" w:hAnsi="宋体"/>
                <w:b/>
                <w:bCs/>
                <w:szCs w:val="21"/>
              </w:rPr>
            </w:pPr>
            <w:r w:rsidRPr="00E048D9">
              <w:rPr>
                <w:rFonts w:ascii="宋体" w:hAnsi="宋体" w:hint="eastAsia"/>
                <w:b/>
                <w:bCs/>
                <w:szCs w:val="21"/>
              </w:rPr>
              <w:t>ESG指标</w:t>
            </w:r>
          </w:p>
        </w:tc>
        <w:tc>
          <w:tcPr>
            <w:tcW w:w="2074" w:type="dxa"/>
            <w:shd w:val="clear" w:color="auto" w:fill="auto"/>
          </w:tcPr>
          <w:p w14:paraId="70F3C7F4"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碳中和指标</w:t>
            </w:r>
          </w:p>
        </w:tc>
        <w:tc>
          <w:tcPr>
            <w:tcW w:w="3927" w:type="dxa"/>
            <w:shd w:val="clear" w:color="auto" w:fill="auto"/>
          </w:tcPr>
          <w:p w14:paraId="534ABEFF"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若w</w:t>
            </w:r>
            <w:r w:rsidRPr="00E048D9">
              <w:rPr>
                <w:rFonts w:ascii="宋体" w:hAnsi="宋体"/>
                <w:szCs w:val="21"/>
              </w:rPr>
              <w:t>ind</w:t>
            </w:r>
            <w:r w:rsidRPr="00E048D9">
              <w:rPr>
                <w:rFonts w:ascii="宋体" w:hAnsi="宋体" w:hint="eastAsia"/>
                <w:szCs w:val="21"/>
              </w:rPr>
              <w:t>概念为碳中和，则赋值为1；若w</w:t>
            </w:r>
            <w:r w:rsidRPr="00E048D9">
              <w:rPr>
                <w:rFonts w:ascii="宋体" w:hAnsi="宋体"/>
                <w:szCs w:val="21"/>
              </w:rPr>
              <w:t>ind</w:t>
            </w:r>
            <w:r w:rsidRPr="00E048D9">
              <w:rPr>
                <w:rFonts w:ascii="宋体" w:hAnsi="宋体" w:hint="eastAsia"/>
                <w:szCs w:val="21"/>
              </w:rPr>
              <w:t>概念无碳中和，则赋值为0</w:t>
            </w:r>
          </w:p>
        </w:tc>
      </w:tr>
      <w:tr w:rsidR="00452F8E" w14:paraId="3FEFFF83" w14:textId="77777777" w:rsidTr="00E048D9">
        <w:tc>
          <w:tcPr>
            <w:tcW w:w="2074" w:type="dxa"/>
            <w:vMerge/>
            <w:shd w:val="clear" w:color="auto" w:fill="auto"/>
          </w:tcPr>
          <w:p w14:paraId="6632214D" w14:textId="77777777" w:rsidR="00DE45DD" w:rsidRPr="00E048D9" w:rsidRDefault="00DE45DD" w:rsidP="00E048D9">
            <w:pPr>
              <w:spacing w:line="360" w:lineRule="auto"/>
              <w:rPr>
                <w:rFonts w:ascii="宋体" w:hAnsi="宋体"/>
                <w:szCs w:val="21"/>
              </w:rPr>
            </w:pPr>
          </w:p>
        </w:tc>
        <w:tc>
          <w:tcPr>
            <w:tcW w:w="2074" w:type="dxa"/>
            <w:shd w:val="clear" w:color="auto" w:fill="auto"/>
          </w:tcPr>
          <w:p w14:paraId="2C347CB0"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基金</w:t>
            </w:r>
            <w:r w:rsidRPr="00E048D9">
              <w:rPr>
                <w:rFonts w:ascii="宋体" w:hAnsi="宋体"/>
                <w:szCs w:val="21"/>
              </w:rPr>
              <w:t>E环境评分</w:t>
            </w:r>
          </w:p>
        </w:tc>
        <w:tc>
          <w:tcPr>
            <w:tcW w:w="3927" w:type="dxa"/>
            <w:shd w:val="clear" w:color="auto" w:fill="auto"/>
          </w:tcPr>
          <w:p w14:paraId="74A02D1F"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来源于w</w:t>
            </w:r>
            <w:r w:rsidRPr="00E048D9">
              <w:rPr>
                <w:rFonts w:ascii="宋体" w:hAnsi="宋体"/>
                <w:szCs w:val="21"/>
              </w:rPr>
              <w:t xml:space="preserve">ind </w:t>
            </w:r>
            <w:r w:rsidRPr="00E048D9">
              <w:rPr>
                <w:rFonts w:ascii="宋体" w:hAnsi="宋体" w:hint="eastAsia"/>
                <w:szCs w:val="21"/>
              </w:rPr>
              <w:t>ESG评分</w:t>
            </w:r>
          </w:p>
        </w:tc>
      </w:tr>
      <w:tr w:rsidR="00452F8E" w14:paraId="751D064A" w14:textId="77777777" w:rsidTr="00E048D9">
        <w:tc>
          <w:tcPr>
            <w:tcW w:w="2074" w:type="dxa"/>
            <w:vMerge/>
            <w:shd w:val="clear" w:color="auto" w:fill="auto"/>
          </w:tcPr>
          <w:p w14:paraId="752A2B2A" w14:textId="77777777" w:rsidR="00DE45DD" w:rsidRPr="00E048D9" w:rsidRDefault="00DE45DD" w:rsidP="00E048D9">
            <w:pPr>
              <w:spacing w:line="360" w:lineRule="auto"/>
              <w:rPr>
                <w:rFonts w:ascii="宋体" w:hAnsi="宋体"/>
                <w:szCs w:val="21"/>
              </w:rPr>
            </w:pPr>
          </w:p>
        </w:tc>
        <w:tc>
          <w:tcPr>
            <w:tcW w:w="2074" w:type="dxa"/>
            <w:shd w:val="clear" w:color="auto" w:fill="auto"/>
          </w:tcPr>
          <w:p w14:paraId="6DC6DDA5"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基金S社会评分</w:t>
            </w:r>
          </w:p>
        </w:tc>
        <w:tc>
          <w:tcPr>
            <w:tcW w:w="3927" w:type="dxa"/>
            <w:shd w:val="clear" w:color="auto" w:fill="auto"/>
          </w:tcPr>
          <w:p w14:paraId="0131F8A8"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来源于w</w:t>
            </w:r>
            <w:r w:rsidRPr="00E048D9">
              <w:rPr>
                <w:rFonts w:ascii="宋体" w:hAnsi="宋体"/>
                <w:szCs w:val="21"/>
              </w:rPr>
              <w:t xml:space="preserve">ind </w:t>
            </w:r>
            <w:r w:rsidRPr="00E048D9">
              <w:rPr>
                <w:rFonts w:ascii="宋体" w:hAnsi="宋体" w:hint="eastAsia"/>
                <w:szCs w:val="21"/>
              </w:rPr>
              <w:t>ESG评分</w:t>
            </w:r>
          </w:p>
        </w:tc>
      </w:tr>
      <w:tr w:rsidR="00452F8E" w14:paraId="0030DDC3" w14:textId="77777777" w:rsidTr="00E048D9">
        <w:tc>
          <w:tcPr>
            <w:tcW w:w="2074" w:type="dxa"/>
            <w:vMerge/>
            <w:shd w:val="clear" w:color="auto" w:fill="auto"/>
          </w:tcPr>
          <w:p w14:paraId="75874D1A" w14:textId="77777777" w:rsidR="00DE45DD" w:rsidRPr="00E048D9" w:rsidRDefault="00DE45DD" w:rsidP="00E048D9">
            <w:pPr>
              <w:spacing w:line="360" w:lineRule="auto"/>
              <w:rPr>
                <w:rFonts w:ascii="宋体" w:hAnsi="宋体"/>
                <w:szCs w:val="21"/>
              </w:rPr>
            </w:pPr>
          </w:p>
        </w:tc>
        <w:tc>
          <w:tcPr>
            <w:tcW w:w="2074" w:type="dxa"/>
            <w:shd w:val="clear" w:color="auto" w:fill="auto"/>
          </w:tcPr>
          <w:p w14:paraId="62A5CC5D"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基金G治理评分</w:t>
            </w:r>
          </w:p>
        </w:tc>
        <w:tc>
          <w:tcPr>
            <w:tcW w:w="3927" w:type="dxa"/>
            <w:shd w:val="clear" w:color="auto" w:fill="auto"/>
          </w:tcPr>
          <w:p w14:paraId="0D9DF79C"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来源于w</w:t>
            </w:r>
            <w:r w:rsidRPr="00E048D9">
              <w:rPr>
                <w:rFonts w:ascii="宋体" w:hAnsi="宋体"/>
                <w:szCs w:val="21"/>
              </w:rPr>
              <w:t xml:space="preserve">ind </w:t>
            </w:r>
            <w:r w:rsidRPr="00E048D9">
              <w:rPr>
                <w:rFonts w:ascii="宋体" w:hAnsi="宋体" w:hint="eastAsia"/>
                <w:szCs w:val="21"/>
              </w:rPr>
              <w:t>ESG评分</w:t>
            </w:r>
          </w:p>
        </w:tc>
      </w:tr>
      <w:tr w:rsidR="00452F8E" w14:paraId="01F1AAD9" w14:textId="77777777" w:rsidTr="00E048D9">
        <w:tc>
          <w:tcPr>
            <w:tcW w:w="2074" w:type="dxa"/>
            <w:vMerge/>
            <w:shd w:val="clear" w:color="auto" w:fill="auto"/>
          </w:tcPr>
          <w:p w14:paraId="6DB83D41" w14:textId="77777777" w:rsidR="00DE45DD" w:rsidRPr="00E048D9" w:rsidRDefault="00DE45DD" w:rsidP="00E048D9">
            <w:pPr>
              <w:spacing w:line="360" w:lineRule="auto"/>
              <w:rPr>
                <w:rFonts w:ascii="宋体" w:hAnsi="宋体"/>
                <w:szCs w:val="21"/>
              </w:rPr>
            </w:pPr>
          </w:p>
        </w:tc>
        <w:tc>
          <w:tcPr>
            <w:tcW w:w="2074" w:type="dxa"/>
            <w:shd w:val="clear" w:color="auto" w:fill="auto"/>
          </w:tcPr>
          <w:p w14:paraId="5012E864"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重仓股票占基金市值比例</w:t>
            </w:r>
          </w:p>
        </w:tc>
        <w:tc>
          <w:tcPr>
            <w:tcW w:w="3927" w:type="dxa"/>
            <w:shd w:val="clear" w:color="auto" w:fill="auto"/>
          </w:tcPr>
          <w:p w14:paraId="006A1D46"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各持仓股票占基金市值比例的最大值</w:t>
            </w:r>
          </w:p>
        </w:tc>
      </w:tr>
      <w:tr w:rsidR="00452F8E" w14:paraId="50F659E4" w14:textId="77777777" w:rsidTr="00E048D9">
        <w:tc>
          <w:tcPr>
            <w:tcW w:w="2074" w:type="dxa"/>
            <w:vMerge/>
            <w:shd w:val="clear" w:color="auto" w:fill="auto"/>
          </w:tcPr>
          <w:p w14:paraId="2F3404F3" w14:textId="77777777" w:rsidR="00DE45DD" w:rsidRPr="00E048D9" w:rsidRDefault="00DE45DD" w:rsidP="00E048D9">
            <w:pPr>
              <w:spacing w:line="360" w:lineRule="auto"/>
              <w:rPr>
                <w:rFonts w:ascii="宋体" w:hAnsi="宋体"/>
                <w:szCs w:val="21"/>
              </w:rPr>
            </w:pPr>
          </w:p>
        </w:tc>
        <w:tc>
          <w:tcPr>
            <w:tcW w:w="2074" w:type="dxa"/>
            <w:shd w:val="clear" w:color="auto" w:fill="auto"/>
          </w:tcPr>
          <w:p w14:paraId="79AEB381"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重仓股票</w:t>
            </w:r>
            <w:r w:rsidRPr="00E048D9">
              <w:rPr>
                <w:rFonts w:ascii="宋体" w:hAnsi="宋体"/>
                <w:szCs w:val="21"/>
              </w:rPr>
              <w:t>ESG评分</w:t>
            </w:r>
          </w:p>
        </w:tc>
        <w:tc>
          <w:tcPr>
            <w:tcW w:w="3927" w:type="dxa"/>
            <w:shd w:val="clear" w:color="auto" w:fill="auto"/>
          </w:tcPr>
          <w:p w14:paraId="3E294985" w14:textId="77777777" w:rsidR="00DE45DD" w:rsidRPr="00E048D9" w:rsidRDefault="00DE45DD" w:rsidP="00E048D9">
            <w:pPr>
              <w:spacing w:line="360" w:lineRule="auto"/>
              <w:rPr>
                <w:rFonts w:ascii="宋体" w:hAnsi="宋体"/>
                <w:szCs w:val="21"/>
              </w:rPr>
            </w:pPr>
            <w:r w:rsidRPr="00E048D9">
              <w:rPr>
                <w:rFonts w:ascii="宋体" w:hAnsi="宋体" w:hint="eastAsia"/>
                <w:szCs w:val="21"/>
              </w:rPr>
              <w:t>来源于w</w:t>
            </w:r>
            <w:r w:rsidRPr="00E048D9">
              <w:rPr>
                <w:rFonts w:ascii="宋体" w:hAnsi="宋体"/>
                <w:szCs w:val="21"/>
              </w:rPr>
              <w:t xml:space="preserve">ind </w:t>
            </w:r>
            <w:r w:rsidRPr="00E048D9">
              <w:rPr>
                <w:rFonts w:ascii="宋体" w:hAnsi="宋体" w:hint="eastAsia"/>
                <w:szCs w:val="21"/>
              </w:rPr>
              <w:t>ESG评分</w:t>
            </w:r>
          </w:p>
        </w:tc>
      </w:tr>
    </w:tbl>
    <w:p w14:paraId="15E37338" w14:textId="11B47152" w:rsidR="00DE45DD" w:rsidRDefault="00DE45DD" w:rsidP="001B02B5">
      <w:pPr>
        <w:pStyle w:val="4"/>
      </w:pPr>
      <w:bookmarkStart w:id="45" w:name="_Toc105023913"/>
      <w:r>
        <w:rPr>
          <w:rFonts w:hint="eastAsia"/>
        </w:rPr>
        <w:t>3</w:t>
      </w:r>
      <w:r>
        <w:t>.1.2</w:t>
      </w:r>
      <w:r>
        <w:rPr>
          <w:rFonts w:hint="eastAsia"/>
        </w:rPr>
        <w:t>主成分因子分析模型</w:t>
      </w:r>
      <w:bookmarkEnd w:id="45"/>
    </w:p>
    <w:p w14:paraId="3C5E8968" w14:textId="77777777" w:rsidR="001806AF" w:rsidRDefault="00DE45DD" w:rsidP="008A77B3">
      <w:pPr>
        <w:spacing w:line="360" w:lineRule="auto"/>
        <w:ind w:firstLineChars="200" w:firstLine="480"/>
        <w:rPr>
          <w:rFonts w:ascii="宋体" w:hAnsi="宋体"/>
          <w:sz w:val="24"/>
          <w:szCs w:val="24"/>
        </w:rPr>
      </w:pPr>
      <w:r>
        <w:rPr>
          <w:rFonts w:ascii="宋体" w:hAnsi="宋体" w:hint="eastAsia"/>
          <w:sz w:val="24"/>
          <w:szCs w:val="24"/>
        </w:rPr>
        <w:t>将</w:t>
      </w:r>
      <w:bookmarkStart w:id="46" w:name="_Hlk102034953"/>
      <w:r w:rsidRPr="00DC6B5A">
        <w:rPr>
          <w:rFonts w:ascii="宋体" w:hAnsi="宋体" w:hint="eastAsia"/>
          <w:sz w:val="24"/>
          <w:szCs w:val="24"/>
        </w:rPr>
        <w:t>收益标准差、年化波动率、非系统风险、最大回撤</w:t>
      </w:r>
      <w:bookmarkEnd w:id="46"/>
      <w:r w:rsidRPr="00DC6B5A">
        <w:rPr>
          <w:rFonts w:ascii="宋体" w:hAnsi="宋体" w:hint="eastAsia"/>
          <w:sz w:val="24"/>
          <w:szCs w:val="24"/>
        </w:rPr>
        <w:t>、选</w:t>
      </w:r>
      <w:r>
        <w:rPr>
          <w:rFonts w:ascii="宋体" w:hAnsi="宋体" w:hint="eastAsia"/>
          <w:sz w:val="24"/>
          <w:szCs w:val="24"/>
        </w:rPr>
        <w:t>股</w:t>
      </w:r>
      <w:r w:rsidRPr="00DC6B5A">
        <w:rPr>
          <w:rFonts w:ascii="宋体" w:hAnsi="宋体" w:hint="eastAsia"/>
          <w:sz w:val="24"/>
          <w:szCs w:val="24"/>
        </w:rPr>
        <w:t>能力、跟踪误差、信息比率、成立年限、基金规模</w:t>
      </w:r>
      <w:r>
        <w:rPr>
          <w:rFonts w:ascii="宋体" w:hAnsi="宋体" w:hint="eastAsia"/>
          <w:sz w:val="24"/>
          <w:szCs w:val="24"/>
        </w:rPr>
        <w:t>、</w:t>
      </w:r>
      <w:r w:rsidRPr="00DC6B5A">
        <w:rPr>
          <w:rFonts w:ascii="宋体" w:hAnsi="宋体" w:hint="eastAsia"/>
          <w:sz w:val="24"/>
          <w:szCs w:val="24"/>
        </w:rPr>
        <w:t>碳中和指标、基金</w:t>
      </w:r>
      <w:r w:rsidRPr="00DC6B5A">
        <w:rPr>
          <w:rFonts w:ascii="宋体" w:hAnsi="宋体"/>
          <w:sz w:val="24"/>
          <w:szCs w:val="24"/>
        </w:rPr>
        <w:t>E环境评分、基金S社会评分、基金G治理评分、重仓股票占基金市值比例、重仓股票ESG评分</w:t>
      </w:r>
      <w:r>
        <w:rPr>
          <w:rFonts w:ascii="宋体" w:hAnsi="宋体" w:hint="eastAsia"/>
          <w:sz w:val="24"/>
          <w:szCs w:val="24"/>
        </w:rPr>
        <w:t>等1</w:t>
      </w:r>
      <w:r>
        <w:rPr>
          <w:rFonts w:ascii="宋体" w:hAnsi="宋体"/>
          <w:sz w:val="24"/>
          <w:szCs w:val="24"/>
        </w:rPr>
        <w:t>5</w:t>
      </w:r>
      <w:r>
        <w:rPr>
          <w:rFonts w:ascii="宋体" w:hAnsi="宋体" w:hint="eastAsia"/>
          <w:sz w:val="24"/>
          <w:szCs w:val="24"/>
        </w:rPr>
        <w:t>个指标导入stata软件进行主成分因子分析，获得的描述性统计如下：</w:t>
      </w:r>
    </w:p>
    <w:p w14:paraId="00F2AB8E" w14:textId="0A4F081E" w:rsidR="006F7242" w:rsidRDefault="001806AF" w:rsidP="00665C49">
      <w:pPr>
        <w:spacing w:line="360" w:lineRule="auto"/>
        <w:ind w:firstLineChars="200" w:firstLine="420"/>
        <w:jc w:val="center"/>
        <w:rPr>
          <w:sz w:val="24"/>
          <w:szCs w:val="24"/>
        </w:rPr>
      </w:pPr>
      <w:r w:rsidRPr="001806AF">
        <w:rPr>
          <w:rFonts w:ascii="宋体" w:hAnsi="宋体" w:hint="eastAsia"/>
          <w:szCs w:val="21"/>
        </w:rPr>
        <w:t>表</w:t>
      </w:r>
      <w:r w:rsidR="00752231">
        <w:rPr>
          <w:rFonts w:ascii="宋体" w:hAnsi="宋体" w:hint="eastAsia"/>
          <w:szCs w:val="21"/>
        </w:rPr>
        <w:t>3</w:t>
      </w:r>
      <w:r w:rsidR="00752231">
        <w:rPr>
          <w:rFonts w:ascii="宋体" w:hAnsi="宋体"/>
          <w:szCs w:val="21"/>
        </w:rPr>
        <w:t>-</w:t>
      </w:r>
      <w:r w:rsidR="00E535D9">
        <w:rPr>
          <w:rFonts w:ascii="宋体" w:hAnsi="宋体"/>
          <w:szCs w:val="21"/>
        </w:rPr>
        <w:t>3</w:t>
      </w:r>
      <w:r w:rsidRPr="001806AF">
        <w:rPr>
          <w:rFonts w:ascii="宋体" w:hAnsi="宋体" w:hint="eastAsia"/>
          <w:szCs w:val="21"/>
        </w:rPr>
        <w:t>：原始指标，描述性统计</w:t>
      </w:r>
    </w:p>
    <w:tbl>
      <w:tblPr>
        <w:tblW w:w="8676" w:type="dxa"/>
        <w:tblInd w:w="108" w:type="dxa"/>
        <w:tblLook w:val="04A0" w:firstRow="1" w:lastRow="0" w:firstColumn="1" w:lastColumn="0" w:noHBand="0" w:noVBand="1"/>
      </w:tblPr>
      <w:tblGrid>
        <w:gridCol w:w="2616"/>
        <w:gridCol w:w="1451"/>
        <w:gridCol w:w="1451"/>
        <w:gridCol w:w="1707"/>
        <w:gridCol w:w="1451"/>
      </w:tblGrid>
      <w:tr w:rsidR="006F7242" w:rsidRPr="006F7242" w14:paraId="757D5291" w14:textId="77777777" w:rsidTr="00665C49">
        <w:trPr>
          <w:trHeight w:val="416"/>
        </w:trPr>
        <w:tc>
          <w:tcPr>
            <w:tcW w:w="2616" w:type="dxa"/>
            <w:tcBorders>
              <w:top w:val="single" w:sz="12" w:space="0" w:color="auto"/>
              <w:left w:val="nil"/>
              <w:bottom w:val="single" w:sz="12" w:space="0" w:color="auto"/>
              <w:right w:val="nil"/>
            </w:tcBorders>
            <w:shd w:val="clear" w:color="auto" w:fill="auto"/>
            <w:noWrap/>
            <w:vAlign w:val="bottom"/>
            <w:hideMark/>
          </w:tcPr>
          <w:p w14:paraId="78AC0B4C" w14:textId="77777777"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原始指标</w:t>
            </w:r>
          </w:p>
        </w:tc>
        <w:tc>
          <w:tcPr>
            <w:tcW w:w="1451" w:type="dxa"/>
            <w:tcBorders>
              <w:top w:val="single" w:sz="12" w:space="0" w:color="auto"/>
              <w:left w:val="nil"/>
              <w:bottom w:val="single" w:sz="12" w:space="0" w:color="auto"/>
              <w:right w:val="nil"/>
            </w:tcBorders>
            <w:shd w:val="clear" w:color="auto" w:fill="auto"/>
            <w:noWrap/>
            <w:vAlign w:val="bottom"/>
            <w:hideMark/>
          </w:tcPr>
          <w:p w14:paraId="7B3A62F6" w14:textId="477190C3"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平均值</w:t>
            </w:r>
          </w:p>
        </w:tc>
        <w:tc>
          <w:tcPr>
            <w:tcW w:w="1451" w:type="dxa"/>
            <w:tcBorders>
              <w:top w:val="single" w:sz="12" w:space="0" w:color="auto"/>
              <w:left w:val="nil"/>
              <w:bottom w:val="single" w:sz="12" w:space="0" w:color="auto"/>
              <w:right w:val="nil"/>
            </w:tcBorders>
            <w:shd w:val="clear" w:color="auto" w:fill="auto"/>
            <w:noWrap/>
            <w:vAlign w:val="bottom"/>
            <w:hideMark/>
          </w:tcPr>
          <w:p w14:paraId="09F36298" w14:textId="1A727DE8"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标准离差</w:t>
            </w:r>
          </w:p>
        </w:tc>
        <w:tc>
          <w:tcPr>
            <w:tcW w:w="1707" w:type="dxa"/>
            <w:tcBorders>
              <w:top w:val="single" w:sz="12" w:space="0" w:color="auto"/>
              <w:left w:val="nil"/>
              <w:bottom w:val="single" w:sz="12" w:space="0" w:color="auto"/>
              <w:right w:val="nil"/>
            </w:tcBorders>
            <w:shd w:val="clear" w:color="auto" w:fill="auto"/>
            <w:noWrap/>
            <w:vAlign w:val="bottom"/>
            <w:hideMark/>
          </w:tcPr>
          <w:p w14:paraId="591A11FF" w14:textId="17AEDC94"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最小值</w:t>
            </w:r>
          </w:p>
        </w:tc>
        <w:tc>
          <w:tcPr>
            <w:tcW w:w="1451" w:type="dxa"/>
            <w:tcBorders>
              <w:top w:val="single" w:sz="12" w:space="0" w:color="auto"/>
              <w:left w:val="nil"/>
              <w:bottom w:val="single" w:sz="12" w:space="0" w:color="auto"/>
              <w:right w:val="nil"/>
            </w:tcBorders>
            <w:shd w:val="clear" w:color="auto" w:fill="auto"/>
            <w:noWrap/>
            <w:vAlign w:val="bottom"/>
            <w:hideMark/>
          </w:tcPr>
          <w:p w14:paraId="583146FE" w14:textId="798B0D6F"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最大值</w:t>
            </w:r>
          </w:p>
        </w:tc>
      </w:tr>
      <w:tr w:rsidR="006F7242" w:rsidRPr="006F7242" w14:paraId="4BB9A7A6" w14:textId="77777777" w:rsidTr="00665C49">
        <w:trPr>
          <w:trHeight w:val="416"/>
        </w:trPr>
        <w:tc>
          <w:tcPr>
            <w:tcW w:w="2616" w:type="dxa"/>
            <w:tcBorders>
              <w:top w:val="nil"/>
              <w:left w:val="nil"/>
              <w:bottom w:val="nil"/>
              <w:right w:val="nil"/>
            </w:tcBorders>
            <w:shd w:val="clear" w:color="auto" w:fill="auto"/>
            <w:noWrap/>
            <w:vAlign w:val="bottom"/>
            <w:hideMark/>
          </w:tcPr>
          <w:p w14:paraId="63D56BC6" w14:textId="77777777"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年化收益率</w:t>
            </w:r>
          </w:p>
        </w:tc>
        <w:tc>
          <w:tcPr>
            <w:tcW w:w="1451" w:type="dxa"/>
            <w:tcBorders>
              <w:top w:val="nil"/>
              <w:left w:val="nil"/>
              <w:bottom w:val="nil"/>
              <w:right w:val="nil"/>
            </w:tcBorders>
            <w:shd w:val="clear" w:color="auto" w:fill="auto"/>
            <w:noWrap/>
            <w:vAlign w:val="bottom"/>
            <w:hideMark/>
          </w:tcPr>
          <w:p w14:paraId="0D9488BD" w14:textId="22167A0E" w:rsidR="006F7242" w:rsidRPr="006F7242" w:rsidRDefault="006F7242" w:rsidP="00665C49">
            <w:pPr>
              <w:widowControl/>
              <w:jc w:val="center"/>
              <w:rPr>
                <w:rFonts w:ascii="Arial" w:hAnsi="Arial" w:cs="Arial"/>
                <w:kern w:val="0"/>
                <w:sz w:val="20"/>
              </w:rPr>
            </w:pPr>
            <w:r w:rsidRPr="006F7242">
              <w:rPr>
                <w:rFonts w:ascii="Arial" w:hAnsi="Arial" w:cs="Arial"/>
                <w:kern w:val="0"/>
                <w:sz w:val="20"/>
              </w:rPr>
              <w:t>12.1294</w:t>
            </w:r>
          </w:p>
        </w:tc>
        <w:tc>
          <w:tcPr>
            <w:tcW w:w="1451" w:type="dxa"/>
            <w:tcBorders>
              <w:top w:val="nil"/>
              <w:left w:val="nil"/>
              <w:bottom w:val="nil"/>
              <w:right w:val="nil"/>
            </w:tcBorders>
            <w:shd w:val="clear" w:color="auto" w:fill="auto"/>
            <w:noWrap/>
            <w:vAlign w:val="bottom"/>
            <w:hideMark/>
          </w:tcPr>
          <w:p w14:paraId="164E6D2A" w14:textId="054597AF" w:rsidR="006F7242" w:rsidRPr="006F7242" w:rsidRDefault="006F7242" w:rsidP="00665C49">
            <w:pPr>
              <w:widowControl/>
              <w:jc w:val="center"/>
              <w:rPr>
                <w:rFonts w:ascii="Arial" w:hAnsi="Arial" w:cs="Arial"/>
                <w:kern w:val="0"/>
                <w:sz w:val="20"/>
              </w:rPr>
            </w:pPr>
            <w:r w:rsidRPr="006F7242">
              <w:rPr>
                <w:rFonts w:ascii="Arial" w:hAnsi="Arial" w:cs="Arial"/>
                <w:kern w:val="0"/>
                <w:sz w:val="20"/>
              </w:rPr>
              <w:t>18.7505</w:t>
            </w:r>
          </w:p>
        </w:tc>
        <w:tc>
          <w:tcPr>
            <w:tcW w:w="1707" w:type="dxa"/>
            <w:tcBorders>
              <w:top w:val="nil"/>
              <w:left w:val="nil"/>
              <w:bottom w:val="nil"/>
              <w:right w:val="nil"/>
            </w:tcBorders>
            <w:shd w:val="clear" w:color="auto" w:fill="auto"/>
            <w:noWrap/>
            <w:vAlign w:val="bottom"/>
            <w:hideMark/>
          </w:tcPr>
          <w:p w14:paraId="59BEA811" w14:textId="6D34843F" w:rsidR="006F7242" w:rsidRPr="006F7242" w:rsidRDefault="006F7242" w:rsidP="00665C49">
            <w:pPr>
              <w:widowControl/>
              <w:jc w:val="center"/>
              <w:rPr>
                <w:rFonts w:ascii="Arial" w:hAnsi="Arial" w:cs="Arial"/>
                <w:kern w:val="0"/>
                <w:sz w:val="20"/>
              </w:rPr>
            </w:pPr>
            <w:r w:rsidRPr="006F7242">
              <w:rPr>
                <w:rFonts w:ascii="Arial" w:hAnsi="Arial" w:cs="Arial"/>
                <w:kern w:val="0"/>
                <w:sz w:val="20"/>
              </w:rPr>
              <w:t>-23.3441</w:t>
            </w:r>
          </w:p>
        </w:tc>
        <w:tc>
          <w:tcPr>
            <w:tcW w:w="1451" w:type="dxa"/>
            <w:tcBorders>
              <w:top w:val="nil"/>
              <w:left w:val="nil"/>
              <w:bottom w:val="nil"/>
              <w:right w:val="nil"/>
            </w:tcBorders>
            <w:shd w:val="clear" w:color="auto" w:fill="auto"/>
            <w:noWrap/>
            <w:vAlign w:val="bottom"/>
            <w:hideMark/>
          </w:tcPr>
          <w:p w14:paraId="02427CC8" w14:textId="423208A1" w:rsidR="006F7242" w:rsidRPr="006F7242" w:rsidRDefault="006F7242" w:rsidP="00665C49">
            <w:pPr>
              <w:widowControl/>
              <w:jc w:val="center"/>
              <w:rPr>
                <w:rFonts w:ascii="Arial" w:hAnsi="Arial" w:cs="Arial"/>
                <w:kern w:val="0"/>
                <w:sz w:val="20"/>
              </w:rPr>
            </w:pPr>
            <w:r w:rsidRPr="006F7242">
              <w:rPr>
                <w:rFonts w:ascii="Arial" w:hAnsi="Arial" w:cs="Arial"/>
                <w:kern w:val="0"/>
                <w:sz w:val="20"/>
              </w:rPr>
              <w:t>64.5379</w:t>
            </w:r>
          </w:p>
        </w:tc>
      </w:tr>
      <w:tr w:rsidR="006F7242" w:rsidRPr="006F7242" w14:paraId="654E87AE" w14:textId="77777777" w:rsidTr="00665C49">
        <w:trPr>
          <w:trHeight w:val="416"/>
        </w:trPr>
        <w:tc>
          <w:tcPr>
            <w:tcW w:w="2616" w:type="dxa"/>
            <w:tcBorders>
              <w:top w:val="nil"/>
              <w:left w:val="nil"/>
              <w:bottom w:val="nil"/>
              <w:right w:val="nil"/>
            </w:tcBorders>
            <w:shd w:val="clear" w:color="auto" w:fill="auto"/>
            <w:noWrap/>
            <w:vAlign w:val="bottom"/>
            <w:hideMark/>
          </w:tcPr>
          <w:p w14:paraId="2C615E7B" w14:textId="77777777"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收益标准差</w:t>
            </w:r>
          </w:p>
        </w:tc>
        <w:tc>
          <w:tcPr>
            <w:tcW w:w="1451" w:type="dxa"/>
            <w:tcBorders>
              <w:top w:val="nil"/>
              <w:left w:val="nil"/>
              <w:bottom w:val="nil"/>
              <w:right w:val="nil"/>
            </w:tcBorders>
            <w:shd w:val="clear" w:color="auto" w:fill="auto"/>
            <w:noWrap/>
            <w:vAlign w:val="bottom"/>
            <w:hideMark/>
          </w:tcPr>
          <w:p w14:paraId="2E7250A1" w14:textId="54F72C25" w:rsidR="006F7242" w:rsidRPr="006F7242" w:rsidRDefault="006F7242" w:rsidP="00665C49">
            <w:pPr>
              <w:widowControl/>
              <w:jc w:val="center"/>
              <w:rPr>
                <w:rFonts w:ascii="Arial" w:hAnsi="Arial" w:cs="Arial"/>
                <w:kern w:val="0"/>
                <w:sz w:val="20"/>
              </w:rPr>
            </w:pPr>
            <w:r w:rsidRPr="006F7242">
              <w:rPr>
                <w:rFonts w:ascii="Arial" w:hAnsi="Arial" w:cs="Arial"/>
                <w:kern w:val="0"/>
                <w:sz w:val="20"/>
              </w:rPr>
              <w:t>3.4323</w:t>
            </w:r>
          </w:p>
        </w:tc>
        <w:tc>
          <w:tcPr>
            <w:tcW w:w="1451" w:type="dxa"/>
            <w:tcBorders>
              <w:top w:val="nil"/>
              <w:left w:val="nil"/>
              <w:bottom w:val="nil"/>
              <w:right w:val="nil"/>
            </w:tcBorders>
            <w:shd w:val="clear" w:color="auto" w:fill="auto"/>
            <w:noWrap/>
            <w:vAlign w:val="bottom"/>
            <w:hideMark/>
          </w:tcPr>
          <w:p w14:paraId="728BEFF3" w14:textId="32D027A1"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0.7474</w:t>
            </w:r>
          </w:p>
        </w:tc>
        <w:tc>
          <w:tcPr>
            <w:tcW w:w="1707" w:type="dxa"/>
            <w:tcBorders>
              <w:top w:val="nil"/>
              <w:left w:val="nil"/>
              <w:bottom w:val="nil"/>
              <w:right w:val="nil"/>
            </w:tcBorders>
            <w:shd w:val="clear" w:color="auto" w:fill="auto"/>
            <w:noWrap/>
            <w:vAlign w:val="bottom"/>
            <w:hideMark/>
          </w:tcPr>
          <w:p w14:paraId="7D8137B5" w14:textId="1E260CFA" w:rsidR="006F7242" w:rsidRPr="006F7242" w:rsidRDefault="006F7242" w:rsidP="00665C49">
            <w:pPr>
              <w:widowControl/>
              <w:jc w:val="center"/>
              <w:rPr>
                <w:rFonts w:ascii="Arial" w:hAnsi="Arial" w:cs="Arial"/>
                <w:kern w:val="0"/>
                <w:sz w:val="20"/>
              </w:rPr>
            </w:pPr>
            <w:r w:rsidRPr="006F7242">
              <w:rPr>
                <w:rFonts w:ascii="Arial" w:hAnsi="Arial" w:cs="Arial"/>
                <w:kern w:val="0"/>
                <w:sz w:val="20"/>
              </w:rPr>
              <w:t>1.5115</w:t>
            </w:r>
          </w:p>
        </w:tc>
        <w:tc>
          <w:tcPr>
            <w:tcW w:w="1451" w:type="dxa"/>
            <w:tcBorders>
              <w:top w:val="nil"/>
              <w:left w:val="nil"/>
              <w:bottom w:val="nil"/>
              <w:right w:val="nil"/>
            </w:tcBorders>
            <w:shd w:val="clear" w:color="auto" w:fill="auto"/>
            <w:noWrap/>
            <w:vAlign w:val="bottom"/>
            <w:hideMark/>
          </w:tcPr>
          <w:p w14:paraId="61431376" w14:textId="27BB8717" w:rsidR="006F7242" w:rsidRPr="006F7242" w:rsidRDefault="006F7242" w:rsidP="00665C49">
            <w:pPr>
              <w:widowControl/>
              <w:jc w:val="center"/>
              <w:rPr>
                <w:rFonts w:ascii="Arial" w:hAnsi="Arial" w:cs="Arial"/>
                <w:kern w:val="0"/>
                <w:sz w:val="20"/>
              </w:rPr>
            </w:pPr>
            <w:r w:rsidRPr="006F7242">
              <w:rPr>
                <w:rFonts w:ascii="Arial" w:hAnsi="Arial" w:cs="Arial"/>
                <w:kern w:val="0"/>
                <w:sz w:val="20"/>
              </w:rPr>
              <w:t>5.4288</w:t>
            </w:r>
          </w:p>
        </w:tc>
      </w:tr>
      <w:tr w:rsidR="006F7242" w:rsidRPr="006F7242" w14:paraId="6DAAAAB8" w14:textId="77777777" w:rsidTr="00665C49">
        <w:trPr>
          <w:trHeight w:val="416"/>
        </w:trPr>
        <w:tc>
          <w:tcPr>
            <w:tcW w:w="2616" w:type="dxa"/>
            <w:tcBorders>
              <w:top w:val="nil"/>
              <w:left w:val="nil"/>
              <w:bottom w:val="nil"/>
              <w:right w:val="nil"/>
            </w:tcBorders>
            <w:shd w:val="clear" w:color="auto" w:fill="auto"/>
            <w:noWrap/>
            <w:vAlign w:val="bottom"/>
            <w:hideMark/>
          </w:tcPr>
          <w:p w14:paraId="10B81B0B" w14:textId="77777777"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年化波动率</w:t>
            </w:r>
          </w:p>
        </w:tc>
        <w:tc>
          <w:tcPr>
            <w:tcW w:w="1451" w:type="dxa"/>
            <w:tcBorders>
              <w:top w:val="nil"/>
              <w:left w:val="nil"/>
              <w:bottom w:val="nil"/>
              <w:right w:val="nil"/>
            </w:tcBorders>
            <w:shd w:val="clear" w:color="auto" w:fill="auto"/>
            <w:noWrap/>
            <w:vAlign w:val="bottom"/>
            <w:hideMark/>
          </w:tcPr>
          <w:p w14:paraId="01F24001" w14:textId="36B7874A" w:rsidR="006F7242" w:rsidRPr="006F7242" w:rsidRDefault="006F7242" w:rsidP="00665C49">
            <w:pPr>
              <w:widowControl/>
              <w:jc w:val="center"/>
              <w:rPr>
                <w:rFonts w:ascii="Arial" w:hAnsi="Arial" w:cs="Arial"/>
                <w:kern w:val="0"/>
                <w:sz w:val="20"/>
              </w:rPr>
            </w:pPr>
            <w:r w:rsidRPr="006F7242">
              <w:rPr>
                <w:rFonts w:ascii="Arial" w:hAnsi="Arial" w:cs="Arial"/>
                <w:kern w:val="0"/>
                <w:sz w:val="20"/>
              </w:rPr>
              <w:t>24.7510</w:t>
            </w:r>
          </w:p>
        </w:tc>
        <w:tc>
          <w:tcPr>
            <w:tcW w:w="1451" w:type="dxa"/>
            <w:tcBorders>
              <w:top w:val="nil"/>
              <w:left w:val="nil"/>
              <w:bottom w:val="nil"/>
              <w:right w:val="nil"/>
            </w:tcBorders>
            <w:shd w:val="clear" w:color="auto" w:fill="auto"/>
            <w:noWrap/>
            <w:vAlign w:val="bottom"/>
            <w:hideMark/>
          </w:tcPr>
          <w:p w14:paraId="458E1305" w14:textId="2C1112F8" w:rsidR="006F7242" w:rsidRPr="006F7242" w:rsidRDefault="006F7242" w:rsidP="00665C49">
            <w:pPr>
              <w:widowControl/>
              <w:jc w:val="center"/>
              <w:rPr>
                <w:rFonts w:ascii="Arial" w:hAnsi="Arial" w:cs="Arial"/>
                <w:kern w:val="0"/>
                <w:sz w:val="20"/>
              </w:rPr>
            </w:pPr>
            <w:r w:rsidRPr="006F7242">
              <w:rPr>
                <w:rFonts w:ascii="Arial" w:hAnsi="Arial" w:cs="Arial"/>
                <w:kern w:val="0"/>
                <w:sz w:val="20"/>
              </w:rPr>
              <w:t>5.3896</w:t>
            </w:r>
          </w:p>
        </w:tc>
        <w:tc>
          <w:tcPr>
            <w:tcW w:w="1707" w:type="dxa"/>
            <w:tcBorders>
              <w:top w:val="nil"/>
              <w:left w:val="nil"/>
              <w:bottom w:val="nil"/>
              <w:right w:val="nil"/>
            </w:tcBorders>
            <w:shd w:val="clear" w:color="auto" w:fill="auto"/>
            <w:noWrap/>
            <w:vAlign w:val="bottom"/>
            <w:hideMark/>
          </w:tcPr>
          <w:p w14:paraId="767C8A8C" w14:textId="0981E6E1" w:rsidR="006F7242" w:rsidRPr="006F7242" w:rsidRDefault="006F7242" w:rsidP="00665C49">
            <w:pPr>
              <w:widowControl/>
              <w:jc w:val="center"/>
              <w:rPr>
                <w:rFonts w:ascii="Arial" w:hAnsi="Arial" w:cs="Arial"/>
                <w:kern w:val="0"/>
                <w:sz w:val="20"/>
              </w:rPr>
            </w:pPr>
            <w:r w:rsidRPr="006F7242">
              <w:rPr>
                <w:rFonts w:ascii="Arial" w:hAnsi="Arial" w:cs="Arial"/>
                <w:kern w:val="0"/>
                <w:sz w:val="20"/>
              </w:rPr>
              <w:t>10.8997</w:t>
            </w:r>
          </w:p>
        </w:tc>
        <w:tc>
          <w:tcPr>
            <w:tcW w:w="1451" w:type="dxa"/>
            <w:tcBorders>
              <w:top w:val="nil"/>
              <w:left w:val="nil"/>
              <w:bottom w:val="nil"/>
              <w:right w:val="nil"/>
            </w:tcBorders>
            <w:shd w:val="clear" w:color="auto" w:fill="auto"/>
            <w:noWrap/>
            <w:vAlign w:val="bottom"/>
            <w:hideMark/>
          </w:tcPr>
          <w:p w14:paraId="22DC04A3" w14:textId="5929276C" w:rsidR="006F7242" w:rsidRPr="006F7242" w:rsidRDefault="006F7242" w:rsidP="00665C49">
            <w:pPr>
              <w:widowControl/>
              <w:jc w:val="center"/>
              <w:rPr>
                <w:rFonts w:ascii="Arial" w:hAnsi="Arial" w:cs="Arial"/>
                <w:kern w:val="0"/>
                <w:sz w:val="20"/>
              </w:rPr>
            </w:pPr>
            <w:r w:rsidRPr="006F7242">
              <w:rPr>
                <w:rFonts w:ascii="Arial" w:hAnsi="Arial" w:cs="Arial"/>
                <w:kern w:val="0"/>
                <w:sz w:val="20"/>
              </w:rPr>
              <w:t>39.1479</w:t>
            </w:r>
          </w:p>
        </w:tc>
      </w:tr>
      <w:tr w:rsidR="006F7242" w:rsidRPr="006F7242" w14:paraId="20150AF2" w14:textId="77777777" w:rsidTr="00665C49">
        <w:trPr>
          <w:trHeight w:val="416"/>
        </w:trPr>
        <w:tc>
          <w:tcPr>
            <w:tcW w:w="2616" w:type="dxa"/>
            <w:tcBorders>
              <w:top w:val="nil"/>
              <w:left w:val="nil"/>
              <w:bottom w:val="nil"/>
              <w:right w:val="nil"/>
            </w:tcBorders>
            <w:shd w:val="clear" w:color="auto" w:fill="auto"/>
            <w:noWrap/>
            <w:vAlign w:val="bottom"/>
            <w:hideMark/>
          </w:tcPr>
          <w:p w14:paraId="476435F3" w14:textId="77777777"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非系统风险</w:t>
            </w:r>
          </w:p>
        </w:tc>
        <w:tc>
          <w:tcPr>
            <w:tcW w:w="1451" w:type="dxa"/>
            <w:tcBorders>
              <w:top w:val="nil"/>
              <w:left w:val="nil"/>
              <w:bottom w:val="nil"/>
              <w:right w:val="nil"/>
            </w:tcBorders>
            <w:shd w:val="clear" w:color="auto" w:fill="auto"/>
            <w:noWrap/>
            <w:vAlign w:val="bottom"/>
            <w:hideMark/>
          </w:tcPr>
          <w:p w14:paraId="6A7694B3" w14:textId="4422DF80"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0.0242</w:t>
            </w:r>
          </w:p>
        </w:tc>
        <w:tc>
          <w:tcPr>
            <w:tcW w:w="1451" w:type="dxa"/>
            <w:tcBorders>
              <w:top w:val="nil"/>
              <w:left w:val="nil"/>
              <w:bottom w:val="nil"/>
              <w:right w:val="nil"/>
            </w:tcBorders>
            <w:shd w:val="clear" w:color="auto" w:fill="auto"/>
            <w:noWrap/>
            <w:vAlign w:val="bottom"/>
            <w:hideMark/>
          </w:tcPr>
          <w:p w14:paraId="623386AB" w14:textId="554A21C7"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0.0086</w:t>
            </w:r>
          </w:p>
        </w:tc>
        <w:tc>
          <w:tcPr>
            <w:tcW w:w="1707" w:type="dxa"/>
            <w:tcBorders>
              <w:top w:val="nil"/>
              <w:left w:val="nil"/>
              <w:bottom w:val="nil"/>
              <w:right w:val="nil"/>
            </w:tcBorders>
            <w:shd w:val="clear" w:color="auto" w:fill="auto"/>
            <w:noWrap/>
            <w:vAlign w:val="bottom"/>
            <w:hideMark/>
          </w:tcPr>
          <w:p w14:paraId="6DC240AF" w14:textId="20ED408B"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0.0050</w:t>
            </w:r>
          </w:p>
        </w:tc>
        <w:tc>
          <w:tcPr>
            <w:tcW w:w="1451" w:type="dxa"/>
            <w:tcBorders>
              <w:top w:val="nil"/>
              <w:left w:val="nil"/>
              <w:bottom w:val="nil"/>
              <w:right w:val="nil"/>
            </w:tcBorders>
            <w:shd w:val="clear" w:color="auto" w:fill="auto"/>
            <w:noWrap/>
            <w:vAlign w:val="bottom"/>
            <w:hideMark/>
          </w:tcPr>
          <w:p w14:paraId="50386F5C" w14:textId="32B22FFA"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0.0459</w:t>
            </w:r>
          </w:p>
        </w:tc>
      </w:tr>
      <w:tr w:rsidR="006F7242" w:rsidRPr="006F7242" w14:paraId="5D23C66C" w14:textId="77777777" w:rsidTr="00665C49">
        <w:trPr>
          <w:trHeight w:val="416"/>
        </w:trPr>
        <w:tc>
          <w:tcPr>
            <w:tcW w:w="2616" w:type="dxa"/>
            <w:tcBorders>
              <w:top w:val="nil"/>
              <w:left w:val="nil"/>
              <w:bottom w:val="nil"/>
              <w:right w:val="nil"/>
            </w:tcBorders>
            <w:shd w:val="clear" w:color="auto" w:fill="auto"/>
            <w:noWrap/>
            <w:vAlign w:val="bottom"/>
            <w:hideMark/>
          </w:tcPr>
          <w:p w14:paraId="62519651" w14:textId="77777777"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最大回撤</w:t>
            </w:r>
          </w:p>
        </w:tc>
        <w:tc>
          <w:tcPr>
            <w:tcW w:w="1451" w:type="dxa"/>
            <w:tcBorders>
              <w:top w:val="nil"/>
              <w:left w:val="nil"/>
              <w:bottom w:val="nil"/>
              <w:right w:val="nil"/>
            </w:tcBorders>
            <w:shd w:val="clear" w:color="auto" w:fill="auto"/>
            <w:noWrap/>
            <w:vAlign w:val="bottom"/>
            <w:hideMark/>
          </w:tcPr>
          <w:p w14:paraId="6F00884D" w14:textId="5C2CC700" w:rsidR="006F7242" w:rsidRPr="006F7242" w:rsidRDefault="006F7242" w:rsidP="00665C49">
            <w:pPr>
              <w:widowControl/>
              <w:jc w:val="center"/>
              <w:rPr>
                <w:rFonts w:ascii="Arial" w:hAnsi="Arial" w:cs="Arial"/>
                <w:kern w:val="0"/>
                <w:sz w:val="20"/>
              </w:rPr>
            </w:pPr>
            <w:r w:rsidRPr="006F7242">
              <w:rPr>
                <w:rFonts w:ascii="Arial" w:hAnsi="Arial" w:cs="Arial"/>
                <w:kern w:val="0"/>
                <w:sz w:val="20"/>
              </w:rPr>
              <w:t>-22.0842</w:t>
            </w:r>
          </w:p>
        </w:tc>
        <w:tc>
          <w:tcPr>
            <w:tcW w:w="1451" w:type="dxa"/>
            <w:tcBorders>
              <w:top w:val="nil"/>
              <w:left w:val="nil"/>
              <w:bottom w:val="nil"/>
              <w:right w:val="nil"/>
            </w:tcBorders>
            <w:shd w:val="clear" w:color="auto" w:fill="auto"/>
            <w:noWrap/>
            <w:vAlign w:val="bottom"/>
            <w:hideMark/>
          </w:tcPr>
          <w:p w14:paraId="0279DAE0" w14:textId="41E6F253" w:rsidR="006F7242" w:rsidRPr="006F7242" w:rsidRDefault="006F7242" w:rsidP="00665C49">
            <w:pPr>
              <w:widowControl/>
              <w:jc w:val="center"/>
              <w:rPr>
                <w:rFonts w:ascii="Arial" w:hAnsi="Arial" w:cs="Arial"/>
                <w:kern w:val="0"/>
                <w:sz w:val="20"/>
              </w:rPr>
            </w:pPr>
            <w:r w:rsidRPr="006F7242">
              <w:rPr>
                <w:rFonts w:ascii="Arial" w:hAnsi="Arial" w:cs="Arial"/>
                <w:kern w:val="0"/>
                <w:sz w:val="20"/>
              </w:rPr>
              <w:t>5.5835</w:t>
            </w:r>
          </w:p>
        </w:tc>
        <w:tc>
          <w:tcPr>
            <w:tcW w:w="1707" w:type="dxa"/>
            <w:tcBorders>
              <w:top w:val="nil"/>
              <w:left w:val="nil"/>
              <w:bottom w:val="nil"/>
              <w:right w:val="nil"/>
            </w:tcBorders>
            <w:shd w:val="clear" w:color="auto" w:fill="auto"/>
            <w:noWrap/>
            <w:vAlign w:val="bottom"/>
            <w:hideMark/>
          </w:tcPr>
          <w:p w14:paraId="17CE823E" w14:textId="009B2FEF" w:rsidR="006F7242" w:rsidRPr="006F7242" w:rsidRDefault="006F7242" w:rsidP="00665C49">
            <w:pPr>
              <w:widowControl/>
              <w:jc w:val="center"/>
              <w:rPr>
                <w:rFonts w:ascii="Arial" w:hAnsi="Arial" w:cs="Arial"/>
                <w:kern w:val="0"/>
                <w:sz w:val="20"/>
              </w:rPr>
            </w:pPr>
            <w:r w:rsidRPr="006F7242">
              <w:rPr>
                <w:rFonts w:ascii="Arial" w:hAnsi="Arial" w:cs="Arial"/>
                <w:kern w:val="0"/>
                <w:sz w:val="20"/>
              </w:rPr>
              <w:t>-37.7298</w:t>
            </w:r>
          </w:p>
        </w:tc>
        <w:tc>
          <w:tcPr>
            <w:tcW w:w="1451" w:type="dxa"/>
            <w:tcBorders>
              <w:top w:val="nil"/>
              <w:left w:val="nil"/>
              <w:bottom w:val="nil"/>
              <w:right w:val="nil"/>
            </w:tcBorders>
            <w:shd w:val="clear" w:color="auto" w:fill="auto"/>
            <w:noWrap/>
            <w:vAlign w:val="bottom"/>
            <w:hideMark/>
          </w:tcPr>
          <w:p w14:paraId="68674736" w14:textId="4AA4C49D" w:rsidR="006F7242" w:rsidRPr="006F7242" w:rsidRDefault="006F7242" w:rsidP="00665C49">
            <w:pPr>
              <w:widowControl/>
              <w:jc w:val="center"/>
              <w:rPr>
                <w:rFonts w:ascii="Arial" w:hAnsi="Arial" w:cs="Arial"/>
                <w:kern w:val="0"/>
                <w:sz w:val="20"/>
              </w:rPr>
            </w:pPr>
            <w:r w:rsidRPr="006F7242">
              <w:rPr>
                <w:rFonts w:ascii="Arial" w:hAnsi="Arial" w:cs="Arial"/>
                <w:kern w:val="0"/>
                <w:sz w:val="20"/>
              </w:rPr>
              <w:t>-5.4202</w:t>
            </w:r>
          </w:p>
        </w:tc>
      </w:tr>
      <w:tr w:rsidR="006F7242" w:rsidRPr="006F7242" w14:paraId="64005436" w14:textId="77777777" w:rsidTr="00665C49">
        <w:trPr>
          <w:trHeight w:val="416"/>
        </w:trPr>
        <w:tc>
          <w:tcPr>
            <w:tcW w:w="2616" w:type="dxa"/>
            <w:tcBorders>
              <w:top w:val="nil"/>
              <w:left w:val="nil"/>
              <w:bottom w:val="nil"/>
              <w:right w:val="nil"/>
            </w:tcBorders>
            <w:shd w:val="clear" w:color="auto" w:fill="auto"/>
            <w:noWrap/>
            <w:vAlign w:val="bottom"/>
            <w:hideMark/>
          </w:tcPr>
          <w:p w14:paraId="407FF4FA" w14:textId="77777777"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选股能力</w:t>
            </w:r>
          </w:p>
        </w:tc>
        <w:tc>
          <w:tcPr>
            <w:tcW w:w="1451" w:type="dxa"/>
            <w:tcBorders>
              <w:top w:val="nil"/>
              <w:left w:val="nil"/>
              <w:bottom w:val="nil"/>
              <w:right w:val="nil"/>
            </w:tcBorders>
            <w:shd w:val="clear" w:color="auto" w:fill="auto"/>
            <w:noWrap/>
            <w:vAlign w:val="bottom"/>
            <w:hideMark/>
          </w:tcPr>
          <w:p w14:paraId="07E5E933" w14:textId="59134E6B"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0.0037</w:t>
            </w:r>
          </w:p>
        </w:tc>
        <w:tc>
          <w:tcPr>
            <w:tcW w:w="1451" w:type="dxa"/>
            <w:tcBorders>
              <w:top w:val="nil"/>
              <w:left w:val="nil"/>
              <w:bottom w:val="nil"/>
              <w:right w:val="nil"/>
            </w:tcBorders>
            <w:shd w:val="clear" w:color="auto" w:fill="auto"/>
            <w:noWrap/>
            <w:vAlign w:val="bottom"/>
            <w:hideMark/>
          </w:tcPr>
          <w:p w14:paraId="1A2FFCDB" w14:textId="2194486B"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0.0031</w:t>
            </w:r>
          </w:p>
        </w:tc>
        <w:tc>
          <w:tcPr>
            <w:tcW w:w="1707" w:type="dxa"/>
            <w:tcBorders>
              <w:top w:val="nil"/>
              <w:left w:val="nil"/>
              <w:bottom w:val="nil"/>
              <w:right w:val="nil"/>
            </w:tcBorders>
            <w:shd w:val="clear" w:color="auto" w:fill="auto"/>
            <w:noWrap/>
            <w:vAlign w:val="bottom"/>
            <w:hideMark/>
          </w:tcPr>
          <w:p w14:paraId="3E04214B" w14:textId="4C0062B6"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-0.0030</w:t>
            </w:r>
          </w:p>
        </w:tc>
        <w:tc>
          <w:tcPr>
            <w:tcW w:w="1451" w:type="dxa"/>
            <w:tcBorders>
              <w:top w:val="nil"/>
              <w:left w:val="nil"/>
              <w:bottom w:val="nil"/>
              <w:right w:val="nil"/>
            </w:tcBorders>
            <w:shd w:val="clear" w:color="auto" w:fill="auto"/>
            <w:noWrap/>
            <w:vAlign w:val="bottom"/>
            <w:hideMark/>
          </w:tcPr>
          <w:p w14:paraId="3F7E1BE1" w14:textId="0253032B"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0.0114</w:t>
            </w:r>
          </w:p>
        </w:tc>
      </w:tr>
      <w:tr w:rsidR="006F7242" w:rsidRPr="006F7242" w14:paraId="0893894D" w14:textId="77777777" w:rsidTr="00665C49">
        <w:trPr>
          <w:trHeight w:val="416"/>
        </w:trPr>
        <w:tc>
          <w:tcPr>
            <w:tcW w:w="2616" w:type="dxa"/>
            <w:tcBorders>
              <w:top w:val="nil"/>
              <w:left w:val="nil"/>
              <w:bottom w:val="nil"/>
              <w:right w:val="nil"/>
            </w:tcBorders>
            <w:shd w:val="clear" w:color="auto" w:fill="auto"/>
            <w:noWrap/>
            <w:vAlign w:val="bottom"/>
            <w:hideMark/>
          </w:tcPr>
          <w:p w14:paraId="7BAB94C6" w14:textId="77777777"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跟踪误差</w:t>
            </w:r>
          </w:p>
        </w:tc>
        <w:tc>
          <w:tcPr>
            <w:tcW w:w="1451" w:type="dxa"/>
            <w:tcBorders>
              <w:top w:val="nil"/>
              <w:left w:val="nil"/>
              <w:bottom w:val="nil"/>
              <w:right w:val="nil"/>
            </w:tcBorders>
            <w:shd w:val="clear" w:color="auto" w:fill="auto"/>
            <w:noWrap/>
            <w:vAlign w:val="bottom"/>
            <w:hideMark/>
          </w:tcPr>
          <w:p w14:paraId="0077651F" w14:textId="21B67EF5" w:rsidR="006F7242" w:rsidRPr="006F7242" w:rsidRDefault="006F7242" w:rsidP="00665C49">
            <w:pPr>
              <w:widowControl/>
              <w:jc w:val="center"/>
              <w:rPr>
                <w:rFonts w:ascii="Arial" w:hAnsi="Arial" w:cs="Arial"/>
                <w:kern w:val="0"/>
                <w:sz w:val="20"/>
              </w:rPr>
            </w:pPr>
            <w:r w:rsidRPr="006F7242">
              <w:rPr>
                <w:rFonts w:ascii="Arial" w:hAnsi="Arial" w:cs="Arial"/>
                <w:kern w:val="0"/>
                <w:sz w:val="20"/>
              </w:rPr>
              <w:t>17.9419</w:t>
            </w:r>
          </w:p>
        </w:tc>
        <w:tc>
          <w:tcPr>
            <w:tcW w:w="1451" w:type="dxa"/>
            <w:tcBorders>
              <w:top w:val="nil"/>
              <w:left w:val="nil"/>
              <w:bottom w:val="nil"/>
              <w:right w:val="nil"/>
            </w:tcBorders>
            <w:shd w:val="clear" w:color="auto" w:fill="auto"/>
            <w:noWrap/>
            <w:vAlign w:val="bottom"/>
            <w:hideMark/>
          </w:tcPr>
          <w:p w14:paraId="7F6F0D08" w14:textId="097F14F1" w:rsidR="006F7242" w:rsidRPr="006F7242" w:rsidRDefault="006F7242" w:rsidP="00665C49">
            <w:pPr>
              <w:widowControl/>
              <w:jc w:val="center"/>
              <w:rPr>
                <w:rFonts w:ascii="Arial" w:hAnsi="Arial" w:cs="Arial"/>
                <w:kern w:val="0"/>
                <w:sz w:val="20"/>
              </w:rPr>
            </w:pPr>
            <w:r w:rsidRPr="006F7242">
              <w:rPr>
                <w:rFonts w:ascii="Arial" w:hAnsi="Arial" w:cs="Arial"/>
                <w:kern w:val="0"/>
                <w:sz w:val="20"/>
              </w:rPr>
              <w:t>6.0883</w:t>
            </w:r>
          </w:p>
        </w:tc>
        <w:tc>
          <w:tcPr>
            <w:tcW w:w="1707" w:type="dxa"/>
            <w:tcBorders>
              <w:top w:val="nil"/>
              <w:left w:val="nil"/>
              <w:bottom w:val="nil"/>
              <w:right w:val="nil"/>
            </w:tcBorders>
            <w:shd w:val="clear" w:color="auto" w:fill="auto"/>
            <w:noWrap/>
            <w:vAlign w:val="bottom"/>
            <w:hideMark/>
          </w:tcPr>
          <w:p w14:paraId="6253E3A4" w14:textId="6E9C70BA" w:rsidR="006F7242" w:rsidRPr="006F7242" w:rsidRDefault="006F7242" w:rsidP="00665C49">
            <w:pPr>
              <w:widowControl/>
              <w:jc w:val="center"/>
              <w:rPr>
                <w:rFonts w:ascii="Arial" w:hAnsi="Arial" w:cs="Arial"/>
                <w:kern w:val="0"/>
                <w:sz w:val="20"/>
              </w:rPr>
            </w:pPr>
            <w:r w:rsidRPr="006F7242">
              <w:rPr>
                <w:rFonts w:ascii="Arial" w:hAnsi="Arial" w:cs="Arial"/>
                <w:kern w:val="0"/>
                <w:sz w:val="20"/>
              </w:rPr>
              <w:t>3.6532</w:t>
            </w:r>
          </w:p>
        </w:tc>
        <w:tc>
          <w:tcPr>
            <w:tcW w:w="1451" w:type="dxa"/>
            <w:tcBorders>
              <w:top w:val="nil"/>
              <w:left w:val="nil"/>
              <w:bottom w:val="nil"/>
              <w:right w:val="nil"/>
            </w:tcBorders>
            <w:shd w:val="clear" w:color="auto" w:fill="auto"/>
            <w:noWrap/>
            <w:vAlign w:val="bottom"/>
            <w:hideMark/>
          </w:tcPr>
          <w:p w14:paraId="4750F9FF" w14:textId="7167F343" w:rsidR="006F7242" w:rsidRPr="006F7242" w:rsidRDefault="006F7242" w:rsidP="00665C49">
            <w:pPr>
              <w:widowControl/>
              <w:jc w:val="center"/>
              <w:rPr>
                <w:rFonts w:ascii="Arial" w:hAnsi="Arial" w:cs="Arial"/>
                <w:kern w:val="0"/>
                <w:sz w:val="20"/>
              </w:rPr>
            </w:pPr>
            <w:r w:rsidRPr="006F7242">
              <w:rPr>
                <w:rFonts w:ascii="Arial" w:hAnsi="Arial" w:cs="Arial"/>
                <w:kern w:val="0"/>
                <w:sz w:val="20"/>
              </w:rPr>
              <w:t>32.7625</w:t>
            </w:r>
          </w:p>
        </w:tc>
      </w:tr>
      <w:tr w:rsidR="006F7242" w:rsidRPr="006F7242" w14:paraId="6278E2ED" w14:textId="77777777" w:rsidTr="00665C49">
        <w:trPr>
          <w:trHeight w:val="416"/>
        </w:trPr>
        <w:tc>
          <w:tcPr>
            <w:tcW w:w="2616" w:type="dxa"/>
            <w:tcBorders>
              <w:top w:val="nil"/>
              <w:left w:val="nil"/>
              <w:bottom w:val="nil"/>
              <w:right w:val="nil"/>
            </w:tcBorders>
            <w:shd w:val="clear" w:color="auto" w:fill="auto"/>
            <w:noWrap/>
            <w:vAlign w:val="bottom"/>
            <w:hideMark/>
          </w:tcPr>
          <w:p w14:paraId="1F070466" w14:textId="77777777"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信息比率</w:t>
            </w:r>
          </w:p>
        </w:tc>
        <w:tc>
          <w:tcPr>
            <w:tcW w:w="1451" w:type="dxa"/>
            <w:tcBorders>
              <w:top w:val="nil"/>
              <w:left w:val="nil"/>
              <w:bottom w:val="nil"/>
              <w:right w:val="nil"/>
            </w:tcBorders>
            <w:shd w:val="clear" w:color="auto" w:fill="auto"/>
            <w:noWrap/>
            <w:vAlign w:val="bottom"/>
            <w:hideMark/>
          </w:tcPr>
          <w:p w14:paraId="6B408416" w14:textId="7015F761"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0.7184</w:t>
            </w:r>
          </w:p>
        </w:tc>
        <w:tc>
          <w:tcPr>
            <w:tcW w:w="1451" w:type="dxa"/>
            <w:tcBorders>
              <w:top w:val="nil"/>
              <w:left w:val="nil"/>
              <w:bottom w:val="nil"/>
              <w:right w:val="nil"/>
            </w:tcBorders>
            <w:shd w:val="clear" w:color="auto" w:fill="auto"/>
            <w:noWrap/>
            <w:vAlign w:val="bottom"/>
            <w:hideMark/>
          </w:tcPr>
          <w:p w14:paraId="25182153" w14:textId="08BE7AE1"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0.9029</w:t>
            </w:r>
          </w:p>
        </w:tc>
        <w:tc>
          <w:tcPr>
            <w:tcW w:w="1707" w:type="dxa"/>
            <w:tcBorders>
              <w:top w:val="nil"/>
              <w:left w:val="nil"/>
              <w:bottom w:val="nil"/>
              <w:right w:val="nil"/>
            </w:tcBorders>
            <w:shd w:val="clear" w:color="auto" w:fill="auto"/>
            <w:noWrap/>
            <w:vAlign w:val="bottom"/>
            <w:hideMark/>
          </w:tcPr>
          <w:p w14:paraId="29C34532" w14:textId="60996DFD" w:rsidR="006F7242" w:rsidRPr="006F7242" w:rsidRDefault="006F7242" w:rsidP="00665C49">
            <w:pPr>
              <w:widowControl/>
              <w:jc w:val="center"/>
              <w:rPr>
                <w:rFonts w:ascii="Arial" w:hAnsi="Arial" w:cs="Arial"/>
                <w:kern w:val="0"/>
                <w:sz w:val="20"/>
              </w:rPr>
            </w:pPr>
            <w:r w:rsidRPr="006F7242">
              <w:rPr>
                <w:rFonts w:ascii="Arial" w:hAnsi="Arial" w:cs="Arial"/>
                <w:kern w:val="0"/>
                <w:sz w:val="20"/>
              </w:rPr>
              <w:t>-1.3925</w:t>
            </w:r>
          </w:p>
        </w:tc>
        <w:tc>
          <w:tcPr>
            <w:tcW w:w="1451" w:type="dxa"/>
            <w:tcBorders>
              <w:top w:val="nil"/>
              <w:left w:val="nil"/>
              <w:bottom w:val="nil"/>
              <w:right w:val="nil"/>
            </w:tcBorders>
            <w:shd w:val="clear" w:color="auto" w:fill="auto"/>
            <w:noWrap/>
            <w:vAlign w:val="bottom"/>
            <w:hideMark/>
          </w:tcPr>
          <w:p w14:paraId="4342530D" w14:textId="7A953437" w:rsidR="006F7242" w:rsidRPr="006F7242" w:rsidRDefault="006F7242" w:rsidP="00665C49">
            <w:pPr>
              <w:widowControl/>
              <w:jc w:val="center"/>
              <w:rPr>
                <w:rFonts w:ascii="Arial" w:hAnsi="Arial" w:cs="Arial"/>
                <w:kern w:val="0"/>
                <w:sz w:val="20"/>
              </w:rPr>
            </w:pPr>
            <w:r w:rsidRPr="006F7242">
              <w:rPr>
                <w:rFonts w:ascii="Arial" w:hAnsi="Arial" w:cs="Arial"/>
                <w:kern w:val="0"/>
                <w:sz w:val="20"/>
              </w:rPr>
              <w:t>3.5827</w:t>
            </w:r>
          </w:p>
        </w:tc>
      </w:tr>
      <w:tr w:rsidR="006F7242" w:rsidRPr="006F7242" w14:paraId="1D592F05" w14:textId="77777777" w:rsidTr="00665C49">
        <w:trPr>
          <w:trHeight w:val="416"/>
        </w:trPr>
        <w:tc>
          <w:tcPr>
            <w:tcW w:w="2616" w:type="dxa"/>
            <w:tcBorders>
              <w:top w:val="nil"/>
              <w:left w:val="nil"/>
              <w:bottom w:val="nil"/>
              <w:right w:val="nil"/>
            </w:tcBorders>
            <w:shd w:val="clear" w:color="auto" w:fill="auto"/>
            <w:noWrap/>
            <w:vAlign w:val="bottom"/>
            <w:hideMark/>
          </w:tcPr>
          <w:p w14:paraId="52A689B2" w14:textId="77777777"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基金规模</w:t>
            </w:r>
            <w:r w:rsidRPr="006F7242">
              <w:rPr>
                <w:rFonts w:ascii="Arial" w:hAnsi="Arial" w:cs="Arial"/>
                <w:kern w:val="0"/>
                <w:sz w:val="20"/>
              </w:rPr>
              <w:t>~</w:t>
            </w:r>
            <w:r w:rsidRPr="006F7242">
              <w:rPr>
                <w:rFonts w:ascii="宋体" w:hAnsi="宋体" w:cs="Arial" w:hint="eastAsia"/>
                <w:kern w:val="0"/>
                <w:sz w:val="20"/>
              </w:rPr>
              <w:t>元</w:t>
            </w:r>
          </w:p>
        </w:tc>
        <w:tc>
          <w:tcPr>
            <w:tcW w:w="1451" w:type="dxa"/>
            <w:tcBorders>
              <w:top w:val="nil"/>
              <w:left w:val="nil"/>
              <w:bottom w:val="nil"/>
              <w:right w:val="nil"/>
            </w:tcBorders>
            <w:shd w:val="clear" w:color="auto" w:fill="auto"/>
            <w:noWrap/>
            <w:vAlign w:val="bottom"/>
            <w:hideMark/>
          </w:tcPr>
          <w:p w14:paraId="59FD4535" w14:textId="4A47454E" w:rsidR="006F7242" w:rsidRPr="006F7242" w:rsidRDefault="006F7242" w:rsidP="00665C49">
            <w:pPr>
              <w:widowControl/>
              <w:jc w:val="center"/>
              <w:rPr>
                <w:rFonts w:ascii="Arial" w:hAnsi="Arial" w:cs="Arial"/>
                <w:kern w:val="0"/>
                <w:sz w:val="20"/>
              </w:rPr>
            </w:pPr>
            <w:r w:rsidRPr="006F7242">
              <w:rPr>
                <w:rFonts w:ascii="Arial" w:hAnsi="Arial" w:cs="Arial"/>
                <w:kern w:val="0"/>
                <w:sz w:val="20"/>
              </w:rPr>
              <w:t>5.6959</w:t>
            </w:r>
          </w:p>
        </w:tc>
        <w:tc>
          <w:tcPr>
            <w:tcW w:w="1451" w:type="dxa"/>
            <w:tcBorders>
              <w:top w:val="nil"/>
              <w:left w:val="nil"/>
              <w:bottom w:val="nil"/>
              <w:right w:val="nil"/>
            </w:tcBorders>
            <w:shd w:val="clear" w:color="auto" w:fill="auto"/>
            <w:noWrap/>
            <w:vAlign w:val="bottom"/>
            <w:hideMark/>
          </w:tcPr>
          <w:p w14:paraId="6454F066" w14:textId="0387F1B4" w:rsidR="006F7242" w:rsidRPr="006F7242" w:rsidRDefault="006F7242" w:rsidP="00665C49">
            <w:pPr>
              <w:widowControl/>
              <w:jc w:val="center"/>
              <w:rPr>
                <w:rFonts w:ascii="Arial" w:hAnsi="Arial" w:cs="Arial"/>
                <w:kern w:val="0"/>
                <w:sz w:val="20"/>
              </w:rPr>
            </w:pPr>
            <w:r w:rsidRPr="006F7242">
              <w:rPr>
                <w:rFonts w:ascii="Arial" w:hAnsi="Arial" w:cs="Arial"/>
                <w:kern w:val="0"/>
                <w:sz w:val="20"/>
              </w:rPr>
              <w:t>16.6490</w:t>
            </w:r>
          </w:p>
        </w:tc>
        <w:tc>
          <w:tcPr>
            <w:tcW w:w="1707" w:type="dxa"/>
            <w:tcBorders>
              <w:top w:val="nil"/>
              <w:left w:val="nil"/>
              <w:bottom w:val="nil"/>
              <w:right w:val="nil"/>
            </w:tcBorders>
            <w:shd w:val="clear" w:color="auto" w:fill="auto"/>
            <w:noWrap/>
            <w:vAlign w:val="bottom"/>
            <w:hideMark/>
          </w:tcPr>
          <w:p w14:paraId="29975358" w14:textId="4D58B05D"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-0.0001</w:t>
            </w:r>
          </w:p>
        </w:tc>
        <w:tc>
          <w:tcPr>
            <w:tcW w:w="1451" w:type="dxa"/>
            <w:tcBorders>
              <w:top w:val="nil"/>
              <w:left w:val="nil"/>
              <w:bottom w:val="nil"/>
              <w:right w:val="nil"/>
            </w:tcBorders>
            <w:shd w:val="clear" w:color="auto" w:fill="auto"/>
            <w:noWrap/>
            <w:vAlign w:val="bottom"/>
            <w:hideMark/>
          </w:tcPr>
          <w:p w14:paraId="2D652C17" w14:textId="734D9506" w:rsidR="006F7242" w:rsidRPr="006F7242" w:rsidRDefault="006F7242" w:rsidP="00665C49">
            <w:pPr>
              <w:widowControl/>
              <w:jc w:val="center"/>
              <w:rPr>
                <w:rFonts w:ascii="Arial" w:hAnsi="Arial" w:cs="Arial"/>
                <w:kern w:val="0"/>
                <w:sz w:val="20"/>
              </w:rPr>
            </w:pPr>
            <w:r w:rsidRPr="006F7242">
              <w:rPr>
                <w:rFonts w:ascii="Arial" w:hAnsi="Arial" w:cs="Arial"/>
                <w:kern w:val="0"/>
                <w:sz w:val="20"/>
              </w:rPr>
              <w:t>138.2623</w:t>
            </w:r>
          </w:p>
        </w:tc>
      </w:tr>
      <w:tr w:rsidR="006F7242" w:rsidRPr="006F7242" w14:paraId="4B06CA80" w14:textId="77777777" w:rsidTr="00665C49">
        <w:trPr>
          <w:trHeight w:val="416"/>
        </w:trPr>
        <w:tc>
          <w:tcPr>
            <w:tcW w:w="2616" w:type="dxa"/>
            <w:tcBorders>
              <w:top w:val="nil"/>
              <w:left w:val="nil"/>
              <w:bottom w:val="nil"/>
              <w:right w:val="nil"/>
            </w:tcBorders>
            <w:shd w:val="clear" w:color="auto" w:fill="auto"/>
            <w:noWrap/>
            <w:vAlign w:val="bottom"/>
            <w:hideMark/>
          </w:tcPr>
          <w:p w14:paraId="016DA34B" w14:textId="77777777"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成立年限</w:t>
            </w:r>
          </w:p>
        </w:tc>
        <w:tc>
          <w:tcPr>
            <w:tcW w:w="1451" w:type="dxa"/>
            <w:tcBorders>
              <w:top w:val="nil"/>
              <w:left w:val="nil"/>
              <w:bottom w:val="nil"/>
              <w:right w:val="nil"/>
            </w:tcBorders>
            <w:shd w:val="clear" w:color="auto" w:fill="auto"/>
            <w:noWrap/>
            <w:vAlign w:val="bottom"/>
            <w:hideMark/>
          </w:tcPr>
          <w:p w14:paraId="661E2ADE" w14:textId="7A705E2C" w:rsidR="006F7242" w:rsidRPr="006F7242" w:rsidRDefault="006F7242" w:rsidP="00665C49">
            <w:pPr>
              <w:widowControl/>
              <w:jc w:val="center"/>
              <w:rPr>
                <w:rFonts w:ascii="Arial" w:hAnsi="Arial" w:cs="Arial"/>
                <w:kern w:val="0"/>
                <w:sz w:val="20"/>
              </w:rPr>
            </w:pPr>
            <w:r w:rsidRPr="006F7242">
              <w:rPr>
                <w:rFonts w:ascii="Arial" w:hAnsi="Arial" w:cs="Arial"/>
                <w:kern w:val="0"/>
                <w:sz w:val="20"/>
              </w:rPr>
              <w:t>2.6098</w:t>
            </w:r>
          </w:p>
        </w:tc>
        <w:tc>
          <w:tcPr>
            <w:tcW w:w="1451" w:type="dxa"/>
            <w:tcBorders>
              <w:top w:val="nil"/>
              <w:left w:val="nil"/>
              <w:bottom w:val="nil"/>
              <w:right w:val="nil"/>
            </w:tcBorders>
            <w:shd w:val="clear" w:color="auto" w:fill="auto"/>
            <w:noWrap/>
            <w:vAlign w:val="bottom"/>
            <w:hideMark/>
          </w:tcPr>
          <w:p w14:paraId="2E5F7073" w14:textId="14FD2DB2"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0.8458</w:t>
            </w:r>
          </w:p>
        </w:tc>
        <w:tc>
          <w:tcPr>
            <w:tcW w:w="1707" w:type="dxa"/>
            <w:tcBorders>
              <w:top w:val="nil"/>
              <w:left w:val="nil"/>
              <w:bottom w:val="nil"/>
              <w:right w:val="nil"/>
            </w:tcBorders>
            <w:shd w:val="clear" w:color="auto" w:fill="auto"/>
            <w:noWrap/>
            <w:vAlign w:val="bottom"/>
            <w:hideMark/>
          </w:tcPr>
          <w:p w14:paraId="1E69BD01" w14:textId="4BEBA5DB" w:rsidR="006F7242" w:rsidRPr="006F7242" w:rsidRDefault="006F7242" w:rsidP="00665C49">
            <w:pPr>
              <w:widowControl/>
              <w:jc w:val="center"/>
              <w:rPr>
                <w:rFonts w:ascii="Arial" w:hAnsi="Arial" w:cs="Arial"/>
                <w:kern w:val="0"/>
                <w:sz w:val="20"/>
              </w:rPr>
            </w:pPr>
            <w:r w:rsidRPr="006F7242">
              <w:rPr>
                <w:rFonts w:ascii="Arial" w:hAnsi="Arial" w:cs="Arial"/>
                <w:kern w:val="0"/>
                <w:sz w:val="20"/>
              </w:rPr>
              <w:t>2.0000</w:t>
            </w:r>
          </w:p>
        </w:tc>
        <w:tc>
          <w:tcPr>
            <w:tcW w:w="1451" w:type="dxa"/>
            <w:tcBorders>
              <w:top w:val="nil"/>
              <w:left w:val="nil"/>
              <w:bottom w:val="nil"/>
              <w:right w:val="nil"/>
            </w:tcBorders>
            <w:shd w:val="clear" w:color="auto" w:fill="auto"/>
            <w:noWrap/>
            <w:vAlign w:val="bottom"/>
            <w:hideMark/>
          </w:tcPr>
          <w:p w14:paraId="59847EF1" w14:textId="74DEC4B6" w:rsidR="006F7242" w:rsidRPr="006F7242" w:rsidRDefault="006F7242" w:rsidP="00665C49">
            <w:pPr>
              <w:widowControl/>
              <w:jc w:val="center"/>
              <w:rPr>
                <w:rFonts w:ascii="Arial" w:hAnsi="Arial" w:cs="Arial"/>
                <w:kern w:val="0"/>
                <w:sz w:val="20"/>
              </w:rPr>
            </w:pPr>
            <w:r w:rsidRPr="006F7242">
              <w:rPr>
                <w:rFonts w:ascii="Arial" w:hAnsi="Arial" w:cs="Arial"/>
                <w:kern w:val="0"/>
                <w:sz w:val="20"/>
              </w:rPr>
              <w:t>4.0000</w:t>
            </w:r>
          </w:p>
        </w:tc>
      </w:tr>
      <w:tr w:rsidR="006F7242" w:rsidRPr="006F7242" w14:paraId="3180220B" w14:textId="77777777" w:rsidTr="00665C49">
        <w:trPr>
          <w:trHeight w:val="416"/>
        </w:trPr>
        <w:tc>
          <w:tcPr>
            <w:tcW w:w="2616" w:type="dxa"/>
            <w:tcBorders>
              <w:top w:val="nil"/>
              <w:left w:val="nil"/>
              <w:bottom w:val="nil"/>
              <w:right w:val="nil"/>
            </w:tcBorders>
            <w:shd w:val="clear" w:color="auto" w:fill="auto"/>
            <w:noWrap/>
            <w:vAlign w:val="bottom"/>
            <w:hideMark/>
          </w:tcPr>
          <w:p w14:paraId="5E93805E" w14:textId="77777777"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是否为碳中和</w:t>
            </w:r>
          </w:p>
        </w:tc>
        <w:tc>
          <w:tcPr>
            <w:tcW w:w="1451" w:type="dxa"/>
            <w:tcBorders>
              <w:top w:val="nil"/>
              <w:left w:val="nil"/>
              <w:bottom w:val="nil"/>
              <w:right w:val="nil"/>
            </w:tcBorders>
            <w:shd w:val="clear" w:color="auto" w:fill="auto"/>
            <w:noWrap/>
            <w:vAlign w:val="bottom"/>
            <w:hideMark/>
          </w:tcPr>
          <w:p w14:paraId="5BB07741" w14:textId="67365EEB"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0.5041</w:t>
            </w:r>
          </w:p>
        </w:tc>
        <w:tc>
          <w:tcPr>
            <w:tcW w:w="1451" w:type="dxa"/>
            <w:tcBorders>
              <w:top w:val="nil"/>
              <w:left w:val="nil"/>
              <w:bottom w:val="nil"/>
              <w:right w:val="nil"/>
            </w:tcBorders>
            <w:shd w:val="clear" w:color="auto" w:fill="auto"/>
            <w:noWrap/>
            <w:vAlign w:val="bottom"/>
            <w:hideMark/>
          </w:tcPr>
          <w:p w14:paraId="1BDBE20A" w14:textId="6FF863D3"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0.5020</w:t>
            </w:r>
          </w:p>
        </w:tc>
        <w:tc>
          <w:tcPr>
            <w:tcW w:w="1707" w:type="dxa"/>
            <w:tcBorders>
              <w:top w:val="nil"/>
              <w:left w:val="nil"/>
              <w:bottom w:val="nil"/>
              <w:right w:val="nil"/>
            </w:tcBorders>
            <w:shd w:val="clear" w:color="auto" w:fill="auto"/>
            <w:noWrap/>
            <w:vAlign w:val="bottom"/>
            <w:hideMark/>
          </w:tcPr>
          <w:p w14:paraId="5D7B62E9" w14:textId="4219228D" w:rsidR="006F7242" w:rsidRPr="006F7242" w:rsidRDefault="006F7242" w:rsidP="00665C49">
            <w:pPr>
              <w:widowControl/>
              <w:jc w:val="center"/>
              <w:rPr>
                <w:rFonts w:ascii="Arial" w:hAnsi="Arial" w:cs="Arial"/>
                <w:kern w:val="0"/>
                <w:sz w:val="20"/>
              </w:rPr>
            </w:pPr>
            <w:r w:rsidRPr="006F7242">
              <w:rPr>
                <w:rFonts w:ascii="Arial" w:hAnsi="Arial" w:cs="Arial"/>
                <w:kern w:val="0"/>
                <w:sz w:val="20"/>
              </w:rPr>
              <w:t>-</w:t>
            </w:r>
          </w:p>
        </w:tc>
        <w:tc>
          <w:tcPr>
            <w:tcW w:w="1451" w:type="dxa"/>
            <w:tcBorders>
              <w:top w:val="nil"/>
              <w:left w:val="nil"/>
              <w:bottom w:val="nil"/>
              <w:right w:val="nil"/>
            </w:tcBorders>
            <w:shd w:val="clear" w:color="auto" w:fill="auto"/>
            <w:noWrap/>
            <w:vAlign w:val="bottom"/>
            <w:hideMark/>
          </w:tcPr>
          <w:p w14:paraId="618E7735" w14:textId="51265383" w:rsidR="006F7242" w:rsidRPr="006F7242" w:rsidRDefault="006F7242" w:rsidP="00665C49">
            <w:pPr>
              <w:widowControl/>
              <w:jc w:val="center"/>
              <w:rPr>
                <w:rFonts w:ascii="Arial" w:hAnsi="Arial" w:cs="Arial"/>
                <w:kern w:val="0"/>
                <w:sz w:val="20"/>
              </w:rPr>
            </w:pPr>
            <w:r w:rsidRPr="006F7242">
              <w:rPr>
                <w:rFonts w:ascii="Arial" w:hAnsi="Arial" w:cs="Arial"/>
                <w:kern w:val="0"/>
                <w:sz w:val="20"/>
              </w:rPr>
              <w:t>1.0000</w:t>
            </w:r>
          </w:p>
        </w:tc>
      </w:tr>
      <w:tr w:rsidR="006F7242" w:rsidRPr="006F7242" w14:paraId="25FB1A34" w14:textId="77777777" w:rsidTr="00665C49">
        <w:trPr>
          <w:trHeight w:val="416"/>
        </w:trPr>
        <w:tc>
          <w:tcPr>
            <w:tcW w:w="2616" w:type="dxa"/>
            <w:tcBorders>
              <w:top w:val="nil"/>
              <w:left w:val="nil"/>
              <w:bottom w:val="nil"/>
              <w:right w:val="nil"/>
            </w:tcBorders>
            <w:shd w:val="clear" w:color="auto" w:fill="auto"/>
            <w:noWrap/>
            <w:vAlign w:val="bottom"/>
            <w:hideMark/>
          </w:tcPr>
          <w:p w14:paraId="1BA6C828" w14:textId="77777777" w:rsidR="006F7242" w:rsidRPr="006F7242" w:rsidRDefault="006F7242" w:rsidP="00665C49">
            <w:pPr>
              <w:widowControl/>
              <w:jc w:val="center"/>
              <w:rPr>
                <w:rFonts w:ascii="宋体" w:hAnsi="宋体" w:cs="Arial"/>
                <w:kern w:val="0"/>
                <w:szCs w:val="21"/>
              </w:rPr>
            </w:pPr>
            <w:r w:rsidRPr="006F7242">
              <w:rPr>
                <w:rFonts w:ascii="宋体" w:hAnsi="宋体" w:cs="Arial" w:hint="eastAsia"/>
                <w:kern w:val="0"/>
                <w:szCs w:val="21"/>
              </w:rPr>
              <w:t>重仓股票占基金市值比例</w:t>
            </w:r>
          </w:p>
        </w:tc>
        <w:tc>
          <w:tcPr>
            <w:tcW w:w="1451" w:type="dxa"/>
            <w:tcBorders>
              <w:top w:val="nil"/>
              <w:left w:val="nil"/>
              <w:bottom w:val="nil"/>
              <w:right w:val="nil"/>
            </w:tcBorders>
            <w:shd w:val="clear" w:color="auto" w:fill="auto"/>
            <w:noWrap/>
            <w:vAlign w:val="bottom"/>
            <w:hideMark/>
          </w:tcPr>
          <w:p w14:paraId="685956EF" w14:textId="3A10EA89" w:rsidR="006F7242" w:rsidRPr="006F7242" w:rsidRDefault="006F7242" w:rsidP="00665C49">
            <w:pPr>
              <w:widowControl/>
              <w:jc w:val="center"/>
              <w:rPr>
                <w:rFonts w:ascii="Arial" w:hAnsi="Arial" w:cs="Arial"/>
                <w:kern w:val="0"/>
                <w:sz w:val="20"/>
              </w:rPr>
            </w:pPr>
            <w:r w:rsidRPr="006F7242">
              <w:rPr>
                <w:rFonts w:ascii="Arial" w:hAnsi="Arial" w:cs="Arial"/>
                <w:kern w:val="0"/>
                <w:sz w:val="20"/>
              </w:rPr>
              <w:t>8.3726</w:t>
            </w:r>
          </w:p>
        </w:tc>
        <w:tc>
          <w:tcPr>
            <w:tcW w:w="1451" w:type="dxa"/>
            <w:tcBorders>
              <w:top w:val="nil"/>
              <w:left w:val="nil"/>
              <w:bottom w:val="nil"/>
              <w:right w:val="nil"/>
            </w:tcBorders>
            <w:shd w:val="clear" w:color="auto" w:fill="auto"/>
            <w:noWrap/>
            <w:vAlign w:val="bottom"/>
            <w:hideMark/>
          </w:tcPr>
          <w:p w14:paraId="4668F5B3" w14:textId="13A8D560" w:rsidR="006F7242" w:rsidRPr="006F7242" w:rsidRDefault="006F7242" w:rsidP="00665C49">
            <w:pPr>
              <w:widowControl/>
              <w:jc w:val="center"/>
              <w:rPr>
                <w:rFonts w:ascii="Arial" w:hAnsi="Arial" w:cs="Arial"/>
                <w:kern w:val="0"/>
                <w:sz w:val="20"/>
              </w:rPr>
            </w:pPr>
            <w:r w:rsidRPr="006F7242">
              <w:rPr>
                <w:rFonts w:ascii="Arial" w:hAnsi="Arial" w:cs="Arial"/>
                <w:kern w:val="0"/>
                <w:sz w:val="20"/>
              </w:rPr>
              <w:t>2.6786</w:t>
            </w:r>
          </w:p>
        </w:tc>
        <w:tc>
          <w:tcPr>
            <w:tcW w:w="1707" w:type="dxa"/>
            <w:tcBorders>
              <w:top w:val="nil"/>
              <w:left w:val="nil"/>
              <w:bottom w:val="nil"/>
              <w:right w:val="nil"/>
            </w:tcBorders>
            <w:shd w:val="clear" w:color="auto" w:fill="auto"/>
            <w:noWrap/>
            <w:vAlign w:val="bottom"/>
            <w:hideMark/>
          </w:tcPr>
          <w:p w14:paraId="43A6BCED" w14:textId="78E5EAC9" w:rsidR="006F7242" w:rsidRPr="006F7242" w:rsidRDefault="006F7242" w:rsidP="00665C49">
            <w:pPr>
              <w:widowControl/>
              <w:jc w:val="center"/>
              <w:rPr>
                <w:rFonts w:ascii="Arial" w:hAnsi="Arial" w:cs="Arial"/>
                <w:kern w:val="0"/>
                <w:sz w:val="20"/>
              </w:rPr>
            </w:pPr>
            <w:r w:rsidRPr="006F7242">
              <w:rPr>
                <w:rFonts w:ascii="Arial" w:hAnsi="Arial" w:cs="Arial"/>
                <w:kern w:val="0"/>
                <w:sz w:val="20"/>
              </w:rPr>
              <w:t>1.3700</w:t>
            </w:r>
          </w:p>
        </w:tc>
        <w:tc>
          <w:tcPr>
            <w:tcW w:w="1451" w:type="dxa"/>
            <w:tcBorders>
              <w:top w:val="nil"/>
              <w:left w:val="nil"/>
              <w:bottom w:val="nil"/>
              <w:right w:val="nil"/>
            </w:tcBorders>
            <w:shd w:val="clear" w:color="auto" w:fill="auto"/>
            <w:noWrap/>
            <w:vAlign w:val="bottom"/>
            <w:hideMark/>
          </w:tcPr>
          <w:p w14:paraId="6EAAB553" w14:textId="219A6E48" w:rsidR="006F7242" w:rsidRPr="006F7242" w:rsidRDefault="006F7242" w:rsidP="00665C49">
            <w:pPr>
              <w:widowControl/>
              <w:jc w:val="center"/>
              <w:rPr>
                <w:rFonts w:ascii="Arial" w:hAnsi="Arial" w:cs="Arial"/>
                <w:kern w:val="0"/>
                <w:sz w:val="20"/>
              </w:rPr>
            </w:pPr>
            <w:r w:rsidRPr="006F7242">
              <w:rPr>
                <w:rFonts w:ascii="Arial" w:hAnsi="Arial" w:cs="Arial"/>
                <w:kern w:val="0"/>
                <w:sz w:val="20"/>
              </w:rPr>
              <w:t>17.4500</w:t>
            </w:r>
          </w:p>
        </w:tc>
      </w:tr>
      <w:tr w:rsidR="006F7242" w:rsidRPr="006F7242" w14:paraId="227C6038" w14:textId="77777777" w:rsidTr="00665C49">
        <w:trPr>
          <w:trHeight w:val="416"/>
        </w:trPr>
        <w:tc>
          <w:tcPr>
            <w:tcW w:w="2616" w:type="dxa"/>
            <w:tcBorders>
              <w:top w:val="nil"/>
              <w:left w:val="nil"/>
              <w:bottom w:val="nil"/>
              <w:right w:val="nil"/>
            </w:tcBorders>
            <w:shd w:val="clear" w:color="auto" w:fill="auto"/>
            <w:noWrap/>
            <w:vAlign w:val="bottom"/>
            <w:hideMark/>
          </w:tcPr>
          <w:p w14:paraId="2D2909D8" w14:textId="77777777" w:rsidR="006F7242" w:rsidRPr="006F7242" w:rsidRDefault="006F7242" w:rsidP="00665C49">
            <w:pPr>
              <w:widowControl/>
              <w:jc w:val="center"/>
              <w:rPr>
                <w:rFonts w:ascii="宋体" w:hAnsi="宋体" w:cs="Arial"/>
                <w:kern w:val="0"/>
                <w:sz w:val="20"/>
              </w:rPr>
            </w:pPr>
            <w:r w:rsidRPr="006F7242">
              <w:rPr>
                <w:rFonts w:ascii="宋体" w:hAnsi="宋体" w:cs="Arial" w:hint="eastAsia"/>
                <w:kern w:val="0"/>
                <w:sz w:val="20"/>
              </w:rPr>
              <w:t>重仓股票</w:t>
            </w:r>
            <w:r w:rsidRPr="006F7242">
              <w:rPr>
                <w:rFonts w:ascii="Arial" w:hAnsi="Arial" w:cs="Arial"/>
                <w:kern w:val="0"/>
                <w:sz w:val="20"/>
              </w:rPr>
              <w:t>ESG</w:t>
            </w:r>
            <w:r w:rsidRPr="006F7242">
              <w:rPr>
                <w:rFonts w:ascii="宋体" w:hAnsi="宋体" w:cs="Arial" w:hint="eastAsia"/>
                <w:kern w:val="0"/>
                <w:sz w:val="20"/>
              </w:rPr>
              <w:t>评分</w:t>
            </w:r>
          </w:p>
        </w:tc>
        <w:tc>
          <w:tcPr>
            <w:tcW w:w="1451" w:type="dxa"/>
            <w:tcBorders>
              <w:top w:val="nil"/>
              <w:left w:val="nil"/>
              <w:bottom w:val="nil"/>
              <w:right w:val="nil"/>
            </w:tcBorders>
            <w:shd w:val="clear" w:color="auto" w:fill="auto"/>
            <w:noWrap/>
            <w:vAlign w:val="bottom"/>
            <w:hideMark/>
          </w:tcPr>
          <w:p w14:paraId="1A6B6BDA" w14:textId="66BA7F22" w:rsidR="006F7242" w:rsidRPr="006F7242" w:rsidRDefault="006F7242" w:rsidP="00665C49">
            <w:pPr>
              <w:widowControl/>
              <w:jc w:val="center"/>
              <w:rPr>
                <w:rFonts w:ascii="Arial" w:hAnsi="Arial" w:cs="Arial"/>
                <w:kern w:val="0"/>
                <w:sz w:val="20"/>
              </w:rPr>
            </w:pPr>
            <w:r w:rsidRPr="006F7242">
              <w:rPr>
                <w:rFonts w:ascii="Arial" w:hAnsi="Arial" w:cs="Arial"/>
                <w:kern w:val="0"/>
                <w:sz w:val="20"/>
              </w:rPr>
              <w:t>6.8695</w:t>
            </w:r>
          </w:p>
        </w:tc>
        <w:tc>
          <w:tcPr>
            <w:tcW w:w="1451" w:type="dxa"/>
            <w:tcBorders>
              <w:top w:val="nil"/>
              <w:left w:val="nil"/>
              <w:bottom w:val="nil"/>
              <w:right w:val="nil"/>
            </w:tcBorders>
            <w:shd w:val="clear" w:color="auto" w:fill="auto"/>
            <w:noWrap/>
            <w:vAlign w:val="bottom"/>
            <w:hideMark/>
          </w:tcPr>
          <w:p w14:paraId="26154F82" w14:textId="3789FE60" w:rsidR="006F7242" w:rsidRPr="006F7242" w:rsidRDefault="006F7242" w:rsidP="00665C49">
            <w:pPr>
              <w:widowControl/>
              <w:jc w:val="center"/>
              <w:rPr>
                <w:rFonts w:ascii="Arial" w:hAnsi="Arial" w:cs="Arial"/>
                <w:kern w:val="0"/>
                <w:sz w:val="20"/>
              </w:rPr>
            </w:pPr>
            <w:r w:rsidRPr="006F7242">
              <w:rPr>
                <w:rFonts w:ascii="Arial" w:hAnsi="Arial" w:cs="Arial"/>
                <w:kern w:val="0"/>
                <w:sz w:val="20"/>
              </w:rPr>
              <w:t>0.8995</w:t>
            </w:r>
          </w:p>
        </w:tc>
        <w:tc>
          <w:tcPr>
            <w:tcW w:w="1707" w:type="dxa"/>
            <w:tcBorders>
              <w:top w:val="nil"/>
              <w:left w:val="nil"/>
              <w:bottom w:val="nil"/>
              <w:right w:val="nil"/>
            </w:tcBorders>
            <w:shd w:val="clear" w:color="auto" w:fill="auto"/>
            <w:noWrap/>
            <w:vAlign w:val="bottom"/>
            <w:hideMark/>
          </w:tcPr>
          <w:p w14:paraId="1A97E261" w14:textId="7921C2B3" w:rsidR="006F7242" w:rsidRPr="006F7242" w:rsidRDefault="006F7242" w:rsidP="00665C49">
            <w:pPr>
              <w:widowControl/>
              <w:jc w:val="center"/>
              <w:rPr>
                <w:rFonts w:ascii="Arial" w:hAnsi="Arial" w:cs="Arial"/>
                <w:kern w:val="0"/>
                <w:sz w:val="20"/>
              </w:rPr>
            </w:pPr>
            <w:r w:rsidRPr="006F7242">
              <w:rPr>
                <w:rFonts w:ascii="Arial" w:hAnsi="Arial" w:cs="Arial"/>
                <w:kern w:val="0"/>
                <w:sz w:val="20"/>
              </w:rPr>
              <w:t>4.9200</w:t>
            </w:r>
          </w:p>
        </w:tc>
        <w:tc>
          <w:tcPr>
            <w:tcW w:w="1451" w:type="dxa"/>
            <w:tcBorders>
              <w:top w:val="nil"/>
              <w:left w:val="nil"/>
              <w:bottom w:val="nil"/>
              <w:right w:val="nil"/>
            </w:tcBorders>
            <w:shd w:val="clear" w:color="auto" w:fill="auto"/>
            <w:noWrap/>
            <w:vAlign w:val="bottom"/>
            <w:hideMark/>
          </w:tcPr>
          <w:p w14:paraId="4FD466E6" w14:textId="23C0AE77" w:rsidR="006F7242" w:rsidRPr="006F7242" w:rsidRDefault="006F7242" w:rsidP="00665C49">
            <w:pPr>
              <w:widowControl/>
              <w:jc w:val="center"/>
              <w:rPr>
                <w:rFonts w:ascii="Arial" w:hAnsi="Arial" w:cs="Arial"/>
                <w:kern w:val="0"/>
                <w:sz w:val="20"/>
              </w:rPr>
            </w:pPr>
            <w:r w:rsidRPr="006F7242">
              <w:rPr>
                <w:rFonts w:ascii="Arial" w:hAnsi="Arial" w:cs="Arial"/>
                <w:kern w:val="0"/>
                <w:sz w:val="20"/>
              </w:rPr>
              <w:t>8.5300</w:t>
            </w:r>
          </w:p>
        </w:tc>
      </w:tr>
      <w:tr w:rsidR="006F7242" w:rsidRPr="006F7242" w14:paraId="6CD7AACE" w14:textId="77777777" w:rsidTr="00665C49">
        <w:trPr>
          <w:trHeight w:val="416"/>
        </w:trPr>
        <w:tc>
          <w:tcPr>
            <w:tcW w:w="2616" w:type="dxa"/>
            <w:tcBorders>
              <w:top w:val="nil"/>
              <w:left w:val="nil"/>
              <w:bottom w:val="nil"/>
              <w:right w:val="nil"/>
            </w:tcBorders>
            <w:shd w:val="clear" w:color="auto" w:fill="auto"/>
            <w:noWrap/>
            <w:vAlign w:val="bottom"/>
            <w:hideMark/>
          </w:tcPr>
          <w:p w14:paraId="188415F2" w14:textId="77777777" w:rsidR="006F7242" w:rsidRPr="006F7242" w:rsidRDefault="006F7242" w:rsidP="00665C49">
            <w:pPr>
              <w:widowControl/>
              <w:jc w:val="center"/>
              <w:rPr>
                <w:rFonts w:ascii="宋体" w:hAnsi="宋体" w:cs="Arial"/>
                <w:kern w:val="0"/>
                <w:szCs w:val="21"/>
              </w:rPr>
            </w:pPr>
            <w:r w:rsidRPr="006F7242">
              <w:rPr>
                <w:rFonts w:ascii="宋体" w:hAnsi="宋体" w:cs="Arial" w:hint="eastAsia"/>
                <w:kern w:val="0"/>
                <w:szCs w:val="21"/>
              </w:rPr>
              <w:t>基金E环境评分</w:t>
            </w:r>
          </w:p>
        </w:tc>
        <w:tc>
          <w:tcPr>
            <w:tcW w:w="1451" w:type="dxa"/>
            <w:tcBorders>
              <w:top w:val="nil"/>
              <w:left w:val="nil"/>
              <w:bottom w:val="nil"/>
              <w:right w:val="nil"/>
            </w:tcBorders>
            <w:shd w:val="clear" w:color="auto" w:fill="auto"/>
            <w:noWrap/>
            <w:vAlign w:val="bottom"/>
            <w:hideMark/>
          </w:tcPr>
          <w:p w14:paraId="1E4A90F9" w14:textId="26F96035" w:rsidR="006F7242" w:rsidRPr="006F7242" w:rsidRDefault="006F7242" w:rsidP="00665C49">
            <w:pPr>
              <w:widowControl/>
              <w:jc w:val="center"/>
              <w:rPr>
                <w:rFonts w:ascii="Arial" w:hAnsi="Arial" w:cs="Arial"/>
                <w:kern w:val="0"/>
                <w:sz w:val="20"/>
              </w:rPr>
            </w:pPr>
            <w:r w:rsidRPr="006F7242">
              <w:rPr>
                <w:rFonts w:ascii="Arial" w:hAnsi="Arial" w:cs="Arial"/>
                <w:kern w:val="0"/>
                <w:sz w:val="20"/>
              </w:rPr>
              <w:t>63.6471</w:t>
            </w:r>
          </w:p>
        </w:tc>
        <w:tc>
          <w:tcPr>
            <w:tcW w:w="1451" w:type="dxa"/>
            <w:tcBorders>
              <w:top w:val="nil"/>
              <w:left w:val="nil"/>
              <w:bottom w:val="nil"/>
              <w:right w:val="nil"/>
            </w:tcBorders>
            <w:shd w:val="clear" w:color="auto" w:fill="auto"/>
            <w:noWrap/>
            <w:vAlign w:val="bottom"/>
            <w:hideMark/>
          </w:tcPr>
          <w:p w14:paraId="2DA872CE" w14:textId="585C23B7" w:rsidR="006F7242" w:rsidRPr="006F7242" w:rsidRDefault="006F7242" w:rsidP="00665C49">
            <w:pPr>
              <w:widowControl/>
              <w:jc w:val="center"/>
              <w:rPr>
                <w:rFonts w:ascii="Arial" w:hAnsi="Arial" w:cs="Arial"/>
                <w:kern w:val="0"/>
                <w:sz w:val="20"/>
              </w:rPr>
            </w:pPr>
            <w:r w:rsidRPr="006F7242">
              <w:rPr>
                <w:rFonts w:ascii="Arial" w:hAnsi="Arial" w:cs="Arial"/>
                <w:kern w:val="0"/>
                <w:sz w:val="20"/>
              </w:rPr>
              <w:t>2.7707</w:t>
            </w:r>
          </w:p>
        </w:tc>
        <w:tc>
          <w:tcPr>
            <w:tcW w:w="1707" w:type="dxa"/>
            <w:tcBorders>
              <w:top w:val="nil"/>
              <w:left w:val="nil"/>
              <w:bottom w:val="nil"/>
              <w:right w:val="nil"/>
            </w:tcBorders>
            <w:shd w:val="clear" w:color="auto" w:fill="auto"/>
            <w:noWrap/>
            <w:vAlign w:val="bottom"/>
            <w:hideMark/>
          </w:tcPr>
          <w:p w14:paraId="32491437" w14:textId="78CE079E" w:rsidR="006F7242" w:rsidRPr="006F7242" w:rsidRDefault="006F7242" w:rsidP="00665C49">
            <w:pPr>
              <w:widowControl/>
              <w:jc w:val="center"/>
              <w:rPr>
                <w:rFonts w:ascii="Arial" w:hAnsi="Arial" w:cs="Arial"/>
                <w:kern w:val="0"/>
                <w:sz w:val="20"/>
              </w:rPr>
            </w:pPr>
            <w:r w:rsidRPr="006F7242">
              <w:rPr>
                <w:rFonts w:ascii="Arial" w:hAnsi="Arial" w:cs="Arial"/>
                <w:kern w:val="0"/>
                <w:sz w:val="20"/>
              </w:rPr>
              <w:t>55.9700</w:t>
            </w:r>
          </w:p>
        </w:tc>
        <w:tc>
          <w:tcPr>
            <w:tcW w:w="1451" w:type="dxa"/>
            <w:tcBorders>
              <w:top w:val="nil"/>
              <w:left w:val="nil"/>
              <w:bottom w:val="nil"/>
              <w:right w:val="nil"/>
            </w:tcBorders>
            <w:shd w:val="clear" w:color="auto" w:fill="auto"/>
            <w:noWrap/>
            <w:vAlign w:val="bottom"/>
            <w:hideMark/>
          </w:tcPr>
          <w:p w14:paraId="3899517B" w14:textId="17441B6C" w:rsidR="006F7242" w:rsidRPr="006F7242" w:rsidRDefault="006F7242" w:rsidP="00665C49">
            <w:pPr>
              <w:widowControl/>
              <w:jc w:val="center"/>
              <w:rPr>
                <w:rFonts w:ascii="Arial" w:hAnsi="Arial" w:cs="Arial"/>
                <w:kern w:val="0"/>
                <w:sz w:val="20"/>
              </w:rPr>
            </w:pPr>
            <w:r w:rsidRPr="006F7242">
              <w:rPr>
                <w:rFonts w:ascii="Arial" w:hAnsi="Arial" w:cs="Arial"/>
                <w:kern w:val="0"/>
                <w:sz w:val="20"/>
              </w:rPr>
              <w:t>72.8300</w:t>
            </w:r>
          </w:p>
        </w:tc>
      </w:tr>
      <w:tr w:rsidR="006F7242" w:rsidRPr="006F7242" w14:paraId="4994F765" w14:textId="77777777" w:rsidTr="00665C49">
        <w:trPr>
          <w:trHeight w:val="416"/>
        </w:trPr>
        <w:tc>
          <w:tcPr>
            <w:tcW w:w="2616" w:type="dxa"/>
            <w:tcBorders>
              <w:top w:val="nil"/>
              <w:left w:val="nil"/>
              <w:bottom w:val="nil"/>
              <w:right w:val="nil"/>
            </w:tcBorders>
            <w:shd w:val="clear" w:color="auto" w:fill="auto"/>
            <w:vAlign w:val="center"/>
            <w:hideMark/>
          </w:tcPr>
          <w:p w14:paraId="28C099D9" w14:textId="77777777" w:rsidR="006F7242" w:rsidRPr="006F7242" w:rsidRDefault="006F7242" w:rsidP="00665C49">
            <w:pPr>
              <w:widowControl/>
              <w:jc w:val="center"/>
              <w:rPr>
                <w:rFonts w:ascii="宋体" w:hAnsi="宋体" w:cs="Arial"/>
                <w:kern w:val="0"/>
                <w:szCs w:val="21"/>
              </w:rPr>
            </w:pPr>
            <w:r w:rsidRPr="006F7242">
              <w:rPr>
                <w:rFonts w:ascii="宋体" w:hAnsi="宋体" w:cs="Arial" w:hint="eastAsia"/>
                <w:kern w:val="0"/>
                <w:szCs w:val="21"/>
              </w:rPr>
              <w:t>基金S社会评分</w:t>
            </w:r>
          </w:p>
        </w:tc>
        <w:tc>
          <w:tcPr>
            <w:tcW w:w="1451" w:type="dxa"/>
            <w:tcBorders>
              <w:top w:val="nil"/>
              <w:left w:val="nil"/>
              <w:bottom w:val="nil"/>
              <w:right w:val="nil"/>
            </w:tcBorders>
            <w:shd w:val="clear" w:color="auto" w:fill="auto"/>
            <w:noWrap/>
            <w:vAlign w:val="bottom"/>
            <w:hideMark/>
          </w:tcPr>
          <w:p w14:paraId="7FDADACB" w14:textId="7088FA0D" w:rsidR="006F7242" w:rsidRPr="006F7242" w:rsidRDefault="006F7242" w:rsidP="00665C49">
            <w:pPr>
              <w:widowControl/>
              <w:jc w:val="center"/>
              <w:rPr>
                <w:rFonts w:ascii="Arial" w:hAnsi="Arial" w:cs="Arial"/>
                <w:kern w:val="0"/>
                <w:sz w:val="20"/>
              </w:rPr>
            </w:pPr>
            <w:r w:rsidRPr="006F7242">
              <w:rPr>
                <w:rFonts w:ascii="Arial" w:hAnsi="Arial" w:cs="Arial"/>
                <w:kern w:val="0"/>
                <w:sz w:val="20"/>
              </w:rPr>
              <w:t>78.3745</w:t>
            </w:r>
          </w:p>
        </w:tc>
        <w:tc>
          <w:tcPr>
            <w:tcW w:w="1451" w:type="dxa"/>
            <w:tcBorders>
              <w:top w:val="nil"/>
              <w:left w:val="nil"/>
              <w:bottom w:val="nil"/>
              <w:right w:val="nil"/>
            </w:tcBorders>
            <w:shd w:val="clear" w:color="auto" w:fill="auto"/>
            <w:noWrap/>
            <w:vAlign w:val="bottom"/>
            <w:hideMark/>
          </w:tcPr>
          <w:p w14:paraId="0A088A19" w14:textId="2A12E4FC" w:rsidR="006F7242" w:rsidRPr="006F7242" w:rsidRDefault="006F7242" w:rsidP="00665C49">
            <w:pPr>
              <w:widowControl/>
              <w:jc w:val="center"/>
              <w:rPr>
                <w:rFonts w:ascii="Arial" w:hAnsi="Arial" w:cs="Arial"/>
                <w:kern w:val="0"/>
                <w:sz w:val="20"/>
              </w:rPr>
            </w:pPr>
            <w:r w:rsidRPr="006F7242">
              <w:rPr>
                <w:rFonts w:ascii="Arial" w:hAnsi="Arial" w:cs="Arial"/>
                <w:kern w:val="0"/>
                <w:sz w:val="20"/>
              </w:rPr>
              <w:t>2.4137</w:t>
            </w:r>
          </w:p>
        </w:tc>
        <w:tc>
          <w:tcPr>
            <w:tcW w:w="1707" w:type="dxa"/>
            <w:tcBorders>
              <w:top w:val="nil"/>
              <w:left w:val="nil"/>
              <w:bottom w:val="nil"/>
              <w:right w:val="nil"/>
            </w:tcBorders>
            <w:shd w:val="clear" w:color="auto" w:fill="auto"/>
            <w:noWrap/>
            <w:vAlign w:val="bottom"/>
            <w:hideMark/>
          </w:tcPr>
          <w:p w14:paraId="04A68760" w14:textId="1709D3BC" w:rsidR="006F7242" w:rsidRPr="006F7242" w:rsidRDefault="006F7242" w:rsidP="00665C49">
            <w:pPr>
              <w:widowControl/>
              <w:jc w:val="center"/>
              <w:rPr>
                <w:rFonts w:ascii="Arial" w:hAnsi="Arial" w:cs="Arial"/>
                <w:kern w:val="0"/>
                <w:sz w:val="20"/>
              </w:rPr>
            </w:pPr>
            <w:r w:rsidRPr="006F7242">
              <w:rPr>
                <w:rFonts w:ascii="Arial" w:hAnsi="Arial" w:cs="Arial"/>
                <w:kern w:val="0"/>
                <w:sz w:val="20"/>
              </w:rPr>
              <w:t>73.1400</w:t>
            </w:r>
          </w:p>
        </w:tc>
        <w:tc>
          <w:tcPr>
            <w:tcW w:w="1451" w:type="dxa"/>
            <w:tcBorders>
              <w:top w:val="nil"/>
              <w:left w:val="nil"/>
              <w:bottom w:val="nil"/>
              <w:right w:val="nil"/>
            </w:tcBorders>
            <w:shd w:val="clear" w:color="auto" w:fill="auto"/>
            <w:noWrap/>
            <w:vAlign w:val="bottom"/>
            <w:hideMark/>
          </w:tcPr>
          <w:p w14:paraId="03A41A63" w14:textId="4FF6FBF4" w:rsidR="006F7242" w:rsidRPr="006F7242" w:rsidRDefault="006F7242" w:rsidP="00665C49">
            <w:pPr>
              <w:widowControl/>
              <w:jc w:val="center"/>
              <w:rPr>
                <w:rFonts w:ascii="Arial" w:hAnsi="Arial" w:cs="Arial"/>
                <w:kern w:val="0"/>
                <w:sz w:val="20"/>
              </w:rPr>
            </w:pPr>
            <w:r w:rsidRPr="006F7242">
              <w:rPr>
                <w:rFonts w:ascii="Arial" w:hAnsi="Arial" w:cs="Arial"/>
                <w:kern w:val="0"/>
                <w:sz w:val="20"/>
              </w:rPr>
              <w:t>85.4000</w:t>
            </w:r>
          </w:p>
        </w:tc>
      </w:tr>
      <w:tr w:rsidR="006F7242" w:rsidRPr="006F7242" w14:paraId="224C4526" w14:textId="77777777" w:rsidTr="00665C49">
        <w:trPr>
          <w:trHeight w:val="416"/>
        </w:trPr>
        <w:tc>
          <w:tcPr>
            <w:tcW w:w="2616" w:type="dxa"/>
            <w:tcBorders>
              <w:top w:val="nil"/>
              <w:left w:val="nil"/>
              <w:bottom w:val="single" w:sz="12" w:space="0" w:color="auto"/>
              <w:right w:val="nil"/>
            </w:tcBorders>
            <w:shd w:val="clear" w:color="auto" w:fill="auto"/>
            <w:noWrap/>
            <w:vAlign w:val="bottom"/>
            <w:hideMark/>
          </w:tcPr>
          <w:p w14:paraId="72E3B6B4" w14:textId="77777777" w:rsidR="006F7242" w:rsidRPr="006F7242" w:rsidRDefault="006F7242" w:rsidP="00665C49">
            <w:pPr>
              <w:widowControl/>
              <w:jc w:val="center"/>
              <w:rPr>
                <w:rFonts w:ascii="宋体" w:hAnsi="宋体" w:cs="Arial"/>
                <w:kern w:val="0"/>
                <w:szCs w:val="21"/>
              </w:rPr>
            </w:pPr>
            <w:r w:rsidRPr="006F7242">
              <w:rPr>
                <w:rFonts w:ascii="宋体" w:hAnsi="宋体" w:cs="Arial" w:hint="eastAsia"/>
                <w:kern w:val="0"/>
                <w:szCs w:val="21"/>
              </w:rPr>
              <w:t>基金G治理评分</w:t>
            </w:r>
          </w:p>
        </w:tc>
        <w:tc>
          <w:tcPr>
            <w:tcW w:w="1451" w:type="dxa"/>
            <w:tcBorders>
              <w:top w:val="nil"/>
              <w:left w:val="nil"/>
              <w:bottom w:val="single" w:sz="12" w:space="0" w:color="auto"/>
              <w:right w:val="nil"/>
            </w:tcBorders>
            <w:shd w:val="clear" w:color="auto" w:fill="auto"/>
            <w:noWrap/>
            <w:vAlign w:val="bottom"/>
            <w:hideMark/>
          </w:tcPr>
          <w:p w14:paraId="24E50F81" w14:textId="36FD55E0" w:rsidR="006F7242" w:rsidRPr="006F7242" w:rsidRDefault="006F7242" w:rsidP="00665C49">
            <w:pPr>
              <w:widowControl/>
              <w:jc w:val="center"/>
              <w:rPr>
                <w:rFonts w:ascii="Arial" w:hAnsi="Arial" w:cs="Arial"/>
                <w:kern w:val="0"/>
                <w:sz w:val="20"/>
              </w:rPr>
            </w:pPr>
            <w:r w:rsidRPr="006F7242">
              <w:rPr>
                <w:rFonts w:ascii="Arial" w:hAnsi="Arial" w:cs="Arial"/>
                <w:kern w:val="0"/>
                <w:sz w:val="20"/>
              </w:rPr>
              <w:t>81.9843</w:t>
            </w:r>
          </w:p>
        </w:tc>
        <w:tc>
          <w:tcPr>
            <w:tcW w:w="1451" w:type="dxa"/>
            <w:tcBorders>
              <w:top w:val="nil"/>
              <w:left w:val="nil"/>
              <w:bottom w:val="single" w:sz="12" w:space="0" w:color="auto"/>
              <w:right w:val="nil"/>
            </w:tcBorders>
            <w:shd w:val="clear" w:color="auto" w:fill="auto"/>
            <w:noWrap/>
            <w:vAlign w:val="bottom"/>
            <w:hideMark/>
          </w:tcPr>
          <w:p w14:paraId="029081F0" w14:textId="7B241230" w:rsidR="006F7242" w:rsidRPr="006F7242" w:rsidRDefault="006F7242" w:rsidP="00665C49">
            <w:pPr>
              <w:widowControl/>
              <w:jc w:val="center"/>
              <w:rPr>
                <w:rFonts w:ascii="Arial" w:hAnsi="Arial" w:cs="Arial"/>
                <w:kern w:val="0"/>
                <w:sz w:val="20"/>
              </w:rPr>
            </w:pPr>
            <w:r w:rsidRPr="006F7242">
              <w:rPr>
                <w:rFonts w:ascii="Arial" w:hAnsi="Arial" w:cs="Arial"/>
                <w:kern w:val="0"/>
                <w:sz w:val="20"/>
              </w:rPr>
              <w:t>1.9544</w:t>
            </w:r>
          </w:p>
        </w:tc>
        <w:tc>
          <w:tcPr>
            <w:tcW w:w="1707" w:type="dxa"/>
            <w:tcBorders>
              <w:top w:val="nil"/>
              <w:left w:val="nil"/>
              <w:bottom w:val="single" w:sz="12" w:space="0" w:color="auto"/>
              <w:right w:val="nil"/>
            </w:tcBorders>
            <w:shd w:val="clear" w:color="auto" w:fill="auto"/>
            <w:noWrap/>
            <w:vAlign w:val="bottom"/>
            <w:hideMark/>
          </w:tcPr>
          <w:p w14:paraId="7CD57EE5" w14:textId="2F5D5454" w:rsidR="006F7242" w:rsidRPr="006F7242" w:rsidRDefault="006F7242" w:rsidP="00665C49">
            <w:pPr>
              <w:widowControl/>
              <w:jc w:val="center"/>
              <w:rPr>
                <w:rFonts w:ascii="Arial" w:hAnsi="Arial" w:cs="Arial"/>
                <w:kern w:val="0"/>
                <w:sz w:val="20"/>
              </w:rPr>
            </w:pPr>
            <w:r w:rsidRPr="006F7242">
              <w:rPr>
                <w:rFonts w:ascii="Arial" w:hAnsi="Arial" w:cs="Arial"/>
                <w:kern w:val="0"/>
                <w:sz w:val="20"/>
              </w:rPr>
              <w:t>76.0100</w:t>
            </w:r>
          </w:p>
        </w:tc>
        <w:tc>
          <w:tcPr>
            <w:tcW w:w="1451" w:type="dxa"/>
            <w:tcBorders>
              <w:top w:val="nil"/>
              <w:left w:val="nil"/>
              <w:bottom w:val="single" w:sz="12" w:space="0" w:color="auto"/>
              <w:right w:val="nil"/>
            </w:tcBorders>
            <w:shd w:val="clear" w:color="auto" w:fill="auto"/>
            <w:noWrap/>
            <w:vAlign w:val="bottom"/>
            <w:hideMark/>
          </w:tcPr>
          <w:p w14:paraId="25720591" w14:textId="787D6FB1" w:rsidR="006F7242" w:rsidRPr="006F7242" w:rsidRDefault="006F7242" w:rsidP="00665C49">
            <w:pPr>
              <w:widowControl/>
              <w:jc w:val="center"/>
              <w:rPr>
                <w:rFonts w:ascii="Arial" w:hAnsi="Arial" w:cs="Arial"/>
                <w:kern w:val="0"/>
                <w:sz w:val="20"/>
              </w:rPr>
            </w:pPr>
            <w:r w:rsidRPr="006F7242">
              <w:rPr>
                <w:rFonts w:ascii="Arial" w:hAnsi="Arial" w:cs="Arial"/>
                <w:kern w:val="0"/>
                <w:sz w:val="20"/>
              </w:rPr>
              <w:t>89.8300</w:t>
            </w:r>
          </w:p>
        </w:tc>
      </w:tr>
    </w:tbl>
    <w:p w14:paraId="1F52792F" w14:textId="43BECE4F" w:rsidR="004E647A" w:rsidRPr="006F7242" w:rsidRDefault="004E647A" w:rsidP="006F7242">
      <w:pPr>
        <w:spacing w:line="360" w:lineRule="auto"/>
        <w:ind w:firstLineChars="200" w:firstLine="480"/>
        <w:rPr>
          <w:sz w:val="24"/>
          <w:szCs w:val="24"/>
        </w:rPr>
      </w:pPr>
      <w:r w:rsidRPr="006F7242">
        <w:rPr>
          <w:sz w:val="24"/>
          <w:szCs w:val="24"/>
        </w:rPr>
        <w:t>将</w:t>
      </w:r>
      <w:r w:rsidRPr="006F7242">
        <w:rPr>
          <w:sz w:val="24"/>
          <w:szCs w:val="24"/>
        </w:rPr>
        <w:t>15</w:t>
      </w:r>
      <w:r w:rsidRPr="006F7242">
        <w:rPr>
          <w:sz w:val="24"/>
          <w:szCs w:val="24"/>
        </w:rPr>
        <w:t>个指标进行</w:t>
      </w:r>
      <w:r w:rsidRPr="006F7242">
        <w:rPr>
          <w:sz w:val="24"/>
          <w:szCs w:val="24"/>
        </w:rPr>
        <w:t>KMO</w:t>
      </w:r>
      <w:r w:rsidRPr="006F7242">
        <w:rPr>
          <w:sz w:val="24"/>
          <w:szCs w:val="24"/>
        </w:rPr>
        <w:t>检验得到</w:t>
      </w:r>
      <w:r w:rsidRPr="006F7242">
        <w:rPr>
          <w:sz w:val="24"/>
          <w:szCs w:val="24"/>
        </w:rPr>
        <w:t>KMO</w:t>
      </w:r>
      <w:r w:rsidRPr="006F7242">
        <w:rPr>
          <w:sz w:val="24"/>
          <w:szCs w:val="24"/>
        </w:rPr>
        <w:t>值为</w:t>
      </w:r>
      <w:r w:rsidRPr="006F7242">
        <w:rPr>
          <w:sz w:val="24"/>
          <w:szCs w:val="24"/>
        </w:rPr>
        <w:t>0.6605</w:t>
      </w:r>
      <w:r w:rsidRPr="006F7242">
        <w:rPr>
          <w:sz w:val="24"/>
          <w:szCs w:val="24"/>
        </w:rPr>
        <w:t>，表明原始指标之间存在显著的相关关系。</w:t>
      </w:r>
    </w:p>
    <w:tbl>
      <w:tblPr>
        <w:tblW w:w="8360" w:type="dxa"/>
        <w:tblInd w:w="108" w:type="dxa"/>
        <w:tblLook w:val="04A0" w:firstRow="1" w:lastRow="0" w:firstColumn="1" w:lastColumn="0" w:noHBand="0" w:noVBand="1"/>
      </w:tblPr>
      <w:tblGrid>
        <w:gridCol w:w="7073"/>
        <w:gridCol w:w="1287"/>
      </w:tblGrid>
      <w:tr w:rsidR="004E647A" w:rsidRPr="006C39ED" w14:paraId="236C84D1" w14:textId="77777777" w:rsidTr="0006525D">
        <w:trPr>
          <w:trHeight w:val="349"/>
        </w:trPr>
        <w:tc>
          <w:tcPr>
            <w:tcW w:w="8360" w:type="dxa"/>
            <w:gridSpan w:val="2"/>
            <w:tcBorders>
              <w:top w:val="nil"/>
              <w:left w:val="nil"/>
              <w:bottom w:val="single" w:sz="12" w:space="0" w:color="auto"/>
              <w:right w:val="nil"/>
            </w:tcBorders>
            <w:shd w:val="clear" w:color="auto" w:fill="auto"/>
            <w:noWrap/>
            <w:vAlign w:val="bottom"/>
            <w:hideMark/>
          </w:tcPr>
          <w:p w14:paraId="39FFBFC4" w14:textId="661D8DA8" w:rsidR="004E647A" w:rsidRPr="001806AF" w:rsidRDefault="001806AF" w:rsidP="0006525D">
            <w:pPr>
              <w:widowControl/>
              <w:spacing w:line="360" w:lineRule="auto"/>
              <w:jc w:val="center"/>
              <w:rPr>
                <w:rFonts w:ascii="宋体" w:hAnsi="宋体" w:cs="Arial"/>
                <w:kern w:val="0"/>
                <w:szCs w:val="21"/>
              </w:rPr>
            </w:pPr>
            <w:r w:rsidRPr="001806AF">
              <w:rPr>
                <w:rFonts w:ascii="宋体" w:hAnsi="宋体" w:cs="Arial" w:hint="eastAsia"/>
                <w:kern w:val="0"/>
                <w:szCs w:val="21"/>
              </w:rPr>
              <w:t>表</w:t>
            </w:r>
            <w:r w:rsidR="003B59DA">
              <w:rPr>
                <w:rFonts w:ascii="宋体" w:hAnsi="宋体" w:cs="Arial"/>
                <w:kern w:val="0"/>
                <w:szCs w:val="21"/>
              </w:rPr>
              <w:t>3</w:t>
            </w:r>
            <w:r w:rsidR="00752231">
              <w:rPr>
                <w:rFonts w:ascii="宋体" w:hAnsi="宋体" w:cs="Arial"/>
                <w:kern w:val="0"/>
                <w:szCs w:val="21"/>
              </w:rPr>
              <w:t>-</w:t>
            </w:r>
            <w:r w:rsidR="00E535D9">
              <w:rPr>
                <w:rFonts w:ascii="宋体" w:hAnsi="宋体" w:cs="Arial"/>
                <w:kern w:val="0"/>
                <w:szCs w:val="21"/>
              </w:rPr>
              <w:t>4</w:t>
            </w:r>
            <w:r w:rsidRPr="001806AF">
              <w:rPr>
                <w:rFonts w:ascii="宋体" w:hAnsi="宋体" w:cs="Arial" w:hint="eastAsia"/>
                <w:kern w:val="0"/>
                <w:szCs w:val="21"/>
              </w:rPr>
              <w:t>：</w:t>
            </w:r>
            <w:r w:rsidR="004E647A" w:rsidRPr="001806AF">
              <w:rPr>
                <w:rFonts w:ascii="宋体" w:hAnsi="宋体" w:cs="Arial"/>
                <w:kern w:val="0"/>
                <w:szCs w:val="21"/>
              </w:rPr>
              <w:t>KMO</w:t>
            </w:r>
            <w:r w:rsidR="004E647A" w:rsidRPr="001806AF">
              <w:rPr>
                <w:rFonts w:ascii="宋体" w:hAnsi="宋体" w:cs="Arial" w:hint="eastAsia"/>
                <w:kern w:val="0"/>
                <w:szCs w:val="21"/>
              </w:rPr>
              <w:t>检验</w:t>
            </w:r>
          </w:p>
        </w:tc>
      </w:tr>
      <w:tr w:rsidR="004E647A" w:rsidRPr="006C39ED" w14:paraId="03DCC0F6" w14:textId="77777777" w:rsidTr="003B2EC8">
        <w:trPr>
          <w:trHeight w:val="367"/>
        </w:trPr>
        <w:tc>
          <w:tcPr>
            <w:tcW w:w="7073" w:type="dxa"/>
            <w:tcBorders>
              <w:top w:val="nil"/>
              <w:left w:val="nil"/>
              <w:bottom w:val="single" w:sz="12" w:space="0" w:color="auto"/>
              <w:right w:val="nil"/>
            </w:tcBorders>
            <w:shd w:val="clear" w:color="auto" w:fill="auto"/>
            <w:noWrap/>
            <w:vAlign w:val="bottom"/>
            <w:hideMark/>
          </w:tcPr>
          <w:p w14:paraId="15300BC3" w14:textId="77777777" w:rsidR="004E647A" w:rsidRPr="006C39ED" w:rsidRDefault="004E647A" w:rsidP="0006525D">
            <w:pPr>
              <w:widowControl/>
              <w:spacing w:line="360" w:lineRule="auto"/>
              <w:jc w:val="center"/>
              <w:rPr>
                <w:rFonts w:ascii="宋体" w:hAnsi="宋体" w:cs="Arial"/>
                <w:kern w:val="0"/>
                <w:sz w:val="20"/>
              </w:rPr>
            </w:pPr>
            <w:r w:rsidRPr="006C39ED">
              <w:rPr>
                <w:rFonts w:ascii="宋体" w:hAnsi="宋体" w:cs="Arial" w:hint="eastAsia"/>
                <w:kern w:val="0"/>
                <w:sz w:val="20"/>
              </w:rPr>
              <w:t>取样足够度的Kaiser-Meyer-Olkin度量</w:t>
            </w:r>
          </w:p>
        </w:tc>
        <w:tc>
          <w:tcPr>
            <w:tcW w:w="1287" w:type="dxa"/>
            <w:tcBorders>
              <w:top w:val="nil"/>
              <w:left w:val="nil"/>
              <w:bottom w:val="single" w:sz="12" w:space="0" w:color="auto"/>
              <w:right w:val="nil"/>
            </w:tcBorders>
            <w:shd w:val="clear" w:color="auto" w:fill="auto"/>
            <w:noWrap/>
            <w:vAlign w:val="bottom"/>
            <w:hideMark/>
          </w:tcPr>
          <w:p w14:paraId="6F3FF667" w14:textId="5F165AC8" w:rsidR="004E647A" w:rsidRPr="006C39ED" w:rsidRDefault="004E647A" w:rsidP="0006525D">
            <w:pPr>
              <w:widowControl/>
              <w:spacing w:line="360" w:lineRule="auto"/>
              <w:jc w:val="right"/>
              <w:rPr>
                <w:rFonts w:ascii="Arial" w:hAnsi="Arial" w:cs="Arial"/>
                <w:kern w:val="0"/>
                <w:sz w:val="20"/>
              </w:rPr>
            </w:pPr>
            <w:r w:rsidRPr="006C39ED">
              <w:rPr>
                <w:rFonts w:ascii="Arial" w:hAnsi="Arial" w:cs="Arial"/>
                <w:kern w:val="0"/>
                <w:sz w:val="20"/>
              </w:rPr>
              <w:t>0.6</w:t>
            </w:r>
            <w:r w:rsidR="00E00012">
              <w:rPr>
                <w:rFonts w:ascii="Arial" w:hAnsi="Arial" w:cs="Arial"/>
                <w:kern w:val="0"/>
                <w:sz w:val="20"/>
              </w:rPr>
              <w:t>9</w:t>
            </w:r>
            <w:r w:rsidRPr="006C39ED">
              <w:rPr>
                <w:rFonts w:ascii="Arial" w:hAnsi="Arial" w:cs="Arial"/>
                <w:kern w:val="0"/>
                <w:sz w:val="20"/>
              </w:rPr>
              <w:t>0</w:t>
            </w:r>
            <w:r w:rsidR="00E00012">
              <w:rPr>
                <w:rFonts w:ascii="Arial" w:hAnsi="Arial" w:cs="Arial"/>
                <w:kern w:val="0"/>
                <w:sz w:val="20"/>
              </w:rPr>
              <w:t>2</w:t>
            </w:r>
          </w:p>
        </w:tc>
      </w:tr>
    </w:tbl>
    <w:p w14:paraId="6ECDD870" w14:textId="1BF01222" w:rsidR="003B2EC8" w:rsidRDefault="003B2EC8" w:rsidP="003B2EC8">
      <w:pPr>
        <w:spacing w:line="360" w:lineRule="auto"/>
        <w:ind w:firstLineChars="200" w:firstLine="480"/>
        <w:rPr>
          <w:rFonts w:ascii="宋体" w:hAnsi="宋体"/>
          <w:sz w:val="24"/>
          <w:szCs w:val="24"/>
        </w:rPr>
      </w:pPr>
      <w:r>
        <w:rPr>
          <w:rFonts w:ascii="宋体" w:hAnsi="宋体" w:hint="eastAsia"/>
          <w:sz w:val="24"/>
          <w:szCs w:val="24"/>
        </w:rPr>
        <w:lastRenderedPageBreak/>
        <w:t>原始指标样本数据适合进行以下因子分析：</w:t>
      </w:r>
    </w:p>
    <w:p w14:paraId="63F45AD8" w14:textId="53568452" w:rsidR="001806AF" w:rsidRPr="006F7242" w:rsidRDefault="001806AF" w:rsidP="001806AF">
      <w:pPr>
        <w:spacing w:line="360" w:lineRule="auto"/>
        <w:ind w:firstLineChars="200" w:firstLine="420"/>
        <w:jc w:val="center"/>
        <w:rPr>
          <w:szCs w:val="21"/>
        </w:rPr>
      </w:pPr>
      <w:r w:rsidRPr="006F7242">
        <w:rPr>
          <w:szCs w:val="21"/>
        </w:rPr>
        <w:t>表</w:t>
      </w:r>
      <w:r w:rsidR="00752231">
        <w:rPr>
          <w:rFonts w:hint="eastAsia"/>
          <w:szCs w:val="21"/>
        </w:rPr>
        <w:t>3</w:t>
      </w:r>
      <w:r w:rsidR="00752231">
        <w:rPr>
          <w:szCs w:val="21"/>
        </w:rPr>
        <w:t>-</w:t>
      </w:r>
      <w:r w:rsidR="00E535D9">
        <w:rPr>
          <w:szCs w:val="21"/>
        </w:rPr>
        <w:t>5</w:t>
      </w:r>
      <w:r w:rsidRPr="006F7242">
        <w:rPr>
          <w:szCs w:val="21"/>
        </w:rPr>
        <w:t>：解释的总方差</w:t>
      </w:r>
    </w:p>
    <w:tbl>
      <w:tblPr>
        <w:tblW w:w="8640" w:type="dxa"/>
        <w:tblInd w:w="108" w:type="dxa"/>
        <w:tblLook w:val="04A0" w:firstRow="1" w:lastRow="0" w:firstColumn="1" w:lastColumn="0" w:noHBand="0" w:noVBand="1"/>
      </w:tblPr>
      <w:tblGrid>
        <w:gridCol w:w="2230"/>
        <w:gridCol w:w="1794"/>
        <w:gridCol w:w="1647"/>
        <w:gridCol w:w="1794"/>
        <w:gridCol w:w="1175"/>
      </w:tblGrid>
      <w:tr w:rsidR="003B2EC8" w:rsidRPr="003B2EC8" w14:paraId="0B1B7AC1" w14:textId="77777777" w:rsidTr="003B2EC8">
        <w:trPr>
          <w:trHeight w:val="286"/>
        </w:trPr>
        <w:tc>
          <w:tcPr>
            <w:tcW w:w="2230" w:type="dxa"/>
            <w:tcBorders>
              <w:top w:val="single" w:sz="12" w:space="0" w:color="auto"/>
              <w:left w:val="nil"/>
              <w:bottom w:val="single" w:sz="12" w:space="0" w:color="auto"/>
              <w:right w:val="nil"/>
            </w:tcBorders>
            <w:shd w:val="clear" w:color="auto" w:fill="auto"/>
            <w:noWrap/>
            <w:vAlign w:val="bottom"/>
            <w:hideMark/>
          </w:tcPr>
          <w:p w14:paraId="6CA3F94E" w14:textId="77777777" w:rsidR="003B2EC8" w:rsidRPr="003B2EC8" w:rsidRDefault="003B2EC8" w:rsidP="003B2EC8">
            <w:pPr>
              <w:widowControl/>
              <w:jc w:val="center"/>
              <w:rPr>
                <w:kern w:val="0"/>
                <w:sz w:val="20"/>
              </w:rPr>
            </w:pPr>
            <w:r w:rsidRPr="003B2EC8">
              <w:rPr>
                <w:kern w:val="0"/>
                <w:sz w:val="20"/>
              </w:rPr>
              <w:t>成分</w:t>
            </w:r>
          </w:p>
        </w:tc>
        <w:tc>
          <w:tcPr>
            <w:tcW w:w="1794" w:type="dxa"/>
            <w:tcBorders>
              <w:top w:val="single" w:sz="12" w:space="0" w:color="auto"/>
              <w:left w:val="nil"/>
              <w:bottom w:val="single" w:sz="12" w:space="0" w:color="auto"/>
              <w:right w:val="nil"/>
            </w:tcBorders>
            <w:shd w:val="clear" w:color="auto" w:fill="auto"/>
            <w:noWrap/>
            <w:vAlign w:val="bottom"/>
            <w:hideMark/>
          </w:tcPr>
          <w:p w14:paraId="69A00817" w14:textId="77777777" w:rsidR="003B2EC8" w:rsidRPr="003B2EC8" w:rsidRDefault="003B2EC8" w:rsidP="003B2EC8">
            <w:pPr>
              <w:widowControl/>
              <w:jc w:val="center"/>
              <w:rPr>
                <w:kern w:val="0"/>
                <w:sz w:val="20"/>
              </w:rPr>
            </w:pPr>
            <w:r w:rsidRPr="003B2EC8">
              <w:rPr>
                <w:kern w:val="0"/>
                <w:sz w:val="20"/>
              </w:rPr>
              <w:t>特征值</w:t>
            </w:r>
          </w:p>
        </w:tc>
        <w:tc>
          <w:tcPr>
            <w:tcW w:w="1647" w:type="dxa"/>
            <w:tcBorders>
              <w:top w:val="single" w:sz="12" w:space="0" w:color="auto"/>
              <w:left w:val="nil"/>
              <w:bottom w:val="single" w:sz="12" w:space="0" w:color="auto"/>
              <w:right w:val="nil"/>
            </w:tcBorders>
            <w:shd w:val="clear" w:color="auto" w:fill="auto"/>
            <w:noWrap/>
            <w:vAlign w:val="bottom"/>
            <w:hideMark/>
          </w:tcPr>
          <w:p w14:paraId="3B6343C8" w14:textId="77777777" w:rsidR="003B2EC8" w:rsidRPr="003B2EC8" w:rsidRDefault="003B2EC8" w:rsidP="003B2EC8">
            <w:pPr>
              <w:widowControl/>
              <w:jc w:val="center"/>
              <w:rPr>
                <w:kern w:val="0"/>
                <w:sz w:val="20"/>
              </w:rPr>
            </w:pPr>
            <w:r w:rsidRPr="003B2EC8">
              <w:rPr>
                <w:kern w:val="0"/>
                <w:sz w:val="20"/>
              </w:rPr>
              <w:t>方差的</w:t>
            </w:r>
          </w:p>
        </w:tc>
        <w:tc>
          <w:tcPr>
            <w:tcW w:w="1794" w:type="dxa"/>
            <w:tcBorders>
              <w:top w:val="single" w:sz="12" w:space="0" w:color="auto"/>
              <w:left w:val="nil"/>
              <w:bottom w:val="single" w:sz="12" w:space="0" w:color="auto"/>
              <w:right w:val="nil"/>
            </w:tcBorders>
            <w:shd w:val="clear" w:color="auto" w:fill="auto"/>
            <w:noWrap/>
            <w:vAlign w:val="bottom"/>
            <w:hideMark/>
          </w:tcPr>
          <w:p w14:paraId="6A2C18EF" w14:textId="77777777" w:rsidR="003B2EC8" w:rsidRPr="003B2EC8" w:rsidRDefault="003B2EC8" w:rsidP="003B2EC8">
            <w:pPr>
              <w:widowControl/>
              <w:jc w:val="center"/>
              <w:rPr>
                <w:kern w:val="0"/>
                <w:sz w:val="20"/>
              </w:rPr>
            </w:pPr>
            <w:r w:rsidRPr="003B2EC8">
              <w:rPr>
                <w:kern w:val="0"/>
                <w:sz w:val="20"/>
              </w:rPr>
              <w:t>方差的</w:t>
            </w:r>
            <w:r w:rsidRPr="003B2EC8">
              <w:rPr>
                <w:kern w:val="0"/>
                <w:sz w:val="20"/>
              </w:rPr>
              <w:t>%</w:t>
            </w:r>
          </w:p>
        </w:tc>
        <w:tc>
          <w:tcPr>
            <w:tcW w:w="1175" w:type="dxa"/>
            <w:tcBorders>
              <w:top w:val="single" w:sz="12" w:space="0" w:color="auto"/>
              <w:left w:val="nil"/>
              <w:bottom w:val="single" w:sz="12" w:space="0" w:color="auto"/>
              <w:right w:val="nil"/>
            </w:tcBorders>
            <w:shd w:val="clear" w:color="auto" w:fill="auto"/>
            <w:noWrap/>
            <w:vAlign w:val="bottom"/>
            <w:hideMark/>
          </w:tcPr>
          <w:p w14:paraId="38C57B64" w14:textId="77777777" w:rsidR="003B2EC8" w:rsidRPr="003B2EC8" w:rsidRDefault="003B2EC8" w:rsidP="003B2EC8">
            <w:pPr>
              <w:widowControl/>
              <w:jc w:val="center"/>
              <w:rPr>
                <w:kern w:val="0"/>
                <w:sz w:val="20"/>
              </w:rPr>
            </w:pPr>
            <w:r w:rsidRPr="003B2EC8">
              <w:rPr>
                <w:kern w:val="0"/>
                <w:sz w:val="20"/>
              </w:rPr>
              <w:t>累计</w:t>
            </w:r>
            <w:r w:rsidRPr="003B2EC8">
              <w:rPr>
                <w:kern w:val="0"/>
                <w:sz w:val="20"/>
              </w:rPr>
              <w:t>%</w:t>
            </w:r>
          </w:p>
        </w:tc>
      </w:tr>
      <w:tr w:rsidR="003B2EC8" w:rsidRPr="003B2EC8" w14:paraId="3CC8A40D" w14:textId="77777777" w:rsidTr="003B2EC8">
        <w:trPr>
          <w:trHeight w:val="272"/>
        </w:trPr>
        <w:tc>
          <w:tcPr>
            <w:tcW w:w="2230" w:type="dxa"/>
            <w:tcBorders>
              <w:top w:val="nil"/>
              <w:left w:val="nil"/>
              <w:bottom w:val="nil"/>
              <w:right w:val="nil"/>
            </w:tcBorders>
            <w:shd w:val="clear" w:color="auto" w:fill="auto"/>
            <w:noWrap/>
            <w:vAlign w:val="bottom"/>
            <w:hideMark/>
          </w:tcPr>
          <w:p w14:paraId="38410645"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1</w:t>
            </w:r>
          </w:p>
        </w:tc>
        <w:tc>
          <w:tcPr>
            <w:tcW w:w="1794" w:type="dxa"/>
            <w:tcBorders>
              <w:top w:val="nil"/>
              <w:left w:val="nil"/>
              <w:bottom w:val="nil"/>
              <w:right w:val="nil"/>
            </w:tcBorders>
            <w:shd w:val="clear" w:color="auto" w:fill="auto"/>
            <w:noWrap/>
            <w:vAlign w:val="bottom"/>
            <w:hideMark/>
          </w:tcPr>
          <w:p w14:paraId="319A5BD6" w14:textId="77777777" w:rsidR="003B2EC8" w:rsidRPr="003B2EC8" w:rsidRDefault="003B2EC8" w:rsidP="003B2EC8">
            <w:pPr>
              <w:widowControl/>
              <w:jc w:val="left"/>
              <w:rPr>
                <w:kern w:val="0"/>
                <w:sz w:val="20"/>
              </w:rPr>
            </w:pPr>
            <w:r w:rsidRPr="003B2EC8">
              <w:rPr>
                <w:kern w:val="0"/>
                <w:sz w:val="20"/>
              </w:rPr>
              <w:t xml:space="preserve">           4.2773 </w:t>
            </w:r>
          </w:p>
        </w:tc>
        <w:tc>
          <w:tcPr>
            <w:tcW w:w="1647" w:type="dxa"/>
            <w:tcBorders>
              <w:top w:val="nil"/>
              <w:left w:val="nil"/>
              <w:bottom w:val="nil"/>
              <w:right w:val="nil"/>
            </w:tcBorders>
            <w:shd w:val="clear" w:color="auto" w:fill="auto"/>
            <w:noWrap/>
            <w:vAlign w:val="bottom"/>
            <w:hideMark/>
          </w:tcPr>
          <w:p w14:paraId="09C1E142" w14:textId="77777777" w:rsidR="003B2EC8" w:rsidRPr="003B2EC8" w:rsidRDefault="003B2EC8" w:rsidP="003B2EC8">
            <w:pPr>
              <w:widowControl/>
              <w:jc w:val="left"/>
              <w:rPr>
                <w:kern w:val="0"/>
                <w:sz w:val="20"/>
              </w:rPr>
            </w:pPr>
            <w:r w:rsidRPr="003B2EC8">
              <w:rPr>
                <w:kern w:val="0"/>
                <w:sz w:val="20"/>
              </w:rPr>
              <w:t xml:space="preserve">           1.7760 </w:t>
            </w:r>
          </w:p>
        </w:tc>
        <w:tc>
          <w:tcPr>
            <w:tcW w:w="1794" w:type="dxa"/>
            <w:tcBorders>
              <w:top w:val="nil"/>
              <w:left w:val="nil"/>
              <w:bottom w:val="nil"/>
              <w:right w:val="nil"/>
            </w:tcBorders>
            <w:shd w:val="clear" w:color="auto" w:fill="auto"/>
            <w:noWrap/>
            <w:vAlign w:val="bottom"/>
            <w:hideMark/>
          </w:tcPr>
          <w:p w14:paraId="6DEB6383" w14:textId="77777777" w:rsidR="003B2EC8" w:rsidRPr="003B2EC8" w:rsidRDefault="003B2EC8" w:rsidP="003B2EC8">
            <w:pPr>
              <w:widowControl/>
              <w:jc w:val="left"/>
              <w:rPr>
                <w:kern w:val="0"/>
                <w:sz w:val="20"/>
              </w:rPr>
            </w:pPr>
            <w:r w:rsidRPr="003B2EC8">
              <w:rPr>
                <w:kern w:val="0"/>
                <w:sz w:val="20"/>
              </w:rPr>
              <w:t xml:space="preserve">           0.2852 </w:t>
            </w:r>
          </w:p>
        </w:tc>
        <w:tc>
          <w:tcPr>
            <w:tcW w:w="1175" w:type="dxa"/>
            <w:tcBorders>
              <w:top w:val="nil"/>
              <w:left w:val="nil"/>
              <w:bottom w:val="nil"/>
              <w:right w:val="nil"/>
            </w:tcBorders>
            <w:shd w:val="clear" w:color="auto" w:fill="auto"/>
            <w:noWrap/>
            <w:vAlign w:val="bottom"/>
            <w:hideMark/>
          </w:tcPr>
          <w:p w14:paraId="7A557DD1" w14:textId="77777777" w:rsidR="003B2EC8" w:rsidRPr="003B2EC8" w:rsidRDefault="003B2EC8" w:rsidP="003B2EC8">
            <w:pPr>
              <w:widowControl/>
              <w:jc w:val="left"/>
              <w:rPr>
                <w:kern w:val="0"/>
                <w:sz w:val="20"/>
              </w:rPr>
            </w:pPr>
            <w:r w:rsidRPr="003B2EC8">
              <w:rPr>
                <w:kern w:val="0"/>
                <w:sz w:val="20"/>
              </w:rPr>
              <w:t xml:space="preserve">      0.2852 </w:t>
            </w:r>
          </w:p>
        </w:tc>
      </w:tr>
      <w:tr w:rsidR="003B2EC8" w:rsidRPr="003B2EC8" w14:paraId="71A4D234" w14:textId="77777777" w:rsidTr="003B2EC8">
        <w:trPr>
          <w:trHeight w:val="258"/>
        </w:trPr>
        <w:tc>
          <w:tcPr>
            <w:tcW w:w="2230" w:type="dxa"/>
            <w:tcBorders>
              <w:top w:val="nil"/>
              <w:left w:val="nil"/>
              <w:bottom w:val="nil"/>
              <w:right w:val="nil"/>
            </w:tcBorders>
            <w:shd w:val="clear" w:color="auto" w:fill="auto"/>
            <w:noWrap/>
            <w:vAlign w:val="bottom"/>
            <w:hideMark/>
          </w:tcPr>
          <w:p w14:paraId="784A5A90"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2</w:t>
            </w:r>
          </w:p>
        </w:tc>
        <w:tc>
          <w:tcPr>
            <w:tcW w:w="1794" w:type="dxa"/>
            <w:tcBorders>
              <w:top w:val="nil"/>
              <w:left w:val="nil"/>
              <w:bottom w:val="nil"/>
              <w:right w:val="nil"/>
            </w:tcBorders>
            <w:shd w:val="clear" w:color="auto" w:fill="auto"/>
            <w:noWrap/>
            <w:vAlign w:val="bottom"/>
            <w:hideMark/>
          </w:tcPr>
          <w:p w14:paraId="57815054" w14:textId="77777777" w:rsidR="003B2EC8" w:rsidRPr="003B2EC8" w:rsidRDefault="003B2EC8" w:rsidP="003B2EC8">
            <w:pPr>
              <w:widowControl/>
              <w:jc w:val="left"/>
              <w:rPr>
                <w:kern w:val="0"/>
                <w:sz w:val="20"/>
              </w:rPr>
            </w:pPr>
            <w:r w:rsidRPr="003B2EC8">
              <w:rPr>
                <w:kern w:val="0"/>
                <w:sz w:val="20"/>
              </w:rPr>
              <w:t xml:space="preserve">           2.5013 </w:t>
            </w:r>
          </w:p>
        </w:tc>
        <w:tc>
          <w:tcPr>
            <w:tcW w:w="1647" w:type="dxa"/>
            <w:tcBorders>
              <w:top w:val="nil"/>
              <w:left w:val="nil"/>
              <w:bottom w:val="nil"/>
              <w:right w:val="nil"/>
            </w:tcBorders>
            <w:shd w:val="clear" w:color="auto" w:fill="auto"/>
            <w:noWrap/>
            <w:vAlign w:val="bottom"/>
            <w:hideMark/>
          </w:tcPr>
          <w:p w14:paraId="16F396D6" w14:textId="77777777" w:rsidR="003B2EC8" w:rsidRPr="003B2EC8" w:rsidRDefault="003B2EC8" w:rsidP="003B2EC8">
            <w:pPr>
              <w:widowControl/>
              <w:jc w:val="left"/>
              <w:rPr>
                <w:kern w:val="0"/>
                <w:sz w:val="20"/>
              </w:rPr>
            </w:pPr>
            <w:r w:rsidRPr="003B2EC8">
              <w:rPr>
                <w:kern w:val="0"/>
                <w:sz w:val="20"/>
              </w:rPr>
              <w:t xml:space="preserve">           0.7971 </w:t>
            </w:r>
          </w:p>
        </w:tc>
        <w:tc>
          <w:tcPr>
            <w:tcW w:w="1794" w:type="dxa"/>
            <w:tcBorders>
              <w:top w:val="nil"/>
              <w:left w:val="nil"/>
              <w:bottom w:val="nil"/>
              <w:right w:val="nil"/>
            </w:tcBorders>
            <w:shd w:val="clear" w:color="auto" w:fill="auto"/>
            <w:noWrap/>
            <w:vAlign w:val="bottom"/>
            <w:hideMark/>
          </w:tcPr>
          <w:p w14:paraId="19EE4DEF" w14:textId="77777777" w:rsidR="003B2EC8" w:rsidRPr="003B2EC8" w:rsidRDefault="003B2EC8" w:rsidP="003B2EC8">
            <w:pPr>
              <w:widowControl/>
              <w:jc w:val="left"/>
              <w:rPr>
                <w:kern w:val="0"/>
                <w:sz w:val="20"/>
              </w:rPr>
            </w:pPr>
            <w:r w:rsidRPr="003B2EC8">
              <w:rPr>
                <w:kern w:val="0"/>
                <w:sz w:val="20"/>
              </w:rPr>
              <w:t xml:space="preserve">           0.1668 </w:t>
            </w:r>
          </w:p>
        </w:tc>
        <w:tc>
          <w:tcPr>
            <w:tcW w:w="1175" w:type="dxa"/>
            <w:tcBorders>
              <w:top w:val="nil"/>
              <w:left w:val="nil"/>
              <w:bottom w:val="nil"/>
              <w:right w:val="nil"/>
            </w:tcBorders>
            <w:shd w:val="clear" w:color="auto" w:fill="auto"/>
            <w:noWrap/>
            <w:vAlign w:val="bottom"/>
            <w:hideMark/>
          </w:tcPr>
          <w:p w14:paraId="66309A85" w14:textId="77777777" w:rsidR="003B2EC8" w:rsidRPr="003B2EC8" w:rsidRDefault="003B2EC8" w:rsidP="003B2EC8">
            <w:pPr>
              <w:widowControl/>
              <w:jc w:val="left"/>
              <w:rPr>
                <w:kern w:val="0"/>
                <w:sz w:val="20"/>
              </w:rPr>
            </w:pPr>
            <w:r w:rsidRPr="003B2EC8">
              <w:rPr>
                <w:kern w:val="0"/>
                <w:sz w:val="20"/>
              </w:rPr>
              <w:t xml:space="preserve">      0.4519 </w:t>
            </w:r>
          </w:p>
        </w:tc>
      </w:tr>
      <w:tr w:rsidR="003B2EC8" w:rsidRPr="003B2EC8" w14:paraId="0E977F1B" w14:textId="77777777" w:rsidTr="003B2EC8">
        <w:trPr>
          <w:trHeight w:val="272"/>
        </w:trPr>
        <w:tc>
          <w:tcPr>
            <w:tcW w:w="2230" w:type="dxa"/>
            <w:tcBorders>
              <w:top w:val="nil"/>
              <w:left w:val="nil"/>
              <w:bottom w:val="nil"/>
              <w:right w:val="nil"/>
            </w:tcBorders>
            <w:shd w:val="clear" w:color="auto" w:fill="auto"/>
            <w:noWrap/>
            <w:vAlign w:val="bottom"/>
            <w:hideMark/>
          </w:tcPr>
          <w:p w14:paraId="5B2118B0"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3</w:t>
            </w:r>
          </w:p>
        </w:tc>
        <w:tc>
          <w:tcPr>
            <w:tcW w:w="1794" w:type="dxa"/>
            <w:tcBorders>
              <w:top w:val="nil"/>
              <w:left w:val="nil"/>
              <w:bottom w:val="nil"/>
              <w:right w:val="nil"/>
            </w:tcBorders>
            <w:shd w:val="clear" w:color="auto" w:fill="auto"/>
            <w:noWrap/>
            <w:vAlign w:val="bottom"/>
            <w:hideMark/>
          </w:tcPr>
          <w:p w14:paraId="1FBD0543" w14:textId="77777777" w:rsidR="003B2EC8" w:rsidRPr="003B2EC8" w:rsidRDefault="003B2EC8" w:rsidP="003B2EC8">
            <w:pPr>
              <w:widowControl/>
              <w:jc w:val="left"/>
              <w:rPr>
                <w:kern w:val="0"/>
                <w:sz w:val="20"/>
              </w:rPr>
            </w:pPr>
            <w:r w:rsidRPr="003B2EC8">
              <w:rPr>
                <w:kern w:val="0"/>
                <w:sz w:val="20"/>
              </w:rPr>
              <w:t xml:space="preserve">           1.7042 </w:t>
            </w:r>
          </w:p>
        </w:tc>
        <w:tc>
          <w:tcPr>
            <w:tcW w:w="1647" w:type="dxa"/>
            <w:tcBorders>
              <w:top w:val="nil"/>
              <w:left w:val="nil"/>
              <w:bottom w:val="nil"/>
              <w:right w:val="nil"/>
            </w:tcBorders>
            <w:shd w:val="clear" w:color="auto" w:fill="auto"/>
            <w:noWrap/>
            <w:vAlign w:val="bottom"/>
            <w:hideMark/>
          </w:tcPr>
          <w:p w14:paraId="317F8F57" w14:textId="77777777" w:rsidR="003B2EC8" w:rsidRPr="003B2EC8" w:rsidRDefault="003B2EC8" w:rsidP="003B2EC8">
            <w:pPr>
              <w:widowControl/>
              <w:jc w:val="left"/>
              <w:rPr>
                <w:kern w:val="0"/>
                <w:sz w:val="20"/>
              </w:rPr>
            </w:pPr>
            <w:r w:rsidRPr="003B2EC8">
              <w:rPr>
                <w:kern w:val="0"/>
                <w:sz w:val="20"/>
              </w:rPr>
              <w:t xml:space="preserve">           0.3560 </w:t>
            </w:r>
          </w:p>
        </w:tc>
        <w:tc>
          <w:tcPr>
            <w:tcW w:w="1794" w:type="dxa"/>
            <w:tcBorders>
              <w:top w:val="nil"/>
              <w:left w:val="nil"/>
              <w:bottom w:val="nil"/>
              <w:right w:val="nil"/>
            </w:tcBorders>
            <w:shd w:val="clear" w:color="auto" w:fill="auto"/>
            <w:noWrap/>
            <w:vAlign w:val="bottom"/>
            <w:hideMark/>
          </w:tcPr>
          <w:p w14:paraId="05AAD8B2" w14:textId="77777777" w:rsidR="003B2EC8" w:rsidRPr="003B2EC8" w:rsidRDefault="003B2EC8" w:rsidP="003B2EC8">
            <w:pPr>
              <w:widowControl/>
              <w:jc w:val="left"/>
              <w:rPr>
                <w:kern w:val="0"/>
                <w:sz w:val="20"/>
              </w:rPr>
            </w:pPr>
            <w:r w:rsidRPr="003B2EC8">
              <w:rPr>
                <w:kern w:val="0"/>
                <w:sz w:val="20"/>
              </w:rPr>
              <w:t xml:space="preserve">           0.1136 </w:t>
            </w:r>
          </w:p>
        </w:tc>
        <w:tc>
          <w:tcPr>
            <w:tcW w:w="1175" w:type="dxa"/>
            <w:tcBorders>
              <w:top w:val="nil"/>
              <w:left w:val="nil"/>
              <w:bottom w:val="nil"/>
              <w:right w:val="nil"/>
            </w:tcBorders>
            <w:shd w:val="clear" w:color="auto" w:fill="auto"/>
            <w:noWrap/>
            <w:vAlign w:val="bottom"/>
            <w:hideMark/>
          </w:tcPr>
          <w:p w14:paraId="0647E136" w14:textId="77777777" w:rsidR="003B2EC8" w:rsidRPr="003B2EC8" w:rsidRDefault="003B2EC8" w:rsidP="003B2EC8">
            <w:pPr>
              <w:widowControl/>
              <w:jc w:val="left"/>
              <w:rPr>
                <w:kern w:val="0"/>
                <w:sz w:val="20"/>
              </w:rPr>
            </w:pPr>
            <w:r w:rsidRPr="003B2EC8">
              <w:rPr>
                <w:kern w:val="0"/>
                <w:sz w:val="20"/>
              </w:rPr>
              <w:t xml:space="preserve">      0.5655 </w:t>
            </w:r>
          </w:p>
        </w:tc>
      </w:tr>
      <w:tr w:rsidR="003B2EC8" w:rsidRPr="003B2EC8" w14:paraId="59F0C00E" w14:textId="77777777" w:rsidTr="003B2EC8">
        <w:trPr>
          <w:trHeight w:val="272"/>
        </w:trPr>
        <w:tc>
          <w:tcPr>
            <w:tcW w:w="2230" w:type="dxa"/>
            <w:tcBorders>
              <w:top w:val="nil"/>
              <w:left w:val="nil"/>
              <w:bottom w:val="nil"/>
              <w:right w:val="nil"/>
            </w:tcBorders>
            <w:shd w:val="clear" w:color="auto" w:fill="auto"/>
            <w:noWrap/>
            <w:vAlign w:val="bottom"/>
            <w:hideMark/>
          </w:tcPr>
          <w:p w14:paraId="64F3E1E8"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4</w:t>
            </w:r>
          </w:p>
        </w:tc>
        <w:tc>
          <w:tcPr>
            <w:tcW w:w="1794" w:type="dxa"/>
            <w:tcBorders>
              <w:top w:val="nil"/>
              <w:left w:val="nil"/>
              <w:bottom w:val="nil"/>
              <w:right w:val="nil"/>
            </w:tcBorders>
            <w:shd w:val="clear" w:color="auto" w:fill="auto"/>
            <w:noWrap/>
            <w:vAlign w:val="bottom"/>
            <w:hideMark/>
          </w:tcPr>
          <w:p w14:paraId="7B2E7CD6" w14:textId="77777777" w:rsidR="003B2EC8" w:rsidRPr="003B2EC8" w:rsidRDefault="003B2EC8" w:rsidP="003B2EC8">
            <w:pPr>
              <w:widowControl/>
              <w:jc w:val="left"/>
              <w:rPr>
                <w:kern w:val="0"/>
                <w:sz w:val="20"/>
              </w:rPr>
            </w:pPr>
            <w:r w:rsidRPr="003B2EC8">
              <w:rPr>
                <w:kern w:val="0"/>
                <w:sz w:val="20"/>
              </w:rPr>
              <w:t xml:space="preserve">           1.3482 </w:t>
            </w:r>
          </w:p>
        </w:tc>
        <w:tc>
          <w:tcPr>
            <w:tcW w:w="1647" w:type="dxa"/>
            <w:tcBorders>
              <w:top w:val="nil"/>
              <w:left w:val="nil"/>
              <w:bottom w:val="nil"/>
              <w:right w:val="nil"/>
            </w:tcBorders>
            <w:shd w:val="clear" w:color="auto" w:fill="auto"/>
            <w:noWrap/>
            <w:vAlign w:val="bottom"/>
            <w:hideMark/>
          </w:tcPr>
          <w:p w14:paraId="41780BBD" w14:textId="77777777" w:rsidR="003B2EC8" w:rsidRPr="003B2EC8" w:rsidRDefault="003B2EC8" w:rsidP="003B2EC8">
            <w:pPr>
              <w:widowControl/>
              <w:jc w:val="left"/>
              <w:rPr>
                <w:kern w:val="0"/>
                <w:sz w:val="20"/>
              </w:rPr>
            </w:pPr>
            <w:r w:rsidRPr="003B2EC8">
              <w:rPr>
                <w:kern w:val="0"/>
                <w:sz w:val="20"/>
              </w:rPr>
              <w:t xml:space="preserve">           0.2127 </w:t>
            </w:r>
          </w:p>
        </w:tc>
        <w:tc>
          <w:tcPr>
            <w:tcW w:w="1794" w:type="dxa"/>
            <w:tcBorders>
              <w:top w:val="nil"/>
              <w:left w:val="nil"/>
              <w:bottom w:val="nil"/>
              <w:right w:val="nil"/>
            </w:tcBorders>
            <w:shd w:val="clear" w:color="auto" w:fill="auto"/>
            <w:noWrap/>
            <w:vAlign w:val="bottom"/>
            <w:hideMark/>
          </w:tcPr>
          <w:p w14:paraId="35671E03" w14:textId="77777777" w:rsidR="003B2EC8" w:rsidRPr="003B2EC8" w:rsidRDefault="003B2EC8" w:rsidP="003B2EC8">
            <w:pPr>
              <w:widowControl/>
              <w:jc w:val="left"/>
              <w:rPr>
                <w:kern w:val="0"/>
                <w:sz w:val="20"/>
              </w:rPr>
            </w:pPr>
            <w:r w:rsidRPr="003B2EC8">
              <w:rPr>
                <w:kern w:val="0"/>
                <w:sz w:val="20"/>
              </w:rPr>
              <w:t xml:space="preserve">           0.0899 </w:t>
            </w:r>
          </w:p>
        </w:tc>
        <w:tc>
          <w:tcPr>
            <w:tcW w:w="1175" w:type="dxa"/>
            <w:tcBorders>
              <w:top w:val="nil"/>
              <w:left w:val="nil"/>
              <w:bottom w:val="nil"/>
              <w:right w:val="nil"/>
            </w:tcBorders>
            <w:shd w:val="clear" w:color="auto" w:fill="auto"/>
            <w:noWrap/>
            <w:vAlign w:val="bottom"/>
            <w:hideMark/>
          </w:tcPr>
          <w:p w14:paraId="4FF73673" w14:textId="77777777" w:rsidR="003B2EC8" w:rsidRPr="003B2EC8" w:rsidRDefault="003B2EC8" w:rsidP="003B2EC8">
            <w:pPr>
              <w:widowControl/>
              <w:jc w:val="left"/>
              <w:rPr>
                <w:kern w:val="0"/>
                <w:sz w:val="20"/>
              </w:rPr>
            </w:pPr>
            <w:r w:rsidRPr="003B2EC8">
              <w:rPr>
                <w:kern w:val="0"/>
                <w:sz w:val="20"/>
              </w:rPr>
              <w:t xml:space="preserve">      0.6554 </w:t>
            </w:r>
          </w:p>
        </w:tc>
      </w:tr>
      <w:tr w:rsidR="003B2EC8" w:rsidRPr="003B2EC8" w14:paraId="0ECF8C52" w14:textId="77777777" w:rsidTr="003B2EC8">
        <w:trPr>
          <w:trHeight w:val="272"/>
        </w:trPr>
        <w:tc>
          <w:tcPr>
            <w:tcW w:w="2230" w:type="dxa"/>
            <w:tcBorders>
              <w:top w:val="nil"/>
              <w:left w:val="nil"/>
              <w:bottom w:val="nil"/>
              <w:right w:val="nil"/>
            </w:tcBorders>
            <w:shd w:val="clear" w:color="auto" w:fill="auto"/>
            <w:noWrap/>
            <w:vAlign w:val="bottom"/>
            <w:hideMark/>
          </w:tcPr>
          <w:p w14:paraId="0404B09B"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5</w:t>
            </w:r>
          </w:p>
        </w:tc>
        <w:tc>
          <w:tcPr>
            <w:tcW w:w="1794" w:type="dxa"/>
            <w:tcBorders>
              <w:top w:val="nil"/>
              <w:left w:val="nil"/>
              <w:bottom w:val="nil"/>
              <w:right w:val="nil"/>
            </w:tcBorders>
            <w:shd w:val="clear" w:color="auto" w:fill="auto"/>
            <w:noWrap/>
            <w:vAlign w:val="bottom"/>
            <w:hideMark/>
          </w:tcPr>
          <w:p w14:paraId="42F7E3C7" w14:textId="77777777" w:rsidR="003B2EC8" w:rsidRPr="003B2EC8" w:rsidRDefault="003B2EC8" w:rsidP="003B2EC8">
            <w:pPr>
              <w:widowControl/>
              <w:jc w:val="left"/>
              <w:rPr>
                <w:kern w:val="0"/>
                <w:sz w:val="20"/>
              </w:rPr>
            </w:pPr>
            <w:r w:rsidRPr="003B2EC8">
              <w:rPr>
                <w:kern w:val="0"/>
                <w:sz w:val="20"/>
              </w:rPr>
              <w:t xml:space="preserve">           1.1355 </w:t>
            </w:r>
          </w:p>
        </w:tc>
        <w:tc>
          <w:tcPr>
            <w:tcW w:w="1647" w:type="dxa"/>
            <w:tcBorders>
              <w:top w:val="nil"/>
              <w:left w:val="nil"/>
              <w:bottom w:val="nil"/>
              <w:right w:val="nil"/>
            </w:tcBorders>
            <w:shd w:val="clear" w:color="auto" w:fill="auto"/>
            <w:noWrap/>
            <w:vAlign w:val="bottom"/>
            <w:hideMark/>
          </w:tcPr>
          <w:p w14:paraId="3AEA2F59" w14:textId="77777777" w:rsidR="003B2EC8" w:rsidRPr="003B2EC8" w:rsidRDefault="003B2EC8" w:rsidP="003B2EC8">
            <w:pPr>
              <w:widowControl/>
              <w:jc w:val="left"/>
              <w:rPr>
                <w:kern w:val="0"/>
                <w:sz w:val="20"/>
              </w:rPr>
            </w:pPr>
            <w:r w:rsidRPr="003B2EC8">
              <w:rPr>
                <w:kern w:val="0"/>
                <w:sz w:val="20"/>
              </w:rPr>
              <w:t xml:space="preserve">           0.1601 </w:t>
            </w:r>
          </w:p>
        </w:tc>
        <w:tc>
          <w:tcPr>
            <w:tcW w:w="1794" w:type="dxa"/>
            <w:tcBorders>
              <w:top w:val="nil"/>
              <w:left w:val="nil"/>
              <w:bottom w:val="nil"/>
              <w:right w:val="nil"/>
            </w:tcBorders>
            <w:shd w:val="clear" w:color="auto" w:fill="auto"/>
            <w:noWrap/>
            <w:vAlign w:val="bottom"/>
            <w:hideMark/>
          </w:tcPr>
          <w:p w14:paraId="45272BF1" w14:textId="77777777" w:rsidR="003B2EC8" w:rsidRPr="003B2EC8" w:rsidRDefault="003B2EC8" w:rsidP="003B2EC8">
            <w:pPr>
              <w:widowControl/>
              <w:jc w:val="left"/>
              <w:rPr>
                <w:kern w:val="0"/>
                <w:sz w:val="20"/>
              </w:rPr>
            </w:pPr>
            <w:r w:rsidRPr="003B2EC8">
              <w:rPr>
                <w:kern w:val="0"/>
                <w:sz w:val="20"/>
              </w:rPr>
              <w:t xml:space="preserve">           0.0757 </w:t>
            </w:r>
          </w:p>
        </w:tc>
        <w:tc>
          <w:tcPr>
            <w:tcW w:w="1175" w:type="dxa"/>
            <w:tcBorders>
              <w:top w:val="nil"/>
              <w:left w:val="nil"/>
              <w:bottom w:val="nil"/>
              <w:right w:val="nil"/>
            </w:tcBorders>
            <w:shd w:val="clear" w:color="auto" w:fill="auto"/>
            <w:noWrap/>
            <w:vAlign w:val="bottom"/>
            <w:hideMark/>
          </w:tcPr>
          <w:p w14:paraId="0ACDA8C0" w14:textId="77777777" w:rsidR="003B2EC8" w:rsidRPr="003B2EC8" w:rsidRDefault="003B2EC8" w:rsidP="003B2EC8">
            <w:pPr>
              <w:widowControl/>
              <w:jc w:val="left"/>
              <w:rPr>
                <w:kern w:val="0"/>
                <w:sz w:val="20"/>
              </w:rPr>
            </w:pPr>
            <w:r w:rsidRPr="003B2EC8">
              <w:rPr>
                <w:kern w:val="0"/>
                <w:sz w:val="20"/>
              </w:rPr>
              <w:t xml:space="preserve">      0.7311 </w:t>
            </w:r>
          </w:p>
        </w:tc>
      </w:tr>
      <w:tr w:rsidR="003B2EC8" w:rsidRPr="003B2EC8" w14:paraId="3A36DDC5" w14:textId="77777777" w:rsidTr="003B2EC8">
        <w:trPr>
          <w:trHeight w:val="272"/>
        </w:trPr>
        <w:tc>
          <w:tcPr>
            <w:tcW w:w="2230" w:type="dxa"/>
            <w:tcBorders>
              <w:top w:val="nil"/>
              <w:left w:val="nil"/>
              <w:bottom w:val="nil"/>
              <w:right w:val="nil"/>
            </w:tcBorders>
            <w:shd w:val="clear" w:color="auto" w:fill="auto"/>
            <w:noWrap/>
            <w:vAlign w:val="bottom"/>
            <w:hideMark/>
          </w:tcPr>
          <w:p w14:paraId="4B46CC9A"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6</w:t>
            </w:r>
          </w:p>
        </w:tc>
        <w:tc>
          <w:tcPr>
            <w:tcW w:w="1794" w:type="dxa"/>
            <w:tcBorders>
              <w:top w:val="nil"/>
              <w:left w:val="nil"/>
              <w:bottom w:val="nil"/>
              <w:right w:val="nil"/>
            </w:tcBorders>
            <w:shd w:val="clear" w:color="auto" w:fill="auto"/>
            <w:noWrap/>
            <w:vAlign w:val="bottom"/>
            <w:hideMark/>
          </w:tcPr>
          <w:p w14:paraId="76240D3A" w14:textId="77777777" w:rsidR="003B2EC8" w:rsidRPr="003B2EC8" w:rsidRDefault="003B2EC8" w:rsidP="003B2EC8">
            <w:pPr>
              <w:widowControl/>
              <w:jc w:val="left"/>
              <w:rPr>
                <w:kern w:val="0"/>
                <w:sz w:val="20"/>
              </w:rPr>
            </w:pPr>
            <w:r w:rsidRPr="003B2EC8">
              <w:rPr>
                <w:kern w:val="0"/>
                <w:sz w:val="20"/>
              </w:rPr>
              <w:t xml:space="preserve">           0.9754 </w:t>
            </w:r>
          </w:p>
        </w:tc>
        <w:tc>
          <w:tcPr>
            <w:tcW w:w="1647" w:type="dxa"/>
            <w:tcBorders>
              <w:top w:val="nil"/>
              <w:left w:val="nil"/>
              <w:bottom w:val="nil"/>
              <w:right w:val="nil"/>
            </w:tcBorders>
            <w:shd w:val="clear" w:color="auto" w:fill="auto"/>
            <w:noWrap/>
            <w:vAlign w:val="bottom"/>
            <w:hideMark/>
          </w:tcPr>
          <w:p w14:paraId="601C6FBE" w14:textId="77777777" w:rsidR="003B2EC8" w:rsidRPr="003B2EC8" w:rsidRDefault="003B2EC8" w:rsidP="003B2EC8">
            <w:pPr>
              <w:widowControl/>
              <w:jc w:val="left"/>
              <w:rPr>
                <w:kern w:val="0"/>
                <w:sz w:val="20"/>
              </w:rPr>
            </w:pPr>
            <w:r w:rsidRPr="003B2EC8">
              <w:rPr>
                <w:kern w:val="0"/>
                <w:sz w:val="20"/>
              </w:rPr>
              <w:t xml:space="preserve">           0.1729 </w:t>
            </w:r>
          </w:p>
        </w:tc>
        <w:tc>
          <w:tcPr>
            <w:tcW w:w="1794" w:type="dxa"/>
            <w:tcBorders>
              <w:top w:val="nil"/>
              <w:left w:val="nil"/>
              <w:bottom w:val="nil"/>
              <w:right w:val="nil"/>
            </w:tcBorders>
            <w:shd w:val="clear" w:color="auto" w:fill="auto"/>
            <w:noWrap/>
            <w:vAlign w:val="bottom"/>
            <w:hideMark/>
          </w:tcPr>
          <w:p w14:paraId="3DF7A7A9" w14:textId="77777777" w:rsidR="003B2EC8" w:rsidRPr="003B2EC8" w:rsidRDefault="003B2EC8" w:rsidP="003B2EC8">
            <w:pPr>
              <w:widowControl/>
              <w:jc w:val="left"/>
              <w:rPr>
                <w:kern w:val="0"/>
                <w:sz w:val="20"/>
              </w:rPr>
            </w:pPr>
            <w:r w:rsidRPr="003B2EC8">
              <w:rPr>
                <w:kern w:val="0"/>
                <w:sz w:val="20"/>
              </w:rPr>
              <w:t xml:space="preserve">           0.0650 </w:t>
            </w:r>
          </w:p>
        </w:tc>
        <w:tc>
          <w:tcPr>
            <w:tcW w:w="1175" w:type="dxa"/>
            <w:tcBorders>
              <w:top w:val="nil"/>
              <w:left w:val="nil"/>
              <w:bottom w:val="nil"/>
              <w:right w:val="nil"/>
            </w:tcBorders>
            <w:shd w:val="clear" w:color="auto" w:fill="auto"/>
            <w:noWrap/>
            <w:vAlign w:val="bottom"/>
            <w:hideMark/>
          </w:tcPr>
          <w:p w14:paraId="60E7DDDA" w14:textId="77777777" w:rsidR="003B2EC8" w:rsidRPr="003B2EC8" w:rsidRDefault="003B2EC8" w:rsidP="003B2EC8">
            <w:pPr>
              <w:widowControl/>
              <w:jc w:val="left"/>
              <w:rPr>
                <w:kern w:val="0"/>
                <w:sz w:val="20"/>
              </w:rPr>
            </w:pPr>
            <w:r w:rsidRPr="003B2EC8">
              <w:rPr>
                <w:kern w:val="0"/>
                <w:sz w:val="20"/>
              </w:rPr>
              <w:t xml:space="preserve">      0.7961 </w:t>
            </w:r>
          </w:p>
        </w:tc>
      </w:tr>
      <w:tr w:rsidR="003B2EC8" w:rsidRPr="003B2EC8" w14:paraId="10471790" w14:textId="77777777" w:rsidTr="003B2EC8">
        <w:trPr>
          <w:trHeight w:val="272"/>
        </w:trPr>
        <w:tc>
          <w:tcPr>
            <w:tcW w:w="2230" w:type="dxa"/>
            <w:tcBorders>
              <w:top w:val="nil"/>
              <w:left w:val="nil"/>
              <w:bottom w:val="nil"/>
              <w:right w:val="nil"/>
            </w:tcBorders>
            <w:shd w:val="clear" w:color="auto" w:fill="auto"/>
            <w:noWrap/>
            <w:vAlign w:val="bottom"/>
            <w:hideMark/>
          </w:tcPr>
          <w:p w14:paraId="65E6A5C8"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7</w:t>
            </w:r>
          </w:p>
        </w:tc>
        <w:tc>
          <w:tcPr>
            <w:tcW w:w="1794" w:type="dxa"/>
            <w:tcBorders>
              <w:top w:val="nil"/>
              <w:left w:val="nil"/>
              <w:bottom w:val="nil"/>
              <w:right w:val="nil"/>
            </w:tcBorders>
            <w:shd w:val="clear" w:color="auto" w:fill="auto"/>
            <w:noWrap/>
            <w:vAlign w:val="bottom"/>
            <w:hideMark/>
          </w:tcPr>
          <w:p w14:paraId="5C72D3FA" w14:textId="77777777" w:rsidR="003B2EC8" w:rsidRPr="003B2EC8" w:rsidRDefault="003B2EC8" w:rsidP="003B2EC8">
            <w:pPr>
              <w:widowControl/>
              <w:jc w:val="left"/>
              <w:rPr>
                <w:kern w:val="0"/>
                <w:sz w:val="20"/>
              </w:rPr>
            </w:pPr>
            <w:r w:rsidRPr="003B2EC8">
              <w:rPr>
                <w:kern w:val="0"/>
                <w:sz w:val="20"/>
              </w:rPr>
              <w:t xml:space="preserve">           0.8026 </w:t>
            </w:r>
          </w:p>
        </w:tc>
        <w:tc>
          <w:tcPr>
            <w:tcW w:w="1647" w:type="dxa"/>
            <w:tcBorders>
              <w:top w:val="nil"/>
              <w:left w:val="nil"/>
              <w:bottom w:val="nil"/>
              <w:right w:val="nil"/>
            </w:tcBorders>
            <w:shd w:val="clear" w:color="auto" w:fill="auto"/>
            <w:noWrap/>
            <w:vAlign w:val="bottom"/>
            <w:hideMark/>
          </w:tcPr>
          <w:p w14:paraId="3C3B145C" w14:textId="77777777" w:rsidR="003B2EC8" w:rsidRPr="003B2EC8" w:rsidRDefault="003B2EC8" w:rsidP="003B2EC8">
            <w:pPr>
              <w:widowControl/>
              <w:jc w:val="left"/>
              <w:rPr>
                <w:kern w:val="0"/>
                <w:sz w:val="20"/>
              </w:rPr>
            </w:pPr>
            <w:r w:rsidRPr="003B2EC8">
              <w:rPr>
                <w:kern w:val="0"/>
                <w:sz w:val="20"/>
              </w:rPr>
              <w:t xml:space="preserve">           0.0643 </w:t>
            </w:r>
          </w:p>
        </w:tc>
        <w:tc>
          <w:tcPr>
            <w:tcW w:w="1794" w:type="dxa"/>
            <w:tcBorders>
              <w:top w:val="nil"/>
              <w:left w:val="nil"/>
              <w:bottom w:val="nil"/>
              <w:right w:val="nil"/>
            </w:tcBorders>
            <w:shd w:val="clear" w:color="auto" w:fill="auto"/>
            <w:noWrap/>
            <w:vAlign w:val="bottom"/>
            <w:hideMark/>
          </w:tcPr>
          <w:p w14:paraId="4188CE89" w14:textId="77777777" w:rsidR="003B2EC8" w:rsidRPr="003B2EC8" w:rsidRDefault="003B2EC8" w:rsidP="003B2EC8">
            <w:pPr>
              <w:widowControl/>
              <w:jc w:val="left"/>
              <w:rPr>
                <w:kern w:val="0"/>
                <w:sz w:val="20"/>
              </w:rPr>
            </w:pPr>
            <w:r w:rsidRPr="003B2EC8">
              <w:rPr>
                <w:kern w:val="0"/>
                <w:sz w:val="20"/>
              </w:rPr>
              <w:t xml:space="preserve">           0.0535 </w:t>
            </w:r>
          </w:p>
        </w:tc>
        <w:tc>
          <w:tcPr>
            <w:tcW w:w="1175" w:type="dxa"/>
            <w:tcBorders>
              <w:top w:val="nil"/>
              <w:left w:val="nil"/>
              <w:bottom w:val="nil"/>
              <w:right w:val="nil"/>
            </w:tcBorders>
            <w:shd w:val="clear" w:color="auto" w:fill="auto"/>
            <w:noWrap/>
            <w:vAlign w:val="bottom"/>
            <w:hideMark/>
          </w:tcPr>
          <w:p w14:paraId="386831B1" w14:textId="77777777" w:rsidR="003B2EC8" w:rsidRPr="003B2EC8" w:rsidRDefault="003B2EC8" w:rsidP="003B2EC8">
            <w:pPr>
              <w:widowControl/>
              <w:jc w:val="left"/>
              <w:rPr>
                <w:kern w:val="0"/>
                <w:sz w:val="20"/>
              </w:rPr>
            </w:pPr>
            <w:r w:rsidRPr="003B2EC8">
              <w:rPr>
                <w:kern w:val="0"/>
                <w:sz w:val="20"/>
              </w:rPr>
              <w:t xml:space="preserve">      0.8496 </w:t>
            </w:r>
          </w:p>
        </w:tc>
      </w:tr>
      <w:tr w:rsidR="003B2EC8" w:rsidRPr="003B2EC8" w14:paraId="43D26426" w14:textId="77777777" w:rsidTr="003B2EC8">
        <w:trPr>
          <w:trHeight w:val="272"/>
        </w:trPr>
        <w:tc>
          <w:tcPr>
            <w:tcW w:w="2230" w:type="dxa"/>
            <w:tcBorders>
              <w:top w:val="nil"/>
              <w:left w:val="nil"/>
              <w:bottom w:val="nil"/>
              <w:right w:val="nil"/>
            </w:tcBorders>
            <w:shd w:val="clear" w:color="auto" w:fill="auto"/>
            <w:noWrap/>
            <w:vAlign w:val="bottom"/>
            <w:hideMark/>
          </w:tcPr>
          <w:p w14:paraId="125FB500"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8</w:t>
            </w:r>
          </w:p>
        </w:tc>
        <w:tc>
          <w:tcPr>
            <w:tcW w:w="1794" w:type="dxa"/>
            <w:tcBorders>
              <w:top w:val="nil"/>
              <w:left w:val="nil"/>
              <w:bottom w:val="nil"/>
              <w:right w:val="nil"/>
            </w:tcBorders>
            <w:shd w:val="clear" w:color="auto" w:fill="auto"/>
            <w:noWrap/>
            <w:vAlign w:val="bottom"/>
            <w:hideMark/>
          </w:tcPr>
          <w:p w14:paraId="7CAF71A0" w14:textId="77777777" w:rsidR="003B2EC8" w:rsidRPr="003B2EC8" w:rsidRDefault="003B2EC8" w:rsidP="003B2EC8">
            <w:pPr>
              <w:widowControl/>
              <w:jc w:val="left"/>
              <w:rPr>
                <w:kern w:val="0"/>
                <w:sz w:val="20"/>
              </w:rPr>
            </w:pPr>
            <w:r w:rsidRPr="003B2EC8">
              <w:rPr>
                <w:kern w:val="0"/>
                <w:sz w:val="20"/>
              </w:rPr>
              <w:t xml:space="preserve">           0.7383 </w:t>
            </w:r>
          </w:p>
        </w:tc>
        <w:tc>
          <w:tcPr>
            <w:tcW w:w="1647" w:type="dxa"/>
            <w:tcBorders>
              <w:top w:val="nil"/>
              <w:left w:val="nil"/>
              <w:bottom w:val="nil"/>
              <w:right w:val="nil"/>
            </w:tcBorders>
            <w:shd w:val="clear" w:color="auto" w:fill="auto"/>
            <w:noWrap/>
            <w:vAlign w:val="bottom"/>
            <w:hideMark/>
          </w:tcPr>
          <w:p w14:paraId="71A702E7" w14:textId="77777777" w:rsidR="003B2EC8" w:rsidRPr="003B2EC8" w:rsidRDefault="003B2EC8" w:rsidP="003B2EC8">
            <w:pPr>
              <w:widowControl/>
              <w:jc w:val="left"/>
              <w:rPr>
                <w:kern w:val="0"/>
                <w:sz w:val="20"/>
              </w:rPr>
            </w:pPr>
            <w:r w:rsidRPr="003B2EC8">
              <w:rPr>
                <w:kern w:val="0"/>
                <w:sz w:val="20"/>
              </w:rPr>
              <w:t xml:space="preserve">           0.2556 </w:t>
            </w:r>
          </w:p>
        </w:tc>
        <w:tc>
          <w:tcPr>
            <w:tcW w:w="1794" w:type="dxa"/>
            <w:tcBorders>
              <w:top w:val="nil"/>
              <w:left w:val="nil"/>
              <w:bottom w:val="nil"/>
              <w:right w:val="nil"/>
            </w:tcBorders>
            <w:shd w:val="clear" w:color="auto" w:fill="auto"/>
            <w:noWrap/>
            <w:vAlign w:val="bottom"/>
            <w:hideMark/>
          </w:tcPr>
          <w:p w14:paraId="2F275AD2" w14:textId="77777777" w:rsidR="003B2EC8" w:rsidRPr="003B2EC8" w:rsidRDefault="003B2EC8" w:rsidP="003B2EC8">
            <w:pPr>
              <w:widowControl/>
              <w:jc w:val="left"/>
              <w:rPr>
                <w:kern w:val="0"/>
                <w:sz w:val="20"/>
              </w:rPr>
            </w:pPr>
            <w:r w:rsidRPr="003B2EC8">
              <w:rPr>
                <w:kern w:val="0"/>
                <w:sz w:val="20"/>
              </w:rPr>
              <w:t xml:space="preserve">           0.0492 </w:t>
            </w:r>
          </w:p>
        </w:tc>
        <w:tc>
          <w:tcPr>
            <w:tcW w:w="1175" w:type="dxa"/>
            <w:tcBorders>
              <w:top w:val="nil"/>
              <w:left w:val="nil"/>
              <w:bottom w:val="nil"/>
              <w:right w:val="nil"/>
            </w:tcBorders>
            <w:shd w:val="clear" w:color="auto" w:fill="auto"/>
            <w:noWrap/>
            <w:vAlign w:val="bottom"/>
            <w:hideMark/>
          </w:tcPr>
          <w:p w14:paraId="13D3EA5B" w14:textId="77777777" w:rsidR="003B2EC8" w:rsidRPr="003B2EC8" w:rsidRDefault="003B2EC8" w:rsidP="003B2EC8">
            <w:pPr>
              <w:widowControl/>
              <w:jc w:val="left"/>
              <w:rPr>
                <w:kern w:val="0"/>
                <w:sz w:val="20"/>
              </w:rPr>
            </w:pPr>
            <w:r w:rsidRPr="003B2EC8">
              <w:rPr>
                <w:kern w:val="0"/>
                <w:sz w:val="20"/>
              </w:rPr>
              <w:t xml:space="preserve">      0.8988 </w:t>
            </w:r>
          </w:p>
        </w:tc>
      </w:tr>
      <w:tr w:rsidR="003B2EC8" w:rsidRPr="003B2EC8" w14:paraId="640A5590" w14:textId="77777777" w:rsidTr="003B2EC8">
        <w:trPr>
          <w:trHeight w:val="272"/>
        </w:trPr>
        <w:tc>
          <w:tcPr>
            <w:tcW w:w="2230" w:type="dxa"/>
            <w:tcBorders>
              <w:top w:val="nil"/>
              <w:left w:val="nil"/>
              <w:bottom w:val="nil"/>
              <w:right w:val="nil"/>
            </w:tcBorders>
            <w:shd w:val="clear" w:color="auto" w:fill="auto"/>
            <w:noWrap/>
            <w:vAlign w:val="bottom"/>
            <w:hideMark/>
          </w:tcPr>
          <w:p w14:paraId="0FE12374" w14:textId="77777777" w:rsidR="003B2EC8" w:rsidRPr="006F7242" w:rsidRDefault="003B2EC8" w:rsidP="003B2EC8">
            <w:pPr>
              <w:widowControl/>
              <w:jc w:val="center"/>
              <w:rPr>
                <w:kern w:val="0"/>
                <w:sz w:val="20"/>
              </w:rPr>
            </w:pPr>
          </w:p>
          <w:p w14:paraId="7958DD65" w14:textId="39F6621C" w:rsidR="003B2EC8" w:rsidRPr="003B2EC8" w:rsidRDefault="003B2EC8" w:rsidP="003B2EC8">
            <w:pPr>
              <w:widowControl/>
              <w:jc w:val="center"/>
              <w:rPr>
                <w:kern w:val="0"/>
                <w:sz w:val="20"/>
              </w:rPr>
            </w:pPr>
            <w:r w:rsidRPr="006F7242">
              <w:rPr>
                <w:kern w:val="0"/>
                <w:sz w:val="20"/>
              </w:rPr>
              <w:t>成分</w:t>
            </w:r>
            <w:r w:rsidRPr="006F7242">
              <w:rPr>
                <w:kern w:val="0"/>
                <w:sz w:val="20"/>
              </w:rPr>
              <w:t>9</w:t>
            </w:r>
          </w:p>
        </w:tc>
        <w:tc>
          <w:tcPr>
            <w:tcW w:w="1794" w:type="dxa"/>
            <w:tcBorders>
              <w:top w:val="nil"/>
              <w:left w:val="nil"/>
              <w:bottom w:val="nil"/>
              <w:right w:val="nil"/>
            </w:tcBorders>
            <w:shd w:val="clear" w:color="auto" w:fill="auto"/>
            <w:noWrap/>
            <w:vAlign w:val="bottom"/>
            <w:hideMark/>
          </w:tcPr>
          <w:p w14:paraId="6132527E" w14:textId="77777777" w:rsidR="003B2EC8" w:rsidRPr="003B2EC8" w:rsidRDefault="003B2EC8" w:rsidP="003B2EC8">
            <w:pPr>
              <w:widowControl/>
              <w:jc w:val="left"/>
              <w:rPr>
                <w:kern w:val="0"/>
                <w:sz w:val="20"/>
              </w:rPr>
            </w:pPr>
            <w:r w:rsidRPr="003B2EC8">
              <w:rPr>
                <w:kern w:val="0"/>
                <w:sz w:val="20"/>
              </w:rPr>
              <w:t xml:space="preserve">           0.4827 </w:t>
            </w:r>
          </w:p>
        </w:tc>
        <w:tc>
          <w:tcPr>
            <w:tcW w:w="1647" w:type="dxa"/>
            <w:tcBorders>
              <w:top w:val="nil"/>
              <w:left w:val="nil"/>
              <w:bottom w:val="nil"/>
              <w:right w:val="nil"/>
            </w:tcBorders>
            <w:shd w:val="clear" w:color="auto" w:fill="auto"/>
            <w:noWrap/>
            <w:vAlign w:val="bottom"/>
            <w:hideMark/>
          </w:tcPr>
          <w:p w14:paraId="62938DB4" w14:textId="77777777" w:rsidR="003B2EC8" w:rsidRPr="003B2EC8" w:rsidRDefault="003B2EC8" w:rsidP="003B2EC8">
            <w:pPr>
              <w:widowControl/>
              <w:jc w:val="left"/>
              <w:rPr>
                <w:kern w:val="0"/>
                <w:sz w:val="20"/>
              </w:rPr>
            </w:pPr>
            <w:r w:rsidRPr="003B2EC8">
              <w:rPr>
                <w:kern w:val="0"/>
                <w:sz w:val="20"/>
              </w:rPr>
              <w:t xml:space="preserve">           0.0889 </w:t>
            </w:r>
          </w:p>
        </w:tc>
        <w:tc>
          <w:tcPr>
            <w:tcW w:w="1794" w:type="dxa"/>
            <w:tcBorders>
              <w:top w:val="nil"/>
              <w:left w:val="nil"/>
              <w:bottom w:val="nil"/>
              <w:right w:val="nil"/>
            </w:tcBorders>
            <w:shd w:val="clear" w:color="auto" w:fill="auto"/>
            <w:noWrap/>
            <w:vAlign w:val="bottom"/>
            <w:hideMark/>
          </w:tcPr>
          <w:p w14:paraId="51B01BBD" w14:textId="77777777" w:rsidR="003B2EC8" w:rsidRPr="003B2EC8" w:rsidRDefault="003B2EC8" w:rsidP="003B2EC8">
            <w:pPr>
              <w:widowControl/>
              <w:jc w:val="left"/>
              <w:rPr>
                <w:kern w:val="0"/>
                <w:sz w:val="20"/>
              </w:rPr>
            </w:pPr>
            <w:r w:rsidRPr="003B2EC8">
              <w:rPr>
                <w:kern w:val="0"/>
                <w:sz w:val="20"/>
              </w:rPr>
              <w:t xml:space="preserve">           0.0322 </w:t>
            </w:r>
          </w:p>
        </w:tc>
        <w:tc>
          <w:tcPr>
            <w:tcW w:w="1175" w:type="dxa"/>
            <w:tcBorders>
              <w:top w:val="nil"/>
              <w:left w:val="nil"/>
              <w:bottom w:val="nil"/>
              <w:right w:val="nil"/>
            </w:tcBorders>
            <w:shd w:val="clear" w:color="auto" w:fill="auto"/>
            <w:noWrap/>
            <w:vAlign w:val="bottom"/>
            <w:hideMark/>
          </w:tcPr>
          <w:p w14:paraId="6C250A55" w14:textId="77777777" w:rsidR="003B2EC8" w:rsidRPr="003B2EC8" w:rsidRDefault="003B2EC8" w:rsidP="003B2EC8">
            <w:pPr>
              <w:widowControl/>
              <w:jc w:val="left"/>
              <w:rPr>
                <w:kern w:val="0"/>
                <w:sz w:val="20"/>
              </w:rPr>
            </w:pPr>
            <w:r w:rsidRPr="003B2EC8">
              <w:rPr>
                <w:kern w:val="0"/>
                <w:sz w:val="20"/>
              </w:rPr>
              <w:t xml:space="preserve">      0.9310 </w:t>
            </w:r>
          </w:p>
        </w:tc>
      </w:tr>
      <w:tr w:rsidR="003B2EC8" w:rsidRPr="003B2EC8" w14:paraId="774DAE15" w14:textId="77777777" w:rsidTr="003B2EC8">
        <w:trPr>
          <w:trHeight w:val="272"/>
        </w:trPr>
        <w:tc>
          <w:tcPr>
            <w:tcW w:w="2230" w:type="dxa"/>
            <w:tcBorders>
              <w:top w:val="nil"/>
              <w:left w:val="nil"/>
              <w:bottom w:val="nil"/>
              <w:right w:val="nil"/>
            </w:tcBorders>
            <w:shd w:val="clear" w:color="auto" w:fill="auto"/>
            <w:noWrap/>
            <w:vAlign w:val="bottom"/>
            <w:hideMark/>
          </w:tcPr>
          <w:p w14:paraId="7B816AB9"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10</w:t>
            </w:r>
          </w:p>
        </w:tc>
        <w:tc>
          <w:tcPr>
            <w:tcW w:w="1794" w:type="dxa"/>
            <w:tcBorders>
              <w:top w:val="nil"/>
              <w:left w:val="nil"/>
              <w:bottom w:val="nil"/>
              <w:right w:val="nil"/>
            </w:tcBorders>
            <w:shd w:val="clear" w:color="auto" w:fill="auto"/>
            <w:noWrap/>
            <w:vAlign w:val="bottom"/>
            <w:hideMark/>
          </w:tcPr>
          <w:p w14:paraId="2EE82D40" w14:textId="77777777" w:rsidR="003B2EC8" w:rsidRPr="003B2EC8" w:rsidRDefault="003B2EC8" w:rsidP="003B2EC8">
            <w:pPr>
              <w:widowControl/>
              <w:jc w:val="left"/>
              <w:rPr>
                <w:kern w:val="0"/>
                <w:sz w:val="20"/>
              </w:rPr>
            </w:pPr>
            <w:r w:rsidRPr="003B2EC8">
              <w:rPr>
                <w:kern w:val="0"/>
                <w:sz w:val="20"/>
              </w:rPr>
              <w:t xml:space="preserve">           0.3938 </w:t>
            </w:r>
          </w:p>
        </w:tc>
        <w:tc>
          <w:tcPr>
            <w:tcW w:w="1647" w:type="dxa"/>
            <w:tcBorders>
              <w:top w:val="nil"/>
              <w:left w:val="nil"/>
              <w:bottom w:val="nil"/>
              <w:right w:val="nil"/>
            </w:tcBorders>
            <w:shd w:val="clear" w:color="auto" w:fill="auto"/>
            <w:noWrap/>
            <w:vAlign w:val="bottom"/>
            <w:hideMark/>
          </w:tcPr>
          <w:p w14:paraId="1C1CB569" w14:textId="77777777" w:rsidR="003B2EC8" w:rsidRPr="003B2EC8" w:rsidRDefault="003B2EC8" w:rsidP="003B2EC8">
            <w:pPr>
              <w:widowControl/>
              <w:jc w:val="left"/>
              <w:rPr>
                <w:kern w:val="0"/>
                <w:sz w:val="20"/>
              </w:rPr>
            </w:pPr>
            <w:r w:rsidRPr="003B2EC8">
              <w:rPr>
                <w:kern w:val="0"/>
                <w:sz w:val="20"/>
              </w:rPr>
              <w:t xml:space="preserve">           0.0567 </w:t>
            </w:r>
          </w:p>
        </w:tc>
        <w:tc>
          <w:tcPr>
            <w:tcW w:w="1794" w:type="dxa"/>
            <w:tcBorders>
              <w:top w:val="nil"/>
              <w:left w:val="nil"/>
              <w:bottom w:val="nil"/>
              <w:right w:val="nil"/>
            </w:tcBorders>
            <w:shd w:val="clear" w:color="auto" w:fill="auto"/>
            <w:noWrap/>
            <w:vAlign w:val="bottom"/>
            <w:hideMark/>
          </w:tcPr>
          <w:p w14:paraId="146849B9" w14:textId="77777777" w:rsidR="003B2EC8" w:rsidRPr="003B2EC8" w:rsidRDefault="003B2EC8" w:rsidP="003B2EC8">
            <w:pPr>
              <w:widowControl/>
              <w:jc w:val="left"/>
              <w:rPr>
                <w:kern w:val="0"/>
                <w:sz w:val="20"/>
              </w:rPr>
            </w:pPr>
            <w:r w:rsidRPr="003B2EC8">
              <w:rPr>
                <w:kern w:val="0"/>
                <w:sz w:val="20"/>
              </w:rPr>
              <w:t xml:space="preserve">           0.0263 </w:t>
            </w:r>
          </w:p>
        </w:tc>
        <w:tc>
          <w:tcPr>
            <w:tcW w:w="1175" w:type="dxa"/>
            <w:tcBorders>
              <w:top w:val="nil"/>
              <w:left w:val="nil"/>
              <w:bottom w:val="nil"/>
              <w:right w:val="nil"/>
            </w:tcBorders>
            <w:shd w:val="clear" w:color="auto" w:fill="auto"/>
            <w:noWrap/>
            <w:vAlign w:val="bottom"/>
            <w:hideMark/>
          </w:tcPr>
          <w:p w14:paraId="7FE10A1B" w14:textId="77777777" w:rsidR="003B2EC8" w:rsidRPr="003B2EC8" w:rsidRDefault="003B2EC8" w:rsidP="003B2EC8">
            <w:pPr>
              <w:widowControl/>
              <w:jc w:val="left"/>
              <w:rPr>
                <w:kern w:val="0"/>
                <w:sz w:val="20"/>
              </w:rPr>
            </w:pPr>
            <w:r w:rsidRPr="003B2EC8">
              <w:rPr>
                <w:kern w:val="0"/>
                <w:sz w:val="20"/>
              </w:rPr>
              <w:t xml:space="preserve">      0.9573 </w:t>
            </w:r>
          </w:p>
        </w:tc>
      </w:tr>
      <w:tr w:rsidR="003B2EC8" w:rsidRPr="003B2EC8" w14:paraId="40621E02" w14:textId="77777777" w:rsidTr="003B2EC8">
        <w:trPr>
          <w:trHeight w:val="272"/>
        </w:trPr>
        <w:tc>
          <w:tcPr>
            <w:tcW w:w="2230" w:type="dxa"/>
            <w:tcBorders>
              <w:top w:val="nil"/>
              <w:left w:val="nil"/>
              <w:bottom w:val="nil"/>
              <w:right w:val="nil"/>
            </w:tcBorders>
            <w:shd w:val="clear" w:color="auto" w:fill="auto"/>
            <w:noWrap/>
            <w:vAlign w:val="bottom"/>
            <w:hideMark/>
          </w:tcPr>
          <w:p w14:paraId="7A1C5AA1"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11</w:t>
            </w:r>
          </w:p>
        </w:tc>
        <w:tc>
          <w:tcPr>
            <w:tcW w:w="1794" w:type="dxa"/>
            <w:tcBorders>
              <w:top w:val="nil"/>
              <w:left w:val="nil"/>
              <w:bottom w:val="nil"/>
              <w:right w:val="nil"/>
            </w:tcBorders>
            <w:shd w:val="clear" w:color="auto" w:fill="auto"/>
            <w:noWrap/>
            <w:vAlign w:val="bottom"/>
            <w:hideMark/>
          </w:tcPr>
          <w:p w14:paraId="2CCDCE32" w14:textId="77777777" w:rsidR="003B2EC8" w:rsidRPr="003B2EC8" w:rsidRDefault="003B2EC8" w:rsidP="003B2EC8">
            <w:pPr>
              <w:widowControl/>
              <w:jc w:val="left"/>
              <w:rPr>
                <w:kern w:val="0"/>
                <w:sz w:val="20"/>
              </w:rPr>
            </w:pPr>
            <w:r w:rsidRPr="003B2EC8">
              <w:rPr>
                <w:kern w:val="0"/>
                <w:sz w:val="20"/>
              </w:rPr>
              <w:t xml:space="preserve">           0.3372 </w:t>
            </w:r>
          </w:p>
        </w:tc>
        <w:tc>
          <w:tcPr>
            <w:tcW w:w="1647" w:type="dxa"/>
            <w:tcBorders>
              <w:top w:val="nil"/>
              <w:left w:val="nil"/>
              <w:bottom w:val="nil"/>
              <w:right w:val="nil"/>
            </w:tcBorders>
            <w:shd w:val="clear" w:color="auto" w:fill="auto"/>
            <w:noWrap/>
            <w:vAlign w:val="bottom"/>
            <w:hideMark/>
          </w:tcPr>
          <w:p w14:paraId="6E6C29CE" w14:textId="77777777" w:rsidR="003B2EC8" w:rsidRPr="003B2EC8" w:rsidRDefault="003B2EC8" w:rsidP="003B2EC8">
            <w:pPr>
              <w:widowControl/>
              <w:jc w:val="left"/>
              <w:rPr>
                <w:kern w:val="0"/>
                <w:sz w:val="20"/>
              </w:rPr>
            </w:pPr>
            <w:r w:rsidRPr="003B2EC8">
              <w:rPr>
                <w:kern w:val="0"/>
                <w:sz w:val="20"/>
              </w:rPr>
              <w:t xml:space="preserve">           0.1618 </w:t>
            </w:r>
          </w:p>
        </w:tc>
        <w:tc>
          <w:tcPr>
            <w:tcW w:w="1794" w:type="dxa"/>
            <w:tcBorders>
              <w:top w:val="nil"/>
              <w:left w:val="nil"/>
              <w:bottom w:val="nil"/>
              <w:right w:val="nil"/>
            </w:tcBorders>
            <w:shd w:val="clear" w:color="auto" w:fill="auto"/>
            <w:noWrap/>
            <w:vAlign w:val="bottom"/>
            <w:hideMark/>
          </w:tcPr>
          <w:p w14:paraId="468CB547" w14:textId="77777777" w:rsidR="003B2EC8" w:rsidRPr="003B2EC8" w:rsidRDefault="003B2EC8" w:rsidP="003B2EC8">
            <w:pPr>
              <w:widowControl/>
              <w:jc w:val="left"/>
              <w:rPr>
                <w:kern w:val="0"/>
                <w:sz w:val="20"/>
              </w:rPr>
            </w:pPr>
            <w:r w:rsidRPr="003B2EC8">
              <w:rPr>
                <w:kern w:val="0"/>
                <w:sz w:val="20"/>
              </w:rPr>
              <w:t xml:space="preserve">           0.0225 </w:t>
            </w:r>
          </w:p>
        </w:tc>
        <w:tc>
          <w:tcPr>
            <w:tcW w:w="1175" w:type="dxa"/>
            <w:tcBorders>
              <w:top w:val="nil"/>
              <w:left w:val="nil"/>
              <w:bottom w:val="nil"/>
              <w:right w:val="nil"/>
            </w:tcBorders>
            <w:shd w:val="clear" w:color="auto" w:fill="auto"/>
            <w:noWrap/>
            <w:vAlign w:val="bottom"/>
            <w:hideMark/>
          </w:tcPr>
          <w:p w14:paraId="1F133EEF" w14:textId="77777777" w:rsidR="003B2EC8" w:rsidRPr="003B2EC8" w:rsidRDefault="003B2EC8" w:rsidP="003B2EC8">
            <w:pPr>
              <w:widowControl/>
              <w:jc w:val="left"/>
              <w:rPr>
                <w:kern w:val="0"/>
                <w:sz w:val="20"/>
              </w:rPr>
            </w:pPr>
            <w:r w:rsidRPr="003B2EC8">
              <w:rPr>
                <w:kern w:val="0"/>
                <w:sz w:val="20"/>
              </w:rPr>
              <w:t xml:space="preserve">      0.9798 </w:t>
            </w:r>
          </w:p>
        </w:tc>
      </w:tr>
      <w:tr w:rsidR="003B2EC8" w:rsidRPr="003B2EC8" w14:paraId="46170263" w14:textId="77777777" w:rsidTr="003B2EC8">
        <w:trPr>
          <w:trHeight w:val="272"/>
        </w:trPr>
        <w:tc>
          <w:tcPr>
            <w:tcW w:w="2230" w:type="dxa"/>
            <w:tcBorders>
              <w:top w:val="nil"/>
              <w:left w:val="nil"/>
              <w:bottom w:val="nil"/>
              <w:right w:val="nil"/>
            </w:tcBorders>
            <w:shd w:val="clear" w:color="auto" w:fill="auto"/>
            <w:noWrap/>
            <w:vAlign w:val="bottom"/>
            <w:hideMark/>
          </w:tcPr>
          <w:p w14:paraId="0F25FBA3"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12</w:t>
            </w:r>
          </w:p>
        </w:tc>
        <w:tc>
          <w:tcPr>
            <w:tcW w:w="1794" w:type="dxa"/>
            <w:tcBorders>
              <w:top w:val="nil"/>
              <w:left w:val="nil"/>
              <w:bottom w:val="nil"/>
              <w:right w:val="nil"/>
            </w:tcBorders>
            <w:shd w:val="clear" w:color="auto" w:fill="auto"/>
            <w:noWrap/>
            <w:vAlign w:val="bottom"/>
            <w:hideMark/>
          </w:tcPr>
          <w:p w14:paraId="3F334593" w14:textId="77777777" w:rsidR="003B2EC8" w:rsidRPr="003B2EC8" w:rsidRDefault="003B2EC8" w:rsidP="003B2EC8">
            <w:pPr>
              <w:widowControl/>
              <w:jc w:val="left"/>
              <w:rPr>
                <w:kern w:val="0"/>
                <w:sz w:val="20"/>
              </w:rPr>
            </w:pPr>
            <w:r w:rsidRPr="003B2EC8">
              <w:rPr>
                <w:kern w:val="0"/>
                <w:sz w:val="20"/>
              </w:rPr>
              <w:t xml:space="preserve">           0.1754 </w:t>
            </w:r>
          </w:p>
        </w:tc>
        <w:tc>
          <w:tcPr>
            <w:tcW w:w="1647" w:type="dxa"/>
            <w:tcBorders>
              <w:top w:val="nil"/>
              <w:left w:val="nil"/>
              <w:bottom w:val="nil"/>
              <w:right w:val="nil"/>
            </w:tcBorders>
            <w:shd w:val="clear" w:color="auto" w:fill="auto"/>
            <w:noWrap/>
            <w:vAlign w:val="bottom"/>
            <w:hideMark/>
          </w:tcPr>
          <w:p w14:paraId="2D00FC6F" w14:textId="77777777" w:rsidR="003B2EC8" w:rsidRPr="003B2EC8" w:rsidRDefault="003B2EC8" w:rsidP="003B2EC8">
            <w:pPr>
              <w:widowControl/>
              <w:jc w:val="left"/>
              <w:rPr>
                <w:kern w:val="0"/>
                <w:sz w:val="20"/>
              </w:rPr>
            </w:pPr>
            <w:r w:rsidRPr="003B2EC8">
              <w:rPr>
                <w:kern w:val="0"/>
                <w:sz w:val="20"/>
              </w:rPr>
              <w:t xml:space="preserve">           0.0546 </w:t>
            </w:r>
          </w:p>
        </w:tc>
        <w:tc>
          <w:tcPr>
            <w:tcW w:w="1794" w:type="dxa"/>
            <w:tcBorders>
              <w:top w:val="nil"/>
              <w:left w:val="nil"/>
              <w:bottom w:val="nil"/>
              <w:right w:val="nil"/>
            </w:tcBorders>
            <w:shd w:val="clear" w:color="auto" w:fill="auto"/>
            <w:noWrap/>
            <w:vAlign w:val="bottom"/>
            <w:hideMark/>
          </w:tcPr>
          <w:p w14:paraId="19E0F49C" w14:textId="77777777" w:rsidR="003B2EC8" w:rsidRPr="003B2EC8" w:rsidRDefault="003B2EC8" w:rsidP="003B2EC8">
            <w:pPr>
              <w:widowControl/>
              <w:jc w:val="left"/>
              <w:rPr>
                <w:kern w:val="0"/>
                <w:sz w:val="20"/>
              </w:rPr>
            </w:pPr>
            <w:r w:rsidRPr="003B2EC8">
              <w:rPr>
                <w:kern w:val="0"/>
                <w:sz w:val="20"/>
              </w:rPr>
              <w:t xml:space="preserve">           0.0117 </w:t>
            </w:r>
          </w:p>
        </w:tc>
        <w:tc>
          <w:tcPr>
            <w:tcW w:w="1175" w:type="dxa"/>
            <w:tcBorders>
              <w:top w:val="nil"/>
              <w:left w:val="nil"/>
              <w:bottom w:val="nil"/>
              <w:right w:val="nil"/>
            </w:tcBorders>
            <w:shd w:val="clear" w:color="auto" w:fill="auto"/>
            <w:noWrap/>
            <w:vAlign w:val="bottom"/>
            <w:hideMark/>
          </w:tcPr>
          <w:p w14:paraId="6614C6AF" w14:textId="77777777" w:rsidR="003B2EC8" w:rsidRPr="003B2EC8" w:rsidRDefault="003B2EC8" w:rsidP="003B2EC8">
            <w:pPr>
              <w:widowControl/>
              <w:jc w:val="left"/>
              <w:rPr>
                <w:kern w:val="0"/>
                <w:sz w:val="20"/>
              </w:rPr>
            </w:pPr>
            <w:r w:rsidRPr="003B2EC8">
              <w:rPr>
                <w:kern w:val="0"/>
                <w:sz w:val="20"/>
              </w:rPr>
              <w:t xml:space="preserve">      0.9914 </w:t>
            </w:r>
          </w:p>
        </w:tc>
      </w:tr>
      <w:tr w:rsidR="003B2EC8" w:rsidRPr="003B2EC8" w14:paraId="2FF66DC1" w14:textId="77777777" w:rsidTr="003B2EC8">
        <w:trPr>
          <w:trHeight w:val="272"/>
        </w:trPr>
        <w:tc>
          <w:tcPr>
            <w:tcW w:w="2230" w:type="dxa"/>
            <w:tcBorders>
              <w:top w:val="nil"/>
              <w:left w:val="nil"/>
              <w:bottom w:val="nil"/>
              <w:right w:val="nil"/>
            </w:tcBorders>
            <w:shd w:val="clear" w:color="auto" w:fill="auto"/>
            <w:noWrap/>
            <w:vAlign w:val="bottom"/>
            <w:hideMark/>
          </w:tcPr>
          <w:p w14:paraId="7BC36F7F"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13</w:t>
            </w:r>
          </w:p>
        </w:tc>
        <w:tc>
          <w:tcPr>
            <w:tcW w:w="1794" w:type="dxa"/>
            <w:tcBorders>
              <w:top w:val="nil"/>
              <w:left w:val="nil"/>
              <w:bottom w:val="nil"/>
              <w:right w:val="nil"/>
            </w:tcBorders>
            <w:shd w:val="clear" w:color="auto" w:fill="auto"/>
            <w:noWrap/>
            <w:vAlign w:val="bottom"/>
            <w:hideMark/>
          </w:tcPr>
          <w:p w14:paraId="13994BAF" w14:textId="77777777" w:rsidR="003B2EC8" w:rsidRPr="003B2EC8" w:rsidRDefault="003B2EC8" w:rsidP="003B2EC8">
            <w:pPr>
              <w:widowControl/>
              <w:jc w:val="left"/>
              <w:rPr>
                <w:kern w:val="0"/>
                <w:sz w:val="20"/>
              </w:rPr>
            </w:pPr>
            <w:r w:rsidRPr="003B2EC8">
              <w:rPr>
                <w:kern w:val="0"/>
                <w:sz w:val="20"/>
              </w:rPr>
              <w:t xml:space="preserve">           0.1207 </w:t>
            </w:r>
          </w:p>
        </w:tc>
        <w:tc>
          <w:tcPr>
            <w:tcW w:w="1647" w:type="dxa"/>
            <w:tcBorders>
              <w:top w:val="nil"/>
              <w:left w:val="nil"/>
              <w:bottom w:val="nil"/>
              <w:right w:val="nil"/>
            </w:tcBorders>
            <w:shd w:val="clear" w:color="auto" w:fill="auto"/>
            <w:noWrap/>
            <w:vAlign w:val="bottom"/>
            <w:hideMark/>
          </w:tcPr>
          <w:p w14:paraId="7AF92574" w14:textId="77777777" w:rsidR="003B2EC8" w:rsidRPr="003B2EC8" w:rsidRDefault="003B2EC8" w:rsidP="003B2EC8">
            <w:pPr>
              <w:widowControl/>
              <w:jc w:val="left"/>
              <w:rPr>
                <w:kern w:val="0"/>
                <w:sz w:val="20"/>
              </w:rPr>
            </w:pPr>
            <w:r w:rsidRPr="003B2EC8">
              <w:rPr>
                <w:kern w:val="0"/>
                <w:sz w:val="20"/>
              </w:rPr>
              <w:t xml:space="preserve">           0.1132 </w:t>
            </w:r>
          </w:p>
        </w:tc>
        <w:tc>
          <w:tcPr>
            <w:tcW w:w="1794" w:type="dxa"/>
            <w:tcBorders>
              <w:top w:val="nil"/>
              <w:left w:val="nil"/>
              <w:bottom w:val="nil"/>
              <w:right w:val="nil"/>
            </w:tcBorders>
            <w:shd w:val="clear" w:color="auto" w:fill="auto"/>
            <w:noWrap/>
            <w:vAlign w:val="bottom"/>
            <w:hideMark/>
          </w:tcPr>
          <w:p w14:paraId="431ECBC6" w14:textId="77777777" w:rsidR="003B2EC8" w:rsidRPr="003B2EC8" w:rsidRDefault="003B2EC8" w:rsidP="003B2EC8">
            <w:pPr>
              <w:widowControl/>
              <w:jc w:val="left"/>
              <w:rPr>
                <w:kern w:val="0"/>
                <w:sz w:val="20"/>
              </w:rPr>
            </w:pPr>
            <w:r w:rsidRPr="003B2EC8">
              <w:rPr>
                <w:kern w:val="0"/>
                <w:sz w:val="20"/>
              </w:rPr>
              <w:t xml:space="preserve">           0.0080 </w:t>
            </w:r>
          </w:p>
        </w:tc>
        <w:tc>
          <w:tcPr>
            <w:tcW w:w="1175" w:type="dxa"/>
            <w:tcBorders>
              <w:top w:val="nil"/>
              <w:left w:val="nil"/>
              <w:bottom w:val="nil"/>
              <w:right w:val="nil"/>
            </w:tcBorders>
            <w:shd w:val="clear" w:color="auto" w:fill="auto"/>
            <w:noWrap/>
            <w:vAlign w:val="bottom"/>
            <w:hideMark/>
          </w:tcPr>
          <w:p w14:paraId="0F7C55DB" w14:textId="77777777" w:rsidR="003B2EC8" w:rsidRPr="003B2EC8" w:rsidRDefault="003B2EC8" w:rsidP="003B2EC8">
            <w:pPr>
              <w:widowControl/>
              <w:jc w:val="left"/>
              <w:rPr>
                <w:kern w:val="0"/>
                <w:sz w:val="20"/>
              </w:rPr>
            </w:pPr>
            <w:r w:rsidRPr="003B2EC8">
              <w:rPr>
                <w:kern w:val="0"/>
                <w:sz w:val="20"/>
              </w:rPr>
              <w:t xml:space="preserve">      0.9995 </w:t>
            </w:r>
          </w:p>
        </w:tc>
      </w:tr>
      <w:tr w:rsidR="003B2EC8" w:rsidRPr="003B2EC8" w14:paraId="41D09F09" w14:textId="77777777" w:rsidTr="003B2EC8">
        <w:trPr>
          <w:trHeight w:val="272"/>
        </w:trPr>
        <w:tc>
          <w:tcPr>
            <w:tcW w:w="2230" w:type="dxa"/>
            <w:tcBorders>
              <w:top w:val="nil"/>
              <w:left w:val="nil"/>
              <w:bottom w:val="nil"/>
              <w:right w:val="nil"/>
            </w:tcBorders>
            <w:shd w:val="clear" w:color="auto" w:fill="auto"/>
            <w:noWrap/>
            <w:vAlign w:val="bottom"/>
            <w:hideMark/>
          </w:tcPr>
          <w:p w14:paraId="1BDD4BA0"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14</w:t>
            </w:r>
          </w:p>
        </w:tc>
        <w:tc>
          <w:tcPr>
            <w:tcW w:w="1794" w:type="dxa"/>
            <w:tcBorders>
              <w:top w:val="nil"/>
              <w:left w:val="nil"/>
              <w:bottom w:val="nil"/>
              <w:right w:val="nil"/>
            </w:tcBorders>
            <w:shd w:val="clear" w:color="auto" w:fill="auto"/>
            <w:noWrap/>
            <w:vAlign w:val="bottom"/>
            <w:hideMark/>
          </w:tcPr>
          <w:p w14:paraId="13AAE9AE" w14:textId="77777777" w:rsidR="003B2EC8" w:rsidRPr="003B2EC8" w:rsidRDefault="003B2EC8" w:rsidP="003B2EC8">
            <w:pPr>
              <w:widowControl/>
              <w:jc w:val="left"/>
              <w:rPr>
                <w:kern w:val="0"/>
                <w:sz w:val="20"/>
              </w:rPr>
            </w:pPr>
            <w:r w:rsidRPr="003B2EC8">
              <w:rPr>
                <w:kern w:val="0"/>
                <w:sz w:val="20"/>
              </w:rPr>
              <w:t xml:space="preserve">           0.0076 </w:t>
            </w:r>
          </w:p>
        </w:tc>
        <w:tc>
          <w:tcPr>
            <w:tcW w:w="1647" w:type="dxa"/>
            <w:tcBorders>
              <w:top w:val="nil"/>
              <w:left w:val="nil"/>
              <w:bottom w:val="nil"/>
              <w:right w:val="nil"/>
            </w:tcBorders>
            <w:shd w:val="clear" w:color="auto" w:fill="auto"/>
            <w:noWrap/>
            <w:vAlign w:val="bottom"/>
            <w:hideMark/>
          </w:tcPr>
          <w:p w14:paraId="1ED386AA" w14:textId="77777777" w:rsidR="003B2EC8" w:rsidRPr="003B2EC8" w:rsidRDefault="003B2EC8" w:rsidP="003B2EC8">
            <w:pPr>
              <w:widowControl/>
              <w:jc w:val="left"/>
              <w:rPr>
                <w:kern w:val="0"/>
                <w:sz w:val="20"/>
              </w:rPr>
            </w:pPr>
            <w:r w:rsidRPr="003B2EC8">
              <w:rPr>
                <w:kern w:val="0"/>
                <w:sz w:val="20"/>
              </w:rPr>
              <w:t xml:space="preserve">           0.0076 </w:t>
            </w:r>
          </w:p>
        </w:tc>
        <w:tc>
          <w:tcPr>
            <w:tcW w:w="1794" w:type="dxa"/>
            <w:tcBorders>
              <w:top w:val="nil"/>
              <w:left w:val="nil"/>
              <w:bottom w:val="nil"/>
              <w:right w:val="nil"/>
            </w:tcBorders>
            <w:shd w:val="clear" w:color="auto" w:fill="auto"/>
            <w:noWrap/>
            <w:vAlign w:val="bottom"/>
            <w:hideMark/>
          </w:tcPr>
          <w:p w14:paraId="33E1E20E" w14:textId="77777777" w:rsidR="003B2EC8" w:rsidRPr="003B2EC8" w:rsidRDefault="003B2EC8" w:rsidP="003B2EC8">
            <w:pPr>
              <w:widowControl/>
              <w:jc w:val="left"/>
              <w:rPr>
                <w:kern w:val="0"/>
                <w:sz w:val="20"/>
              </w:rPr>
            </w:pPr>
            <w:r w:rsidRPr="003B2EC8">
              <w:rPr>
                <w:kern w:val="0"/>
                <w:sz w:val="20"/>
              </w:rPr>
              <w:t xml:space="preserve">           0.0005 </w:t>
            </w:r>
          </w:p>
        </w:tc>
        <w:tc>
          <w:tcPr>
            <w:tcW w:w="1175" w:type="dxa"/>
            <w:tcBorders>
              <w:top w:val="nil"/>
              <w:left w:val="nil"/>
              <w:bottom w:val="nil"/>
              <w:right w:val="nil"/>
            </w:tcBorders>
            <w:shd w:val="clear" w:color="auto" w:fill="auto"/>
            <w:noWrap/>
            <w:vAlign w:val="bottom"/>
            <w:hideMark/>
          </w:tcPr>
          <w:p w14:paraId="7BA9F2B2" w14:textId="77777777" w:rsidR="003B2EC8" w:rsidRPr="003B2EC8" w:rsidRDefault="003B2EC8" w:rsidP="003B2EC8">
            <w:pPr>
              <w:widowControl/>
              <w:jc w:val="left"/>
              <w:rPr>
                <w:kern w:val="0"/>
                <w:sz w:val="20"/>
              </w:rPr>
            </w:pPr>
            <w:r w:rsidRPr="003B2EC8">
              <w:rPr>
                <w:kern w:val="0"/>
                <w:sz w:val="20"/>
              </w:rPr>
              <w:t xml:space="preserve">      1.0000 </w:t>
            </w:r>
          </w:p>
        </w:tc>
      </w:tr>
      <w:tr w:rsidR="003B2EC8" w:rsidRPr="003B2EC8" w14:paraId="4B8A952B" w14:textId="77777777" w:rsidTr="003B2EC8">
        <w:trPr>
          <w:trHeight w:val="286"/>
        </w:trPr>
        <w:tc>
          <w:tcPr>
            <w:tcW w:w="2230" w:type="dxa"/>
            <w:tcBorders>
              <w:top w:val="nil"/>
              <w:left w:val="nil"/>
              <w:bottom w:val="single" w:sz="12" w:space="0" w:color="auto"/>
              <w:right w:val="nil"/>
            </w:tcBorders>
            <w:shd w:val="clear" w:color="auto" w:fill="auto"/>
            <w:noWrap/>
            <w:vAlign w:val="bottom"/>
            <w:hideMark/>
          </w:tcPr>
          <w:p w14:paraId="7B71E638" w14:textId="77777777" w:rsidR="003B2EC8" w:rsidRPr="003B2EC8" w:rsidRDefault="003B2EC8" w:rsidP="003B2EC8">
            <w:pPr>
              <w:widowControl/>
              <w:jc w:val="center"/>
              <w:rPr>
                <w:kern w:val="0"/>
                <w:sz w:val="20"/>
              </w:rPr>
            </w:pPr>
            <w:r w:rsidRPr="003B2EC8">
              <w:rPr>
                <w:kern w:val="0"/>
                <w:sz w:val="20"/>
              </w:rPr>
              <w:t>成分</w:t>
            </w:r>
            <w:r w:rsidRPr="003B2EC8">
              <w:rPr>
                <w:kern w:val="0"/>
                <w:sz w:val="20"/>
              </w:rPr>
              <w:t>15</w:t>
            </w:r>
          </w:p>
        </w:tc>
        <w:tc>
          <w:tcPr>
            <w:tcW w:w="1794" w:type="dxa"/>
            <w:tcBorders>
              <w:top w:val="nil"/>
              <w:left w:val="nil"/>
              <w:bottom w:val="single" w:sz="12" w:space="0" w:color="auto"/>
              <w:right w:val="nil"/>
            </w:tcBorders>
            <w:shd w:val="clear" w:color="auto" w:fill="auto"/>
            <w:noWrap/>
            <w:vAlign w:val="bottom"/>
            <w:hideMark/>
          </w:tcPr>
          <w:p w14:paraId="5B99FD42" w14:textId="77777777" w:rsidR="003B2EC8" w:rsidRPr="003B2EC8" w:rsidRDefault="003B2EC8" w:rsidP="003B2EC8">
            <w:pPr>
              <w:widowControl/>
              <w:jc w:val="left"/>
              <w:rPr>
                <w:kern w:val="0"/>
                <w:sz w:val="20"/>
              </w:rPr>
            </w:pPr>
            <w:r w:rsidRPr="003B2EC8">
              <w:rPr>
                <w:kern w:val="0"/>
                <w:sz w:val="20"/>
              </w:rPr>
              <w:t xml:space="preserve">                  -   </w:t>
            </w:r>
          </w:p>
        </w:tc>
        <w:tc>
          <w:tcPr>
            <w:tcW w:w="1647" w:type="dxa"/>
            <w:tcBorders>
              <w:top w:val="nil"/>
              <w:left w:val="nil"/>
              <w:bottom w:val="single" w:sz="12" w:space="0" w:color="auto"/>
              <w:right w:val="nil"/>
            </w:tcBorders>
            <w:shd w:val="clear" w:color="auto" w:fill="auto"/>
            <w:noWrap/>
            <w:vAlign w:val="bottom"/>
            <w:hideMark/>
          </w:tcPr>
          <w:p w14:paraId="3D95C430" w14:textId="77777777" w:rsidR="003B2EC8" w:rsidRPr="003B2EC8" w:rsidRDefault="003B2EC8" w:rsidP="003B2EC8">
            <w:pPr>
              <w:widowControl/>
              <w:jc w:val="left"/>
              <w:rPr>
                <w:kern w:val="0"/>
                <w:sz w:val="20"/>
              </w:rPr>
            </w:pPr>
            <w:r w:rsidRPr="003B2EC8">
              <w:rPr>
                <w:kern w:val="0"/>
                <w:sz w:val="20"/>
              </w:rPr>
              <w:t xml:space="preserve"> . </w:t>
            </w:r>
          </w:p>
        </w:tc>
        <w:tc>
          <w:tcPr>
            <w:tcW w:w="1794" w:type="dxa"/>
            <w:tcBorders>
              <w:top w:val="nil"/>
              <w:left w:val="nil"/>
              <w:bottom w:val="single" w:sz="12" w:space="0" w:color="auto"/>
              <w:right w:val="nil"/>
            </w:tcBorders>
            <w:shd w:val="clear" w:color="auto" w:fill="auto"/>
            <w:noWrap/>
            <w:vAlign w:val="bottom"/>
            <w:hideMark/>
          </w:tcPr>
          <w:p w14:paraId="35943EE7" w14:textId="77777777" w:rsidR="003B2EC8" w:rsidRPr="003B2EC8" w:rsidRDefault="003B2EC8" w:rsidP="003B2EC8">
            <w:pPr>
              <w:widowControl/>
              <w:jc w:val="left"/>
              <w:rPr>
                <w:kern w:val="0"/>
                <w:sz w:val="20"/>
              </w:rPr>
            </w:pPr>
            <w:r w:rsidRPr="003B2EC8">
              <w:rPr>
                <w:kern w:val="0"/>
                <w:sz w:val="20"/>
              </w:rPr>
              <w:t xml:space="preserve">                  -   </w:t>
            </w:r>
          </w:p>
        </w:tc>
        <w:tc>
          <w:tcPr>
            <w:tcW w:w="1175" w:type="dxa"/>
            <w:tcBorders>
              <w:top w:val="nil"/>
              <w:left w:val="nil"/>
              <w:bottom w:val="single" w:sz="12" w:space="0" w:color="auto"/>
              <w:right w:val="nil"/>
            </w:tcBorders>
            <w:shd w:val="clear" w:color="auto" w:fill="auto"/>
            <w:noWrap/>
            <w:vAlign w:val="bottom"/>
            <w:hideMark/>
          </w:tcPr>
          <w:p w14:paraId="133DF91D" w14:textId="77777777" w:rsidR="003B2EC8" w:rsidRPr="003B2EC8" w:rsidRDefault="003B2EC8" w:rsidP="003B2EC8">
            <w:pPr>
              <w:widowControl/>
              <w:jc w:val="left"/>
              <w:rPr>
                <w:kern w:val="0"/>
                <w:sz w:val="20"/>
              </w:rPr>
            </w:pPr>
            <w:r w:rsidRPr="003B2EC8">
              <w:rPr>
                <w:kern w:val="0"/>
                <w:sz w:val="20"/>
              </w:rPr>
              <w:t xml:space="preserve">      1.0000 </w:t>
            </w:r>
          </w:p>
        </w:tc>
      </w:tr>
    </w:tbl>
    <w:p w14:paraId="33FDF911" w14:textId="4CB62FF2" w:rsidR="003B2EC8" w:rsidRDefault="003B2EC8" w:rsidP="003B2EC8">
      <w:pPr>
        <w:tabs>
          <w:tab w:val="left" w:pos="734"/>
        </w:tabs>
        <w:spacing w:line="360" w:lineRule="auto"/>
        <w:ind w:firstLineChars="200" w:firstLine="480"/>
        <w:rPr>
          <w:rFonts w:ascii="宋体" w:hAnsi="宋体"/>
          <w:sz w:val="24"/>
          <w:szCs w:val="24"/>
        </w:rPr>
      </w:pPr>
      <w:r w:rsidRPr="006F7242">
        <w:rPr>
          <w:sz w:val="24"/>
          <w:szCs w:val="24"/>
        </w:rPr>
        <w:t>从主成分分析结果和碎石图可以看到，前五个主因子的特征值大于</w:t>
      </w:r>
      <w:r w:rsidRPr="006F7242">
        <w:rPr>
          <w:sz w:val="24"/>
          <w:szCs w:val="24"/>
        </w:rPr>
        <w:t>1</w:t>
      </w:r>
      <w:r w:rsidRPr="006F7242">
        <w:rPr>
          <w:sz w:val="24"/>
          <w:szCs w:val="24"/>
        </w:rPr>
        <w:t>。前五个主因子在方差贡献率分别为</w:t>
      </w:r>
      <w:r w:rsidRPr="006F7242">
        <w:rPr>
          <w:sz w:val="24"/>
          <w:szCs w:val="24"/>
        </w:rPr>
        <w:t>28.52%</w:t>
      </w:r>
      <w:r w:rsidRPr="006F7242">
        <w:rPr>
          <w:sz w:val="24"/>
          <w:szCs w:val="24"/>
        </w:rPr>
        <w:t>、</w:t>
      </w:r>
      <w:r w:rsidRPr="006F7242">
        <w:rPr>
          <w:sz w:val="24"/>
          <w:szCs w:val="24"/>
        </w:rPr>
        <w:t>16.68 %</w:t>
      </w:r>
      <w:r w:rsidRPr="006F7242">
        <w:rPr>
          <w:sz w:val="24"/>
          <w:szCs w:val="24"/>
        </w:rPr>
        <w:t>、</w:t>
      </w:r>
      <w:r w:rsidRPr="006F7242">
        <w:rPr>
          <w:sz w:val="24"/>
          <w:szCs w:val="24"/>
        </w:rPr>
        <w:t>11.36%</w:t>
      </w:r>
      <w:r w:rsidRPr="006F7242">
        <w:rPr>
          <w:sz w:val="24"/>
          <w:szCs w:val="24"/>
        </w:rPr>
        <w:t>、</w:t>
      </w:r>
      <w:r w:rsidRPr="006F7242">
        <w:rPr>
          <w:sz w:val="24"/>
          <w:szCs w:val="24"/>
        </w:rPr>
        <w:t>8.99%</w:t>
      </w:r>
      <w:r w:rsidRPr="006F7242">
        <w:rPr>
          <w:sz w:val="24"/>
          <w:szCs w:val="24"/>
        </w:rPr>
        <w:t>和</w:t>
      </w:r>
      <w:r w:rsidRPr="006F7242">
        <w:rPr>
          <w:sz w:val="24"/>
          <w:szCs w:val="24"/>
        </w:rPr>
        <w:t>7.57%</w:t>
      </w:r>
      <w:r w:rsidRPr="006F7242">
        <w:rPr>
          <w:sz w:val="24"/>
          <w:szCs w:val="24"/>
        </w:rPr>
        <w:t>，累计</w:t>
      </w:r>
      <w:r w:rsidRPr="006F7242">
        <w:rPr>
          <w:sz w:val="24"/>
          <w:szCs w:val="24"/>
        </w:rPr>
        <w:t>73.11%</w:t>
      </w:r>
      <w:r w:rsidRPr="006F7242">
        <w:rPr>
          <w:sz w:val="24"/>
          <w:szCs w:val="24"/>
        </w:rPr>
        <w:t>。</w:t>
      </w:r>
      <w:r>
        <w:rPr>
          <w:rFonts w:ascii="宋体" w:hAnsi="宋体" w:hint="eastAsia"/>
          <w:sz w:val="24"/>
          <w:szCs w:val="24"/>
        </w:rPr>
        <w:t>说明前五个主因子能包含样本数据的绝大部分信息。</w:t>
      </w:r>
    </w:p>
    <w:p w14:paraId="3F746DBC" w14:textId="77777777" w:rsidR="003B59DA" w:rsidRDefault="003B59DA" w:rsidP="001806AF">
      <w:pPr>
        <w:tabs>
          <w:tab w:val="left" w:pos="734"/>
        </w:tabs>
        <w:spacing w:line="360" w:lineRule="auto"/>
        <w:ind w:firstLineChars="200" w:firstLine="420"/>
        <w:jc w:val="center"/>
        <w:rPr>
          <w:rFonts w:ascii="宋体" w:hAnsi="宋体"/>
          <w:szCs w:val="21"/>
        </w:rPr>
      </w:pPr>
    </w:p>
    <w:p w14:paraId="29249A5F" w14:textId="77777777" w:rsidR="003B59DA" w:rsidRDefault="003B59DA" w:rsidP="001806AF">
      <w:pPr>
        <w:tabs>
          <w:tab w:val="left" w:pos="734"/>
        </w:tabs>
        <w:spacing w:line="360" w:lineRule="auto"/>
        <w:ind w:firstLineChars="200" w:firstLine="420"/>
        <w:jc w:val="center"/>
        <w:rPr>
          <w:rFonts w:ascii="宋体" w:hAnsi="宋体"/>
          <w:szCs w:val="21"/>
        </w:rPr>
      </w:pPr>
    </w:p>
    <w:p w14:paraId="316DC456" w14:textId="77777777" w:rsidR="003B59DA" w:rsidRDefault="003B59DA" w:rsidP="001806AF">
      <w:pPr>
        <w:tabs>
          <w:tab w:val="left" w:pos="734"/>
        </w:tabs>
        <w:spacing w:line="360" w:lineRule="auto"/>
        <w:ind w:firstLineChars="200" w:firstLine="420"/>
        <w:jc w:val="center"/>
        <w:rPr>
          <w:rFonts w:ascii="宋体" w:hAnsi="宋体"/>
          <w:szCs w:val="21"/>
        </w:rPr>
      </w:pPr>
    </w:p>
    <w:p w14:paraId="64434FB6" w14:textId="77777777" w:rsidR="00481BEA" w:rsidRDefault="00481BEA" w:rsidP="00481BEA">
      <w:pPr>
        <w:tabs>
          <w:tab w:val="left" w:pos="734"/>
        </w:tabs>
        <w:spacing w:line="360" w:lineRule="auto"/>
        <w:rPr>
          <w:rFonts w:ascii="宋体" w:hAnsi="宋体"/>
          <w:szCs w:val="21"/>
        </w:rPr>
      </w:pPr>
    </w:p>
    <w:p w14:paraId="045A24B2" w14:textId="7CC58006" w:rsidR="001806AF" w:rsidRDefault="003B59DA" w:rsidP="00481BEA">
      <w:pPr>
        <w:tabs>
          <w:tab w:val="left" w:pos="734"/>
        </w:tabs>
        <w:spacing w:line="360" w:lineRule="auto"/>
        <w:jc w:val="center"/>
        <w:rPr>
          <w:rFonts w:ascii="宋体" w:hAnsi="宋体"/>
          <w:szCs w:val="21"/>
        </w:rPr>
      </w:pPr>
      <w:r>
        <w:rPr>
          <w:rFonts w:ascii="宋体" w:hAnsi="宋体" w:hint="eastAsia"/>
          <w:szCs w:val="21"/>
        </w:rPr>
        <w:lastRenderedPageBreak/>
        <w:t>图</w:t>
      </w:r>
      <w:r>
        <w:rPr>
          <w:rFonts w:ascii="宋体" w:hAnsi="宋体"/>
          <w:szCs w:val="21"/>
        </w:rPr>
        <w:t>3</w:t>
      </w:r>
      <w:r w:rsidR="00752231">
        <w:rPr>
          <w:rFonts w:ascii="宋体" w:hAnsi="宋体"/>
          <w:szCs w:val="21"/>
        </w:rPr>
        <w:t>-</w:t>
      </w:r>
      <w:r w:rsidR="00E535D9">
        <w:rPr>
          <w:rFonts w:ascii="宋体" w:hAnsi="宋体"/>
          <w:szCs w:val="21"/>
        </w:rPr>
        <w:t>1</w:t>
      </w:r>
      <w:r w:rsidR="001806AF" w:rsidRPr="001806AF">
        <w:rPr>
          <w:rFonts w:ascii="宋体" w:hAnsi="宋体" w:hint="eastAsia"/>
          <w:szCs w:val="21"/>
        </w:rPr>
        <w:t>：碎石图</w:t>
      </w:r>
    </w:p>
    <w:p w14:paraId="06C9CF9C" w14:textId="311156E1" w:rsidR="00554BF1" w:rsidRPr="009604D0" w:rsidRDefault="009604D0" w:rsidP="009604D0">
      <w:pPr>
        <w:tabs>
          <w:tab w:val="left" w:pos="734"/>
        </w:tabs>
        <w:spacing w:line="360" w:lineRule="auto"/>
        <w:ind w:firstLineChars="200" w:firstLine="420"/>
        <w:jc w:val="center"/>
        <w:rPr>
          <w:rFonts w:ascii="宋体" w:hAnsi="宋体"/>
          <w:szCs w:val="21"/>
        </w:rPr>
      </w:pPr>
      <w:r>
        <w:rPr>
          <w:rFonts w:ascii="宋体" w:hAnsi="宋体"/>
          <w:noProof/>
          <w:szCs w:val="21"/>
        </w:rPr>
        <w:drawing>
          <wp:inline distT="0" distB="0" distL="0" distR="0" wp14:anchorId="27017B21" wp14:editId="0861841E">
            <wp:extent cx="3085433" cy="1854679"/>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26919" cy="1879616"/>
                    </a:xfrm>
                    <a:prstGeom prst="rect">
                      <a:avLst/>
                    </a:prstGeom>
                    <a:noFill/>
                  </pic:spPr>
                </pic:pic>
              </a:graphicData>
            </a:graphic>
          </wp:inline>
        </w:drawing>
      </w:r>
    </w:p>
    <w:p w14:paraId="54684A92" w14:textId="77777777" w:rsidR="00B36568" w:rsidRPr="006F7242" w:rsidRDefault="00B36568" w:rsidP="00B36568">
      <w:pPr>
        <w:spacing w:line="360" w:lineRule="auto"/>
        <w:ind w:firstLineChars="200" w:firstLine="480"/>
        <w:rPr>
          <w:sz w:val="24"/>
          <w:szCs w:val="24"/>
        </w:rPr>
      </w:pPr>
      <w:r w:rsidRPr="006F7242">
        <w:rPr>
          <w:sz w:val="24"/>
          <w:szCs w:val="24"/>
        </w:rPr>
        <w:t>使用正交旋转法对因子进行旋转后，可以得到只对少数几个因子具有高载荷的主因子旋转矩阵。</w:t>
      </w:r>
    </w:p>
    <w:p w14:paraId="1369C5A1" w14:textId="42FAD0A9" w:rsidR="00554BF1" w:rsidRPr="006F7242" w:rsidRDefault="001806AF" w:rsidP="001806AF">
      <w:pPr>
        <w:spacing w:line="360" w:lineRule="auto"/>
        <w:jc w:val="center"/>
        <w:rPr>
          <w:szCs w:val="21"/>
        </w:rPr>
      </w:pPr>
      <w:r w:rsidRPr="006F7242">
        <w:rPr>
          <w:szCs w:val="21"/>
        </w:rPr>
        <w:t>表</w:t>
      </w:r>
      <w:r w:rsidR="008F5CC1">
        <w:rPr>
          <w:rFonts w:hint="eastAsia"/>
          <w:szCs w:val="21"/>
        </w:rPr>
        <w:t>3</w:t>
      </w:r>
      <w:r w:rsidR="008F5CC1">
        <w:rPr>
          <w:szCs w:val="21"/>
        </w:rPr>
        <w:t>-</w:t>
      </w:r>
      <w:r w:rsidR="00E535D9">
        <w:rPr>
          <w:szCs w:val="21"/>
        </w:rPr>
        <w:t>6</w:t>
      </w:r>
      <w:r w:rsidRPr="006F7242">
        <w:rPr>
          <w:szCs w:val="21"/>
        </w:rPr>
        <w:t>:</w:t>
      </w:r>
      <w:r w:rsidRPr="006F7242">
        <w:rPr>
          <w:szCs w:val="21"/>
        </w:rPr>
        <w:t>旋转成分矩阵</w:t>
      </w:r>
    </w:p>
    <w:tbl>
      <w:tblPr>
        <w:tblW w:w="8820" w:type="dxa"/>
        <w:tblInd w:w="108" w:type="dxa"/>
        <w:tblLook w:val="04A0" w:firstRow="1" w:lastRow="0" w:firstColumn="1" w:lastColumn="0" w:noHBand="0" w:noVBand="1"/>
      </w:tblPr>
      <w:tblGrid>
        <w:gridCol w:w="2020"/>
        <w:gridCol w:w="1360"/>
        <w:gridCol w:w="1360"/>
        <w:gridCol w:w="1360"/>
        <w:gridCol w:w="1360"/>
        <w:gridCol w:w="1360"/>
      </w:tblGrid>
      <w:tr w:rsidR="00E4191C" w:rsidRPr="00E4191C" w14:paraId="1CA31533" w14:textId="77777777" w:rsidTr="00E4191C">
        <w:trPr>
          <w:trHeight w:val="411"/>
        </w:trPr>
        <w:tc>
          <w:tcPr>
            <w:tcW w:w="2020" w:type="dxa"/>
            <w:tcBorders>
              <w:top w:val="single" w:sz="12" w:space="0" w:color="auto"/>
              <w:left w:val="nil"/>
              <w:bottom w:val="single" w:sz="12" w:space="0" w:color="auto"/>
              <w:right w:val="nil"/>
            </w:tcBorders>
            <w:shd w:val="clear" w:color="auto" w:fill="auto"/>
            <w:noWrap/>
            <w:vAlign w:val="bottom"/>
            <w:hideMark/>
          </w:tcPr>
          <w:p w14:paraId="0C2C6EF1" w14:textId="77777777" w:rsidR="00E4191C" w:rsidRPr="00E4191C" w:rsidRDefault="00E4191C" w:rsidP="00E4191C">
            <w:pPr>
              <w:widowControl/>
              <w:jc w:val="center"/>
              <w:rPr>
                <w:kern w:val="0"/>
                <w:sz w:val="20"/>
              </w:rPr>
            </w:pPr>
            <w:r w:rsidRPr="00E4191C">
              <w:rPr>
                <w:kern w:val="0"/>
                <w:sz w:val="20"/>
              </w:rPr>
              <w:t>成分</w:t>
            </w:r>
          </w:p>
        </w:tc>
        <w:tc>
          <w:tcPr>
            <w:tcW w:w="1360" w:type="dxa"/>
            <w:tcBorders>
              <w:top w:val="single" w:sz="12" w:space="0" w:color="auto"/>
              <w:left w:val="nil"/>
              <w:bottom w:val="single" w:sz="12" w:space="0" w:color="auto"/>
              <w:right w:val="nil"/>
            </w:tcBorders>
            <w:shd w:val="clear" w:color="auto" w:fill="auto"/>
            <w:noWrap/>
            <w:vAlign w:val="bottom"/>
            <w:hideMark/>
          </w:tcPr>
          <w:p w14:paraId="1FA8B80B" w14:textId="77777777" w:rsidR="00E4191C" w:rsidRPr="00E4191C" w:rsidRDefault="00E4191C" w:rsidP="00E4191C">
            <w:pPr>
              <w:widowControl/>
              <w:jc w:val="center"/>
              <w:rPr>
                <w:kern w:val="0"/>
                <w:sz w:val="20"/>
              </w:rPr>
            </w:pPr>
            <w:r w:rsidRPr="00E4191C">
              <w:rPr>
                <w:kern w:val="0"/>
                <w:sz w:val="20"/>
              </w:rPr>
              <w:t>1</w:t>
            </w:r>
          </w:p>
        </w:tc>
        <w:tc>
          <w:tcPr>
            <w:tcW w:w="1360" w:type="dxa"/>
            <w:tcBorders>
              <w:top w:val="single" w:sz="12" w:space="0" w:color="auto"/>
              <w:left w:val="nil"/>
              <w:bottom w:val="single" w:sz="12" w:space="0" w:color="auto"/>
              <w:right w:val="nil"/>
            </w:tcBorders>
            <w:shd w:val="clear" w:color="auto" w:fill="auto"/>
            <w:noWrap/>
            <w:vAlign w:val="bottom"/>
            <w:hideMark/>
          </w:tcPr>
          <w:p w14:paraId="26A94315" w14:textId="77777777" w:rsidR="00E4191C" w:rsidRPr="00E4191C" w:rsidRDefault="00E4191C" w:rsidP="00E4191C">
            <w:pPr>
              <w:widowControl/>
              <w:jc w:val="center"/>
              <w:rPr>
                <w:kern w:val="0"/>
                <w:sz w:val="20"/>
              </w:rPr>
            </w:pPr>
            <w:r w:rsidRPr="00E4191C">
              <w:rPr>
                <w:kern w:val="0"/>
                <w:sz w:val="20"/>
              </w:rPr>
              <w:t>2</w:t>
            </w:r>
          </w:p>
        </w:tc>
        <w:tc>
          <w:tcPr>
            <w:tcW w:w="1360" w:type="dxa"/>
            <w:tcBorders>
              <w:top w:val="single" w:sz="12" w:space="0" w:color="auto"/>
              <w:left w:val="nil"/>
              <w:bottom w:val="single" w:sz="12" w:space="0" w:color="auto"/>
              <w:right w:val="nil"/>
            </w:tcBorders>
            <w:shd w:val="clear" w:color="auto" w:fill="auto"/>
            <w:noWrap/>
            <w:vAlign w:val="bottom"/>
            <w:hideMark/>
          </w:tcPr>
          <w:p w14:paraId="467F423D" w14:textId="77777777" w:rsidR="00E4191C" w:rsidRPr="00E4191C" w:rsidRDefault="00E4191C" w:rsidP="00E4191C">
            <w:pPr>
              <w:widowControl/>
              <w:jc w:val="center"/>
              <w:rPr>
                <w:kern w:val="0"/>
                <w:sz w:val="20"/>
              </w:rPr>
            </w:pPr>
            <w:r w:rsidRPr="00E4191C">
              <w:rPr>
                <w:kern w:val="0"/>
                <w:sz w:val="20"/>
              </w:rPr>
              <w:t>3</w:t>
            </w:r>
          </w:p>
        </w:tc>
        <w:tc>
          <w:tcPr>
            <w:tcW w:w="1360" w:type="dxa"/>
            <w:tcBorders>
              <w:top w:val="single" w:sz="12" w:space="0" w:color="auto"/>
              <w:left w:val="nil"/>
              <w:bottom w:val="single" w:sz="12" w:space="0" w:color="auto"/>
              <w:right w:val="nil"/>
            </w:tcBorders>
            <w:shd w:val="clear" w:color="auto" w:fill="auto"/>
            <w:noWrap/>
            <w:vAlign w:val="bottom"/>
            <w:hideMark/>
          </w:tcPr>
          <w:p w14:paraId="1B1CEE30" w14:textId="77777777" w:rsidR="00E4191C" w:rsidRPr="00E4191C" w:rsidRDefault="00E4191C" w:rsidP="00E4191C">
            <w:pPr>
              <w:widowControl/>
              <w:jc w:val="center"/>
              <w:rPr>
                <w:kern w:val="0"/>
                <w:sz w:val="20"/>
              </w:rPr>
            </w:pPr>
            <w:r w:rsidRPr="00E4191C">
              <w:rPr>
                <w:kern w:val="0"/>
                <w:sz w:val="20"/>
              </w:rPr>
              <w:t>4</w:t>
            </w:r>
          </w:p>
        </w:tc>
        <w:tc>
          <w:tcPr>
            <w:tcW w:w="1360" w:type="dxa"/>
            <w:tcBorders>
              <w:top w:val="single" w:sz="12" w:space="0" w:color="auto"/>
              <w:left w:val="nil"/>
              <w:bottom w:val="single" w:sz="12" w:space="0" w:color="auto"/>
              <w:right w:val="nil"/>
            </w:tcBorders>
            <w:shd w:val="clear" w:color="auto" w:fill="auto"/>
            <w:noWrap/>
            <w:vAlign w:val="bottom"/>
            <w:hideMark/>
          </w:tcPr>
          <w:p w14:paraId="3FEA5A9D" w14:textId="77777777" w:rsidR="00E4191C" w:rsidRPr="00E4191C" w:rsidRDefault="00E4191C" w:rsidP="00E4191C">
            <w:pPr>
              <w:widowControl/>
              <w:jc w:val="center"/>
              <w:rPr>
                <w:kern w:val="0"/>
                <w:sz w:val="20"/>
              </w:rPr>
            </w:pPr>
            <w:r w:rsidRPr="00E4191C">
              <w:rPr>
                <w:kern w:val="0"/>
                <w:sz w:val="20"/>
              </w:rPr>
              <w:t>5</w:t>
            </w:r>
          </w:p>
        </w:tc>
      </w:tr>
      <w:tr w:rsidR="00E4191C" w:rsidRPr="00E4191C" w14:paraId="6D09CA65" w14:textId="77777777" w:rsidTr="00E4191C">
        <w:trPr>
          <w:trHeight w:val="411"/>
        </w:trPr>
        <w:tc>
          <w:tcPr>
            <w:tcW w:w="2020" w:type="dxa"/>
            <w:tcBorders>
              <w:top w:val="nil"/>
              <w:left w:val="nil"/>
              <w:bottom w:val="nil"/>
              <w:right w:val="nil"/>
            </w:tcBorders>
            <w:shd w:val="clear" w:color="auto" w:fill="auto"/>
            <w:noWrap/>
            <w:vAlign w:val="bottom"/>
            <w:hideMark/>
          </w:tcPr>
          <w:p w14:paraId="3771090A" w14:textId="77777777" w:rsidR="00E4191C" w:rsidRPr="00E4191C" w:rsidRDefault="00E4191C" w:rsidP="00E4191C">
            <w:pPr>
              <w:widowControl/>
              <w:jc w:val="center"/>
              <w:rPr>
                <w:kern w:val="0"/>
                <w:sz w:val="20"/>
              </w:rPr>
            </w:pPr>
            <w:r w:rsidRPr="00E4191C">
              <w:rPr>
                <w:kern w:val="0"/>
                <w:sz w:val="20"/>
              </w:rPr>
              <w:t>收益标准差</w:t>
            </w:r>
          </w:p>
        </w:tc>
        <w:tc>
          <w:tcPr>
            <w:tcW w:w="1360" w:type="dxa"/>
            <w:tcBorders>
              <w:top w:val="nil"/>
              <w:left w:val="nil"/>
              <w:bottom w:val="nil"/>
              <w:right w:val="nil"/>
            </w:tcBorders>
            <w:shd w:val="clear" w:color="auto" w:fill="auto"/>
            <w:noWrap/>
            <w:vAlign w:val="bottom"/>
            <w:hideMark/>
          </w:tcPr>
          <w:p w14:paraId="0674915D" w14:textId="77777777" w:rsidR="00E4191C" w:rsidRPr="00E4191C" w:rsidRDefault="00E4191C" w:rsidP="00E4191C">
            <w:pPr>
              <w:widowControl/>
              <w:jc w:val="right"/>
              <w:rPr>
                <w:kern w:val="0"/>
                <w:sz w:val="20"/>
              </w:rPr>
            </w:pPr>
            <w:r w:rsidRPr="00E4191C">
              <w:rPr>
                <w:kern w:val="0"/>
                <w:sz w:val="20"/>
              </w:rPr>
              <w:t>0.9479</w:t>
            </w:r>
          </w:p>
        </w:tc>
        <w:tc>
          <w:tcPr>
            <w:tcW w:w="1360" w:type="dxa"/>
            <w:tcBorders>
              <w:top w:val="nil"/>
              <w:left w:val="nil"/>
              <w:bottom w:val="nil"/>
              <w:right w:val="nil"/>
            </w:tcBorders>
            <w:shd w:val="clear" w:color="auto" w:fill="auto"/>
            <w:noWrap/>
            <w:vAlign w:val="bottom"/>
            <w:hideMark/>
          </w:tcPr>
          <w:p w14:paraId="40F95043" w14:textId="77777777" w:rsidR="00E4191C" w:rsidRPr="00E4191C" w:rsidRDefault="00E4191C" w:rsidP="00E4191C">
            <w:pPr>
              <w:widowControl/>
              <w:jc w:val="right"/>
              <w:rPr>
                <w:kern w:val="0"/>
                <w:sz w:val="20"/>
              </w:rPr>
            </w:pPr>
            <w:r w:rsidRPr="00E4191C">
              <w:rPr>
                <w:kern w:val="0"/>
                <w:sz w:val="20"/>
              </w:rPr>
              <w:t>-0.1355</w:t>
            </w:r>
          </w:p>
        </w:tc>
        <w:tc>
          <w:tcPr>
            <w:tcW w:w="1360" w:type="dxa"/>
            <w:tcBorders>
              <w:top w:val="nil"/>
              <w:left w:val="nil"/>
              <w:bottom w:val="nil"/>
              <w:right w:val="nil"/>
            </w:tcBorders>
            <w:shd w:val="clear" w:color="auto" w:fill="auto"/>
            <w:noWrap/>
            <w:vAlign w:val="bottom"/>
            <w:hideMark/>
          </w:tcPr>
          <w:p w14:paraId="3788EC03" w14:textId="77777777" w:rsidR="00E4191C" w:rsidRPr="00E4191C" w:rsidRDefault="00E4191C" w:rsidP="00E4191C">
            <w:pPr>
              <w:widowControl/>
              <w:jc w:val="right"/>
              <w:rPr>
                <w:kern w:val="0"/>
                <w:sz w:val="20"/>
              </w:rPr>
            </w:pPr>
            <w:r w:rsidRPr="00E4191C">
              <w:rPr>
                <w:kern w:val="0"/>
                <w:sz w:val="20"/>
              </w:rPr>
              <w:t>0.0517</w:t>
            </w:r>
          </w:p>
        </w:tc>
        <w:tc>
          <w:tcPr>
            <w:tcW w:w="1360" w:type="dxa"/>
            <w:tcBorders>
              <w:top w:val="nil"/>
              <w:left w:val="nil"/>
              <w:bottom w:val="nil"/>
              <w:right w:val="nil"/>
            </w:tcBorders>
            <w:shd w:val="clear" w:color="auto" w:fill="auto"/>
            <w:noWrap/>
            <w:vAlign w:val="bottom"/>
            <w:hideMark/>
          </w:tcPr>
          <w:p w14:paraId="1AD3087B" w14:textId="77777777" w:rsidR="00E4191C" w:rsidRPr="00E4191C" w:rsidRDefault="00E4191C" w:rsidP="00E4191C">
            <w:pPr>
              <w:widowControl/>
              <w:jc w:val="right"/>
              <w:rPr>
                <w:kern w:val="0"/>
                <w:sz w:val="20"/>
              </w:rPr>
            </w:pPr>
            <w:r w:rsidRPr="00E4191C">
              <w:rPr>
                <w:kern w:val="0"/>
                <w:sz w:val="20"/>
              </w:rPr>
              <w:t>-0.022</w:t>
            </w:r>
          </w:p>
        </w:tc>
        <w:tc>
          <w:tcPr>
            <w:tcW w:w="1360" w:type="dxa"/>
            <w:tcBorders>
              <w:top w:val="nil"/>
              <w:left w:val="nil"/>
              <w:bottom w:val="nil"/>
              <w:right w:val="nil"/>
            </w:tcBorders>
            <w:shd w:val="clear" w:color="auto" w:fill="auto"/>
            <w:noWrap/>
            <w:vAlign w:val="bottom"/>
            <w:hideMark/>
          </w:tcPr>
          <w:p w14:paraId="2CF924E9" w14:textId="77777777" w:rsidR="00E4191C" w:rsidRPr="00E4191C" w:rsidRDefault="00E4191C" w:rsidP="00E4191C">
            <w:pPr>
              <w:widowControl/>
              <w:jc w:val="right"/>
              <w:rPr>
                <w:kern w:val="0"/>
                <w:sz w:val="20"/>
              </w:rPr>
            </w:pPr>
            <w:r w:rsidRPr="00E4191C">
              <w:rPr>
                <w:kern w:val="0"/>
                <w:sz w:val="20"/>
              </w:rPr>
              <w:t>-0.1298</w:t>
            </w:r>
          </w:p>
        </w:tc>
      </w:tr>
      <w:tr w:rsidR="00E4191C" w:rsidRPr="00E4191C" w14:paraId="4F1D25BD" w14:textId="77777777" w:rsidTr="00E4191C">
        <w:trPr>
          <w:trHeight w:val="411"/>
        </w:trPr>
        <w:tc>
          <w:tcPr>
            <w:tcW w:w="2020" w:type="dxa"/>
            <w:tcBorders>
              <w:top w:val="nil"/>
              <w:left w:val="nil"/>
              <w:bottom w:val="nil"/>
              <w:right w:val="nil"/>
            </w:tcBorders>
            <w:shd w:val="clear" w:color="auto" w:fill="auto"/>
            <w:noWrap/>
            <w:vAlign w:val="bottom"/>
            <w:hideMark/>
          </w:tcPr>
          <w:p w14:paraId="2BA67709" w14:textId="77777777" w:rsidR="00E4191C" w:rsidRPr="00E4191C" w:rsidRDefault="00E4191C" w:rsidP="00E4191C">
            <w:pPr>
              <w:widowControl/>
              <w:jc w:val="center"/>
              <w:rPr>
                <w:kern w:val="0"/>
                <w:sz w:val="20"/>
              </w:rPr>
            </w:pPr>
            <w:r w:rsidRPr="00E4191C">
              <w:rPr>
                <w:kern w:val="0"/>
                <w:sz w:val="20"/>
              </w:rPr>
              <w:t>年化波动率</w:t>
            </w:r>
          </w:p>
        </w:tc>
        <w:tc>
          <w:tcPr>
            <w:tcW w:w="1360" w:type="dxa"/>
            <w:tcBorders>
              <w:top w:val="nil"/>
              <w:left w:val="nil"/>
              <w:bottom w:val="nil"/>
              <w:right w:val="nil"/>
            </w:tcBorders>
            <w:shd w:val="clear" w:color="auto" w:fill="auto"/>
            <w:noWrap/>
            <w:vAlign w:val="bottom"/>
            <w:hideMark/>
          </w:tcPr>
          <w:p w14:paraId="2C314EF1" w14:textId="77777777" w:rsidR="00E4191C" w:rsidRPr="00E4191C" w:rsidRDefault="00E4191C" w:rsidP="00E4191C">
            <w:pPr>
              <w:widowControl/>
              <w:jc w:val="right"/>
              <w:rPr>
                <w:kern w:val="0"/>
                <w:sz w:val="20"/>
              </w:rPr>
            </w:pPr>
            <w:r w:rsidRPr="00E4191C">
              <w:rPr>
                <w:kern w:val="0"/>
                <w:sz w:val="20"/>
              </w:rPr>
              <w:t>0.9479</w:t>
            </w:r>
          </w:p>
        </w:tc>
        <w:tc>
          <w:tcPr>
            <w:tcW w:w="1360" w:type="dxa"/>
            <w:tcBorders>
              <w:top w:val="nil"/>
              <w:left w:val="nil"/>
              <w:bottom w:val="nil"/>
              <w:right w:val="nil"/>
            </w:tcBorders>
            <w:shd w:val="clear" w:color="auto" w:fill="auto"/>
            <w:noWrap/>
            <w:vAlign w:val="bottom"/>
            <w:hideMark/>
          </w:tcPr>
          <w:p w14:paraId="7AAE2FA4" w14:textId="77777777" w:rsidR="00E4191C" w:rsidRPr="00E4191C" w:rsidRDefault="00E4191C" w:rsidP="00E4191C">
            <w:pPr>
              <w:widowControl/>
              <w:jc w:val="right"/>
              <w:rPr>
                <w:kern w:val="0"/>
                <w:sz w:val="20"/>
              </w:rPr>
            </w:pPr>
            <w:r w:rsidRPr="00E4191C">
              <w:rPr>
                <w:kern w:val="0"/>
                <w:sz w:val="20"/>
              </w:rPr>
              <w:t>-0.1355</w:t>
            </w:r>
          </w:p>
        </w:tc>
        <w:tc>
          <w:tcPr>
            <w:tcW w:w="1360" w:type="dxa"/>
            <w:tcBorders>
              <w:top w:val="nil"/>
              <w:left w:val="nil"/>
              <w:bottom w:val="nil"/>
              <w:right w:val="nil"/>
            </w:tcBorders>
            <w:shd w:val="clear" w:color="auto" w:fill="auto"/>
            <w:noWrap/>
            <w:vAlign w:val="bottom"/>
            <w:hideMark/>
          </w:tcPr>
          <w:p w14:paraId="07669A59" w14:textId="77777777" w:rsidR="00E4191C" w:rsidRPr="00E4191C" w:rsidRDefault="00E4191C" w:rsidP="00E4191C">
            <w:pPr>
              <w:widowControl/>
              <w:jc w:val="right"/>
              <w:rPr>
                <w:kern w:val="0"/>
                <w:sz w:val="20"/>
              </w:rPr>
            </w:pPr>
            <w:r w:rsidRPr="00E4191C">
              <w:rPr>
                <w:kern w:val="0"/>
                <w:sz w:val="20"/>
              </w:rPr>
              <w:t>0.0517</w:t>
            </w:r>
          </w:p>
        </w:tc>
        <w:tc>
          <w:tcPr>
            <w:tcW w:w="1360" w:type="dxa"/>
            <w:tcBorders>
              <w:top w:val="nil"/>
              <w:left w:val="nil"/>
              <w:bottom w:val="nil"/>
              <w:right w:val="nil"/>
            </w:tcBorders>
            <w:shd w:val="clear" w:color="auto" w:fill="auto"/>
            <w:noWrap/>
            <w:vAlign w:val="bottom"/>
            <w:hideMark/>
          </w:tcPr>
          <w:p w14:paraId="063BEDE0" w14:textId="77777777" w:rsidR="00E4191C" w:rsidRPr="00E4191C" w:rsidRDefault="00E4191C" w:rsidP="00E4191C">
            <w:pPr>
              <w:widowControl/>
              <w:jc w:val="right"/>
              <w:rPr>
                <w:kern w:val="0"/>
                <w:sz w:val="20"/>
              </w:rPr>
            </w:pPr>
            <w:r w:rsidRPr="00E4191C">
              <w:rPr>
                <w:kern w:val="0"/>
                <w:sz w:val="20"/>
              </w:rPr>
              <w:t>-0.022</w:t>
            </w:r>
          </w:p>
        </w:tc>
        <w:tc>
          <w:tcPr>
            <w:tcW w:w="1360" w:type="dxa"/>
            <w:tcBorders>
              <w:top w:val="nil"/>
              <w:left w:val="nil"/>
              <w:bottom w:val="nil"/>
              <w:right w:val="nil"/>
            </w:tcBorders>
            <w:shd w:val="clear" w:color="auto" w:fill="auto"/>
            <w:noWrap/>
            <w:vAlign w:val="bottom"/>
            <w:hideMark/>
          </w:tcPr>
          <w:p w14:paraId="44215DED" w14:textId="77777777" w:rsidR="00E4191C" w:rsidRPr="00E4191C" w:rsidRDefault="00E4191C" w:rsidP="00E4191C">
            <w:pPr>
              <w:widowControl/>
              <w:jc w:val="right"/>
              <w:rPr>
                <w:kern w:val="0"/>
                <w:sz w:val="20"/>
              </w:rPr>
            </w:pPr>
            <w:r w:rsidRPr="00E4191C">
              <w:rPr>
                <w:kern w:val="0"/>
                <w:sz w:val="20"/>
              </w:rPr>
              <w:t>-0.1298</w:t>
            </w:r>
          </w:p>
        </w:tc>
      </w:tr>
      <w:tr w:rsidR="00E4191C" w:rsidRPr="00E4191C" w14:paraId="0D5DA054" w14:textId="77777777" w:rsidTr="00E4191C">
        <w:trPr>
          <w:trHeight w:val="411"/>
        </w:trPr>
        <w:tc>
          <w:tcPr>
            <w:tcW w:w="2020" w:type="dxa"/>
            <w:tcBorders>
              <w:top w:val="nil"/>
              <w:left w:val="nil"/>
              <w:bottom w:val="nil"/>
              <w:right w:val="nil"/>
            </w:tcBorders>
            <w:shd w:val="clear" w:color="auto" w:fill="auto"/>
            <w:noWrap/>
            <w:vAlign w:val="bottom"/>
            <w:hideMark/>
          </w:tcPr>
          <w:p w14:paraId="2C3D98EE" w14:textId="77777777" w:rsidR="00E4191C" w:rsidRPr="00E4191C" w:rsidRDefault="00E4191C" w:rsidP="00E4191C">
            <w:pPr>
              <w:widowControl/>
              <w:jc w:val="center"/>
              <w:rPr>
                <w:kern w:val="0"/>
                <w:sz w:val="20"/>
              </w:rPr>
            </w:pPr>
            <w:r w:rsidRPr="00E4191C">
              <w:rPr>
                <w:kern w:val="0"/>
                <w:sz w:val="20"/>
              </w:rPr>
              <w:t>非系统风险</w:t>
            </w:r>
          </w:p>
        </w:tc>
        <w:tc>
          <w:tcPr>
            <w:tcW w:w="1360" w:type="dxa"/>
            <w:tcBorders>
              <w:top w:val="nil"/>
              <w:left w:val="nil"/>
              <w:bottom w:val="nil"/>
              <w:right w:val="nil"/>
            </w:tcBorders>
            <w:shd w:val="clear" w:color="auto" w:fill="auto"/>
            <w:noWrap/>
            <w:vAlign w:val="bottom"/>
            <w:hideMark/>
          </w:tcPr>
          <w:p w14:paraId="5220B10F" w14:textId="77777777" w:rsidR="00E4191C" w:rsidRPr="00E4191C" w:rsidRDefault="00E4191C" w:rsidP="00E4191C">
            <w:pPr>
              <w:widowControl/>
              <w:jc w:val="right"/>
              <w:rPr>
                <w:kern w:val="0"/>
                <w:sz w:val="20"/>
              </w:rPr>
            </w:pPr>
            <w:r w:rsidRPr="00E4191C">
              <w:rPr>
                <w:kern w:val="0"/>
                <w:sz w:val="20"/>
              </w:rPr>
              <w:t>0.928</w:t>
            </w:r>
          </w:p>
        </w:tc>
        <w:tc>
          <w:tcPr>
            <w:tcW w:w="1360" w:type="dxa"/>
            <w:tcBorders>
              <w:top w:val="nil"/>
              <w:left w:val="nil"/>
              <w:bottom w:val="nil"/>
              <w:right w:val="nil"/>
            </w:tcBorders>
            <w:shd w:val="clear" w:color="auto" w:fill="auto"/>
            <w:noWrap/>
            <w:vAlign w:val="bottom"/>
            <w:hideMark/>
          </w:tcPr>
          <w:p w14:paraId="4B357B0B" w14:textId="77777777" w:rsidR="00E4191C" w:rsidRPr="00E4191C" w:rsidRDefault="00E4191C" w:rsidP="00E4191C">
            <w:pPr>
              <w:widowControl/>
              <w:jc w:val="right"/>
              <w:rPr>
                <w:kern w:val="0"/>
                <w:sz w:val="20"/>
              </w:rPr>
            </w:pPr>
            <w:r w:rsidRPr="00E4191C">
              <w:rPr>
                <w:kern w:val="0"/>
                <w:sz w:val="20"/>
              </w:rPr>
              <w:t>0.1775</w:t>
            </w:r>
          </w:p>
        </w:tc>
        <w:tc>
          <w:tcPr>
            <w:tcW w:w="1360" w:type="dxa"/>
            <w:tcBorders>
              <w:top w:val="nil"/>
              <w:left w:val="nil"/>
              <w:bottom w:val="nil"/>
              <w:right w:val="nil"/>
            </w:tcBorders>
            <w:shd w:val="clear" w:color="auto" w:fill="auto"/>
            <w:noWrap/>
            <w:vAlign w:val="bottom"/>
            <w:hideMark/>
          </w:tcPr>
          <w:p w14:paraId="5DBE32BB" w14:textId="77777777" w:rsidR="00E4191C" w:rsidRPr="00E4191C" w:rsidRDefault="00E4191C" w:rsidP="00E4191C">
            <w:pPr>
              <w:widowControl/>
              <w:jc w:val="right"/>
              <w:rPr>
                <w:kern w:val="0"/>
                <w:sz w:val="20"/>
              </w:rPr>
            </w:pPr>
            <w:r w:rsidRPr="00E4191C">
              <w:rPr>
                <w:kern w:val="0"/>
                <w:sz w:val="20"/>
              </w:rPr>
              <w:t>-0.0305</w:t>
            </w:r>
          </w:p>
        </w:tc>
        <w:tc>
          <w:tcPr>
            <w:tcW w:w="1360" w:type="dxa"/>
            <w:tcBorders>
              <w:top w:val="nil"/>
              <w:left w:val="nil"/>
              <w:bottom w:val="nil"/>
              <w:right w:val="nil"/>
            </w:tcBorders>
            <w:shd w:val="clear" w:color="auto" w:fill="auto"/>
            <w:noWrap/>
            <w:vAlign w:val="bottom"/>
            <w:hideMark/>
          </w:tcPr>
          <w:p w14:paraId="64AD12B0" w14:textId="77777777" w:rsidR="00E4191C" w:rsidRPr="00E4191C" w:rsidRDefault="00E4191C" w:rsidP="00E4191C">
            <w:pPr>
              <w:widowControl/>
              <w:jc w:val="right"/>
              <w:rPr>
                <w:kern w:val="0"/>
                <w:sz w:val="20"/>
              </w:rPr>
            </w:pPr>
            <w:r w:rsidRPr="00E4191C">
              <w:rPr>
                <w:kern w:val="0"/>
                <w:sz w:val="20"/>
              </w:rPr>
              <w:t>-0.0431</w:t>
            </w:r>
          </w:p>
        </w:tc>
        <w:tc>
          <w:tcPr>
            <w:tcW w:w="1360" w:type="dxa"/>
            <w:tcBorders>
              <w:top w:val="nil"/>
              <w:left w:val="nil"/>
              <w:bottom w:val="nil"/>
              <w:right w:val="nil"/>
            </w:tcBorders>
            <w:shd w:val="clear" w:color="auto" w:fill="auto"/>
            <w:noWrap/>
            <w:vAlign w:val="bottom"/>
            <w:hideMark/>
          </w:tcPr>
          <w:p w14:paraId="5EB2D336" w14:textId="77777777" w:rsidR="00E4191C" w:rsidRPr="00E4191C" w:rsidRDefault="00E4191C" w:rsidP="00E4191C">
            <w:pPr>
              <w:widowControl/>
              <w:jc w:val="right"/>
              <w:rPr>
                <w:kern w:val="0"/>
                <w:sz w:val="20"/>
              </w:rPr>
            </w:pPr>
            <w:r w:rsidRPr="00E4191C">
              <w:rPr>
                <w:kern w:val="0"/>
                <w:sz w:val="20"/>
              </w:rPr>
              <w:t>0.1445</w:t>
            </w:r>
          </w:p>
        </w:tc>
      </w:tr>
      <w:tr w:rsidR="00E4191C" w:rsidRPr="00E4191C" w14:paraId="1597B715" w14:textId="77777777" w:rsidTr="00E4191C">
        <w:trPr>
          <w:trHeight w:val="411"/>
        </w:trPr>
        <w:tc>
          <w:tcPr>
            <w:tcW w:w="2020" w:type="dxa"/>
            <w:tcBorders>
              <w:top w:val="nil"/>
              <w:left w:val="nil"/>
              <w:bottom w:val="nil"/>
              <w:right w:val="nil"/>
            </w:tcBorders>
            <w:shd w:val="clear" w:color="auto" w:fill="auto"/>
            <w:noWrap/>
            <w:vAlign w:val="bottom"/>
            <w:hideMark/>
          </w:tcPr>
          <w:p w14:paraId="5BDC6498" w14:textId="77777777" w:rsidR="00E4191C" w:rsidRPr="00E4191C" w:rsidRDefault="00E4191C" w:rsidP="00E4191C">
            <w:pPr>
              <w:widowControl/>
              <w:jc w:val="center"/>
              <w:rPr>
                <w:kern w:val="0"/>
                <w:sz w:val="20"/>
              </w:rPr>
            </w:pPr>
            <w:r w:rsidRPr="00E4191C">
              <w:rPr>
                <w:kern w:val="0"/>
                <w:sz w:val="20"/>
              </w:rPr>
              <w:t>最大回撤</w:t>
            </w:r>
          </w:p>
        </w:tc>
        <w:tc>
          <w:tcPr>
            <w:tcW w:w="1360" w:type="dxa"/>
            <w:tcBorders>
              <w:top w:val="nil"/>
              <w:left w:val="nil"/>
              <w:bottom w:val="nil"/>
              <w:right w:val="nil"/>
            </w:tcBorders>
            <w:shd w:val="clear" w:color="auto" w:fill="auto"/>
            <w:noWrap/>
            <w:vAlign w:val="bottom"/>
            <w:hideMark/>
          </w:tcPr>
          <w:p w14:paraId="310C1042" w14:textId="77777777" w:rsidR="00E4191C" w:rsidRPr="00E4191C" w:rsidRDefault="00E4191C" w:rsidP="00E4191C">
            <w:pPr>
              <w:widowControl/>
              <w:jc w:val="right"/>
              <w:rPr>
                <w:kern w:val="0"/>
                <w:sz w:val="20"/>
              </w:rPr>
            </w:pPr>
            <w:r w:rsidRPr="00E4191C">
              <w:rPr>
                <w:kern w:val="0"/>
                <w:sz w:val="20"/>
              </w:rPr>
              <w:t>-0.6288</w:t>
            </w:r>
          </w:p>
        </w:tc>
        <w:tc>
          <w:tcPr>
            <w:tcW w:w="1360" w:type="dxa"/>
            <w:tcBorders>
              <w:top w:val="nil"/>
              <w:left w:val="nil"/>
              <w:bottom w:val="nil"/>
              <w:right w:val="nil"/>
            </w:tcBorders>
            <w:shd w:val="clear" w:color="auto" w:fill="auto"/>
            <w:noWrap/>
            <w:vAlign w:val="bottom"/>
            <w:hideMark/>
          </w:tcPr>
          <w:p w14:paraId="36D8832D" w14:textId="77777777" w:rsidR="00E4191C" w:rsidRPr="00E4191C" w:rsidRDefault="00E4191C" w:rsidP="00E4191C">
            <w:pPr>
              <w:widowControl/>
              <w:jc w:val="right"/>
              <w:rPr>
                <w:kern w:val="0"/>
                <w:sz w:val="20"/>
              </w:rPr>
            </w:pPr>
            <w:r w:rsidRPr="00E4191C">
              <w:rPr>
                <w:kern w:val="0"/>
                <w:sz w:val="20"/>
              </w:rPr>
              <w:t>0.6122</w:t>
            </w:r>
          </w:p>
        </w:tc>
        <w:tc>
          <w:tcPr>
            <w:tcW w:w="1360" w:type="dxa"/>
            <w:tcBorders>
              <w:top w:val="nil"/>
              <w:left w:val="nil"/>
              <w:bottom w:val="nil"/>
              <w:right w:val="nil"/>
            </w:tcBorders>
            <w:shd w:val="clear" w:color="auto" w:fill="auto"/>
            <w:noWrap/>
            <w:vAlign w:val="bottom"/>
            <w:hideMark/>
          </w:tcPr>
          <w:p w14:paraId="2B2D2EF7" w14:textId="77777777" w:rsidR="00E4191C" w:rsidRPr="00E4191C" w:rsidRDefault="00E4191C" w:rsidP="00E4191C">
            <w:pPr>
              <w:widowControl/>
              <w:jc w:val="right"/>
              <w:rPr>
                <w:kern w:val="0"/>
                <w:sz w:val="20"/>
              </w:rPr>
            </w:pPr>
            <w:r w:rsidRPr="00E4191C">
              <w:rPr>
                <w:kern w:val="0"/>
                <w:sz w:val="20"/>
              </w:rPr>
              <w:t>0.0859</w:t>
            </w:r>
          </w:p>
        </w:tc>
        <w:tc>
          <w:tcPr>
            <w:tcW w:w="1360" w:type="dxa"/>
            <w:tcBorders>
              <w:top w:val="nil"/>
              <w:left w:val="nil"/>
              <w:bottom w:val="nil"/>
              <w:right w:val="nil"/>
            </w:tcBorders>
            <w:shd w:val="clear" w:color="auto" w:fill="auto"/>
            <w:noWrap/>
            <w:vAlign w:val="bottom"/>
            <w:hideMark/>
          </w:tcPr>
          <w:p w14:paraId="7F6F767E" w14:textId="77777777" w:rsidR="00E4191C" w:rsidRPr="00E4191C" w:rsidRDefault="00E4191C" w:rsidP="00E4191C">
            <w:pPr>
              <w:widowControl/>
              <w:jc w:val="right"/>
              <w:rPr>
                <w:kern w:val="0"/>
                <w:sz w:val="20"/>
              </w:rPr>
            </w:pPr>
            <w:r w:rsidRPr="00E4191C">
              <w:rPr>
                <w:kern w:val="0"/>
                <w:sz w:val="20"/>
              </w:rPr>
              <w:t>0.035</w:t>
            </w:r>
          </w:p>
        </w:tc>
        <w:tc>
          <w:tcPr>
            <w:tcW w:w="1360" w:type="dxa"/>
            <w:tcBorders>
              <w:top w:val="nil"/>
              <w:left w:val="nil"/>
              <w:bottom w:val="nil"/>
              <w:right w:val="nil"/>
            </w:tcBorders>
            <w:shd w:val="clear" w:color="auto" w:fill="auto"/>
            <w:noWrap/>
            <w:vAlign w:val="bottom"/>
            <w:hideMark/>
          </w:tcPr>
          <w:p w14:paraId="7221CBE3" w14:textId="77777777" w:rsidR="00E4191C" w:rsidRPr="00E4191C" w:rsidRDefault="00E4191C" w:rsidP="00E4191C">
            <w:pPr>
              <w:widowControl/>
              <w:jc w:val="right"/>
              <w:rPr>
                <w:kern w:val="0"/>
                <w:sz w:val="20"/>
              </w:rPr>
            </w:pPr>
            <w:r w:rsidRPr="00E4191C">
              <w:rPr>
                <w:kern w:val="0"/>
                <w:sz w:val="20"/>
              </w:rPr>
              <w:t>0.2504</w:t>
            </w:r>
          </w:p>
        </w:tc>
      </w:tr>
      <w:tr w:rsidR="00E4191C" w:rsidRPr="00E4191C" w14:paraId="7351F33E" w14:textId="77777777" w:rsidTr="00E4191C">
        <w:trPr>
          <w:trHeight w:val="411"/>
        </w:trPr>
        <w:tc>
          <w:tcPr>
            <w:tcW w:w="2020" w:type="dxa"/>
            <w:tcBorders>
              <w:top w:val="nil"/>
              <w:left w:val="nil"/>
              <w:bottom w:val="nil"/>
              <w:right w:val="nil"/>
            </w:tcBorders>
            <w:shd w:val="clear" w:color="auto" w:fill="auto"/>
            <w:noWrap/>
            <w:vAlign w:val="bottom"/>
            <w:hideMark/>
          </w:tcPr>
          <w:p w14:paraId="78575E97" w14:textId="77777777" w:rsidR="00E4191C" w:rsidRPr="00E4191C" w:rsidRDefault="00E4191C" w:rsidP="00E4191C">
            <w:pPr>
              <w:widowControl/>
              <w:jc w:val="center"/>
              <w:rPr>
                <w:kern w:val="0"/>
                <w:sz w:val="20"/>
              </w:rPr>
            </w:pPr>
            <w:r w:rsidRPr="00E4191C">
              <w:rPr>
                <w:kern w:val="0"/>
                <w:sz w:val="20"/>
              </w:rPr>
              <w:t>选股能力</w:t>
            </w:r>
          </w:p>
        </w:tc>
        <w:tc>
          <w:tcPr>
            <w:tcW w:w="1360" w:type="dxa"/>
            <w:tcBorders>
              <w:top w:val="nil"/>
              <w:left w:val="nil"/>
              <w:bottom w:val="nil"/>
              <w:right w:val="nil"/>
            </w:tcBorders>
            <w:shd w:val="clear" w:color="auto" w:fill="auto"/>
            <w:noWrap/>
            <w:vAlign w:val="bottom"/>
            <w:hideMark/>
          </w:tcPr>
          <w:p w14:paraId="4AD4CF60" w14:textId="77777777" w:rsidR="00E4191C" w:rsidRPr="00E4191C" w:rsidRDefault="00E4191C" w:rsidP="00E4191C">
            <w:pPr>
              <w:widowControl/>
              <w:jc w:val="right"/>
              <w:rPr>
                <w:kern w:val="0"/>
                <w:sz w:val="20"/>
              </w:rPr>
            </w:pPr>
            <w:r w:rsidRPr="00E4191C">
              <w:rPr>
                <w:kern w:val="0"/>
                <w:sz w:val="20"/>
              </w:rPr>
              <w:t>0.3383</w:t>
            </w:r>
          </w:p>
        </w:tc>
        <w:tc>
          <w:tcPr>
            <w:tcW w:w="1360" w:type="dxa"/>
            <w:tcBorders>
              <w:top w:val="nil"/>
              <w:left w:val="nil"/>
              <w:bottom w:val="nil"/>
              <w:right w:val="nil"/>
            </w:tcBorders>
            <w:shd w:val="clear" w:color="auto" w:fill="auto"/>
            <w:noWrap/>
            <w:vAlign w:val="bottom"/>
            <w:hideMark/>
          </w:tcPr>
          <w:p w14:paraId="61246DEA" w14:textId="77777777" w:rsidR="00E4191C" w:rsidRPr="00E4191C" w:rsidRDefault="00E4191C" w:rsidP="00E4191C">
            <w:pPr>
              <w:widowControl/>
              <w:jc w:val="right"/>
              <w:rPr>
                <w:kern w:val="0"/>
                <w:sz w:val="20"/>
              </w:rPr>
            </w:pPr>
            <w:r w:rsidRPr="00E4191C">
              <w:rPr>
                <w:kern w:val="0"/>
                <w:sz w:val="20"/>
              </w:rPr>
              <w:t>0.7799</w:t>
            </w:r>
          </w:p>
        </w:tc>
        <w:tc>
          <w:tcPr>
            <w:tcW w:w="1360" w:type="dxa"/>
            <w:tcBorders>
              <w:top w:val="nil"/>
              <w:left w:val="nil"/>
              <w:bottom w:val="nil"/>
              <w:right w:val="nil"/>
            </w:tcBorders>
            <w:shd w:val="clear" w:color="auto" w:fill="auto"/>
            <w:noWrap/>
            <w:vAlign w:val="bottom"/>
            <w:hideMark/>
          </w:tcPr>
          <w:p w14:paraId="4D999441" w14:textId="77777777" w:rsidR="00E4191C" w:rsidRPr="00E4191C" w:rsidRDefault="00E4191C" w:rsidP="00E4191C">
            <w:pPr>
              <w:widowControl/>
              <w:jc w:val="right"/>
              <w:rPr>
                <w:kern w:val="0"/>
                <w:sz w:val="20"/>
              </w:rPr>
            </w:pPr>
            <w:r w:rsidRPr="00E4191C">
              <w:rPr>
                <w:kern w:val="0"/>
                <w:sz w:val="20"/>
              </w:rPr>
              <w:t>0.2193</w:t>
            </w:r>
          </w:p>
        </w:tc>
        <w:tc>
          <w:tcPr>
            <w:tcW w:w="1360" w:type="dxa"/>
            <w:tcBorders>
              <w:top w:val="nil"/>
              <w:left w:val="nil"/>
              <w:bottom w:val="nil"/>
              <w:right w:val="nil"/>
            </w:tcBorders>
            <w:shd w:val="clear" w:color="auto" w:fill="auto"/>
            <w:noWrap/>
            <w:vAlign w:val="bottom"/>
            <w:hideMark/>
          </w:tcPr>
          <w:p w14:paraId="17D9712F" w14:textId="77777777" w:rsidR="00E4191C" w:rsidRPr="00E4191C" w:rsidRDefault="00E4191C" w:rsidP="00E4191C">
            <w:pPr>
              <w:widowControl/>
              <w:jc w:val="right"/>
              <w:rPr>
                <w:kern w:val="0"/>
                <w:sz w:val="20"/>
              </w:rPr>
            </w:pPr>
            <w:r w:rsidRPr="00E4191C">
              <w:rPr>
                <w:kern w:val="0"/>
                <w:sz w:val="20"/>
              </w:rPr>
              <w:t>0.0767</w:t>
            </w:r>
          </w:p>
        </w:tc>
        <w:tc>
          <w:tcPr>
            <w:tcW w:w="1360" w:type="dxa"/>
            <w:tcBorders>
              <w:top w:val="nil"/>
              <w:left w:val="nil"/>
              <w:bottom w:val="nil"/>
              <w:right w:val="nil"/>
            </w:tcBorders>
            <w:shd w:val="clear" w:color="auto" w:fill="auto"/>
            <w:noWrap/>
            <w:vAlign w:val="bottom"/>
            <w:hideMark/>
          </w:tcPr>
          <w:p w14:paraId="0BD7DD50" w14:textId="77777777" w:rsidR="00E4191C" w:rsidRPr="00E4191C" w:rsidRDefault="00E4191C" w:rsidP="00E4191C">
            <w:pPr>
              <w:widowControl/>
              <w:jc w:val="right"/>
              <w:rPr>
                <w:kern w:val="0"/>
                <w:sz w:val="20"/>
              </w:rPr>
            </w:pPr>
            <w:r w:rsidRPr="00E4191C">
              <w:rPr>
                <w:kern w:val="0"/>
                <w:sz w:val="20"/>
              </w:rPr>
              <w:t>0.0581</w:t>
            </w:r>
          </w:p>
        </w:tc>
      </w:tr>
      <w:tr w:rsidR="00E4191C" w:rsidRPr="00E4191C" w14:paraId="6A5303FF" w14:textId="77777777" w:rsidTr="00E4191C">
        <w:trPr>
          <w:trHeight w:val="411"/>
        </w:trPr>
        <w:tc>
          <w:tcPr>
            <w:tcW w:w="2020" w:type="dxa"/>
            <w:tcBorders>
              <w:top w:val="nil"/>
              <w:left w:val="nil"/>
              <w:bottom w:val="nil"/>
              <w:right w:val="nil"/>
            </w:tcBorders>
            <w:shd w:val="clear" w:color="auto" w:fill="auto"/>
            <w:noWrap/>
            <w:vAlign w:val="bottom"/>
            <w:hideMark/>
          </w:tcPr>
          <w:p w14:paraId="29ED7FAB" w14:textId="77777777" w:rsidR="00E4191C" w:rsidRPr="00E4191C" w:rsidRDefault="00E4191C" w:rsidP="00E4191C">
            <w:pPr>
              <w:widowControl/>
              <w:jc w:val="center"/>
              <w:rPr>
                <w:kern w:val="0"/>
                <w:sz w:val="20"/>
              </w:rPr>
            </w:pPr>
            <w:r w:rsidRPr="00E4191C">
              <w:rPr>
                <w:kern w:val="0"/>
                <w:sz w:val="20"/>
              </w:rPr>
              <w:t>跟踪误差</w:t>
            </w:r>
          </w:p>
        </w:tc>
        <w:tc>
          <w:tcPr>
            <w:tcW w:w="1360" w:type="dxa"/>
            <w:tcBorders>
              <w:top w:val="nil"/>
              <w:left w:val="nil"/>
              <w:bottom w:val="nil"/>
              <w:right w:val="nil"/>
            </w:tcBorders>
            <w:shd w:val="clear" w:color="auto" w:fill="auto"/>
            <w:noWrap/>
            <w:vAlign w:val="bottom"/>
            <w:hideMark/>
          </w:tcPr>
          <w:p w14:paraId="17479D90" w14:textId="77777777" w:rsidR="00E4191C" w:rsidRPr="00E4191C" w:rsidRDefault="00E4191C" w:rsidP="00E4191C">
            <w:pPr>
              <w:widowControl/>
              <w:jc w:val="right"/>
              <w:rPr>
                <w:kern w:val="0"/>
                <w:sz w:val="20"/>
              </w:rPr>
            </w:pPr>
            <w:r w:rsidRPr="00E4191C">
              <w:rPr>
                <w:kern w:val="0"/>
                <w:sz w:val="20"/>
              </w:rPr>
              <w:t>0.8798</w:t>
            </w:r>
          </w:p>
        </w:tc>
        <w:tc>
          <w:tcPr>
            <w:tcW w:w="1360" w:type="dxa"/>
            <w:tcBorders>
              <w:top w:val="nil"/>
              <w:left w:val="nil"/>
              <w:bottom w:val="nil"/>
              <w:right w:val="nil"/>
            </w:tcBorders>
            <w:shd w:val="clear" w:color="auto" w:fill="auto"/>
            <w:noWrap/>
            <w:vAlign w:val="bottom"/>
            <w:hideMark/>
          </w:tcPr>
          <w:p w14:paraId="31745A01" w14:textId="77777777" w:rsidR="00E4191C" w:rsidRPr="00E4191C" w:rsidRDefault="00E4191C" w:rsidP="00E4191C">
            <w:pPr>
              <w:widowControl/>
              <w:jc w:val="right"/>
              <w:rPr>
                <w:kern w:val="0"/>
                <w:sz w:val="20"/>
              </w:rPr>
            </w:pPr>
            <w:r w:rsidRPr="00E4191C">
              <w:rPr>
                <w:kern w:val="0"/>
                <w:sz w:val="20"/>
              </w:rPr>
              <w:t>0.2219</w:t>
            </w:r>
          </w:p>
        </w:tc>
        <w:tc>
          <w:tcPr>
            <w:tcW w:w="1360" w:type="dxa"/>
            <w:tcBorders>
              <w:top w:val="nil"/>
              <w:left w:val="nil"/>
              <w:bottom w:val="nil"/>
              <w:right w:val="nil"/>
            </w:tcBorders>
            <w:shd w:val="clear" w:color="auto" w:fill="auto"/>
            <w:noWrap/>
            <w:vAlign w:val="bottom"/>
            <w:hideMark/>
          </w:tcPr>
          <w:p w14:paraId="57ADB725" w14:textId="77777777" w:rsidR="00E4191C" w:rsidRPr="00E4191C" w:rsidRDefault="00E4191C" w:rsidP="00E4191C">
            <w:pPr>
              <w:widowControl/>
              <w:jc w:val="right"/>
              <w:rPr>
                <w:kern w:val="0"/>
                <w:sz w:val="20"/>
              </w:rPr>
            </w:pPr>
            <w:r w:rsidRPr="00E4191C">
              <w:rPr>
                <w:kern w:val="0"/>
                <w:sz w:val="20"/>
              </w:rPr>
              <w:t>-0.043</w:t>
            </w:r>
          </w:p>
        </w:tc>
        <w:tc>
          <w:tcPr>
            <w:tcW w:w="1360" w:type="dxa"/>
            <w:tcBorders>
              <w:top w:val="nil"/>
              <w:left w:val="nil"/>
              <w:bottom w:val="nil"/>
              <w:right w:val="nil"/>
            </w:tcBorders>
            <w:shd w:val="clear" w:color="auto" w:fill="auto"/>
            <w:noWrap/>
            <w:vAlign w:val="bottom"/>
            <w:hideMark/>
          </w:tcPr>
          <w:p w14:paraId="3E57FE07" w14:textId="77777777" w:rsidR="00E4191C" w:rsidRPr="00E4191C" w:rsidRDefault="00E4191C" w:rsidP="00E4191C">
            <w:pPr>
              <w:widowControl/>
              <w:jc w:val="right"/>
              <w:rPr>
                <w:kern w:val="0"/>
                <w:sz w:val="20"/>
              </w:rPr>
            </w:pPr>
            <w:r w:rsidRPr="00E4191C">
              <w:rPr>
                <w:kern w:val="0"/>
                <w:sz w:val="20"/>
              </w:rPr>
              <w:t>-0.0356</w:t>
            </w:r>
          </w:p>
        </w:tc>
        <w:tc>
          <w:tcPr>
            <w:tcW w:w="1360" w:type="dxa"/>
            <w:tcBorders>
              <w:top w:val="nil"/>
              <w:left w:val="nil"/>
              <w:bottom w:val="nil"/>
              <w:right w:val="nil"/>
            </w:tcBorders>
            <w:shd w:val="clear" w:color="auto" w:fill="auto"/>
            <w:noWrap/>
            <w:vAlign w:val="bottom"/>
            <w:hideMark/>
          </w:tcPr>
          <w:p w14:paraId="50B9287C" w14:textId="77777777" w:rsidR="00E4191C" w:rsidRPr="00E4191C" w:rsidRDefault="00E4191C" w:rsidP="00E4191C">
            <w:pPr>
              <w:widowControl/>
              <w:jc w:val="right"/>
              <w:rPr>
                <w:kern w:val="0"/>
                <w:sz w:val="20"/>
              </w:rPr>
            </w:pPr>
            <w:r w:rsidRPr="00E4191C">
              <w:rPr>
                <w:kern w:val="0"/>
                <w:sz w:val="20"/>
              </w:rPr>
              <w:t>0.2053</w:t>
            </w:r>
          </w:p>
        </w:tc>
      </w:tr>
      <w:tr w:rsidR="00E4191C" w:rsidRPr="00E4191C" w14:paraId="49289071" w14:textId="77777777" w:rsidTr="00E4191C">
        <w:trPr>
          <w:trHeight w:val="411"/>
        </w:trPr>
        <w:tc>
          <w:tcPr>
            <w:tcW w:w="2020" w:type="dxa"/>
            <w:tcBorders>
              <w:top w:val="nil"/>
              <w:left w:val="nil"/>
              <w:bottom w:val="nil"/>
              <w:right w:val="nil"/>
            </w:tcBorders>
            <w:shd w:val="clear" w:color="auto" w:fill="auto"/>
            <w:noWrap/>
            <w:vAlign w:val="bottom"/>
            <w:hideMark/>
          </w:tcPr>
          <w:p w14:paraId="0DCD3D82" w14:textId="77777777" w:rsidR="00E4191C" w:rsidRPr="00E4191C" w:rsidRDefault="00E4191C" w:rsidP="00E4191C">
            <w:pPr>
              <w:widowControl/>
              <w:jc w:val="center"/>
              <w:rPr>
                <w:kern w:val="0"/>
                <w:sz w:val="20"/>
              </w:rPr>
            </w:pPr>
            <w:r w:rsidRPr="00E4191C">
              <w:rPr>
                <w:kern w:val="0"/>
                <w:sz w:val="20"/>
              </w:rPr>
              <w:t>信息比率</w:t>
            </w:r>
          </w:p>
        </w:tc>
        <w:tc>
          <w:tcPr>
            <w:tcW w:w="1360" w:type="dxa"/>
            <w:tcBorders>
              <w:top w:val="nil"/>
              <w:left w:val="nil"/>
              <w:bottom w:val="nil"/>
              <w:right w:val="nil"/>
            </w:tcBorders>
            <w:shd w:val="clear" w:color="auto" w:fill="auto"/>
            <w:noWrap/>
            <w:vAlign w:val="bottom"/>
            <w:hideMark/>
          </w:tcPr>
          <w:p w14:paraId="15BD5EF9" w14:textId="77777777" w:rsidR="00E4191C" w:rsidRPr="00E4191C" w:rsidRDefault="00E4191C" w:rsidP="00E4191C">
            <w:pPr>
              <w:widowControl/>
              <w:jc w:val="right"/>
              <w:rPr>
                <w:kern w:val="0"/>
                <w:sz w:val="20"/>
              </w:rPr>
            </w:pPr>
            <w:r w:rsidRPr="00E4191C">
              <w:rPr>
                <w:kern w:val="0"/>
                <w:sz w:val="20"/>
              </w:rPr>
              <w:t>-0.0203</w:t>
            </w:r>
          </w:p>
        </w:tc>
        <w:tc>
          <w:tcPr>
            <w:tcW w:w="1360" w:type="dxa"/>
            <w:tcBorders>
              <w:top w:val="nil"/>
              <w:left w:val="nil"/>
              <w:bottom w:val="nil"/>
              <w:right w:val="nil"/>
            </w:tcBorders>
            <w:shd w:val="clear" w:color="auto" w:fill="auto"/>
            <w:noWrap/>
            <w:vAlign w:val="bottom"/>
            <w:hideMark/>
          </w:tcPr>
          <w:p w14:paraId="1CF13985" w14:textId="77777777" w:rsidR="00E4191C" w:rsidRPr="00E4191C" w:rsidRDefault="00E4191C" w:rsidP="00E4191C">
            <w:pPr>
              <w:widowControl/>
              <w:jc w:val="right"/>
              <w:rPr>
                <w:kern w:val="0"/>
                <w:sz w:val="20"/>
              </w:rPr>
            </w:pPr>
            <w:r w:rsidRPr="00E4191C">
              <w:rPr>
                <w:kern w:val="0"/>
                <w:sz w:val="20"/>
              </w:rPr>
              <w:t>0.9227</w:t>
            </w:r>
          </w:p>
        </w:tc>
        <w:tc>
          <w:tcPr>
            <w:tcW w:w="1360" w:type="dxa"/>
            <w:tcBorders>
              <w:top w:val="nil"/>
              <w:left w:val="nil"/>
              <w:bottom w:val="nil"/>
              <w:right w:val="nil"/>
            </w:tcBorders>
            <w:shd w:val="clear" w:color="auto" w:fill="auto"/>
            <w:noWrap/>
            <w:vAlign w:val="bottom"/>
            <w:hideMark/>
          </w:tcPr>
          <w:p w14:paraId="6D386C98" w14:textId="77777777" w:rsidR="00E4191C" w:rsidRPr="00E4191C" w:rsidRDefault="00E4191C" w:rsidP="00E4191C">
            <w:pPr>
              <w:widowControl/>
              <w:jc w:val="right"/>
              <w:rPr>
                <w:kern w:val="0"/>
                <w:sz w:val="20"/>
              </w:rPr>
            </w:pPr>
            <w:r w:rsidRPr="00E4191C">
              <w:rPr>
                <w:kern w:val="0"/>
                <w:sz w:val="20"/>
              </w:rPr>
              <w:t>0.1821</w:t>
            </w:r>
          </w:p>
        </w:tc>
        <w:tc>
          <w:tcPr>
            <w:tcW w:w="1360" w:type="dxa"/>
            <w:tcBorders>
              <w:top w:val="nil"/>
              <w:left w:val="nil"/>
              <w:bottom w:val="nil"/>
              <w:right w:val="nil"/>
            </w:tcBorders>
            <w:shd w:val="clear" w:color="auto" w:fill="auto"/>
            <w:noWrap/>
            <w:vAlign w:val="bottom"/>
            <w:hideMark/>
          </w:tcPr>
          <w:p w14:paraId="28AAF5C9" w14:textId="77777777" w:rsidR="00E4191C" w:rsidRPr="00E4191C" w:rsidRDefault="00E4191C" w:rsidP="00E4191C">
            <w:pPr>
              <w:widowControl/>
              <w:jc w:val="right"/>
              <w:rPr>
                <w:kern w:val="0"/>
                <w:sz w:val="20"/>
              </w:rPr>
            </w:pPr>
            <w:r w:rsidRPr="00E4191C">
              <w:rPr>
                <w:kern w:val="0"/>
                <w:sz w:val="20"/>
              </w:rPr>
              <w:t>-0.0221</w:t>
            </w:r>
          </w:p>
        </w:tc>
        <w:tc>
          <w:tcPr>
            <w:tcW w:w="1360" w:type="dxa"/>
            <w:tcBorders>
              <w:top w:val="nil"/>
              <w:left w:val="nil"/>
              <w:bottom w:val="nil"/>
              <w:right w:val="nil"/>
            </w:tcBorders>
            <w:shd w:val="clear" w:color="auto" w:fill="auto"/>
            <w:noWrap/>
            <w:vAlign w:val="bottom"/>
            <w:hideMark/>
          </w:tcPr>
          <w:p w14:paraId="41A3EF85" w14:textId="77777777" w:rsidR="00E4191C" w:rsidRPr="00E4191C" w:rsidRDefault="00E4191C" w:rsidP="00E4191C">
            <w:pPr>
              <w:widowControl/>
              <w:jc w:val="right"/>
              <w:rPr>
                <w:kern w:val="0"/>
                <w:sz w:val="20"/>
              </w:rPr>
            </w:pPr>
            <w:r w:rsidRPr="00E4191C">
              <w:rPr>
                <w:kern w:val="0"/>
                <w:sz w:val="20"/>
              </w:rPr>
              <w:t>0.1054</w:t>
            </w:r>
          </w:p>
        </w:tc>
      </w:tr>
      <w:tr w:rsidR="00E4191C" w:rsidRPr="00E4191C" w14:paraId="7064A7AE" w14:textId="77777777" w:rsidTr="00E4191C">
        <w:trPr>
          <w:trHeight w:val="411"/>
        </w:trPr>
        <w:tc>
          <w:tcPr>
            <w:tcW w:w="2020" w:type="dxa"/>
            <w:tcBorders>
              <w:top w:val="nil"/>
              <w:left w:val="nil"/>
              <w:bottom w:val="nil"/>
              <w:right w:val="nil"/>
            </w:tcBorders>
            <w:shd w:val="clear" w:color="auto" w:fill="auto"/>
            <w:noWrap/>
            <w:vAlign w:val="bottom"/>
            <w:hideMark/>
          </w:tcPr>
          <w:p w14:paraId="343A11B3" w14:textId="77777777" w:rsidR="00E4191C" w:rsidRPr="00E4191C" w:rsidRDefault="00E4191C" w:rsidP="00E4191C">
            <w:pPr>
              <w:widowControl/>
              <w:jc w:val="center"/>
              <w:rPr>
                <w:kern w:val="0"/>
                <w:sz w:val="20"/>
              </w:rPr>
            </w:pPr>
            <w:r w:rsidRPr="00E4191C">
              <w:rPr>
                <w:kern w:val="0"/>
                <w:sz w:val="20"/>
              </w:rPr>
              <w:t>基金规模亿元</w:t>
            </w:r>
          </w:p>
        </w:tc>
        <w:tc>
          <w:tcPr>
            <w:tcW w:w="1360" w:type="dxa"/>
            <w:tcBorders>
              <w:top w:val="nil"/>
              <w:left w:val="nil"/>
              <w:bottom w:val="nil"/>
              <w:right w:val="nil"/>
            </w:tcBorders>
            <w:shd w:val="clear" w:color="auto" w:fill="auto"/>
            <w:noWrap/>
            <w:vAlign w:val="bottom"/>
            <w:hideMark/>
          </w:tcPr>
          <w:p w14:paraId="32C5C0EB" w14:textId="77777777" w:rsidR="00E4191C" w:rsidRPr="00E4191C" w:rsidRDefault="00E4191C" w:rsidP="00E4191C">
            <w:pPr>
              <w:widowControl/>
              <w:jc w:val="right"/>
              <w:rPr>
                <w:kern w:val="0"/>
                <w:sz w:val="20"/>
              </w:rPr>
            </w:pPr>
            <w:r w:rsidRPr="00E4191C">
              <w:rPr>
                <w:kern w:val="0"/>
                <w:sz w:val="20"/>
              </w:rPr>
              <w:t>0.0656</w:t>
            </w:r>
          </w:p>
        </w:tc>
        <w:tc>
          <w:tcPr>
            <w:tcW w:w="1360" w:type="dxa"/>
            <w:tcBorders>
              <w:top w:val="nil"/>
              <w:left w:val="nil"/>
              <w:bottom w:val="nil"/>
              <w:right w:val="nil"/>
            </w:tcBorders>
            <w:shd w:val="clear" w:color="auto" w:fill="auto"/>
            <w:noWrap/>
            <w:vAlign w:val="bottom"/>
            <w:hideMark/>
          </w:tcPr>
          <w:p w14:paraId="6786B662" w14:textId="77777777" w:rsidR="00E4191C" w:rsidRPr="00E4191C" w:rsidRDefault="00E4191C" w:rsidP="00E4191C">
            <w:pPr>
              <w:widowControl/>
              <w:jc w:val="right"/>
              <w:rPr>
                <w:kern w:val="0"/>
                <w:sz w:val="20"/>
              </w:rPr>
            </w:pPr>
            <w:r w:rsidRPr="00E4191C">
              <w:rPr>
                <w:kern w:val="0"/>
                <w:sz w:val="20"/>
              </w:rPr>
              <w:t>-0.0237</w:t>
            </w:r>
          </w:p>
        </w:tc>
        <w:tc>
          <w:tcPr>
            <w:tcW w:w="1360" w:type="dxa"/>
            <w:tcBorders>
              <w:top w:val="nil"/>
              <w:left w:val="nil"/>
              <w:bottom w:val="nil"/>
              <w:right w:val="nil"/>
            </w:tcBorders>
            <w:shd w:val="clear" w:color="auto" w:fill="auto"/>
            <w:noWrap/>
            <w:vAlign w:val="bottom"/>
            <w:hideMark/>
          </w:tcPr>
          <w:p w14:paraId="360FC497" w14:textId="77777777" w:rsidR="00E4191C" w:rsidRPr="00E4191C" w:rsidRDefault="00E4191C" w:rsidP="00E4191C">
            <w:pPr>
              <w:widowControl/>
              <w:jc w:val="right"/>
              <w:rPr>
                <w:kern w:val="0"/>
                <w:sz w:val="20"/>
              </w:rPr>
            </w:pPr>
            <w:r w:rsidRPr="00E4191C">
              <w:rPr>
                <w:kern w:val="0"/>
                <w:sz w:val="20"/>
              </w:rPr>
              <w:t>-0.0909</w:t>
            </w:r>
          </w:p>
        </w:tc>
        <w:tc>
          <w:tcPr>
            <w:tcW w:w="1360" w:type="dxa"/>
            <w:tcBorders>
              <w:top w:val="nil"/>
              <w:left w:val="nil"/>
              <w:bottom w:val="nil"/>
              <w:right w:val="nil"/>
            </w:tcBorders>
            <w:shd w:val="clear" w:color="auto" w:fill="auto"/>
            <w:noWrap/>
            <w:vAlign w:val="bottom"/>
            <w:hideMark/>
          </w:tcPr>
          <w:p w14:paraId="15F5996B" w14:textId="77777777" w:rsidR="00E4191C" w:rsidRPr="00E4191C" w:rsidRDefault="00E4191C" w:rsidP="00E4191C">
            <w:pPr>
              <w:widowControl/>
              <w:jc w:val="right"/>
              <w:rPr>
                <w:kern w:val="0"/>
                <w:sz w:val="20"/>
              </w:rPr>
            </w:pPr>
            <w:r w:rsidRPr="00E4191C">
              <w:rPr>
                <w:kern w:val="0"/>
                <w:sz w:val="20"/>
              </w:rPr>
              <w:t>0.6239</w:t>
            </w:r>
          </w:p>
        </w:tc>
        <w:tc>
          <w:tcPr>
            <w:tcW w:w="1360" w:type="dxa"/>
            <w:tcBorders>
              <w:top w:val="nil"/>
              <w:left w:val="nil"/>
              <w:bottom w:val="nil"/>
              <w:right w:val="nil"/>
            </w:tcBorders>
            <w:shd w:val="clear" w:color="auto" w:fill="auto"/>
            <w:noWrap/>
            <w:vAlign w:val="bottom"/>
            <w:hideMark/>
          </w:tcPr>
          <w:p w14:paraId="0A0B5911" w14:textId="77777777" w:rsidR="00E4191C" w:rsidRPr="00E4191C" w:rsidRDefault="00E4191C" w:rsidP="00E4191C">
            <w:pPr>
              <w:widowControl/>
              <w:jc w:val="right"/>
              <w:rPr>
                <w:kern w:val="0"/>
                <w:sz w:val="20"/>
              </w:rPr>
            </w:pPr>
            <w:r w:rsidRPr="00E4191C">
              <w:rPr>
                <w:kern w:val="0"/>
                <w:sz w:val="20"/>
              </w:rPr>
              <w:t>-0.1813</w:t>
            </w:r>
          </w:p>
        </w:tc>
      </w:tr>
      <w:tr w:rsidR="00E4191C" w:rsidRPr="00E4191C" w14:paraId="2EBBDAB9" w14:textId="77777777" w:rsidTr="00E4191C">
        <w:trPr>
          <w:trHeight w:val="411"/>
        </w:trPr>
        <w:tc>
          <w:tcPr>
            <w:tcW w:w="2020" w:type="dxa"/>
            <w:tcBorders>
              <w:top w:val="nil"/>
              <w:left w:val="nil"/>
              <w:bottom w:val="nil"/>
              <w:right w:val="nil"/>
            </w:tcBorders>
            <w:shd w:val="clear" w:color="auto" w:fill="auto"/>
            <w:noWrap/>
            <w:vAlign w:val="bottom"/>
            <w:hideMark/>
          </w:tcPr>
          <w:p w14:paraId="6081BB7D" w14:textId="77777777" w:rsidR="00E4191C" w:rsidRPr="00E4191C" w:rsidRDefault="00E4191C" w:rsidP="00E4191C">
            <w:pPr>
              <w:widowControl/>
              <w:jc w:val="center"/>
              <w:rPr>
                <w:kern w:val="0"/>
                <w:sz w:val="20"/>
              </w:rPr>
            </w:pPr>
            <w:r w:rsidRPr="00E4191C">
              <w:rPr>
                <w:kern w:val="0"/>
                <w:sz w:val="20"/>
              </w:rPr>
              <w:t>成立年限</w:t>
            </w:r>
          </w:p>
        </w:tc>
        <w:tc>
          <w:tcPr>
            <w:tcW w:w="1360" w:type="dxa"/>
            <w:tcBorders>
              <w:top w:val="nil"/>
              <w:left w:val="nil"/>
              <w:bottom w:val="nil"/>
              <w:right w:val="nil"/>
            </w:tcBorders>
            <w:shd w:val="clear" w:color="auto" w:fill="auto"/>
            <w:noWrap/>
            <w:vAlign w:val="bottom"/>
            <w:hideMark/>
          </w:tcPr>
          <w:p w14:paraId="6C029F39" w14:textId="77777777" w:rsidR="00E4191C" w:rsidRPr="00E4191C" w:rsidRDefault="00E4191C" w:rsidP="00E4191C">
            <w:pPr>
              <w:widowControl/>
              <w:jc w:val="right"/>
              <w:rPr>
                <w:kern w:val="0"/>
                <w:sz w:val="20"/>
              </w:rPr>
            </w:pPr>
            <w:r w:rsidRPr="00E4191C">
              <w:rPr>
                <w:kern w:val="0"/>
                <w:sz w:val="20"/>
              </w:rPr>
              <w:t>-0.0184</w:t>
            </w:r>
          </w:p>
        </w:tc>
        <w:tc>
          <w:tcPr>
            <w:tcW w:w="1360" w:type="dxa"/>
            <w:tcBorders>
              <w:top w:val="nil"/>
              <w:left w:val="nil"/>
              <w:bottom w:val="nil"/>
              <w:right w:val="nil"/>
            </w:tcBorders>
            <w:shd w:val="clear" w:color="auto" w:fill="auto"/>
            <w:noWrap/>
            <w:vAlign w:val="bottom"/>
            <w:hideMark/>
          </w:tcPr>
          <w:p w14:paraId="3BA32E5D" w14:textId="77777777" w:rsidR="00E4191C" w:rsidRPr="00E4191C" w:rsidRDefault="00E4191C" w:rsidP="00E4191C">
            <w:pPr>
              <w:widowControl/>
              <w:jc w:val="right"/>
              <w:rPr>
                <w:kern w:val="0"/>
                <w:sz w:val="20"/>
              </w:rPr>
            </w:pPr>
            <w:r w:rsidRPr="00E4191C">
              <w:rPr>
                <w:kern w:val="0"/>
                <w:sz w:val="20"/>
              </w:rPr>
              <w:t>0.5356</w:t>
            </w:r>
          </w:p>
        </w:tc>
        <w:tc>
          <w:tcPr>
            <w:tcW w:w="1360" w:type="dxa"/>
            <w:tcBorders>
              <w:top w:val="nil"/>
              <w:left w:val="nil"/>
              <w:bottom w:val="nil"/>
              <w:right w:val="nil"/>
            </w:tcBorders>
            <w:shd w:val="clear" w:color="auto" w:fill="auto"/>
            <w:noWrap/>
            <w:vAlign w:val="bottom"/>
            <w:hideMark/>
          </w:tcPr>
          <w:p w14:paraId="7E368BE9" w14:textId="77777777" w:rsidR="00E4191C" w:rsidRPr="00E4191C" w:rsidRDefault="00E4191C" w:rsidP="00E4191C">
            <w:pPr>
              <w:widowControl/>
              <w:jc w:val="right"/>
              <w:rPr>
                <w:kern w:val="0"/>
                <w:sz w:val="20"/>
              </w:rPr>
            </w:pPr>
            <w:r w:rsidRPr="00E4191C">
              <w:rPr>
                <w:kern w:val="0"/>
                <w:sz w:val="20"/>
              </w:rPr>
              <w:t>-0.1756</w:t>
            </w:r>
          </w:p>
        </w:tc>
        <w:tc>
          <w:tcPr>
            <w:tcW w:w="1360" w:type="dxa"/>
            <w:tcBorders>
              <w:top w:val="nil"/>
              <w:left w:val="nil"/>
              <w:bottom w:val="nil"/>
              <w:right w:val="nil"/>
            </w:tcBorders>
            <w:shd w:val="clear" w:color="auto" w:fill="auto"/>
            <w:noWrap/>
            <w:vAlign w:val="bottom"/>
            <w:hideMark/>
          </w:tcPr>
          <w:p w14:paraId="0DA25997" w14:textId="77777777" w:rsidR="00E4191C" w:rsidRPr="00E4191C" w:rsidRDefault="00E4191C" w:rsidP="00E4191C">
            <w:pPr>
              <w:widowControl/>
              <w:jc w:val="right"/>
              <w:rPr>
                <w:kern w:val="0"/>
                <w:sz w:val="20"/>
              </w:rPr>
            </w:pPr>
            <w:r w:rsidRPr="00E4191C">
              <w:rPr>
                <w:kern w:val="0"/>
                <w:sz w:val="20"/>
              </w:rPr>
              <w:t>0.258</w:t>
            </w:r>
          </w:p>
        </w:tc>
        <w:tc>
          <w:tcPr>
            <w:tcW w:w="1360" w:type="dxa"/>
            <w:tcBorders>
              <w:top w:val="nil"/>
              <w:left w:val="nil"/>
              <w:bottom w:val="nil"/>
              <w:right w:val="nil"/>
            </w:tcBorders>
            <w:shd w:val="clear" w:color="auto" w:fill="auto"/>
            <w:noWrap/>
            <w:vAlign w:val="bottom"/>
            <w:hideMark/>
          </w:tcPr>
          <w:p w14:paraId="2853B7B8" w14:textId="77777777" w:rsidR="00E4191C" w:rsidRPr="00E4191C" w:rsidRDefault="00E4191C" w:rsidP="00E4191C">
            <w:pPr>
              <w:widowControl/>
              <w:jc w:val="right"/>
              <w:rPr>
                <w:kern w:val="0"/>
                <w:sz w:val="20"/>
              </w:rPr>
            </w:pPr>
            <w:r w:rsidRPr="00E4191C">
              <w:rPr>
                <w:kern w:val="0"/>
                <w:sz w:val="20"/>
              </w:rPr>
              <w:t>-0.2664</w:t>
            </w:r>
          </w:p>
        </w:tc>
      </w:tr>
      <w:tr w:rsidR="00E4191C" w:rsidRPr="00E4191C" w14:paraId="7D78BA63" w14:textId="77777777" w:rsidTr="00E4191C">
        <w:trPr>
          <w:trHeight w:val="411"/>
        </w:trPr>
        <w:tc>
          <w:tcPr>
            <w:tcW w:w="2020" w:type="dxa"/>
            <w:tcBorders>
              <w:top w:val="nil"/>
              <w:left w:val="nil"/>
              <w:bottom w:val="nil"/>
              <w:right w:val="nil"/>
            </w:tcBorders>
            <w:shd w:val="clear" w:color="auto" w:fill="auto"/>
            <w:noWrap/>
            <w:vAlign w:val="bottom"/>
            <w:hideMark/>
          </w:tcPr>
          <w:p w14:paraId="77C2AC9E" w14:textId="77777777" w:rsidR="00E4191C" w:rsidRPr="00E4191C" w:rsidRDefault="00E4191C" w:rsidP="00E4191C">
            <w:pPr>
              <w:widowControl/>
              <w:jc w:val="center"/>
              <w:rPr>
                <w:kern w:val="0"/>
                <w:sz w:val="20"/>
              </w:rPr>
            </w:pPr>
            <w:r w:rsidRPr="00E4191C">
              <w:rPr>
                <w:kern w:val="0"/>
                <w:sz w:val="20"/>
              </w:rPr>
              <w:t>是否为碳中和</w:t>
            </w:r>
          </w:p>
        </w:tc>
        <w:tc>
          <w:tcPr>
            <w:tcW w:w="1360" w:type="dxa"/>
            <w:tcBorders>
              <w:top w:val="nil"/>
              <w:left w:val="nil"/>
              <w:bottom w:val="nil"/>
              <w:right w:val="nil"/>
            </w:tcBorders>
            <w:shd w:val="clear" w:color="auto" w:fill="auto"/>
            <w:noWrap/>
            <w:vAlign w:val="bottom"/>
            <w:hideMark/>
          </w:tcPr>
          <w:p w14:paraId="02651932" w14:textId="77777777" w:rsidR="00E4191C" w:rsidRPr="00E4191C" w:rsidRDefault="00E4191C" w:rsidP="00E4191C">
            <w:pPr>
              <w:widowControl/>
              <w:jc w:val="right"/>
              <w:rPr>
                <w:kern w:val="0"/>
                <w:sz w:val="20"/>
              </w:rPr>
            </w:pPr>
            <w:r w:rsidRPr="00E4191C">
              <w:rPr>
                <w:kern w:val="0"/>
                <w:sz w:val="20"/>
              </w:rPr>
              <w:t>0.2903</w:t>
            </w:r>
          </w:p>
        </w:tc>
        <w:tc>
          <w:tcPr>
            <w:tcW w:w="1360" w:type="dxa"/>
            <w:tcBorders>
              <w:top w:val="nil"/>
              <w:left w:val="nil"/>
              <w:bottom w:val="nil"/>
              <w:right w:val="nil"/>
            </w:tcBorders>
            <w:shd w:val="clear" w:color="auto" w:fill="auto"/>
            <w:noWrap/>
            <w:vAlign w:val="bottom"/>
            <w:hideMark/>
          </w:tcPr>
          <w:p w14:paraId="7B8446F0" w14:textId="77777777" w:rsidR="00E4191C" w:rsidRPr="00E4191C" w:rsidRDefault="00E4191C" w:rsidP="00E4191C">
            <w:pPr>
              <w:widowControl/>
              <w:jc w:val="right"/>
              <w:rPr>
                <w:kern w:val="0"/>
                <w:sz w:val="20"/>
              </w:rPr>
            </w:pPr>
            <w:r w:rsidRPr="00E4191C">
              <w:rPr>
                <w:kern w:val="0"/>
                <w:sz w:val="20"/>
              </w:rPr>
              <w:t>0.2948</w:t>
            </w:r>
          </w:p>
        </w:tc>
        <w:tc>
          <w:tcPr>
            <w:tcW w:w="1360" w:type="dxa"/>
            <w:tcBorders>
              <w:top w:val="nil"/>
              <w:left w:val="nil"/>
              <w:bottom w:val="nil"/>
              <w:right w:val="nil"/>
            </w:tcBorders>
            <w:shd w:val="clear" w:color="auto" w:fill="auto"/>
            <w:noWrap/>
            <w:vAlign w:val="bottom"/>
            <w:hideMark/>
          </w:tcPr>
          <w:p w14:paraId="1CA252BD" w14:textId="77777777" w:rsidR="00E4191C" w:rsidRPr="00E4191C" w:rsidRDefault="00E4191C" w:rsidP="00E4191C">
            <w:pPr>
              <w:widowControl/>
              <w:jc w:val="right"/>
              <w:rPr>
                <w:kern w:val="0"/>
                <w:sz w:val="20"/>
              </w:rPr>
            </w:pPr>
            <w:r w:rsidRPr="00E4191C">
              <w:rPr>
                <w:kern w:val="0"/>
                <w:sz w:val="20"/>
              </w:rPr>
              <w:t>0.295</w:t>
            </w:r>
          </w:p>
        </w:tc>
        <w:tc>
          <w:tcPr>
            <w:tcW w:w="1360" w:type="dxa"/>
            <w:tcBorders>
              <w:top w:val="nil"/>
              <w:left w:val="nil"/>
              <w:bottom w:val="nil"/>
              <w:right w:val="nil"/>
            </w:tcBorders>
            <w:shd w:val="clear" w:color="auto" w:fill="auto"/>
            <w:noWrap/>
            <w:vAlign w:val="bottom"/>
            <w:hideMark/>
          </w:tcPr>
          <w:p w14:paraId="1A4CD648" w14:textId="77777777" w:rsidR="00E4191C" w:rsidRPr="00E4191C" w:rsidRDefault="00E4191C" w:rsidP="00E4191C">
            <w:pPr>
              <w:widowControl/>
              <w:jc w:val="right"/>
              <w:rPr>
                <w:kern w:val="0"/>
                <w:sz w:val="20"/>
              </w:rPr>
            </w:pPr>
            <w:r w:rsidRPr="00E4191C">
              <w:rPr>
                <w:kern w:val="0"/>
                <w:sz w:val="20"/>
              </w:rPr>
              <w:t>0.0931</w:t>
            </w:r>
          </w:p>
        </w:tc>
        <w:tc>
          <w:tcPr>
            <w:tcW w:w="1360" w:type="dxa"/>
            <w:tcBorders>
              <w:top w:val="nil"/>
              <w:left w:val="nil"/>
              <w:bottom w:val="nil"/>
              <w:right w:val="nil"/>
            </w:tcBorders>
            <w:shd w:val="clear" w:color="auto" w:fill="auto"/>
            <w:noWrap/>
            <w:vAlign w:val="bottom"/>
            <w:hideMark/>
          </w:tcPr>
          <w:p w14:paraId="10C555C9" w14:textId="77777777" w:rsidR="00E4191C" w:rsidRPr="00E4191C" w:rsidRDefault="00E4191C" w:rsidP="00E4191C">
            <w:pPr>
              <w:widowControl/>
              <w:jc w:val="right"/>
              <w:rPr>
                <w:kern w:val="0"/>
                <w:sz w:val="20"/>
              </w:rPr>
            </w:pPr>
            <w:r w:rsidRPr="00E4191C">
              <w:rPr>
                <w:kern w:val="0"/>
                <w:sz w:val="20"/>
              </w:rPr>
              <w:t>-0.3351</w:t>
            </w:r>
          </w:p>
        </w:tc>
      </w:tr>
      <w:tr w:rsidR="00E4191C" w:rsidRPr="00E4191C" w14:paraId="0BC822CA" w14:textId="77777777" w:rsidTr="00E4191C">
        <w:trPr>
          <w:trHeight w:val="411"/>
        </w:trPr>
        <w:tc>
          <w:tcPr>
            <w:tcW w:w="2020" w:type="dxa"/>
            <w:tcBorders>
              <w:top w:val="nil"/>
              <w:left w:val="nil"/>
              <w:bottom w:val="nil"/>
              <w:right w:val="nil"/>
            </w:tcBorders>
            <w:shd w:val="clear" w:color="auto" w:fill="auto"/>
            <w:noWrap/>
            <w:vAlign w:val="bottom"/>
            <w:hideMark/>
          </w:tcPr>
          <w:p w14:paraId="1B9354EA" w14:textId="77777777" w:rsidR="00E4191C" w:rsidRPr="00E4191C" w:rsidRDefault="00E4191C" w:rsidP="00E4191C">
            <w:pPr>
              <w:widowControl/>
              <w:jc w:val="center"/>
              <w:rPr>
                <w:kern w:val="0"/>
                <w:sz w:val="20"/>
              </w:rPr>
            </w:pPr>
            <w:r w:rsidRPr="00E4191C">
              <w:rPr>
                <w:kern w:val="0"/>
                <w:sz w:val="20"/>
              </w:rPr>
              <w:t>重仓股票占基金市值</w:t>
            </w:r>
          </w:p>
        </w:tc>
        <w:tc>
          <w:tcPr>
            <w:tcW w:w="1360" w:type="dxa"/>
            <w:tcBorders>
              <w:top w:val="nil"/>
              <w:left w:val="nil"/>
              <w:bottom w:val="nil"/>
              <w:right w:val="nil"/>
            </w:tcBorders>
            <w:shd w:val="clear" w:color="auto" w:fill="auto"/>
            <w:noWrap/>
            <w:vAlign w:val="bottom"/>
            <w:hideMark/>
          </w:tcPr>
          <w:p w14:paraId="7E2D4CAD" w14:textId="77777777" w:rsidR="00E4191C" w:rsidRPr="00E4191C" w:rsidRDefault="00E4191C" w:rsidP="00E4191C">
            <w:pPr>
              <w:widowControl/>
              <w:jc w:val="right"/>
              <w:rPr>
                <w:kern w:val="0"/>
                <w:sz w:val="20"/>
              </w:rPr>
            </w:pPr>
            <w:r w:rsidRPr="00E4191C">
              <w:rPr>
                <w:kern w:val="0"/>
                <w:sz w:val="20"/>
              </w:rPr>
              <w:t>0.3284</w:t>
            </w:r>
          </w:p>
        </w:tc>
        <w:tc>
          <w:tcPr>
            <w:tcW w:w="1360" w:type="dxa"/>
            <w:tcBorders>
              <w:top w:val="nil"/>
              <w:left w:val="nil"/>
              <w:bottom w:val="nil"/>
              <w:right w:val="nil"/>
            </w:tcBorders>
            <w:shd w:val="clear" w:color="auto" w:fill="auto"/>
            <w:noWrap/>
            <w:vAlign w:val="bottom"/>
            <w:hideMark/>
          </w:tcPr>
          <w:p w14:paraId="2AE3877A" w14:textId="77777777" w:rsidR="00E4191C" w:rsidRPr="00E4191C" w:rsidRDefault="00E4191C" w:rsidP="00E4191C">
            <w:pPr>
              <w:widowControl/>
              <w:jc w:val="right"/>
              <w:rPr>
                <w:kern w:val="0"/>
                <w:sz w:val="20"/>
              </w:rPr>
            </w:pPr>
            <w:r w:rsidRPr="00E4191C">
              <w:rPr>
                <w:kern w:val="0"/>
                <w:sz w:val="20"/>
              </w:rPr>
              <w:t>-0.3019</w:t>
            </w:r>
          </w:p>
        </w:tc>
        <w:tc>
          <w:tcPr>
            <w:tcW w:w="1360" w:type="dxa"/>
            <w:tcBorders>
              <w:top w:val="nil"/>
              <w:left w:val="nil"/>
              <w:bottom w:val="nil"/>
              <w:right w:val="nil"/>
            </w:tcBorders>
            <w:shd w:val="clear" w:color="auto" w:fill="auto"/>
            <w:noWrap/>
            <w:vAlign w:val="bottom"/>
            <w:hideMark/>
          </w:tcPr>
          <w:p w14:paraId="75D12C42" w14:textId="77777777" w:rsidR="00E4191C" w:rsidRPr="00E4191C" w:rsidRDefault="00E4191C" w:rsidP="00E4191C">
            <w:pPr>
              <w:widowControl/>
              <w:jc w:val="right"/>
              <w:rPr>
                <w:kern w:val="0"/>
                <w:sz w:val="20"/>
              </w:rPr>
            </w:pPr>
            <w:r w:rsidRPr="00E4191C">
              <w:rPr>
                <w:kern w:val="0"/>
                <w:sz w:val="20"/>
              </w:rPr>
              <w:t>0.3876</w:t>
            </w:r>
          </w:p>
        </w:tc>
        <w:tc>
          <w:tcPr>
            <w:tcW w:w="1360" w:type="dxa"/>
            <w:tcBorders>
              <w:top w:val="nil"/>
              <w:left w:val="nil"/>
              <w:bottom w:val="nil"/>
              <w:right w:val="nil"/>
            </w:tcBorders>
            <w:shd w:val="clear" w:color="auto" w:fill="auto"/>
            <w:noWrap/>
            <w:vAlign w:val="bottom"/>
            <w:hideMark/>
          </w:tcPr>
          <w:p w14:paraId="749BD11E" w14:textId="77777777" w:rsidR="00E4191C" w:rsidRPr="00E4191C" w:rsidRDefault="00E4191C" w:rsidP="00E4191C">
            <w:pPr>
              <w:widowControl/>
              <w:jc w:val="right"/>
              <w:rPr>
                <w:kern w:val="0"/>
                <w:sz w:val="20"/>
              </w:rPr>
            </w:pPr>
            <w:r w:rsidRPr="00E4191C">
              <w:rPr>
                <w:kern w:val="0"/>
                <w:sz w:val="20"/>
              </w:rPr>
              <w:t>0.5125</w:t>
            </w:r>
          </w:p>
        </w:tc>
        <w:tc>
          <w:tcPr>
            <w:tcW w:w="1360" w:type="dxa"/>
            <w:tcBorders>
              <w:top w:val="nil"/>
              <w:left w:val="nil"/>
              <w:bottom w:val="nil"/>
              <w:right w:val="nil"/>
            </w:tcBorders>
            <w:shd w:val="clear" w:color="auto" w:fill="auto"/>
            <w:noWrap/>
            <w:vAlign w:val="bottom"/>
            <w:hideMark/>
          </w:tcPr>
          <w:p w14:paraId="18B25088" w14:textId="77777777" w:rsidR="00E4191C" w:rsidRPr="00E4191C" w:rsidRDefault="00E4191C" w:rsidP="00E4191C">
            <w:pPr>
              <w:widowControl/>
              <w:jc w:val="right"/>
              <w:rPr>
                <w:kern w:val="0"/>
                <w:sz w:val="20"/>
              </w:rPr>
            </w:pPr>
            <w:r w:rsidRPr="00E4191C">
              <w:rPr>
                <w:kern w:val="0"/>
                <w:sz w:val="20"/>
              </w:rPr>
              <w:t>0.1736</w:t>
            </w:r>
          </w:p>
        </w:tc>
      </w:tr>
      <w:tr w:rsidR="00E4191C" w:rsidRPr="00E4191C" w14:paraId="0206081A" w14:textId="77777777" w:rsidTr="00E4191C">
        <w:trPr>
          <w:trHeight w:val="411"/>
        </w:trPr>
        <w:tc>
          <w:tcPr>
            <w:tcW w:w="2020" w:type="dxa"/>
            <w:tcBorders>
              <w:top w:val="nil"/>
              <w:left w:val="nil"/>
              <w:bottom w:val="nil"/>
              <w:right w:val="nil"/>
            </w:tcBorders>
            <w:shd w:val="clear" w:color="auto" w:fill="auto"/>
            <w:noWrap/>
            <w:vAlign w:val="bottom"/>
            <w:hideMark/>
          </w:tcPr>
          <w:p w14:paraId="17EB4766" w14:textId="77777777" w:rsidR="00E4191C" w:rsidRPr="00E4191C" w:rsidRDefault="00E4191C" w:rsidP="00E4191C">
            <w:pPr>
              <w:widowControl/>
              <w:jc w:val="left"/>
              <w:rPr>
                <w:kern w:val="0"/>
                <w:sz w:val="20"/>
              </w:rPr>
            </w:pPr>
            <w:r w:rsidRPr="00E4191C">
              <w:rPr>
                <w:kern w:val="0"/>
                <w:sz w:val="20"/>
              </w:rPr>
              <w:t>重仓股票</w:t>
            </w:r>
            <w:r w:rsidRPr="00E4191C">
              <w:rPr>
                <w:kern w:val="0"/>
                <w:sz w:val="20"/>
              </w:rPr>
              <w:t>ESG</w:t>
            </w:r>
            <w:r w:rsidRPr="00E4191C">
              <w:rPr>
                <w:kern w:val="0"/>
                <w:sz w:val="20"/>
              </w:rPr>
              <w:t>评分</w:t>
            </w:r>
          </w:p>
        </w:tc>
        <w:tc>
          <w:tcPr>
            <w:tcW w:w="1360" w:type="dxa"/>
            <w:tcBorders>
              <w:top w:val="nil"/>
              <w:left w:val="nil"/>
              <w:bottom w:val="nil"/>
              <w:right w:val="nil"/>
            </w:tcBorders>
            <w:shd w:val="clear" w:color="auto" w:fill="auto"/>
            <w:noWrap/>
            <w:vAlign w:val="bottom"/>
            <w:hideMark/>
          </w:tcPr>
          <w:p w14:paraId="381EC762" w14:textId="77777777" w:rsidR="00E4191C" w:rsidRPr="00E4191C" w:rsidRDefault="00E4191C" w:rsidP="00E4191C">
            <w:pPr>
              <w:widowControl/>
              <w:jc w:val="right"/>
              <w:rPr>
                <w:kern w:val="0"/>
                <w:sz w:val="20"/>
              </w:rPr>
            </w:pPr>
            <w:r w:rsidRPr="00E4191C">
              <w:rPr>
                <w:kern w:val="0"/>
                <w:sz w:val="20"/>
              </w:rPr>
              <w:t>0.1745</w:t>
            </w:r>
          </w:p>
        </w:tc>
        <w:tc>
          <w:tcPr>
            <w:tcW w:w="1360" w:type="dxa"/>
            <w:tcBorders>
              <w:top w:val="nil"/>
              <w:left w:val="nil"/>
              <w:bottom w:val="nil"/>
              <w:right w:val="nil"/>
            </w:tcBorders>
            <w:shd w:val="clear" w:color="auto" w:fill="auto"/>
            <w:noWrap/>
            <w:vAlign w:val="bottom"/>
            <w:hideMark/>
          </w:tcPr>
          <w:p w14:paraId="0FD3BE57" w14:textId="77777777" w:rsidR="00E4191C" w:rsidRPr="00E4191C" w:rsidRDefault="00E4191C" w:rsidP="00E4191C">
            <w:pPr>
              <w:widowControl/>
              <w:jc w:val="right"/>
              <w:rPr>
                <w:kern w:val="0"/>
                <w:sz w:val="20"/>
              </w:rPr>
            </w:pPr>
            <w:r w:rsidRPr="00E4191C">
              <w:rPr>
                <w:kern w:val="0"/>
                <w:sz w:val="20"/>
              </w:rPr>
              <w:t>-0.1076</w:t>
            </w:r>
          </w:p>
        </w:tc>
        <w:tc>
          <w:tcPr>
            <w:tcW w:w="1360" w:type="dxa"/>
            <w:tcBorders>
              <w:top w:val="nil"/>
              <w:left w:val="nil"/>
              <w:bottom w:val="nil"/>
              <w:right w:val="nil"/>
            </w:tcBorders>
            <w:shd w:val="clear" w:color="auto" w:fill="auto"/>
            <w:noWrap/>
            <w:vAlign w:val="bottom"/>
            <w:hideMark/>
          </w:tcPr>
          <w:p w14:paraId="4939CAE0" w14:textId="77777777" w:rsidR="00E4191C" w:rsidRPr="00E4191C" w:rsidRDefault="00E4191C" w:rsidP="00E4191C">
            <w:pPr>
              <w:widowControl/>
              <w:jc w:val="right"/>
              <w:rPr>
                <w:kern w:val="0"/>
                <w:sz w:val="20"/>
              </w:rPr>
            </w:pPr>
            <w:r w:rsidRPr="00E4191C">
              <w:rPr>
                <w:kern w:val="0"/>
                <w:sz w:val="20"/>
              </w:rPr>
              <w:t>0.0247</w:t>
            </w:r>
          </w:p>
        </w:tc>
        <w:tc>
          <w:tcPr>
            <w:tcW w:w="1360" w:type="dxa"/>
            <w:tcBorders>
              <w:top w:val="nil"/>
              <w:left w:val="nil"/>
              <w:bottom w:val="nil"/>
              <w:right w:val="nil"/>
            </w:tcBorders>
            <w:shd w:val="clear" w:color="auto" w:fill="auto"/>
            <w:noWrap/>
            <w:vAlign w:val="bottom"/>
            <w:hideMark/>
          </w:tcPr>
          <w:p w14:paraId="4928C0DA" w14:textId="77777777" w:rsidR="00E4191C" w:rsidRPr="00E4191C" w:rsidRDefault="00E4191C" w:rsidP="00E4191C">
            <w:pPr>
              <w:widowControl/>
              <w:jc w:val="right"/>
              <w:rPr>
                <w:kern w:val="0"/>
                <w:sz w:val="20"/>
              </w:rPr>
            </w:pPr>
            <w:r w:rsidRPr="00E4191C">
              <w:rPr>
                <w:kern w:val="0"/>
                <w:sz w:val="20"/>
              </w:rPr>
              <w:t>0.0687</w:t>
            </w:r>
          </w:p>
        </w:tc>
        <w:tc>
          <w:tcPr>
            <w:tcW w:w="1360" w:type="dxa"/>
            <w:tcBorders>
              <w:top w:val="nil"/>
              <w:left w:val="nil"/>
              <w:bottom w:val="nil"/>
              <w:right w:val="nil"/>
            </w:tcBorders>
            <w:shd w:val="clear" w:color="auto" w:fill="auto"/>
            <w:noWrap/>
            <w:vAlign w:val="bottom"/>
            <w:hideMark/>
          </w:tcPr>
          <w:p w14:paraId="3B7B3DFE" w14:textId="77777777" w:rsidR="00E4191C" w:rsidRPr="00E4191C" w:rsidRDefault="00E4191C" w:rsidP="00E4191C">
            <w:pPr>
              <w:widowControl/>
              <w:jc w:val="right"/>
              <w:rPr>
                <w:kern w:val="0"/>
                <w:sz w:val="20"/>
              </w:rPr>
            </w:pPr>
            <w:r w:rsidRPr="00E4191C">
              <w:rPr>
                <w:kern w:val="0"/>
                <w:sz w:val="20"/>
              </w:rPr>
              <w:t>0.8101</w:t>
            </w:r>
          </w:p>
        </w:tc>
      </w:tr>
      <w:tr w:rsidR="00E4191C" w:rsidRPr="00E4191C" w14:paraId="70B7AC5E" w14:textId="77777777" w:rsidTr="00E4191C">
        <w:trPr>
          <w:trHeight w:val="411"/>
        </w:trPr>
        <w:tc>
          <w:tcPr>
            <w:tcW w:w="2020" w:type="dxa"/>
            <w:tcBorders>
              <w:top w:val="nil"/>
              <w:left w:val="nil"/>
              <w:bottom w:val="nil"/>
              <w:right w:val="nil"/>
            </w:tcBorders>
            <w:shd w:val="clear" w:color="auto" w:fill="auto"/>
            <w:noWrap/>
            <w:vAlign w:val="bottom"/>
            <w:hideMark/>
          </w:tcPr>
          <w:p w14:paraId="3C718438" w14:textId="77777777" w:rsidR="00E4191C" w:rsidRPr="00E4191C" w:rsidRDefault="00E4191C" w:rsidP="00E4191C">
            <w:pPr>
              <w:widowControl/>
              <w:jc w:val="center"/>
              <w:rPr>
                <w:kern w:val="0"/>
                <w:sz w:val="20"/>
              </w:rPr>
            </w:pPr>
            <w:r w:rsidRPr="00E4191C">
              <w:rPr>
                <w:kern w:val="0"/>
                <w:sz w:val="20"/>
              </w:rPr>
              <w:t>基金</w:t>
            </w:r>
            <w:r w:rsidRPr="00E4191C">
              <w:rPr>
                <w:kern w:val="0"/>
                <w:sz w:val="20"/>
              </w:rPr>
              <w:t>E</w:t>
            </w:r>
            <w:r w:rsidRPr="00E4191C">
              <w:rPr>
                <w:kern w:val="0"/>
                <w:sz w:val="20"/>
              </w:rPr>
              <w:t>环境评分</w:t>
            </w:r>
          </w:p>
        </w:tc>
        <w:tc>
          <w:tcPr>
            <w:tcW w:w="1360" w:type="dxa"/>
            <w:tcBorders>
              <w:top w:val="nil"/>
              <w:left w:val="nil"/>
              <w:bottom w:val="nil"/>
              <w:right w:val="nil"/>
            </w:tcBorders>
            <w:shd w:val="clear" w:color="auto" w:fill="auto"/>
            <w:noWrap/>
            <w:vAlign w:val="bottom"/>
            <w:hideMark/>
          </w:tcPr>
          <w:p w14:paraId="69EA29B7" w14:textId="77777777" w:rsidR="00E4191C" w:rsidRPr="00E4191C" w:rsidRDefault="00E4191C" w:rsidP="00E4191C">
            <w:pPr>
              <w:widowControl/>
              <w:jc w:val="right"/>
              <w:rPr>
                <w:kern w:val="0"/>
                <w:sz w:val="20"/>
              </w:rPr>
            </w:pPr>
            <w:r w:rsidRPr="00E4191C">
              <w:rPr>
                <w:kern w:val="0"/>
                <w:sz w:val="20"/>
              </w:rPr>
              <w:t>-0.1075</w:t>
            </w:r>
          </w:p>
        </w:tc>
        <w:tc>
          <w:tcPr>
            <w:tcW w:w="1360" w:type="dxa"/>
            <w:tcBorders>
              <w:top w:val="nil"/>
              <w:left w:val="nil"/>
              <w:bottom w:val="nil"/>
              <w:right w:val="nil"/>
            </w:tcBorders>
            <w:shd w:val="clear" w:color="auto" w:fill="auto"/>
            <w:noWrap/>
            <w:vAlign w:val="bottom"/>
            <w:hideMark/>
          </w:tcPr>
          <w:p w14:paraId="574F4C5D" w14:textId="77777777" w:rsidR="00E4191C" w:rsidRPr="00E4191C" w:rsidRDefault="00E4191C" w:rsidP="00E4191C">
            <w:pPr>
              <w:widowControl/>
              <w:jc w:val="right"/>
              <w:rPr>
                <w:kern w:val="0"/>
                <w:sz w:val="20"/>
              </w:rPr>
            </w:pPr>
            <w:r w:rsidRPr="00E4191C">
              <w:rPr>
                <w:kern w:val="0"/>
                <w:sz w:val="20"/>
              </w:rPr>
              <w:t>-0.0534</w:t>
            </w:r>
          </w:p>
        </w:tc>
        <w:tc>
          <w:tcPr>
            <w:tcW w:w="1360" w:type="dxa"/>
            <w:tcBorders>
              <w:top w:val="nil"/>
              <w:left w:val="nil"/>
              <w:bottom w:val="nil"/>
              <w:right w:val="nil"/>
            </w:tcBorders>
            <w:shd w:val="clear" w:color="auto" w:fill="auto"/>
            <w:noWrap/>
            <w:vAlign w:val="bottom"/>
            <w:hideMark/>
          </w:tcPr>
          <w:p w14:paraId="1831616E" w14:textId="77777777" w:rsidR="00E4191C" w:rsidRPr="00E4191C" w:rsidRDefault="00E4191C" w:rsidP="00E4191C">
            <w:pPr>
              <w:widowControl/>
              <w:jc w:val="right"/>
              <w:rPr>
                <w:kern w:val="0"/>
                <w:sz w:val="20"/>
              </w:rPr>
            </w:pPr>
            <w:r w:rsidRPr="00E4191C">
              <w:rPr>
                <w:kern w:val="0"/>
                <w:sz w:val="20"/>
              </w:rPr>
              <w:t>0.845</w:t>
            </w:r>
          </w:p>
        </w:tc>
        <w:tc>
          <w:tcPr>
            <w:tcW w:w="1360" w:type="dxa"/>
            <w:tcBorders>
              <w:top w:val="nil"/>
              <w:left w:val="nil"/>
              <w:bottom w:val="nil"/>
              <w:right w:val="nil"/>
            </w:tcBorders>
            <w:shd w:val="clear" w:color="auto" w:fill="auto"/>
            <w:noWrap/>
            <w:vAlign w:val="bottom"/>
            <w:hideMark/>
          </w:tcPr>
          <w:p w14:paraId="3973840A" w14:textId="77777777" w:rsidR="00E4191C" w:rsidRPr="00E4191C" w:rsidRDefault="00E4191C" w:rsidP="00E4191C">
            <w:pPr>
              <w:widowControl/>
              <w:jc w:val="right"/>
              <w:rPr>
                <w:kern w:val="0"/>
                <w:sz w:val="20"/>
              </w:rPr>
            </w:pPr>
            <w:r w:rsidRPr="00E4191C">
              <w:rPr>
                <w:kern w:val="0"/>
                <w:sz w:val="20"/>
              </w:rPr>
              <w:t>-0.0539</w:t>
            </w:r>
          </w:p>
        </w:tc>
        <w:tc>
          <w:tcPr>
            <w:tcW w:w="1360" w:type="dxa"/>
            <w:tcBorders>
              <w:top w:val="nil"/>
              <w:left w:val="nil"/>
              <w:bottom w:val="nil"/>
              <w:right w:val="nil"/>
            </w:tcBorders>
            <w:shd w:val="clear" w:color="auto" w:fill="auto"/>
            <w:noWrap/>
            <w:vAlign w:val="bottom"/>
            <w:hideMark/>
          </w:tcPr>
          <w:p w14:paraId="1F9D4DA0" w14:textId="77777777" w:rsidR="00E4191C" w:rsidRPr="00E4191C" w:rsidRDefault="00E4191C" w:rsidP="00E4191C">
            <w:pPr>
              <w:widowControl/>
              <w:jc w:val="right"/>
              <w:rPr>
                <w:kern w:val="0"/>
                <w:sz w:val="20"/>
              </w:rPr>
            </w:pPr>
            <w:r w:rsidRPr="00E4191C">
              <w:rPr>
                <w:kern w:val="0"/>
                <w:sz w:val="20"/>
              </w:rPr>
              <w:t>-0.1965</w:t>
            </w:r>
          </w:p>
        </w:tc>
      </w:tr>
      <w:tr w:rsidR="00E4191C" w:rsidRPr="00E4191C" w14:paraId="1887A407" w14:textId="77777777" w:rsidTr="00E4191C">
        <w:trPr>
          <w:trHeight w:val="411"/>
        </w:trPr>
        <w:tc>
          <w:tcPr>
            <w:tcW w:w="2020" w:type="dxa"/>
            <w:tcBorders>
              <w:top w:val="nil"/>
              <w:left w:val="nil"/>
              <w:bottom w:val="nil"/>
              <w:right w:val="nil"/>
            </w:tcBorders>
            <w:shd w:val="clear" w:color="auto" w:fill="auto"/>
            <w:noWrap/>
            <w:vAlign w:val="bottom"/>
            <w:hideMark/>
          </w:tcPr>
          <w:p w14:paraId="515C89A9" w14:textId="77777777" w:rsidR="00E4191C" w:rsidRPr="00E4191C" w:rsidRDefault="00E4191C" w:rsidP="00E4191C">
            <w:pPr>
              <w:widowControl/>
              <w:jc w:val="center"/>
              <w:rPr>
                <w:kern w:val="0"/>
                <w:sz w:val="20"/>
              </w:rPr>
            </w:pPr>
            <w:r w:rsidRPr="00E4191C">
              <w:rPr>
                <w:kern w:val="0"/>
                <w:sz w:val="20"/>
              </w:rPr>
              <w:t>基金</w:t>
            </w:r>
            <w:r w:rsidRPr="00E4191C">
              <w:rPr>
                <w:kern w:val="0"/>
                <w:sz w:val="20"/>
              </w:rPr>
              <w:t>S</w:t>
            </w:r>
            <w:r w:rsidRPr="00E4191C">
              <w:rPr>
                <w:kern w:val="0"/>
                <w:sz w:val="20"/>
              </w:rPr>
              <w:t>社会评分</w:t>
            </w:r>
          </w:p>
        </w:tc>
        <w:tc>
          <w:tcPr>
            <w:tcW w:w="1360" w:type="dxa"/>
            <w:tcBorders>
              <w:top w:val="nil"/>
              <w:left w:val="nil"/>
              <w:bottom w:val="nil"/>
              <w:right w:val="nil"/>
            </w:tcBorders>
            <w:shd w:val="clear" w:color="auto" w:fill="auto"/>
            <w:noWrap/>
            <w:vAlign w:val="bottom"/>
            <w:hideMark/>
          </w:tcPr>
          <w:p w14:paraId="6619E771" w14:textId="77777777" w:rsidR="00E4191C" w:rsidRPr="00E4191C" w:rsidRDefault="00E4191C" w:rsidP="00E4191C">
            <w:pPr>
              <w:widowControl/>
              <w:jc w:val="right"/>
              <w:rPr>
                <w:kern w:val="0"/>
                <w:sz w:val="20"/>
              </w:rPr>
            </w:pPr>
            <w:r w:rsidRPr="00E4191C">
              <w:rPr>
                <w:kern w:val="0"/>
                <w:sz w:val="20"/>
              </w:rPr>
              <w:t>0.0231</w:t>
            </w:r>
          </w:p>
        </w:tc>
        <w:tc>
          <w:tcPr>
            <w:tcW w:w="1360" w:type="dxa"/>
            <w:tcBorders>
              <w:top w:val="nil"/>
              <w:left w:val="nil"/>
              <w:bottom w:val="nil"/>
              <w:right w:val="nil"/>
            </w:tcBorders>
            <w:shd w:val="clear" w:color="auto" w:fill="auto"/>
            <w:noWrap/>
            <w:vAlign w:val="bottom"/>
            <w:hideMark/>
          </w:tcPr>
          <w:p w14:paraId="0AD0CC18" w14:textId="77777777" w:rsidR="00E4191C" w:rsidRPr="00E4191C" w:rsidRDefault="00E4191C" w:rsidP="00E4191C">
            <w:pPr>
              <w:widowControl/>
              <w:jc w:val="right"/>
              <w:rPr>
                <w:kern w:val="0"/>
                <w:sz w:val="20"/>
              </w:rPr>
            </w:pPr>
            <w:r w:rsidRPr="00E4191C">
              <w:rPr>
                <w:kern w:val="0"/>
                <w:sz w:val="20"/>
              </w:rPr>
              <w:t>-0.0877</w:t>
            </w:r>
          </w:p>
        </w:tc>
        <w:tc>
          <w:tcPr>
            <w:tcW w:w="1360" w:type="dxa"/>
            <w:tcBorders>
              <w:top w:val="nil"/>
              <w:left w:val="nil"/>
              <w:bottom w:val="nil"/>
              <w:right w:val="nil"/>
            </w:tcBorders>
            <w:shd w:val="clear" w:color="auto" w:fill="auto"/>
            <w:noWrap/>
            <w:vAlign w:val="bottom"/>
            <w:hideMark/>
          </w:tcPr>
          <w:p w14:paraId="073279BB" w14:textId="77777777" w:rsidR="00E4191C" w:rsidRPr="00E4191C" w:rsidRDefault="00E4191C" w:rsidP="00E4191C">
            <w:pPr>
              <w:widowControl/>
              <w:jc w:val="right"/>
              <w:rPr>
                <w:kern w:val="0"/>
                <w:sz w:val="20"/>
              </w:rPr>
            </w:pPr>
            <w:r w:rsidRPr="00E4191C">
              <w:rPr>
                <w:kern w:val="0"/>
                <w:sz w:val="20"/>
              </w:rPr>
              <w:t>0.5116</w:t>
            </w:r>
          </w:p>
        </w:tc>
        <w:tc>
          <w:tcPr>
            <w:tcW w:w="1360" w:type="dxa"/>
            <w:tcBorders>
              <w:top w:val="nil"/>
              <w:left w:val="nil"/>
              <w:bottom w:val="nil"/>
              <w:right w:val="nil"/>
            </w:tcBorders>
            <w:shd w:val="clear" w:color="auto" w:fill="auto"/>
            <w:noWrap/>
            <w:vAlign w:val="bottom"/>
            <w:hideMark/>
          </w:tcPr>
          <w:p w14:paraId="3674B993" w14:textId="77777777" w:rsidR="00E4191C" w:rsidRPr="00E4191C" w:rsidRDefault="00E4191C" w:rsidP="00E4191C">
            <w:pPr>
              <w:widowControl/>
              <w:jc w:val="right"/>
              <w:rPr>
                <w:kern w:val="0"/>
                <w:sz w:val="20"/>
              </w:rPr>
            </w:pPr>
            <w:r w:rsidRPr="00E4191C">
              <w:rPr>
                <w:kern w:val="0"/>
                <w:sz w:val="20"/>
              </w:rPr>
              <w:t>-0.6611</w:t>
            </w:r>
          </w:p>
        </w:tc>
        <w:tc>
          <w:tcPr>
            <w:tcW w:w="1360" w:type="dxa"/>
            <w:tcBorders>
              <w:top w:val="nil"/>
              <w:left w:val="nil"/>
              <w:bottom w:val="nil"/>
              <w:right w:val="nil"/>
            </w:tcBorders>
            <w:shd w:val="clear" w:color="auto" w:fill="auto"/>
            <w:noWrap/>
            <w:vAlign w:val="bottom"/>
            <w:hideMark/>
          </w:tcPr>
          <w:p w14:paraId="3700108C" w14:textId="77777777" w:rsidR="00E4191C" w:rsidRPr="00E4191C" w:rsidRDefault="00E4191C" w:rsidP="00E4191C">
            <w:pPr>
              <w:widowControl/>
              <w:jc w:val="right"/>
              <w:rPr>
                <w:kern w:val="0"/>
                <w:sz w:val="20"/>
              </w:rPr>
            </w:pPr>
            <w:r w:rsidRPr="00E4191C">
              <w:rPr>
                <w:kern w:val="0"/>
                <w:sz w:val="20"/>
              </w:rPr>
              <w:t>0.0048</w:t>
            </w:r>
          </w:p>
        </w:tc>
      </w:tr>
      <w:tr w:rsidR="00E4191C" w:rsidRPr="00E4191C" w14:paraId="19D6D8C9" w14:textId="77777777" w:rsidTr="00E4191C">
        <w:trPr>
          <w:trHeight w:val="411"/>
        </w:trPr>
        <w:tc>
          <w:tcPr>
            <w:tcW w:w="2020" w:type="dxa"/>
            <w:tcBorders>
              <w:top w:val="nil"/>
              <w:left w:val="nil"/>
              <w:bottom w:val="single" w:sz="12" w:space="0" w:color="auto"/>
              <w:right w:val="nil"/>
            </w:tcBorders>
            <w:shd w:val="clear" w:color="auto" w:fill="auto"/>
            <w:noWrap/>
            <w:vAlign w:val="bottom"/>
            <w:hideMark/>
          </w:tcPr>
          <w:p w14:paraId="26AC59DD" w14:textId="77777777" w:rsidR="00E4191C" w:rsidRPr="00E4191C" w:rsidRDefault="00E4191C" w:rsidP="00E4191C">
            <w:pPr>
              <w:widowControl/>
              <w:jc w:val="center"/>
              <w:rPr>
                <w:kern w:val="0"/>
                <w:sz w:val="20"/>
              </w:rPr>
            </w:pPr>
            <w:r w:rsidRPr="00E4191C">
              <w:rPr>
                <w:kern w:val="0"/>
                <w:sz w:val="20"/>
              </w:rPr>
              <w:t>基金</w:t>
            </w:r>
            <w:r w:rsidRPr="00E4191C">
              <w:rPr>
                <w:kern w:val="0"/>
                <w:sz w:val="20"/>
              </w:rPr>
              <w:t>G</w:t>
            </w:r>
            <w:r w:rsidRPr="00E4191C">
              <w:rPr>
                <w:kern w:val="0"/>
                <w:sz w:val="20"/>
              </w:rPr>
              <w:t>治理评分</w:t>
            </w:r>
          </w:p>
        </w:tc>
        <w:tc>
          <w:tcPr>
            <w:tcW w:w="1360" w:type="dxa"/>
            <w:tcBorders>
              <w:top w:val="nil"/>
              <w:left w:val="nil"/>
              <w:bottom w:val="single" w:sz="12" w:space="0" w:color="auto"/>
              <w:right w:val="nil"/>
            </w:tcBorders>
            <w:shd w:val="clear" w:color="auto" w:fill="auto"/>
            <w:noWrap/>
            <w:vAlign w:val="bottom"/>
            <w:hideMark/>
          </w:tcPr>
          <w:p w14:paraId="3D004B67" w14:textId="77777777" w:rsidR="00E4191C" w:rsidRPr="00E4191C" w:rsidRDefault="00E4191C" w:rsidP="00E4191C">
            <w:pPr>
              <w:widowControl/>
              <w:jc w:val="right"/>
              <w:rPr>
                <w:kern w:val="0"/>
                <w:sz w:val="20"/>
              </w:rPr>
            </w:pPr>
            <w:r w:rsidRPr="00E4191C">
              <w:rPr>
                <w:kern w:val="0"/>
                <w:sz w:val="20"/>
              </w:rPr>
              <w:t>-0.3091</w:t>
            </w:r>
          </w:p>
        </w:tc>
        <w:tc>
          <w:tcPr>
            <w:tcW w:w="1360" w:type="dxa"/>
            <w:tcBorders>
              <w:top w:val="nil"/>
              <w:left w:val="nil"/>
              <w:bottom w:val="single" w:sz="12" w:space="0" w:color="auto"/>
              <w:right w:val="nil"/>
            </w:tcBorders>
            <w:shd w:val="clear" w:color="auto" w:fill="auto"/>
            <w:noWrap/>
            <w:vAlign w:val="bottom"/>
            <w:hideMark/>
          </w:tcPr>
          <w:p w14:paraId="4F597945" w14:textId="77777777" w:rsidR="00E4191C" w:rsidRPr="00E4191C" w:rsidRDefault="00E4191C" w:rsidP="00E4191C">
            <w:pPr>
              <w:widowControl/>
              <w:jc w:val="right"/>
              <w:rPr>
                <w:kern w:val="0"/>
                <w:sz w:val="20"/>
              </w:rPr>
            </w:pPr>
            <w:r w:rsidRPr="00E4191C">
              <w:rPr>
                <w:kern w:val="0"/>
                <w:sz w:val="20"/>
              </w:rPr>
              <w:t>-0.2486</w:t>
            </w:r>
          </w:p>
        </w:tc>
        <w:tc>
          <w:tcPr>
            <w:tcW w:w="1360" w:type="dxa"/>
            <w:tcBorders>
              <w:top w:val="nil"/>
              <w:left w:val="nil"/>
              <w:bottom w:val="single" w:sz="12" w:space="0" w:color="auto"/>
              <w:right w:val="nil"/>
            </w:tcBorders>
            <w:shd w:val="clear" w:color="auto" w:fill="auto"/>
            <w:noWrap/>
            <w:vAlign w:val="bottom"/>
            <w:hideMark/>
          </w:tcPr>
          <w:p w14:paraId="368E3784" w14:textId="77777777" w:rsidR="00E4191C" w:rsidRPr="00E4191C" w:rsidRDefault="00E4191C" w:rsidP="00E4191C">
            <w:pPr>
              <w:widowControl/>
              <w:jc w:val="right"/>
              <w:rPr>
                <w:kern w:val="0"/>
                <w:sz w:val="20"/>
              </w:rPr>
            </w:pPr>
            <w:r w:rsidRPr="00E4191C">
              <w:rPr>
                <w:kern w:val="0"/>
                <w:sz w:val="20"/>
              </w:rPr>
              <w:t>0.5955</w:t>
            </w:r>
          </w:p>
        </w:tc>
        <w:tc>
          <w:tcPr>
            <w:tcW w:w="1360" w:type="dxa"/>
            <w:tcBorders>
              <w:top w:val="nil"/>
              <w:left w:val="nil"/>
              <w:bottom w:val="single" w:sz="12" w:space="0" w:color="auto"/>
              <w:right w:val="nil"/>
            </w:tcBorders>
            <w:shd w:val="clear" w:color="auto" w:fill="auto"/>
            <w:noWrap/>
            <w:vAlign w:val="bottom"/>
            <w:hideMark/>
          </w:tcPr>
          <w:p w14:paraId="08F48891" w14:textId="77777777" w:rsidR="00E4191C" w:rsidRPr="00E4191C" w:rsidRDefault="00E4191C" w:rsidP="00E4191C">
            <w:pPr>
              <w:widowControl/>
              <w:jc w:val="right"/>
              <w:rPr>
                <w:kern w:val="0"/>
                <w:sz w:val="20"/>
              </w:rPr>
            </w:pPr>
            <w:r w:rsidRPr="00E4191C">
              <w:rPr>
                <w:kern w:val="0"/>
                <w:sz w:val="20"/>
              </w:rPr>
              <w:t>0.4057</w:t>
            </w:r>
          </w:p>
        </w:tc>
        <w:tc>
          <w:tcPr>
            <w:tcW w:w="1360" w:type="dxa"/>
            <w:tcBorders>
              <w:top w:val="nil"/>
              <w:left w:val="nil"/>
              <w:bottom w:val="single" w:sz="12" w:space="0" w:color="auto"/>
              <w:right w:val="nil"/>
            </w:tcBorders>
            <w:shd w:val="clear" w:color="auto" w:fill="auto"/>
            <w:noWrap/>
            <w:vAlign w:val="bottom"/>
            <w:hideMark/>
          </w:tcPr>
          <w:p w14:paraId="2827CC56" w14:textId="77777777" w:rsidR="00E4191C" w:rsidRPr="00E4191C" w:rsidRDefault="00E4191C" w:rsidP="00E4191C">
            <w:pPr>
              <w:widowControl/>
              <w:jc w:val="right"/>
              <w:rPr>
                <w:kern w:val="0"/>
                <w:sz w:val="20"/>
              </w:rPr>
            </w:pPr>
            <w:r w:rsidRPr="00E4191C">
              <w:rPr>
                <w:kern w:val="0"/>
                <w:sz w:val="20"/>
              </w:rPr>
              <w:t>0.1428</w:t>
            </w:r>
          </w:p>
        </w:tc>
      </w:tr>
    </w:tbl>
    <w:p w14:paraId="63C6FED9" w14:textId="2DCE0297" w:rsidR="00E4191C" w:rsidRPr="006F7242" w:rsidRDefault="00E4191C" w:rsidP="00E4191C">
      <w:pPr>
        <w:spacing w:line="360" w:lineRule="auto"/>
        <w:ind w:firstLineChars="200" w:firstLine="480"/>
        <w:rPr>
          <w:sz w:val="24"/>
          <w:szCs w:val="24"/>
        </w:rPr>
      </w:pPr>
      <w:r w:rsidRPr="006F7242">
        <w:rPr>
          <w:sz w:val="24"/>
          <w:szCs w:val="24"/>
        </w:rPr>
        <w:t>由主因子旋转矩阵可知，</w:t>
      </w:r>
      <w:bookmarkStart w:id="47" w:name="_Hlk103673987"/>
      <w:r w:rsidRPr="006F7242">
        <w:rPr>
          <w:sz w:val="24"/>
          <w:szCs w:val="24"/>
        </w:rPr>
        <w:t>第一成分主要代表了收益标准差、年化波动率、非系统风险、跟踪误差，所以把因子</w:t>
      </w:r>
      <w:r w:rsidRPr="006F7242">
        <w:rPr>
          <w:sz w:val="24"/>
          <w:szCs w:val="24"/>
        </w:rPr>
        <w:t>1</w:t>
      </w:r>
      <w:r w:rsidRPr="006F7242">
        <w:rPr>
          <w:sz w:val="24"/>
          <w:szCs w:val="24"/>
        </w:rPr>
        <w:t>命名为风险因子</w:t>
      </w:r>
      <w:r w:rsidR="006F7242" w:rsidRPr="006F7242">
        <w:rPr>
          <w:sz w:val="24"/>
          <w:szCs w:val="24"/>
        </w:rPr>
        <w:t>F1</w:t>
      </w:r>
      <w:bookmarkEnd w:id="47"/>
      <w:r w:rsidRPr="006F7242">
        <w:rPr>
          <w:sz w:val="24"/>
          <w:szCs w:val="24"/>
        </w:rPr>
        <w:t>。第二成分主要代表了最大回撤、选股能力、信息比率，所以把因子</w:t>
      </w:r>
      <w:r w:rsidRPr="006F7242">
        <w:rPr>
          <w:sz w:val="24"/>
          <w:szCs w:val="24"/>
        </w:rPr>
        <w:t>2</w:t>
      </w:r>
      <w:r w:rsidRPr="006F7242">
        <w:rPr>
          <w:sz w:val="24"/>
          <w:szCs w:val="24"/>
        </w:rPr>
        <w:t>命名为选股择时因子</w:t>
      </w:r>
      <w:r w:rsidR="006F7242" w:rsidRPr="006F7242">
        <w:rPr>
          <w:sz w:val="24"/>
          <w:szCs w:val="24"/>
        </w:rPr>
        <w:t>F2</w:t>
      </w:r>
      <w:r w:rsidRPr="006F7242">
        <w:rPr>
          <w:sz w:val="24"/>
          <w:szCs w:val="24"/>
        </w:rPr>
        <w:t>。第三成分主要代表了</w:t>
      </w:r>
      <w:bookmarkStart w:id="48" w:name="_Hlk101996867"/>
      <w:r w:rsidRPr="006F7242">
        <w:rPr>
          <w:sz w:val="24"/>
          <w:szCs w:val="24"/>
        </w:rPr>
        <w:t>基金</w:t>
      </w:r>
      <w:r w:rsidRPr="006F7242">
        <w:rPr>
          <w:sz w:val="24"/>
          <w:szCs w:val="24"/>
        </w:rPr>
        <w:t>E</w:t>
      </w:r>
      <w:r w:rsidRPr="006F7242">
        <w:rPr>
          <w:sz w:val="24"/>
          <w:szCs w:val="24"/>
        </w:rPr>
        <w:t>环境评分、基金</w:t>
      </w:r>
      <w:r w:rsidRPr="006F7242">
        <w:rPr>
          <w:sz w:val="24"/>
          <w:szCs w:val="24"/>
        </w:rPr>
        <w:t>S</w:t>
      </w:r>
      <w:r w:rsidRPr="006F7242">
        <w:rPr>
          <w:sz w:val="24"/>
          <w:szCs w:val="24"/>
        </w:rPr>
        <w:t>社会评分、基金</w:t>
      </w:r>
      <w:r w:rsidRPr="006F7242">
        <w:rPr>
          <w:sz w:val="24"/>
          <w:szCs w:val="24"/>
        </w:rPr>
        <w:t>G</w:t>
      </w:r>
      <w:r w:rsidRPr="006F7242">
        <w:rPr>
          <w:sz w:val="24"/>
          <w:szCs w:val="24"/>
        </w:rPr>
        <w:t>治理评分</w:t>
      </w:r>
      <w:bookmarkEnd w:id="48"/>
      <w:r w:rsidRPr="006F7242">
        <w:rPr>
          <w:sz w:val="24"/>
          <w:szCs w:val="24"/>
        </w:rPr>
        <w:t>，所以把因子</w:t>
      </w:r>
      <w:r w:rsidRPr="006F7242">
        <w:rPr>
          <w:sz w:val="24"/>
          <w:szCs w:val="24"/>
        </w:rPr>
        <w:t>3</w:t>
      </w:r>
      <w:r w:rsidRPr="006F7242">
        <w:rPr>
          <w:sz w:val="24"/>
          <w:szCs w:val="24"/>
        </w:rPr>
        <w:t>命名为</w:t>
      </w:r>
      <w:r w:rsidRPr="006F7242">
        <w:rPr>
          <w:sz w:val="24"/>
          <w:szCs w:val="24"/>
        </w:rPr>
        <w:t>ESG</w:t>
      </w:r>
      <w:r w:rsidRPr="006F7242">
        <w:rPr>
          <w:sz w:val="24"/>
          <w:szCs w:val="24"/>
        </w:rPr>
        <w:t>因子</w:t>
      </w:r>
      <w:r w:rsidR="006F7242" w:rsidRPr="006F7242">
        <w:rPr>
          <w:sz w:val="24"/>
          <w:szCs w:val="24"/>
        </w:rPr>
        <w:t>F3</w:t>
      </w:r>
      <w:r w:rsidRPr="006F7242">
        <w:rPr>
          <w:sz w:val="24"/>
          <w:szCs w:val="24"/>
        </w:rPr>
        <w:t>。第四成分主要代表了基金规模、成立年限等，所以把因子</w:t>
      </w:r>
      <w:r w:rsidRPr="006F7242">
        <w:rPr>
          <w:sz w:val="24"/>
          <w:szCs w:val="24"/>
        </w:rPr>
        <w:t>4</w:t>
      </w:r>
      <w:r w:rsidRPr="006F7242">
        <w:rPr>
          <w:sz w:val="24"/>
          <w:szCs w:val="24"/>
        </w:rPr>
        <w:t>命</w:t>
      </w:r>
      <w:r w:rsidRPr="006F7242">
        <w:rPr>
          <w:sz w:val="24"/>
          <w:szCs w:val="24"/>
        </w:rPr>
        <w:lastRenderedPageBreak/>
        <w:t>名为结构因子</w:t>
      </w:r>
      <w:r w:rsidR="006F7242" w:rsidRPr="006F7242">
        <w:rPr>
          <w:sz w:val="24"/>
          <w:szCs w:val="24"/>
        </w:rPr>
        <w:t>F4</w:t>
      </w:r>
      <w:r w:rsidRPr="006F7242">
        <w:rPr>
          <w:sz w:val="24"/>
          <w:szCs w:val="24"/>
        </w:rPr>
        <w:t>。第五成分主要代表了重仓股票占基金市场和重仓股票</w:t>
      </w:r>
      <w:r w:rsidRPr="006F7242">
        <w:rPr>
          <w:sz w:val="24"/>
          <w:szCs w:val="24"/>
        </w:rPr>
        <w:t>ESG</w:t>
      </w:r>
      <w:r w:rsidRPr="006F7242">
        <w:rPr>
          <w:sz w:val="24"/>
          <w:szCs w:val="24"/>
        </w:rPr>
        <w:t>评分，所以把因子</w:t>
      </w:r>
      <w:r w:rsidRPr="006F7242">
        <w:rPr>
          <w:sz w:val="24"/>
          <w:szCs w:val="24"/>
        </w:rPr>
        <w:t>5</w:t>
      </w:r>
      <w:r w:rsidRPr="006F7242">
        <w:rPr>
          <w:sz w:val="24"/>
          <w:szCs w:val="24"/>
        </w:rPr>
        <w:t>命名为重仓股票因子</w:t>
      </w:r>
      <w:r w:rsidR="006F7242" w:rsidRPr="006F7242">
        <w:rPr>
          <w:sz w:val="24"/>
          <w:szCs w:val="24"/>
        </w:rPr>
        <w:t>F5</w:t>
      </w:r>
      <w:r w:rsidRPr="006F7242">
        <w:rPr>
          <w:sz w:val="24"/>
          <w:szCs w:val="24"/>
        </w:rPr>
        <w:t>。</w:t>
      </w:r>
    </w:p>
    <w:p w14:paraId="6859964B" w14:textId="63C6C8D7" w:rsidR="003930EC" w:rsidRPr="006F7242" w:rsidRDefault="003930EC" w:rsidP="00CD00AB">
      <w:pPr>
        <w:pStyle w:val="21"/>
      </w:pPr>
      <w:bookmarkStart w:id="49" w:name="_Toc105023914"/>
      <w:r w:rsidRPr="006F7242">
        <w:t>3.</w:t>
      </w:r>
      <w:r w:rsidR="00CD00AB" w:rsidRPr="006F7242">
        <w:t xml:space="preserve"> </w:t>
      </w:r>
      <w:r w:rsidRPr="006F7242">
        <w:t>2</w:t>
      </w:r>
      <w:r w:rsidRPr="006F7242">
        <w:t>综合绩效得分及分析</w:t>
      </w:r>
      <w:bookmarkEnd w:id="49"/>
    </w:p>
    <w:p w14:paraId="764CAFF0" w14:textId="290778DA" w:rsidR="003930EC" w:rsidRPr="006F7242" w:rsidRDefault="003930EC" w:rsidP="003930EC">
      <w:pPr>
        <w:spacing w:line="360" w:lineRule="auto"/>
        <w:ind w:firstLineChars="200" w:firstLine="480"/>
        <w:rPr>
          <w:sz w:val="24"/>
          <w:szCs w:val="24"/>
        </w:rPr>
      </w:pPr>
      <w:r w:rsidRPr="006F7242">
        <w:rPr>
          <w:sz w:val="24"/>
          <w:szCs w:val="24"/>
        </w:rPr>
        <w:t>由表三解释的总方差可知前五个主因子对方差贡献率分别为</w:t>
      </w:r>
      <w:r w:rsidRPr="006F7242">
        <w:rPr>
          <w:sz w:val="24"/>
          <w:szCs w:val="24"/>
        </w:rPr>
        <w:t>28.52%</w:t>
      </w:r>
      <w:r w:rsidRPr="006F7242">
        <w:rPr>
          <w:sz w:val="24"/>
          <w:szCs w:val="24"/>
        </w:rPr>
        <w:t>、</w:t>
      </w:r>
      <w:r w:rsidRPr="006F7242">
        <w:rPr>
          <w:sz w:val="24"/>
          <w:szCs w:val="24"/>
        </w:rPr>
        <w:t>16.68 %</w:t>
      </w:r>
      <w:r w:rsidRPr="006F7242">
        <w:rPr>
          <w:sz w:val="24"/>
          <w:szCs w:val="24"/>
        </w:rPr>
        <w:t>、</w:t>
      </w:r>
      <w:r w:rsidRPr="006F7242">
        <w:rPr>
          <w:sz w:val="24"/>
          <w:szCs w:val="24"/>
        </w:rPr>
        <w:t>11.36%</w:t>
      </w:r>
      <w:r w:rsidRPr="006F7242">
        <w:rPr>
          <w:sz w:val="24"/>
          <w:szCs w:val="24"/>
        </w:rPr>
        <w:t>、</w:t>
      </w:r>
      <w:r w:rsidRPr="006F7242">
        <w:rPr>
          <w:sz w:val="24"/>
          <w:szCs w:val="24"/>
        </w:rPr>
        <w:t>8.99%</w:t>
      </w:r>
      <w:r w:rsidRPr="006F7242">
        <w:rPr>
          <w:sz w:val="24"/>
          <w:szCs w:val="24"/>
        </w:rPr>
        <w:t>和</w:t>
      </w:r>
      <w:r w:rsidRPr="006F7242">
        <w:rPr>
          <w:sz w:val="24"/>
          <w:szCs w:val="24"/>
        </w:rPr>
        <w:t>7.57%</w:t>
      </w:r>
      <w:r w:rsidRPr="006F7242">
        <w:rPr>
          <w:sz w:val="24"/>
          <w:szCs w:val="24"/>
        </w:rPr>
        <w:t>，累计</w:t>
      </w:r>
      <w:r w:rsidRPr="006F7242">
        <w:rPr>
          <w:sz w:val="24"/>
          <w:szCs w:val="24"/>
        </w:rPr>
        <w:t>73.11%</w:t>
      </w:r>
      <w:r w:rsidRPr="006F7242">
        <w:rPr>
          <w:sz w:val="24"/>
          <w:szCs w:val="24"/>
        </w:rPr>
        <w:t>。以此为权重计算基金综合绩效，计算</w:t>
      </w:r>
      <w:r w:rsidR="006F7242" w:rsidRPr="006F7242">
        <w:rPr>
          <w:sz w:val="24"/>
          <w:szCs w:val="24"/>
        </w:rPr>
        <w:t>公式如下：</w:t>
      </w:r>
    </w:p>
    <w:p w14:paraId="71DE4F26" w14:textId="268DECF0" w:rsidR="00752231" w:rsidRDefault="00752231" w:rsidP="00752231">
      <w:pPr>
        <w:spacing w:line="360" w:lineRule="auto"/>
        <w:ind w:firstLineChars="200" w:firstLine="480"/>
        <w:jc w:val="center"/>
        <w:rPr>
          <w:rFonts w:ascii="宋体" w:hAnsi="宋体"/>
          <w:sz w:val="24"/>
          <w:szCs w:val="24"/>
        </w:rPr>
      </w:pPr>
      <w:r>
        <w:rPr>
          <w:rFonts w:hint="eastAsia"/>
          <w:sz w:val="24"/>
          <w:szCs w:val="24"/>
        </w:rPr>
        <w:t xml:space="preserve"> </w:t>
      </w:r>
      <w:r>
        <w:rPr>
          <w:sz w:val="24"/>
          <w:szCs w:val="24"/>
        </w:rPr>
        <w:t xml:space="preserve">        </w:t>
      </w:r>
      <m:oMath>
        <m:r>
          <w:rPr>
            <w:rFonts w:ascii="Cambria Math" w:hAnsi="Cambria Math"/>
            <w:sz w:val="24"/>
            <w:szCs w:val="24"/>
          </w:rPr>
          <m:t>W=0.39F1+0.23F2+0.16F3+0.12F4+0.10F5</m:t>
        </m:r>
      </m:oMath>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（3</w:t>
      </w:r>
      <w:r>
        <w:rPr>
          <w:rFonts w:ascii="宋体" w:hAnsi="宋体"/>
          <w:sz w:val="24"/>
          <w:szCs w:val="24"/>
        </w:rPr>
        <w:t>-1</w:t>
      </w:r>
      <w:r>
        <w:rPr>
          <w:rFonts w:ascii="宋体" w:hAnsi="宋体" w:hint="eastAsia"/>
          <w:sz w:val="24"/>
          <w:szCs w:val="24"/>
        </w:rPr>
        <w:t>）</w:t>
      </w:r>
    </w:p>
    <w:p w14:paraId="44E489D7" w14:textId="0BE88260" w:rsidR="00B36568" w:rsidRPr="00752231" w:rsidRDefault="00413D35" w:rsidP="00752231">
      <w:pPr>
        <w:spacing w:line="360" w:lineRule="auto"/>
        <w:ind w:firstLineChars="200" w:firstLine="480"/>
        <w:rPr>
          <w:sz w:val="24"/>
          <w:szCs w:val="24"/>
        </w:rPr>
      </w:pPr>
      <w:r>
        <w:rPr>
          <w:rFonts w:ascii="宋体" w:hAnsi="宋体" w:hint="eastAsia"/>
          <w:sz w:val="24"/>
          <w:szCs w:val="24"/>
        </w:rPr>
        <w:t>计算</w:t>
      </w:r>
      <w:r w:rsidR="00665C49">
        <w:rPr>
          <w:rFonts w:ascii="宋体" w:hAnsi="宋体" w:hint="eastAsia"/>
          <w:sz w:val="24"/>
          <w:szCs w:val="24"/>
        </w:rPr>
        <w:t>得到各支基金综合绩效如下：</w:t>
      </w:r>
    </w:p>
    <w:p w14:paraId="10EB6D4C" w14:textId="14E31B30" w:rsidR="00FD4939" w:rsidRPr="00FD4939" w:rsidRDefault="00FD4939" w:rsidP="00FD4939">
      <w:pPr>
        <w:spacing w:line="360" w:lineRule="auto"/>
        <w:jc w:val="center"/>
        <w:rPr>
          <w:rFonts w:ascii="宋体" w:hAnsi="宋体"/>
          <w:szCs w:val="21"/>
        </w:rPr>
      </w:pPr>
      <w:r w:rsidRPr="00FD4939">
        <w:rPr>
          <w:rFonts w:ascii="宋体" w:hAnsi="宋体" w:hint="eastAsia"/>
          <w:szCs w:val="21"/>
        </w:rPr>
        <w:t>表</w:t>
      </w:r>
      <w:r w:rsidR="008F5CC1">
        <w:rPr>
          <w:rFonts w:ascii="宋体" w:hAnsi="宋体" w:hint="eastAsia"/>
          <w:szCs w:val="21"/>
        </w:rPr>
        <w:t>3</w:t>
      </w:r>
      <w:r w:rsidR="008F5CC1">
        <w:rPr>
          <w:rFonts w:ascii="宋体" w:hAnsi="宋体"/>
          <w:szCs w:val="21"/>
        </w:rPr>
        <w:t>-</w:t>
      </w:r>
      <w:r w:rsidR="00E535D9">
        <w:rPr>
          <w:rFonts w:ascii="宋体" w:hAnsi="宋体"/>
          <w:szCs w:val="21"/>
        </w:rPr>
        <w:t>7</w:t>
      </w:r>
      <w:r w:rsidRPr="00FD4939">
        <w:rPr>
          <w:rFonts w:ascii="宋体" w:hAnsi="宋体" w:hint="eastAsia"/>
          <w:szCs w:val="21"/>
        </w:rPr>
        <w:t>：基金综合得分</w:t>
      </w:r>
    </w:p>
    <w:tbl>
      <w:tblPr>
        <w:tblW w:w="8251" w:type="dxa"/>
        <w:jc w:val="center"/>
        <w:tblLook w:val="04A0" w:firstRow="1" w:lastRow="0" w:firstColumn="1" w:lastColumn="0" w:noHBand="0" w:noVBand="1"/>
      </w:tblPr>
      <w:tblGrid>
        <w:gridCol w:w="2497"/>
        <w:gridCol w:w="1238"/>
        <w:gridCol w:w="680"/>
        <w:gridCol w:w="2598"/>
        <w:gridCol w:w="1238"/>
      </w:tblGrid>
      <w:tr w:rsidR="003B59DA" w:rsidRPr="003B59DA" w14:paraId="1672DE2A" w14:textId="77777777" w:rsidTr="003B59DA">
        <w:trPr>
          <w:trHeight w:val="219"/>
          <w:jc w:val="center"/>
        </w:trPr>
        <w:tc>
          <w:tcPr>
            <w:tcW w:w="2497" w:type="dxa"/>
            <w:tcBorders>
              <w:top w:val="single" w:sz="12" w:space="0" w:color="auto"/>
              <w:left w:val="nil"/>
              <w:bottom w:val="single" w:sz="12" w:space="0" w:color="auto"/>
              <w:right w:val="nil"/>
            </w:tcBorders>
            <w:shd w:val="clear" w:color="auto" w:fill="auto"/>
            <w:noWrap/>
            <w:vAlign w:val="bottom"/>
            <w:hideMark/>
          </w:tcPr>
          <w:p w14:paraId="7869D931" w14:textId="77777777" w:rsidR="003B59DA" w:rsidRPr="003B59DA" w:rsidRDefault="003B59DA" w:rsidP="003B59DA">
            <w:pPr>
              <w:widowControl/>
              <w:rPr>
                <w:rFonts w:ascii="宋体" w:hAnsi="宋体" w:cs="Arial"/>
                <w:b/>
                <w:bCs/>
                <w:kern w:val="0"/>
                <w:sz w:val="20"/>
              </w:rPr>
            </w:pPr>
            <w:r w:rsidRPr="003B59DA">
              <w:rPr>
                <w:rFonts w:ascii="宋体" w:hAnsi="宋体" w:cs="Arial" w:hint="eastAsia"/>
                <w:b/>
                <w:bCs/>
                <w:kern w:val="0"/>
                <w:sz w:val="20"/>
              </w:rPr>
              <w:t>碳中和概念基金名称</w:t>
            </w:r>
          </w:p>
        </w:tc>
        <w:tc>
          <w:tcPr>
            <w:tcW w:w="1238" w:type="dxa"/>
            <w:tcBorders>
              <w:top w:val="single" w:sz="12" w:space="0" w:color="auto"/>
              <w:left w:val="nil"/>
              <w:bottom w:val="single" w:sz="12" w:space="0" w:color="auto"/>
              <w:right w:val="nil"/>
            </w:tcBorders>
            <w:shd w:val="clear" w:color="auto" w:fill="auto"/>
            <w:noWrap/>
            <w:vAlign w:val="bottom"/>
            <w:hideMark/>
          </w:tcPr>
          <w:p w14:paraId="0FBE19C0" w14:textId="77777777" w:rsidR="003B59DA" w:rsidRPr="003B59DA" w:rsidRDefault="003B59DA" w:rsidP="003B59DA">
            <w:pPr>
              <w:widowControl/>
              <w:jc w:val="center"/>
              <w:rPr>
                <w:rFonts w:ascii="宋体" w:hAnsi="宋体" w:cs="Arial"/>
                <w:b/>
                <w:bCs/>
                <w:kern w:val="0"/>
                <w:sz w:val="20"/>
              </w:rPr>
            </w:pPr>
            <w:r w:rsidRPr="003B59DA">
              <w:rPr>
                <w:rFonts w:ascii="宋体" w:hAnsi="宋体" w:cs="Arial" w:hint="eastAsia"/>
                <w:b/>
                <w:bCs/>
                <w:kern w:val="0"/>
                <w:sz w:val="20"/>
              </w:rPr>
              <w:t>综合得分</w:t>
            </w:r>
          </w:p>
        </w:tc>
        <w:tc>
          <w:tcPr>
            <w:tcW w:w="680" w:type="dxa"/>
            <w:tcBorders>
              <w:top w:val="single" w:sz="12" w:space="0" w:color="auto"/>
              <w:left w:val="nil"/>
              <w:bottom w:val="single" w:sz="12" w:space="0" w:color="auto"/>
              <w:right w:val="nil"/>
            </w:tcBorders>
            <w:shd w:val="clear" w:color="auto" w:fill="auto"/>
            <w:noWrap/>
            <w:vAlign w:val="bottom"/>
            <w:hideMark/>
          </w:tcPr>
          <w:p w14:paraId="0AEE926D" w14:textId="77777777" w:rsidR="003B59DA" w:rsidRPr="003B59DA" w:rsidRDefault="003B59DA" w:rsidP="003B59DA">
            <w:pPr>
              <w:widowControl/>
              <w:jc w:val="center"/>
              <w:rPr>
                <w:rFonts w:ascii="宋体" w:hAnsi="宋体" w:cs="Arial"/>
                <w:b/>
                <w:bCs/>
                <w:kern w:val="0"/>
                <w:sz w:val="20"/>
              </w:rPr>
            </w:pPr>
            <w:r w:rsidRPr="003B59DA">
              <w:rPr>
                <w:rFonts w:ascii="宋体" w:hAnsi="宋体" w:cs="Arial" w:hint="eastAsia"/>
                <w:b/>
                <w:bCs/>
                <w:kern w:val="0"/>
                <w:sz w:val="20"/>
              </w:rPr>
              <w:t xml:space="preserve">　</w:t>
            </w:r>
          </w:p>
        </w:tc>
        <w:tc>
          <w:tcPr>
            <w:tcW w:w="2598" w:type="dxa"/>
            <w:tcBorders>
              <w:top w:val="single" w:sz="12" w:space="0" w:color="auto"/>
              <w:left w:val="nil"/>
              <w:bottom w:val="single" w:sz="12" w:space="0" w:color="auto"/>
              <w:right w:val="nil"/>
            </w:tcBorders>
            <w:shd w:val="clear" w:color="auto" w:fill="auto"/>
            <w:noWrap/>
            <w:vAlign w:val="bottom"/>
            <w:hideMark/>
          </w:tcPr>
          <w:p w14:paraId="7D74117F" w14:textId="77777777" w:rsidR="003B59DA" w:rsidRPr="003B59DA" w:rsidRDefault="003B59DA" w:rsidP="003B59DA">
            <w:pPr>
              <w:widowControl/>
              <w:jc w:val="center"/>
              <w:rPr>
                <w:rFonts w:ascii="宋体" w:hAnsi="宋体" w:cs="Arial"/>
                <w:b/>
                <w:bCs/>
                <w:kern w:val="0"/>
                <w:sz w:val="20"/>
              </w:rPr>
            </w:pPr>
            <w:r w:rsidRPr="003B59DA">
              <w:rPr>
                <w:rFonts w:ascii="宋体" w:hAnsi="宋体" w:cs="Arial" w:hint="eastAsia"/>
                <w:b/>
                <w:bCs/>
                <w:kern w:val="0"/>
                <w:sz w:val="20"/>
              </w:rPr>
              <w:t>非碳中和概念基金名称</w:t>
            </w:r>
          </w:p>
        </w:tc>
        <w:tc>
          <w:tcPr>
            <w:tcW w:w="1238" w:type="dxa"/>
            <w:tcBorders>
              <w:top w:val="single" w:sz="12" w:space="0" w:color="auto"/>
              <w:left w:val="nil"/>
              <w:bottom w:val="single" w:sz="12" w:space="0" w:color="auto"/>
              <w:right w:val="nil"/>
            </w:tcBorders>
            <w:shd w:val="clear" w:color="auto" w:fill="auto"/>
            <w:noWrap/>
            <w:vAlign w:val="bottom"/>
            <w:hideMark/>
          </w:tcPr>
          <w:p w14:paraId="68D0344A" w14:textId="77777777" w:rsidR="003B59DA" w:rsidRPr="003B59DA" w:rsidRDefault="003B59DA" w:rsidP="003B59DA">
            <w:pPr>
              <w:widowControl/>
              <w:jc w:val="center"/>
              <w:rPr>
                <w:rFonts w:ascii="宋体" w:hAnsi="宋体" w:cs="Arial"/>
                <w:b/>
                <w:bCs/>
                <w:kern w:val="0"/>
                <w:sz w:val="20"/>
              </w:rPr>
            </w:pPr>
            <w:r w:rsidRPr="003B59DA">
              <w:rPr>
                <w:rFonts w:ascii="宋体" w:hAnsi="宋体" w:cs="Arial" w:hint="eastAsia"/>
                <w:b/>
                <w:bCs/>
                <w:kern w:val="0"/>
                <w:sz w:val="20"/>
              </w:rPr>
              <w:t>综合得分</w:t>
            </w:r>
          </w:p>
        </w:tc>
      </w:tr>
      <w:tr w:rsidR="003B59DA" w:rsidRPr="003B59DA" w14:paraId="2E33B1C6" w14:textId="77777777" w:rsidTr="003B59DA">
        <w:trPr>
          <w:trHeight w:val="219"/>
          <w:jc w:val="center"/>
        </w:trPr>
        <w:tc>
          <w:tcPr>
            <w:tcW w:w="2497" w:type="dxa"/>
            <w:tcBorders>
              <w:top w:val="nil"/>
              <w:left w:val="nil"/>
              <w:bottom w:val="nil"/>
              <w:right w:val="nil"/>
            </w:tcBorders>
            <w:shd w:val="clear" w:color="auto" w:fill="auto"/>
            <w:noWrap/>
            <w:vAlign w:val="bottom"/>
            <w:hideMark/>
          </w:tcPr>
          <w:p w14:paraId="4FC1BE95"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招商中国机遇</w:t>
            </w:r>
          </w:p>
        </w:tc>
        <w:tc>
          <w:tcPr>
            <w:tcW w:w="1238" w:type="dxa"/>
            <w:tcBorders>
              <w:top w:val="nil"/>
              <w:left w:val="nil"/>
              <w:bottom w:val="nil"/>
              <w:right w:val="nil"/>
            </w:tcBorders>
            <w:shd w:val="clear" w:color="auto" w:fill="auto"/>
            <w:noWrap/>
            <w:vAlign w:val="bottom"/>
            <w:hideMark/>
          </w:tcPr>
          <w:p w14:paraId="56B9455A"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20.70 </w:t>
            </w:r>
          </w:p>
        </w:tc>
        <w:tc>
          <w:tcPr>
            <w:tcW w:w="680" w:type="dxa"/>
            <w:tcBorders>
              <w:top w:val="nil"/>
              <w:left w:val="nil"/>
              <w:bottom w:val="nil"/>
              <w:right w:val="nil"/>
            </w:tcBorders>
            <w:shd w:val="clear" w:color="auto" w:fill="auto"/>
            <w:noWrap/>
            <w:vAlign w:val="bottom"/>
            <w:hideMark/>
          </w:tcPr>
          <w:p w14:paraId="1CA664C4" w14:textId="77777777" w:rsidR="003B59DA" w:rsidRPr="003B59DA" w:rsidRDefault="003B59DA" w:rsidP="003B59DA">
            <w:pPr>
              <w:widowControl/>
              <w:jc w:val="right"/>
              <w:rPr>
                <w:rFonts w:ascii="Arial" w:hAnsi="Arial" w:cs="Arial"/>
                <w:kern w:val="0"/>
                <w:sz w:val="20"/>
              </w:rPr>
            </w:pPr>
          </w:p>
        </w:tc>
        <w:tc>
          <w:tcPr>
            <w:tcW w:w="2598" w:type="dxa"/>
            <w:tcBorders>
              <w:top w:val="nil"/>
              <w:left w:val="nil"/>
              <w:bottom w:val="nil"/>
              <w:right w:val="nil"/>
            </w:tcBorders>
            <w:shd w:val="clear" w:color="auto" w:fill="auto"/>
            <w:noWrap/>
            <w:vAlign w:val="bottom"/>
            <w:hideMark/>
          </w:tcPr>
          <w:p w14:paraId="3674693A"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申万菱信医药先锋</w:t>
            </w:r>
            <w:r w:rsidRPr="003B59DA">
              <w:rPr>
                <w:rFonts w:ascii="Arial" w:hAnsi="Arial" w:cs="Arial"/>
                <w:kern w:val="0"/>
                <w:sz w:val="20"/>
              </w:rPr>
              <w:t>A</w:t>
            </w:r>
          </w:p>
        </w:tc>
        <w:tc>
          <w:tcPr>
            <w:tcW w:w="1238" w:type="dxa"/>
            <w:tcBorders>
              <w:top w:val="nil"/>
              <w:left w:val="nil"/>
              <w:bottom w:val="nil"/>
              <w:right w:val="nil"/>
            </w:tcBorders>
            <w:shd w:val="clear" w:color="auto" w:fill="auto"/>
            <w:noWrap/>
            <w:vAlign w:val="bottom"/>
            <w:hideMark/>
          </w:tcPr>
          <w:p w14:paraId="2AF5AE7D"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12.19 </w:t>
            </w:r>
          </w:p>
        </w:tc>
      </w:tr>
      <w:tr w:rsidR="003B59DA" w:rsidRPr="003B59DA" w14:paraId="64B6ACFA" w14:textId="77777777" w:rsidTr="003B59DA">
        <w:trPr>
          <w:trHeight w:val="219"/>
          <w:jc w:val="center"/>
        </w:trPr>
        <w:tc>
          <w:tcPr>
            <w:tcW w:w="2497" w:type="dxa"/>
            <w:tcBorders>
              <w:top w:val="nil"/>
              <w:left w:val="nil"/>
              <w:bottom w:val="nil"/>
              <w:right w:val="nil"/>
            </w:tcBorders>
            <w:shd w:val="clear" w:color="auto" w:fill="auto"/>
            <w:noWrap/>
            <w:vAlign w:val="bottom"/>
            <w:hideMark/>
          </w:tcPr>
          <w:p w14:paraId="1037D3E5"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光大创业板量化优选</w:t>
            </w:r>
            <w:r w:rsidRPr="003B59DA">
              <w:rPr>
                <w:rFonts w:ascii="Arial" w:hAnsi="Arial" w:cs="Arial"/>
                <w:kern w:val="0"/>
                <w:sz w:val="20"/>
              </w:rPr>
              <w:t>A</w:t>
            </w:r>
          </w:p>
        </w:tc>
        <w:tc>
          <w:tcPr>
            <w:tcW w:w="1238" w:type="dxa"/>
            <w:tcBorders>
              <w:top w:val="nil"/>
              <w:left w:val="nil"/>
              <w:bottom w:val="nil"/>
              <w:right w:val="nil"/>
            </w:tcBorders>
            <w:shd w:val="clear" w:color="auto" w:fill="auto"/>
            <w:noWrap/>
            <w:vAlign w:val="bottom"/>
            <w:hideMark/>
          </w:tcPr>
          <w:p w14:paraId="48C8BF4C"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22.03 </w:t>
            </w:r>
          </w:p>
        </w:tc>
        <w:tc>
          <w:tcPr>
            <w:tcW w:w="680" w:type="dxa"/>
            <w:tcBorders>
              <w:top w:val="nil"/>
              <w:left w:val="nil"/>
              <w:bottom w:val="nil"/>
              <w:right w:val="nil"/>
            </w:tcBorders>
            <w:shd w:val="clear" w:color="auto" w:fill="auto"/>
            <w:noWrap/>
            <w:vAlign w:val="bottom"/>
            <w:hideMark/>
          </w:tcPr>
          <w:p w14:paraId="585FAEE9" w14:textId="77777777" w:rsidR="003B59DA" w:rsidRPr="003B59DA" w:rsidRDefault="003B59DA" w:rsidP="003B59DA">
            <w:pPr>
              <w:widowControl/>
              <w:jc w:val="right"/>
              <w:rPr>
                <w:rFonts w:ascii="Arial" w:hAnsi="Arial" w:cs="Arial"/>
                <w:kern w:val="0"/>
                <w:sz w:val="20"/>
              </w:rPr>
            </w:pPr>
          </w:p>
        </w:tc>
        <w:tc>
          <w:tcPr>
            <w:tcW w:w="2598" w:type="dxa"/>
            <w:tcBorders>
              <w:top w:val="nil"/>
              <w:left w:val="nil"/>
              <w:bottom w:val="nil"/>
              <w:right w:val="nil"/>
            </w:tcBorders>
            <w:shd w:val="clear" w:color="auto" w:fill="auto"/>
            <w:noWrap/>
            <w:vAlign w:val="bottom"/>
            <w:hideMark/>
          </w:tcPr>
          <w:p w14:paraId="69C5F47D"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景顺长城量化小盘</w:t>
            </w:r>
          </w:p>
        </w:tc>
        <w:tc>
          <w:tcPr>
            <w:tcW w:w="1238" w:type="dxa"/>
            <w:tcBorders>
              <w:top w:val="nil"/>
              <w:left w:val="nil"/>
              <w:bottom w:val="nil"/>
              <w:right w:val="nil"/>
            </w:tcBorders>
            <w:shd w:val="clear" w:color="auto" w:fill="auto"/>
            <w:noWrap/>
            <w:vAlign w:val="bottom"/>
            <w:hideMark/>
          </w:tcPr>
          <w:p w14:paraId="6A414310"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22.03 </w:t>
            </w:r>
          </w:p>
        </w:tc>
      </w:tr>
      <w:tr w:rsidR="003B59DA" w:rsidRPr="003B59DA" w14:paraId="7AFA1C94" w14:textId="77777777" w:rsidTr="003B59DA">
        <w:trPr>
          <w:trHeight w:val="219"/>
          <w:jc w:val="center"/>
        </w:trPr>
        <w:tc>
          <w:tcPr>
            <w:tcW w:w="2497" w:type="dxa"/>
            <w:tcBorders>
              <w:top w:val="nil"/>
              <w:left w:val="nil"/>
              <w:bottom w:val="nil"/>
              <w:right w:val="nil"/>
            </w:tcBorders>
            <w:shd w:val="clear" w:color="auto" w:fill="auto"/>
            <w:noWrap/>
            <w:vAlign w:val="bottom"/>
            <w:hideMark/>
          </w:tcPr>
          <w:p w14:paraId="4F16EFCD"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中欧先进制造</w:t>
            </w:r>
            <w:r w:rsidRPr="003B59DA">
              <w:rPr>
                <w:rFonts w:ascii="Arial" w:hAnsi="Arial" w:cs="Arial"/>
                <w:kern w:val="0"/>
                <w:sz w:val="20"/>
              </w:rPr>
              <w:t>A</w:t>
            </w:r>
          </w:p>
        </w:tc>
        <w:tc>
          <w:tcPr>
            <w:tcW w:w="1238" w:type="dxa"/>
            <w:tcBorders>
              <w:top w:val="nil"/>
              <w:left w:val="nil"/>
              <w:bottom w:val="nil"/>
              <w:right w:val="nil"/>
            </w:tcBorders>
            <w:shd w:val="clear" w:color="auto" w:fill="auto"/>
            <w:noWrap/>
            <w:vAlign w:val="bottom"/>
            <w:hideMark/>
          </w:tcPr>
          <w:p w14:paraId="3DFA646A"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33.33 </w:t>
            </w:r>
          </w:p>
        </w:tc>
        <w:tc>
          <w:tcPr>
            <w:tcW w:w="680" w:type="dxa"/>
            <w:tcBorders>
              <w:top w:val="nil"/>
              <w:left w:val="nil"/>
              <w:bottom w:val="nil"/>
              <w:right w:val="nil"/>
            </w:tcBorders>
            <w:shd w:val="clear" w:color="auto" w:fill="auto"/>
            <w:noWrap/>
            <w:vAlign w:val="bottom"/>
            <w:hideMark/>
          </w:tcPr>
          <w:p w14:paraId="49EB0149" w14:textId="77777777" w:rsidR="003B59DA" w:rsidRPr="003B59DA" w:rsidRDefault="003B59DA" w:rsidP="003B59DA">
            <w:pPr>
              <w:widowControl/>
              <w:jc w:val="right"/>
              <w:rPr>
                <w:rFonts w:ascii="Arial" w:hAnsi="Arial" w:cs="Arial"/>
                <w:kern w:val="0"/>
                <w:sz w:val="20"/>
              </w:rPr>
            </w:pPr>
          </w:p>
        </w:tc>
        <w:tc>
          <w:tcPr>
            <w:tcW w:w="2598" w:type="dxa"/>
            <w:tcBorders>
              <w:top w:val="nil"/>
              <w:left w:val="nil"/>
              <w:bottom w:val="nil"/>
              <w:right w:val="nil"/>
            </w:tcBorders>
            <w:shd w:val="clear" w:color="auto" w:fill="auto"/>
            <w:noWrap/>
            <w:vAlign w:val="bottom"/>
            <w:hideMark/>
          </w:tcPr>
          <w:p w14:paraId="579D31FF"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华泰紫金智能量化</w:t>
            </w:r>
            <w:r w:rsidRPr="003B59DA">
              <w:rPr>
                <w:rFonts w:ascii="Arial" w:hAnsi="Arial" w:cs="Arial"/>
                <w:kern w:val="0"/>
                <w:sz w:val="20"/>
              </w:rPr>
              <w:t>A</w:t>
            </w:r>
          </w:p>
        </w:tc>
        <w:tc>
          <w:tcPr>
            <w:tcW w:w="1238" w:type="dxa"/>
            <w:tcBorders>
              <w:top w:val="nil"/>
              <w:left w:val="nil"/>
              <w:bottom w:val="nil"/>
              <w:right w:val="nil"/>
            </w:tcBorders>
            <w:shd w:val="clear" w:color="auto" w:fill="auto"/>
            <w:noWrap/>
            <w:vAlign w:val="bottom"/>
            <w:hideMark/>
          </w:tcPr>
          <w:p w14:paraId="4493F3BB"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7.31 </w:t>
            </w:r>
          </w:p>
        </w:tc>
      </w:tr>
      <w:tr w:rsidR="003B59DA" w:rsidRPr="003B59DA" w14:paraId="04DB4B51" w14:textId="77777777" w:rsidTr="003B59DA">
        <w:trPr>
          <w:trHeight w:val="219"/>
          <w:jc w:val="center"/>
        </w:trPr>
        <w:tc>
          <w:tcPr>
            <w:tcW w:w="2497" w:type="dxa"/>
            <w:tcBorders>
              <w:top w:val="nil"/>
              <w:left w:val="nil"/>
              <w:bottom w:val="nil"/>
              <w:right w:val="nil"/>
            </w:tcBorders>
            <w:shd w:val="clear" w:color="auto" w:fill="auto"/>
            <w:noWrap/>
            <w:vAlign w:val="bottom"/>
            <w:hideMark/>
          </w:tcPr>
          <w:p w14:paraId="68275D30"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海富通量化前锋</w:t>
            </w:r>
            <w:r w:rsidRPr="003B59DA">
              <w:rPr>
                <w:rFonts w:ascii="Arial" w:hAnsi="Arial" w:cs="Arial"/>
                <w:kern w:val="0"/>
                <w:sz w:val="20"/>
              </w:rPr>
              <w:t>C</w:t>
            </w:r>
          </w:p>
        </w:tc>
        <w:tc>
          <w:tcPr>
            <w:tcW w:w="1238" w:type="dxa"/>
            <w:tcBorders>
              <w:top w:val="nil"/>
              <w:left w:val="nil"/>
              <w:bottom w:val="nil"/>
              <w:right w:val="nil"/>
            </w:tcBorders>
            <w:shd w:val="clear" w:color="auto" w:fill="auto"/>
            <w:noWrap/>
            <w:vAlign w:val="bottom"/>
            <w:hideMark/>
          </w:tcPr>
          <w:p w14:paraId="492EEB5B"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16.25 </w:t>
            </w:r>
          </w:p>
        </w:tc>
        <w:tc>
          <w:tcPr>
            <w:tcW w:w="680" w:type="dxa"/>
            <w:tcBorders>
              <w:top w:val="nil"/>
              <w:left w:val="nil"/>
              <w:bottom w:val="nil"/>
              <w:right w:val="nil"/>
            </w:tcBorders>
            <w:shd w:val="clear" w:color="auto" w:fill="auto"/>
            <w:noWrap/>
            <w:vAlign w:val="bottom"/>
            <w:hideMark/>
          </w:tcPr>
          <w:p w14:paraId="2807D1A2" w14:textId="77777777" w:rsidR="003B59DA" w:rsidRPr="003B59DA" w:rsidRDefault="003B59DA" w:rsidP="003B59DA">
            <w:pPr>
              <w:widowControl/>
              <w:jc w:val="right"/>
              <w:rPr>
                <w:rFonts w:ascii="Arial" w:hAnsi="Arial" w:cs="Arial"/>
                <w:kern w:val="0"/>
                <w:sz w:val="20"/>
              </w:rPr>
            </w:pPr>
          </w:p>
        </w:tc>
        <w:tc>
          <w:tcPr>
            <w:tcW w:w="2598" w:type="dxa"/>
            <w:tcBorders>
              <w:top w:val="nil"/>
              <w:left w:val="nil"/>
              <w:bottom w:val="nil"/>
              <w:right w:val="nil"/>
            </w:tcBorders>
            <w:shd w:val="clear" w:color="auto" w:fill="auto"/>
            <w:noWrap/>
            <w:vAlign w:val="bottom"/>
            <w:hideMark/>
          </w:tcPr>
          <w:p w14:paraId="4F0209F2"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前海开源中药研究精选</w:t>
            </w:r>
            <w:r w:rsidRPr="003B59DA">
              <w:rPr>
                <w:rFonts w:ascii="Arial" w:hAnsi="Arial" w:cs="Arial"/>
                <w:kern w:val="0"/>
                <w:sz w:val="20"/>
              </w:rPr>
              <w:t>C</w:t>
            </w:r>
          </w:p>
        </w:tc>
        <w:tc>
          <w:tcPr>
            <w:tcW w:w="1238" w:type="dxa"/>
            <w:tcBorders>
              <w:top w:val="nil"/>
              <w:left w:val="nil"/>
              <w:bottom w:val="nil"/>
              <w:right w:val="nil"/>
            </w:tcBorders>
            <w:shd w:val="clear" w:color="auto" w:fill="auto"/>
            <w:noWrap/>
            <w:vAlign w:val="bottom"/>
            <w:hideMark/>
          </w:tcPr>
          <w:p w14:paraId="1C445771"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29.65 </w:t>
            </w:r>
          </w:p>
        </w:tc>
      </w:tr>
      <w:tr w:rsidR="003B59DA" w:rsidRPr="003B59DA" w14:paraId="4C93270D" w14:textId="77777777" w:rsidTr="003B59DA">
        <w:trPr>
          <w:trHeight w:val="219"/>
          <w:jc w:val="center"/>
        </w:trPr>
        <w:tc>
          <w:tcPr>
            <w:tcW w:w="2497" w:type="dxa"/>
            <w:tcBorders>
              <w:top w:val="nil"/>
              <w:left w:val="nil"/>
              <w:bottom w:val="nil"/>
              <w:right w:val="nil"/>
            </w:tcBorders>
            <w:shd w:val="clear" w:color="auto" w:fill="auto"/>
            <w:noWrap/>
            <w:vAlign w:val="bottom"/>
            <w:hideMark/>
          </w:tcPr>
          <w:p w14:paraId="6BE51DEB"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建信龙头企业</w:t>
            </w:r>
          </w:p>
        </w:tc>
        <w:tc>
          <w:tcPr>
            <w:tcW w:w="1238" w:type="dxa"/>
            <w:tcBorders>
              <w:top w:val="nil"/>
              <w:left w:val="nil"/>
              <w:bottom w:val="nil"/>
              <w:right w:val="nil"/>
            </w:tcBorders>
            <w:shd w:val="clear" w:color="auto" w:fill="auto"/>
            <w:noWrap/>
            <w:vAlign w:val="bottom"/>
            <w:hideMark/>
          </w:tcPr>
          <w:p w14:paraId="4FB9A2C0"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10.45 </w:t>
            </w:r>
          </w:p>
        </w:tc>
        <w:tc>
          <w:tcPr>
            <w:tcW w:w="680" w:type="dxa"/>
            <w:tcBorders>
              <w:top w:val="nil"/>
              <w:left w:val="nil"/>
              <w:bottom w:val="nil"/>
              <w:right w:val="nil"/>
            </w:tcBorders>
            <w:shd w:val="clear" w:color="auto" w:fill="auto"/>
            <w:noWrap/>
            <w:vAlign w:val="bottom"/>
            <w:hideMark/>
          </w:tcPr>
          <w:p w14:paraId="1FA58CA0" w14:textId="77777777" w:rsidR="003B59DA" w:rsidRPr="003B59DA" w:rsidRDefault="003B59DA" w:rsidP="003B59DA">
            <w:pPr>
              <w:widowControl/>
              <w:jc w:val="right"/>
              <w:rPr>
                <w:rFonts w:ascii="Arial" w:hAnsi="Arial" w:cs="Arial"/>
                <w:kern w:val="0"/>
                <w:sz w:val="20"/>
              </w:rPr>
            </w:pPr>
          </w:p>
        </w:tc>
        <w:tc>
          <w:tcPr>
            <w:tcW w:w="2598" w:type="dxa"/>
            <w:tcBorders>
              <w:top w:val="nil"/>
              <w:left w:val="nil"/>
              <w:bottom w:val="nil"/>
              <w:right w:val="nil"/>
            </w:tcBorders>
            <w:shd w:val="clear" w:color="auto" w:fill="auto"/>
            <w:noWrap/>
            <w:vAlign w:val="bottom"/>
            <w:hideMark/>
          </w:tcPr>
          <w:p w14:paraId="2D1086AE"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嘉实核心优势</w:t>
            </w:r>
          </w:p>
        </w:tc>
        <w:tc>
          <w:tcPr>
            <w:tcW w:w="1238" w:type="dxa"/>
            <w:tcBorders>
              <w:top w:val="nil"/>
              <w:left w:val="nil"/>
              <w:bottom w:val="nil"/>
              <w:right w:val="nil"/>
            </w:tcBorders>
            <w:shd w:val="clear" w:color="auto" w:fill="auto"/>
            <w:noWrap/>
            <w:vAlign w:val="bottom"/>
            <w:hideMark/>
          </w:tcPr>
          <w:p w14:paraId="6E0B8FA9"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7.09 </w:t>
            </w:r>
          </w:p>
        </w:tc>
      </w:tr>
      <w:tr w:rsidR="003B59DA" w:rsidRPr="003B59DA" w14:paraId="7F012BDC" w14:textId="77777777" w:rsidTr="003B59DA">
        <w:trPr>
          <w:trHeight w:val="219"/>
          <w:jc w:val="center"/>
        </w:trPr>
        <w:tc>
          <w:tcPr>
            <w:tcW w:w="2497" w:type="dxa"/>
            <w:tcBorders>
              <w:top w:val="nil"/>
              <w:left w:val="nil"/>
              <w:bottom w:val="nil"/>
              <w:right w:val="nil"/>
            </w:tcBorders>
            <w:shd w:val="clear" w:color="auto" w:fill="auto"/>
            <w:noWrap/>
            <w:vAlign w:val="bottom"/>
            <w:hideMark/>
          </w:tcPr>
          <w:p w14:paraId="444E03DA"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海富通创业板增强</w:t>
            </w:r>
            <w:r w:rsidRPr="003B59DA">
              <w:rPr>
                <w:rFonts w:ascii="Arial" w:hAnsi="Arial" w:cs="Arial"/>
                <w:kern w:val="0"/>
                <w:sz w:val="20"/>
              </w:rPr>
              <w:t>C</w:t>
            </w:r>
          </w:p>
        </w:tc>
        <w:tc>
          <w:tcPr>
            <w:tcW w:w="1238" w:type="dxa"/>
            <w:tcBorders>
              <w:top w:val="nil"/>
              <w:left w:val="nil"/>
              <w:bottom w:val="nil"/>
              <w:right w:val="nil"/>
            </w:tcBorders>
            <w:shd w:val="clear" w:color="auto" w:fill="auto"/>
            <w:noWrap/>
            <w:vAlign w:val="bottom"/>
            <w:hideMark/>
          </w:tcPr>
          <w:p w14:paraId="7FF68BC5"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18.93 </w:t>
            </w:r>
          </w:p>
        </w:tc>
        <w:tc>
          <w:tcPr>
            <w:tcW w:w="680" w:type="dxa"/>
            <w:tcBorders>
              <w:top w:val="nil"/>
              <w:left w:val="nil"/>
              <w:bottom w:val="nil"/>
              <w:right w:val="nil"/>
            </w:tcBorders>
            <w:shd w:val="clear" w:color="auto" w:fill="auto"/>
            <w:noWrap/>
            <w:vAlign w:val="bottom"/>
            <w:hideMark/>
          </w:tcPr>
          <w:p w14:paraId="305D1302" w14:textId="77777777" w:rsidR="003B59DA" w:rsidRPr="003B59DA" w:rsidRDefault="003B59DA" w:rsidP="003B59DA">
            <w:pPr>
              <w:widowControl/>
              <w:jc w:val="right"/>
              <w:rPr>
                <w:rFonts w:ascii="Arial" w:hAnsi="Arial" w:cs="Arial"/>
                <w:kern w:val="0"/>
                <w:sz w:val="20"/>
              </w:rPr>
            </w:pPr>
          </w:p>
        </w:tc>
        <w:tc>
          <w:tcPr>
            <w:tcW w:w="2598" w:type="dxa"/>
            <w:tcBorders>
              <w:top w:val="nil"/>
              <w:left w:val="nil"/>
              <w:bottom w:val="nil"/>
              <w:right w:val="nil"/>
            </w:tcBorders>
            <w:shd w:val="clear" w:color="auto" w:fill="auto"/>
            <w:noWrap/>
            <w:vAlign w:val="bottom"/>
            <w:hideMark/>
          </w:tcPr>
          <w:p w14:paraId="7DAEF2BD"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中欧品质消费</w:t>
            </w:r>
            <w:r w:rsidRPr="003B59DA">
              <w:rPr>
                <w:rFonts w:ascii="Arial" w:hAnsi="Arial" w:cs="Arial"/>
                <w:kern w:val="0"/>
                <w:sz w:val="20"/>
              </w:rPr>
              <w:t>C</w:t>
            </w:r>
          </w:p>
        </w:tc>
        <w:tc>
          <w:tcPr>
            <w:tcW w:w="1238" w:type="dxa"/>
            <w:tcBorders>
              <w:top w:val="nil"/>
              <w:left w:val="nil"/>
              <w:bottom w:val="nil"/>
              <w:right w:val="nil"/>
            </w:tcBorders>
            <w:shd w:val="clear" w:color="auto" w:fill="auto"/>
            <w:noWrap/>
            <w:vAlign w:val="bottom"/>
            <w:hideMark/>
          </w:tcPr>
          <w:p w14:paraId="3BA333A6"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10.97 </w:t>
            </w:r>
          </w:p>
        </w:tc>
      </w:tr>
      <w:tr w:rsidR="003B59DA" w:rsidRPr="003B59DA" w14:paraId="5FE8B1D3" w14:textId="77777777" w:rsidTr="003B59DA">
        <w:trPr>
          <w:trHeight w:val="219"/>
          <w:jc w:val="center"/>
        </w:trPr>
        <w:tc>
          <w:tcPr>
            <w:tcW w:w="2497" w:type="dxa"/>
            <w:tcBorders>
              <w:top w:val="nil"/>
              <w:left w:val="nil"/>
              <w:bottom w:val="nil"/>
              <w:right w:val="nil"/>
            </w:tcBorders>
            <w:shd w:val="clear" w:color="auto" w:fill="auto"/>
            <w:noWrap/>
            <w:vAlign w:val="bottom"/>
            <w:hideMark/>
          </w:tcPr>
          <w:p w14:paraId="6AFC9ED7"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中融智选红利</w:t>
            </w:r>
            <w:r w:rsidRPr="003B59DA">
              <w:rPr>
                <w:rFonts w:ascii="Arial" w:hAnsi="Arial" w:cs="Arial"/>
                <w:kern w:val="0"/>
                <w:sz w:val="20"/>
              </w:rPr>
              <w:t>A</w:t>
            </w:r>
          </w:p>
        </w:tc>
        <w:tc>
          <w:tcPr>
            <w:tcW w:w="1238" w:type="dxa"/>
            <w:tcBorders>
              <w:top w:val="nil"/>
              <w:left w:val="nil"/>
              <w:bottom w:val="nil"/>
              <w:right w:val="nil"/>
            </w:tcBorders>
            <w:shd w:val="clear" w:color="auto" w:fill="auto"/>
            <w:noWrap/>
            <w:vAlign w:val="bottom"/>
            <w:hideMark/>
          </w:tcPr>
          <w:p w14:paraId="78668B1F"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22.05 </w:t>
            </w:r>
          </w:p>
        </w:tc>
        <w:tc>
          <w:tcPr>
            <w:tcW w:w="680" w:type="dxa"/>
            <w:tcBorders>
              <w:top w:val="nil"/>
              <w:left w:val="nil"/>
              <w:bottom w:val="nil"/>
              <w:right w:val="nil"/>
            </w:tcBorders>
            <w:shd w:val="clear" w:color="auto" w:fill="auto"/>
            <w:noWrap/>
            <w:vAlign w:val="bottom"/>
            <w:hideMark/>
          </w:tcPr>
          <w:p w14:paraId="10F42F8E" w14:textId="77777777" w:rsidR="003B59DA" w:rsidRPr="003B59DA" w:rsidRDefault="003B59DA" w:rsidP="003B59DA">
            <w:pPr>
              <w:widowControl/>
              <w:jc w:val="right"/>
              <w:rPr>
                <w:rFonts w:ascii="Arial" w:hAnsi="Arial" w:cs="Arial"/>
                <w:kern w:val="0"/>
                <w:sz w:val="20"/>
              </w:rPr>
            </w:pPr>
          </w:p>
        </w:tc>
        <w:tc>
          <w:tcPr>
            <w:tcW w:w="2598" w:type="dxa"/>
            <w:tcBorders>
              <w:top w:val="nil"/>
              <w:left w:val="nil"/>
              <w:bottom w:val="nil"/>
              <w:right w:val="nil"/>
            </w:tcBorders>
            <w:shd w:val="clear" w:color="auto" w:fill="auto"/>
            <w:noWrap/>
            <w:vAlign w:val="bottom"/>
            <w:hideMark/>
          </w:tcPr>
          <w:p w14:paraId="02D127D7"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嘉实金融精选</w:t>
            </w:r>
            <w:r w:rsidRPr="003B59DA">
              <w:rPr>
                <w:rFonts w:ascii="Arial" w:hAnsi="Arial" w:cs="Arial"/>
                <w:kern w:val="0"/>
                <w:sz w:val="20"/>
              </w:rPr>
              <w:t>A</w:t>
            </w:r>
          </w:p>
        </w:tc>
        <w:tc>
          <w:tcPr>
            <w:tcW w:w="1238" w:type="dxa"/>
            <w:tcBorders>
              <w:top w:val="nil"/>
              <w:left w:val="nil"/>
              <w:bottom w:val="nil"/>
              <w:right w:val="nil"/>
            </w:tcBorders>
            <w:shd w:val="clear" w:color="auto" w:fill="auto"/>
            <w:noWrap/>
            <w:vAlign w:val="bottom"/>
            <w:hideMark/>
          </w:tcPr>
          <w:p w14:paraId="2CF220FF"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11.56 </w:t>
            </w:r>
          </w:p>
        </w:tc>
      </w:tr>
      <w:tr w:rsidR="003B59DA" w:rsidRPr="003B59DA" w14:paraId="0101C3A0" w14:textId="77777777" w:rsidTr="003B59DA">
        <w:trPr>
          <w:trHeight w:val="219"/>
          <w:jc w:val="center"/>
        </w:trPr>
        <w:tc>
          <w:tcPr>
            <w:tcW w:w="2497" w:type="dxa"/>
            <w:tcBorders>
              <w:top w:val="nil"/>
              <w:left w:val="nil"/>
              <w:bottom w:val="nil"/>
              <w:right w:val="nil"/>
            </w:tcBorders>
            <w:shd w:val="clear" w:color="auto" w:fill="auto"/>
            <w:noWrap/>
            <w:vAlign w:val="bottom"/>
            <w:hideMark/>
          </w:tcPr>
          <w:p w14:paraId="7CFADEAA"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汇安趋势动力</w:t>
            </w:r>
            <w:r w:rsidRPr="003B59DA">
              <w:rPr>
                <w:rFonts w:ascii="Arial" w:hAnsi="Arial" w:cs="Arial"/>
                <w:kern w:val="0"/>
                <w:sz w:val="20"/>
              </w:rPr>
              <w:t>C</w:t>
            </w:r>
          </w:p>
        </w:tc>
        <w:tc>
          <w:tcPr>
            <w:tcW w:w="1238" w:type="dxa"/>
            <w:tcBorders>
              <w:top w:val="nil"/>
              <w:left w:val="nil"/>
              <w:bottom w:val="nil"/>
              <w:right w:val="nil"/>
            </w:tcBorders>
            <w:shd w:val="clear" w:color="auto" w:fill="auto"/>
            <w:noWrap/>
            <w:vAlign w:val="bottom"/>
            <w:hideMark/>
          </w:tcPr>
          <w:p w14:paraId="3F3D18FE"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28.83 </w:t>
            </w:r>
          </w:p>
        </w:tc>
        <w:tc>
          <w:tcPr>
            <w:tcW w:w="680" w:type="dxa"/>
            <w:tcBorders>
              <w:top w:val="nil"/>
              <w:left w:val="nil"/>
              <w:bottom w:val="nil"/>
              <w:right w:val="nil"/>
            </w:tcBorders>
            <w:shd w:val="clear" w:color="auto" w:fill="auto"/>
            <w:noWrap/>
            <w:vAlign w:val="bottom"/>
            <w:hideMark/>
          </w:tcPr>
          <w:p w14:paraId="25F49E38" w14:textId="77777777" w:rsidR="003B59DA" w:rsidRPr="003B59DA" w:rsidRDefault="003B59DA" w:rsidP="003B59DA">
            <w:pPr>
              <w:widowControl/>
              <w:jc w:val="right"/>
              <w:rPr>
                <w:rFonts w:ascii="Arial" w:hAnsi="Arial" w:cs="Arial"/>
                <w:kern w:val="0"/>
                <w:sz w:val="20"/>
              </w:rPr>
            </w:pPr>
          </w:p>
        </w:tc>
        <w:tc>
          <w:tcPr>
            <w:tcW w:w="2598" w:type="dxa"/>
            <w:tcBorders>
              <w:top w:val="nil"/>
              <w:left w:val="nil"/>
              <w:bottom w:val="nil"/>
              <w:right w:val="nil"/>
            </w:tcBorders>
            <w:shd w:val="clear" w:color="auto" w:fill="auto"/>
            <w:noWrap/>
            <w:vAlign w:val="bottom"/>
            <w:hideMark/>
          </w:tcPr>
          <w:p w14:paraId="34668AEF"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南方中证</w:t>
            </w:r>
            <w:r w:rsidRPr="003B59DA">
              <w:rPr>
                <w:rFonts w:ascii="Arial" w:hAnsi="Arial" w:cs="Arial"/>
                <w:kern w:val="0"/>
                <w:sz w:val="20"/>
              </w:rPr>
              <w:t>100C</w:t>
            </w:r>
          </w:p>
        </w:tc>
        <w:tc>
          <w:tcPr>
            <w:tcW w:w="1238" w:type="dxa"/>
            <w:tcBorders>
              <w:top w:val="nil"/>
              <w:left w:val="nil"/>
              <w:bottom w:val="nil"/>
              <w:right w:val="nil"/>
            </w:tcBorders>
            <w:shd w:val="clear" w:color="auto" w:fill="auto"/>
            <w:noWrap/>
            <w:vAlign w:val="bottom"/>
            <w:hideMark/>
          </w:tcPr>
          <w:p w14:paraId="5CECBC54"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6.24 </w:t>
            </w:r>
          </w:p>
        </w:tc>
      </w:tr>
      <w:tr w:rsidR="003B59DA" w:rsidRPr="003B59DA" w14:paraId="0557CEDE" w14:textId="77777777" w:rsidTr="003B59DA">
        <w:trPr>
          <w:trHeight w:val="219"/>
          <w:jc w:val="center"/>
        </w:trPr>
        <w:tc>
          <w:tcPr>
            <w:tcW w:w="2497" w:type="dxa"/>
            <w:tcBorders>
              <w:top w:val="nil"/>
              <w:left w:val="nil"/>
              <w:bottom w:val="nil"/>
              <w:right w:val="nil"/>
            </w:tcBorders>
            <w:shd w:val="clear" w:color="auto" w:fill="auto"/>
            <w:noWrap/>
            <w:vAlign w:val="bottom"/>
            <w:hideMark/>
          </w:tcPr>
          <w:p w14:paraId="3BBA9430"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嘉实资源精选</w:t>
            </w:r>
            <w:r w:rsidRPr="003B59DA">
              <w:rPr>
                <w:rFonts w:ascii="Arial" w:hAnsi="Arial" w:cs="Arial"/>
                <w:kern w:val="0"/>
                <w:sz w:val="20"/>
              </w:rPr>
              <w:t>A</w:t>
            </w:r>
          </w:p>
        </w:tc>
        <w:tc>
          <w:tcPr>
            <w:tcW w:w="1238" w:type="dxa"/>
            <w:tcBorders>
              <w:top w:val="nil"/>
              <w:left w:val="nil"/>
              <w:bottom w:val="nil"/>
              <w:right w:val="nil"/>
            </w:tcBorders>
            <w:shd w:val="clear" w:color="auto" w:fill="auto"/>
            <w:noWrap/>
            <w:vAlign w:val="bottom"/>
            <w:hideMark/>
          </w:tcPr>
          <w:p w14:paraId="7FD3BEB7"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19.33 </w:t>
            </w:r>
          </w:p>
        </w:tc>
        <w:tc>
          <w:tcPr>
            <w:tcW w:w="680" w:type="dxa"/>
            <w:tcBorders>
              <w:top w:val="nil"/>
              <w:left w:val="nil"/>
              <w:bottom w:val="nil"/>
              <w:right w:val="nil"/>
            </w:tcBorders>
            <w:shd w:val="clear" w:color="auto" w:fill="auto"/>
            <w:noWrap/>
            <w:vAlign w:val="bottom"/>
            <w:hideMark/>
          </w:tcPr>
          <w:p w14:paraId="79487082" w14:textId="77777777" w:rsidR="003B59DA" w:rsidRPr="003B59DA" w:rsidRDefault="003B59DA" w:rsidP="003B59DA">
            <w:pPr>
              <w:widowControl/>
              <w:jc w:val="right"/>
              <w:rPr>
                <w:rFonts w:ascii="Arial" w:hAnsi="Arial" w:cs="Arial"/>
                <w:kern w:val="0"/>
                <w:sz w:val="20"/>
              </w:rPr>
            </w:pPr>
          </w:p>
        </w:tc>
        <w:tc>
          <w:tcPr>
            <w:tcW w:w="2598" w:type="dxa"/>
            <w:tcBorders>
              <w:top w:val="nil"/>
              <w:left w:val="nil"/>
              <w:bottom w:val="nil"/>
              <w:right w:val="nil"/>
            </w:tcBorders>
            <w:shd w:val="clear" w:color="auto" w:fill="auto"/>
            <w:noWrap/>
            <w:vAlign w:val="bottom"/>
            <w:hideMark/>
          </w:tcPr>
          <w:p w14:paraId="6B111925"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中欧电子信息产业</w:t>
            </w:r>
            <w:r w:rsidRPr="003B59DA">
              <w:rPr>
                <w:rFonts w:ascii="Arial" w:hAnsi="Arial" w:cs="Arial"/>
                <w:kern w:val="0"/>
                <w:sz w:val="20"/>
              </w:rPr>
              <w:t>C</w:t>
            </w:r>
          </w:p>
        </w:tc>
        <w:tc>
          <w:tcPr>
            <w:tcW w:w="1238" w:type="dxa"/>
            <w:tcBorders>
              <w:top w:val="nil"/>
              <w:left w:val="nil"/>
              <w:bottom w:val="nil"/>
              <w:right w:val="nil"/>
            </w:tcBorders>
            <w:shd w:val="clear" w:color="auto" w:fill="auto"/>
            <w:noWrap/>
            <w:vAlign w:val="bottom"/>
            <w:hideMark/>
          </w:tcPr>
          <w:p w14:paraId="09FE8C44"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27.51 </w:t>
            </w:r>
          </w:p>
        </w:tc>
      </w:tr>
      <w:tr w:rsidR="003B59DA" w:rsidRPr="003B59DA" w14:paraId="39534B03" w14:textId="77777777" w:rsidTr="003B59DA">
        <w:trPr>
          <w:trHeight w:val="219"/>
          <w:jc w:val="center"/>
        </w:trPr>
        <w:tc>
          <w:tcPr>
            <w:tcW w:w="2497" w:type="dxa"/>
            <w:tcBorders>
              <w:top w:val="nil"/>
              <w:left w:val="nil"/>
              <w:bottom w:val="nil"/>
              <w:right w:val="nil"/>
            </w:tcBorders>
            <w:shd w:val="clear" w:color="auto" w:fill="auto"/>
            <w:noWrap/>
            <w:vAlign w:val="bottom"/>
            <w:hideMark/>
          </w:tcPr>
          <w:p w14:paraId="14A7DD0A"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创金合信新能源汽车</w:t>
            </w:r>
            <w:r w:rsidRPr="003B59DA">
              <w:rPr>
                <w:rFonts w:ascii="Arial" w:hAnsi="Arial" w:cs="Arial"/>
                <w:kern w:val="0"/>
                <w:sz w:val="20"/>
              </w:rPr>
              <w:t>C</w:t>
            </w:r>
          </w:p>
        </w:tc>
        <w:tc>
          <w:tcPr>
            <w:tcW w:w="1238" w:type="dxa"/>
            <w:tcBorders>
              <w:top w:val="nil"/>
              <w:left w:val="nil"/>
              <w:bottom w:val="nil"/>
              <w:right w:val="nil"/>
            </w:tcBorders>
            <w:shd w:val="clear" w:color="auto" w:fill="auto"/>
            <w:noWrap/>
            <w:vAlign w:val="bottom"/>
            <w:hideMark/>
          </w:tcPr>
          <w:p w14:paraId="06D77991"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44.00 </w:t>
            </w:r>
          </w:p>
        </w:tc>
        <w:tc>
          <w:tcPr>
            <w:tcW w:w="680" w:type="dxa"/>
            <w:tcBorders>
              <w:top w:val="nil"/>
              <w:left w:val="nil"/>
              <w:bottom w:val="nil"/>
              <w:right w:val="nil"/>
            </w:tcBorders>
            <w:shd w:val="clear" w:color="auto" w:fill="auto"/>
            <w:noWrap/>
            <w:vAlign w:val="bottom"/>
            <w:hideMark/>
          </w:tcPr>
          <w:p w14:paraId="135F543E" w14:textId="77777777" w:rsidR="003B59DA" w:rsidRPr="003B59DA" w:rsidRDefault="003B59DA" w:rsidP="003B59DA">
            <w:pPr>
              <w:widowControl/>
              <w:jc w:val="right"/>
              <w:rPr>
                <w:rFonts w:ascii="Arial" w:hAnsi="Arial" w:cs="Arial"/>
                <w:kern w:val="0"/>
                <w:sz w:val="20"/>
              </w:rPr>
            </w:pPr>
          </w:p>
        </w:tc>
        <w:tc>
          <w:tcPr>
            <w:tcW w:w="2598" w:type="dxa"/>
            <w:tcBorders>
              <w:top w:val="nil"/>
              <w:left w:val="nil"/>
              <w:bottom w:val="nil"/>
              <w:right w:val="nil"/>
            </w:tcBorders>
            <w:shd w:val="clear" w:color="auto" w:fill="auto"/>
            <w:noWrap/>
            <w:vAlign w:val="bottom"/>
            <w:hideMark/>
          </w:tcPr>
          <w:p w14:paraId="4B2F9A93"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国泰消费优选</w:t>
            </w:r>
          </w:p>
        </w:tc>
        <w:tc>
          <w:tcPr>
            <w:tcW w:w="1238" w:type="dxa"/>
            <w:tcBorders>
              <w:top w:val="nil"/>
              <w:left w:val="nil"/>
              <w:bottom w:val="nil"/>
              <w:right w:val="nil"/>
            </w:tcBorders>
            <w:shd w:val="clear" w:color="auto" w:fill="auto"/>
            <w:noWrap/>
            <w:vAlign w:val="bottom"/>
            <w:hideMark/>
          </w:tcPr>
          <w:p w14:paraId="7C49E140"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10.30 </w:t>
            </w:r>
          </w:p>
        </w:tc>
      </w:tr>
      <w:tr w:rsidR="003B59DA" w:rsidRPr="003B59DA" w14:paraId="7E083704" w14:textId="77777777" w:rsidTr="003B59DA">
        <w:trPr>
          <w:trHeight w:val="219"/>
          <w:jc w:val="center"/>
        </w:trPr>
        <w:tc>
          <w:tcPr>
            <w:tcW w:w="2497" w:type="dxa"/>
            <w:tcBorders>
              <w:top w:val="nil"/>
              <w:left w:val="nil"/>
              <w:bottom w:val="nil"/>
              <w:right w:val="nil"/>
            </w:tcBorders>
            <w:shd w:val="clear" w:color="auto" w:fill="auto"/>
            <w:noWrap/>
            <w:vAlign w:val="bottom"/>
            <w:hideMark/>
          </w:tcPr>
          <w:p w14:paraId="4B71882F"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宝盈人工智能</w:t>
            </w:r>
            <w:r w:rsidRPr="003B59DA">
              <w:rPr>
                <w:rFonts w:ascii="Arial" w:hAnsi="Arial" w:cs="Arial"/>
                <w:kern w:val="0"/>
                <w:sz w:val="20"/>
              </w:rPr>
              <w:t>A</w:t>
            </w:r>
          </w:p>
        </w:tc>
        <w:tc>
          <w:tcPr>
            <w:tcW w:w="1238" w:type="dxa"/>
            <w:tcBorders>
              <w:top w:val="nil"/>
              <w:left w:val="nil"/>
              <w:bottom w:val="nil"/>
              <w:right w:val="nil"/>
            </w:tcBorders>
            <w:shd w:val="clear" w:color="auto" w:fill="auto"/>
            <w:noWrap/>
            <w:vAlign w:val="bottom"/>
            <w:hideMark/>
          </w:tcPr>
          <w:p w14:paraId="5D824199"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22.99 </w:t>
            </w:r>
          </w:p>
        </w:tc>
        <w:tc>
          <w:tcPr>
            <w:tcW w:w="680" w:type="dxa"/>
            <w:tcBorders>
              <w:top w:val="nil"/>
              <w:left w:val="nil"/>
              <w:bottom w:val="nil"/>
              <w:right w:val="nil"/>
            </w:tcBorders>
            <w:shd w:val="clear" w:color="auto" w:fill="auto"/>
            <w:noWrap/>
            <w:vAlign w:val="bottom"/>
            <w:hideMark/>
          </w:tcPr>
          <w:p w14:paraId="691B7235" w14:textId="77777777" w:rsidR="003B59DA" w:rsidRPr="003B59DA" w:rsidRDefault="003B59DA" w:rsidP="003B59DA">
            <w:pPr>
              <w:widowControl/>
              <w:jc w:val="right"/>
              <w:rPr>
                <w:rFonts w:ascii="Arial" w:hAnsi="Arial" w:cs="Arial"/>
                <w:kern w:val="0"/>
                <w:sz w:val="20"/>
              </w:rPr>
            </w:pPr>
          </w:p>
        </w:tc>
        <w:tc>
          <w:tcPr>
            <w:tcW w:w="2598" w:type="dxa"/>
            <w:tcBorders>
              <w:top w:val="nil"/>
              <w:left w:val="nil"/>
              <w:bottom w:val="nil"/>
              <w:right w:val="nil"/>
            </w:tcBorders>
            <w:shd w:val="clear" w:color="auto" w:fill="auto"/>
            <w:noWrap/>
            <w:vAlign w:val="bottom"/>
            <w:hideMark/>
          </w:tcPr>
          <w:p w14:paraId="5CF93D1C"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工银瑞信医药健康</w:t>
            </w:r>
            <w:r w:rsidRPr="003B59DA">
              <w:rPr>
                <w:rFonts w:ascii="Arial" w:hAnsi="Arial" w:cs="Arial"/>
                <w:kern w:val="0"/>
                <w:sz w:val="20"/>
              </w:rPr>
              <w:t>C</w:t>
            </w:r>
          </w:p>
        </w:tc>
        <w:tc>
          <w:tcPr>
            <w:tcW w:w="1238" w:type="dxa"/>
            <w:tcBorders>
              <w:top w:val="nil"/>
              <w:left w:val="nil"/>
              <w:bottom w:val="nil"/>
              <w:right w:val="nil"/>
            </w:tcBorders>
            <w:shd w:val="clear" w:color="auto" w:fill="auto"/>
            <w:noWrap/>
            <w:vAlign w:val="bottom"/>
            <w:hideMark/>
          </w:tcPr>
          <w:p w14:paraId="60AA3D8D"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22.25 </w:t>
            </w:r>
          </w:p>
        </w:tc>
      </w:tr>
      <w:tr w:rsidR="003B59DA" w:rsidRPr="003B59DA" w14:paraId="4086336D" w14:textId="77777777" w:rsidTr="003B59DA">
        <w:trPr>
          <w:trHeight w:val="219"/>
          <w:jc w:val="center"/>
        </w:trPr>
        <w:tc>
          <w:tcPr>
            <w:tcW w:w="2497" w:type="dxa"/>
            <w:tcBorders>
              <w:top w:val="nil"/>
              <w:left w:val="nil"/>
              <w:bottom w:val="nil"/>
              <w:right w:val="nil"/>
            </w:tcBorders>
            <w:shd w:val="clear" w:color="auto" w:fill="auto"/>
            <w:noWrap/>
            <w:vAlign w:val="bottom"/>
            <w:hideMark/>
          </w:tcPr>
          <w:p w14:paraId="1C338AC4"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创金合信工业周期精选</w:t>
            </w:r>
            <w:r w:rsidRPr="003B59DA">
              <w:rPr>
                <w:rFonts w:ascii="Arial" w:hAnsi="Arial" w:cs="Arial"/>
                <w:kern w:val="0"/>
                <w:sz w:val="20"/>
              </w:rPr>
              <w:t>C</w:t>
            </w:r>
          </w:p>
        </w:tc>
        <w:tc>
          <w:tcPr>
            <w:tcW w:w="1238" w:type="dxa"/>
            <w:tcBorders>
              <w:top w:val="nil"/>
              <w:left w:val="nil"/>
              <w:bottom w:val="nil"/>
              <w:right w:val="nil"/>
            </w:tcBorders>
            <w:shd w:val="clear" w:color="auto" w:fill="auto"/>
            <w:noWrap/>
            <w:vAlign w:val="bottom"/>
            <w:hideMark/>
          </w:tcPr>
          <w:p w14:paraId="005F53DA"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27.59 </w:t>
            </w:r>
          </w:p>
        </w:tc>
        <w:tc>
          <w:tcPr>
            <w:tcW w:w="680" w:type="dxa"/>
            <w:tcBorders>
              <w:top w:val="nil"/>
              <w:left w:val="nil"/>
              <w:bottom w:val="nil"/>
              <w:right w:val="nil"/>
            </w:tcBorders>
            <w:shd w:val="clear" w:color="auto" w:fill="auto"/>
            <w:noWrap/>
            <w:vAlign w:val="bottom"/>
            <w:hideMark/>
          </w:tcPr>
          <w:p w14:paraId="64209315" w14:textId="77777777" w:rsidR="003B59DA" w:rsidRPr="003B59DA" w:rsidRDefault="003B59DA" w:rsidP="003B59DA">
            <w:pPr>
              <w:widowControl/>
              <w:jc w:val="right"/>
              <w:rPr>
                <w:rFonts w:ascii="Arial" w:hAnsi="Arial" w:cs="Arial"/>
                <w:kern w:val="0"/>
                <w:sz w:val="20"/>
              </w:rPr>
            </w:pPr>
          </w:p>
        </w:tc>
        <w:tc>
          <w:tcPr>
            <w:tcW w:w="2598" w:type="dxa"/>
            <w:tcBorders>
              <w:top w:val="nil"/>
              <w:left w:val="nil"/>
              <w:bottom w:val="nil"/>
              <w:right w:val="nil"/>
            </w:tcBorders>
            <w:shd w:val="clear" w:color="auto" w:fill="auto"/>
            <w:noWrap/>
            <w:vAlign w:val="bottom"/>
            <w:hideMark/>
          </w:tcPr>
          <w:p w14:paraId="50B77202"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鑫元核心资产</w:t>
            </w:r>
            <w:r w:rsidRPr="003B59DA">
              <w:rPr>
                <w:rFonts w:ascii="Arial" w:hAnsi="Arial" w:cs="Arial"/>
                <w:kern w:val="0"/>
                <w:sz w:val="20"/>
              </w:rPr>
              <w:t>A</w:t>
            </w:r>
          </w:p>
        </w:tc>
        <w:tc>
          <w:tcPr>
            <w:tcW w:w="1238" w:type="dxa"/>
            <w:tcBorders>
              <w:top w:val="nil"/>
              <w:left w:val="nil"/>
              <w:bottom w:val="nil"/>
              <w:right w:val="nil"/>
            </w:tcBorders>
            <w:shd w:val="clear" w:color="auto" w:fill="auto"/>
            <w:noWrap/>
            <w:vAlign w:val="bottom"/>
            <w:hideMark/>
          </w:tcPr>
          <w:p w14:paraId="289D95BD"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12.89 </w:t>
            </w:r>
          </w:p>
        </w:tc>
      </w:tr>
      <w:tr w:rsidR="003B59DA" w:rsidRPr="003B59DA" w14:paraId="0E7FB433" w14:textId="77777777" w:rsidTr="003B59DA">
        <w:trPr>
          <w:trHeight w:val="219"/>
          <w:jc w:val="center"/>
        </w:trPr>
        <w:tc>
          <w:tcPr>
            <w:tcW w:w="2497" w:type="dxa"/>
            <w:tcBorders>
              <w:top w:val="nil"/>
              <w:left w:val="nil"/>
              <w:bottom w:val="nil"/>
              <w:right w:val="nil"/>
            </w:tcBorders>
            <w:shd w:val="clear" w:color="auto" w:fill="auto"/>
            <w:noWrap/>
            <w:vAlign w:val="bottom"/>
            <w:hideMark/>
          </w:tcPr>
          <w:p w14:paraId="776FA62D"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上投摩根核心精选</w:t>
            </w:r>
            <w:r w:rsidRPr="003B59DA">
              <w:rPr>
                <w:rFonts w:ascii="Arial" w:hAnsi="Arial" w:cs="Arial"/>
                <w:kern w:val="0"/>
                <w:sz w:val="20"/>
              </w:rPr>
              <w:t>A</w:t>
            </w:r>
          </w:p>
        </w:tc>
        <w:tc>
          <w:tcPr>
            <w:tcW w:w="1238" w:type="dxa"/>
            <w:tcBorders>
              <w:top w:val="nil"/>
              <w:left w:val="nil"/>
              <w:bottom w:val="nil"/>
              <w:right w:val="nil"/>
            </w:tcBorders>
            <w:shd w:val="clear" w:color="auto" w:fill="auto"/>
            <w:noWrap/>
            <w:vAlign w:val="bottom"/>
            <w:hideMark/>
          </w:tcPr>
          <w:p w14:paraId="1146F46D"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27.94 </w:t>
            </w:r>
          </w:p>
        </w:tc>
        <w:tc>
          <w:tcPr>
            <w:tcW w:w="680" w:type="dxa"/>
            <w:tcBorders>
              <w:top w:val="nil"/>
              <w:left w:val="nil"/>
              <w:bottom w:val="nil"/>
              <w:right w:val="nil"/>
            </w:tcBorders>
            <w:shd w:val="clear" w:color="auto" w:fill="auto"/>
            <w:noWrap/>
            <w:vAlign w:val="bottom"/>
            <w:hideMark/>
          </w:tcPr>
          <w:p w14:paraId="6A1BB89C" w14:textId="77777777" w:rsidR="003B59DA" w:rsidRPr="003B59DA" w:rsidRDefault="003B59DA" w:rsidP="003B59DA">
            <w:pPr>
              <w:widowControl/>
              <w:jc w:val="right"/>
              <w:rPr>
                <w:rFonts w:ascii="Arial" w:hAnsi="Arial" w:cs="Arial"/>
                <w:kern w:val="0"/>
                <w:sz w:val="20"/>
              </w:rPr>
            </w:pPr>
          </w:p>
        </w:tc>
        <w:tc>
          <w:tcPr>
            <w:tcW w:w="2598" w:type="dxa"/>
            <w:tcBorders>
              <w:top w:val="nil"/>
              <w:left w:val="nil"/>
              <w:bottom w:val="nil"/>
              <w:right w:val="nil"/>
            </w:tcBorders>
            <w:shd w:val="clear" w:color="auto" w:fill="auto"/>
            <w:noWrap/>
            <w:vAlign w:val="bottom"/>
            <w:hideMark/>
          </w:tcPr>
          <w:p w14:paraId="44862FA8" w14:textId="77777777" w:rsidR="003B59DA" w:rsidRPr="003B59DA" w:rsidRDefault="003B59DA" w:rsidP="003B59DA">
            <w:pPr>
              <w:widowControl/>
              <w:jc w:val="left"/>
              <w:rPr>
                <w:rFonts w:ascii="Arial" w:hAnsi="Arial" w:cs="Arial"/>
                <w:kern w:val="0"/>
                <w:sz w:val="20"/>
              </w:rPr>
            </w:pPr>
            <w:r w:rsidRPr="003B59DA">
              <w:rPr>
                <w:rFonts w:ascii="Arial" w:hAnsi="Arial" w:cs="Arial"/>
                <w:kern w:val="0"/>
                <w:sz w:val="20"/>
              </w:rPr>
              <w:t>国金量化多因子</w:t>
            </w:r>
          </w:p>
        </w:tc>
        <w:tc>
          <w:tcPr>
            <w:tcW w:w="1238" w:type="dxa"/>
            <w:tcBorders>
              <w:top w:val="nil"/>
              <w:left w:val="nil"/>
              <w:bottom w:val="nil"/>
              <w:right w:val="nil"/>
            </w:tcBorders>
            <w:shd w:val="clear" w:color="auto" w:fill="auto"/>
            <w:noWrap/>
            <w:vAlign w:val="bottom"/>
            <w:hideMark/>
          </w:tcPr>
          <w:p w14:paraId="6ADF2AF4" w14:textId="77777777" w:rsidR="003B59DA" w:rsidRPr="003B59DA" w:rsidRDefault="003B59DA" w:rsidP="003B59DA">
            <w:pPr>
              <w:widowControl/>
              <w:jc w:val="right"/>
              <w:rPr>
                <w:rFonts w:ascii="Arial" w:hAnsi="Arial" w:cs="Arial"/>
                <w:kern w:val="0"/>
                <w:sz w:val="20"/>
              </w:rPr>
            </w:pPr>
            <w:r w:rsidRPr="003B59DA">
              <w:rPr>
                <w:rFonts w:ascii="Arial" w:hAnsi="Arial" w:cs="Arial"/>
                <w:kern w:val="0"/>
                <w:sz w:val="20"/>
              </w:rPr>
              <w:t xml:space="preserve">        14.26 </w:t>
            </w:r>
          </w:p>
        </w:tc>
      </w:tr>
    </w:tbl>
    <w:p w14:paraId="5E776B7A" w14:textId="1AFF8A42" w:rsidR="00BA28F7" w:rsidRDefault="00BA28F7" w:rsidP="00BA28F7">
      <w:pPr>
        <w:spacing w:line="360" w:lineRule="auto"/>
        <w:rPr>
          <w:rFonts w:ascii="宋体" w:hAnsi="宋体"/>
          <w:sz w:val="24"/>
          <w:szCs w:val="24"/>
        </w:rPr>
      </w:pPr>
    </w:p>
    <w:p w14:paraId="5867B82D" w14:textId="1CE83984" w:rsidR="00BA28F7" w:rsidRPr="00BA28F7" w:rsidRDefault="00BA28F7" w:rsidP="00BA28F7">
      <w:pPr>
        <w:spacing w:line="360" w:lineRule="auto"/>
        <w:jc w:val="center"/>
        <w:rPr>
          <w:rFonts w:ascii="宋体" w:hAnsi="宋体"/>
          <w:szCs w:val="21"/>
        </w:rPr>
      </w:pPr>
      <w:r w:rsidRPr="00FD4939">
        <w:rPr>
          <w:rFonts w:ascii="宋体" w:hAnsi="宋体" w:hint="eastAsia"/>
          <w:szCs w:val="21"/>
        </w:rPr>
        <w:lastRenderedPageBreak/>
        <w:t>表</w:t>
      </w:r>
      <w:r w:rsidR="008F5CC1">
        <w:rPr>
          <w:rFonts w:ascii="宋体" w:hAnsi="宋体" w:hint="eastAsia"/>
          <w:szCs w:val="21"/>
        </w:rPr>
        <w:t>3</w:t>
      </w:r>
      <w:r w:rsidR="008F5CC1">
        <w:rPr>
          <w:rFonts w:ascii="宋体" w:hAnsi="宋体"/>
          <w:szCs w:val="21"/>
        </w:rPr>
        <w:t>-</w:t>
      </w:r>
      <w:r w:rsidR="00E535D9">
        <w:rPr>
          <w:rFonts w:ascii="宋体" w:hAnsi="宋体"/>
          <w:szCs w:val="21"/>
        </w:rPr>
        <w:t>7</w:t>
      </w:r>
      <w:r>
        <w:rPr>
          <w:rFonts w:ascii="宋体" w:hAnsi="宋体" w:hint="eastAsia"/>
          <w:szCs w:val="21"/>
        </w:rPr>
        <w:t>（续）</w:t>
      </w:r>
      <w:r w:rsidRPr="00FD4939">
        <w:rPr>
          <w:rFonts w:ascii="宋体" w:hAnsi="宋体" w:hint="eastAsia"/>
          <w:szCs w:val="21"/>
        </w:rPr>
        <w:t>：基金综合得分</w:t>
      </w:r>
    </w:p>
    <w:tbl>
      <w:tblPr>
        <w:tblW w:w="8640" w:type="dxa"/>
        <w:tblLook w:val="04A0" w:firstRow="1" w:lastRow="0" w:firstColumn="1" w:lastColumn="0" w:noHBand="0" w:noVBand="1"/>
      </w:tblPr>
      <w:tblGrid>
        <w:gridCol w:w="2771"/>
        <w:gridCol w:w="1180"/>
        <w:gridCol w:w="948"/>
        <w:gridCol w:w="2561"/>
        <w:gridCol w:w="1180"/>
      </w:tblGrid>
      <w:tr w:rsidR="00BA28F7" w:rsidRPr="00BA28F7" w14:paraId="02A6EB1B" w14:textId="77777777" w:rsidTr="00BA28F7">
        <w:trPr>
          <w:trHeight w:val="221"/>
        </w:trPr>
        <w:tc>
          <w:tcPr>
            <w:tcW w:w="2771" w:type="dxa"/>
            <w:tcBorders>
              <w:top w:val="single" w:sz="12" w:space="0" w:color="auto"/>
              <w:left w:val="nil"/>
              <w:bottom w:val="single" w:sz="12" w:space="0" w:color="auto"/>
              <w:right w:val="nil"/>
            </w:tcBorders>
            <w:shd w:val="clear" w:color="auto" w:fill="auto"/>
            <w:noWrap/>
            <w:vAlign w:val="bottom"/>
            <w:hideMark/>
          </w:tcPr>
          <w:p w14:paraId="68AA6B68" w14:textId="77777777" w:rsidR="00BA28F7" w:rsidRPr="00BA28F7" w:rsidRDefault="00BA28F7" w:rsidP="00BA28F7">
            <w:pPr>
              <w:widowControl/>
              <w:jc w:val="center"/>
              <w:rPr>
                <w:rFonts w:ascii="宋体" w:hAnsi="宋体" w:cs="Arial"/>
                <w:b/>
                <w:bCs/>
                <w:kern w:val="0"/>
                <w:sz w:val="20"/>
              </w:rPr>
            </w:pPr>
            <w:r w:rsidRPr="00BA28F7">
              <w:rPr>
                <w:rFonts w:ascii="宋体" w:hAnsi="宋体" w:cs="Arial" w:hint="eastAsia"/>
                <w:b/>
                <w:bCs/>
                <w:kern w:val="0"/>
                <w:sz w:val="20"/>
              </w:rPr>
              <w:t>碳中和概念基金名称</w:t>
            </w:r>
          </w:p>
        </w:tc>
        <w:tc>
          <w:tcPr>
            <w:tcW w:w="1180" w:type="dxa"/>
            <w:tcBorders>
              <w:top w:val="single" w:sz="12" w:space="0" w:color="auto"/>
              <w:left w:val="nil"/>
              <w:bottom w:val="single" w:sz="12" w:space="0" w:color="auto"/>
              <w:right w:val="nil"/>
            </w:tcBorders>
            <w:shd w:val="clear" w:color="auto" w:fill="auto"/>
            <w:noWrap/>
            <w:vAlign w:val="bottom"/>
            <w:hideMark/>
          </w:tcPr>
          <w:p w14:paraId="6CE76CD0" w14:textId="77777777" w:rsidR="00BA28F7" w:rsidRPr="00BA28F7" w:rsidRDefault="00BA28F7" w:rsidP="00BA28F7">
            <w:pPr>
              <w:widowControl/>
              <w:jc w:val="center"/>
              <w:rPr>
                <w:rFonts w:ascii="宋体" w:hAnsi="宋体" w:cs="Arial"/>
                <w:b/>
                <w:bCs/>
                <w:kern w:val="0"/>
                <w:sz w:val="20"/>
              </w:rPr>
            </w:pPr>
            <w:r w:rsidRPr="00BA28F7">
              <w:rPr>
                <w:rFonts w:ascii="宋体" w:hAnsi="宋体" w:cs="Arial" w:hint="eastAsia"/>
                <w:b/>
                <w:bCs/>
                <w:kern w:val="0"/>
                <w:sz w:val="20"/>
              </w:rPr>
              <w:t>综合得分</w:t>
            </w:r>
          </w:p>
        </w:tc>
        <w:tc>
          <w:tcPr>
            <w:tcW w:w="948" w:type="dxa"/>
            <w:tcBorders>
              <w:top w:val="single" w:sz="12" w:space="0" w:color="auto"/>
              <w:left w:val="nil"/>
              <w:bottom w:val="single" w:sz="12" w:space="0" w:color="auto"/>
              <w:right w:val="nil"/>
            </w:tcBorders>
            <w:shd w:val="clear" w:color="auto" w:fill="auto"/>
            <w:noWrap/>
            <w:vAlign w:val="bottom"/>
            <w:hideMark/>
          </w:tcPr>
          <w:p w14:paraId="05466752" w14:textId="77777777" w:rsidR="00BA28F7" w:rsidRPr="00BA28F7" w:rsidRDefault="00BA28F7" w:rsidP="00BA28F7">
            <w:pPr>
              <w:widowControl/>
              <w:jc w:val="center"/>
              <w:rPr>
                <w:rFonts w:ascii="宋体" w:hAnsi="宋体" w:cs="Arial"/>
                <w:b/>
                <w:bCs/>
                <w:kern w:val="0"/>
                <w:sz w:val="20"/>
              </w:rPr>
            </w:pPr>
            <w:r w:rsidRPr="00BA28F7">
              <w:rPr>
                <w:rFonts w:ascii="宋体" w:hAnsi="宋体" w:cs="Arial" w:hint="eastAsia"/>
                <w:b/>
                <w:bCs/>
                <w:kern w:val="0"/>
                <w:sz w:val="20"/>
              </w:rPr>
              <w:t xml:space="preserve">　</w:t>
            </w:r>
          </w:p>
        </w:tc>
        <w:tc>
          <w:tcPr>
            <w:tcW w:w="2561" w:type="dxa"/>
            <w:tcBorders>
              <w:top w:val="single" w:sz="12" w:space="0" w:color="auto"/>
              <w:left w:val="nil"/>
              <w:bottom w:val="single" w:sz="12" w:space="0" w:color="auto"/>
              <w:right w:val="nil"/>
            </w:tcBorders>
            <w:shd w:val="clear" w:color="auto" w:fill="auto"/>
            <w:noWrap/>
            <w:vAlign w:val="bottom"/>
            <w:hideMark/>
          </w:tcPr>
          <w:p w14:paraId="78F65CB9" w14:textId="77777777" w:rsidR="00BA28F7" w:rsidRPr="00BA28F7" w:rsidRDefault="00BA28F7" w:rsidP="00BA28F7">
            <w:pPr>
              <w:widowControl/>
              <w:jc w:val="center"/>
              <w:rPr>
                <w:rFonts w:ascii="宋体" w:hAnsi="宋体" w:cs="Arial"/>
                <w:b/>
                <w:bCs/>
                <w:kern w:val="0"/>
                <w:sz w:val="20"/>
              </w:rPr>
            </w:pPr>
            <w:r w:rsidRPr="00BA28F7">
              <w:rPr>
                <w:rFonts w:ascii="宋体" w:hAnsi="宋体" w:cs="Arial" w:hint="eastAsia"/>
                <w:b/>
                <w:bCs/>
                <w:kern w:val="0"/>
                <w:sz w:val="20"/>
              </w:rPr>
              <w:t>非碳中和概念基金名称</w:t>
            </w:r>
          </w:p>
        </w:tc>
        <w:tc>
          <w:tcPr>
            <w:tcW w:w="1180" w:type="dxa"/>
            <w:tcBorders>
              <w:top w:val="single" w:sz="12" w:space="0" w:color="auto"/>
              <w:left w:val="nil"/>
              <w:bottom w:val="single" w:sz="12" w:space="0" w:color="auto"/>
              <w:right w:val="nil"/>
            </w:tcBorders>
            <w:shd w:val="clear" w:color="auto" w:fill="auto"/>
            <w:noWrap/>
            <w:vAlign w:val="bottom"/>
            <w:hideMark/>
          </w:tcPr>
          <w:p w14:paraId="1E501E4B" w14:textId="77777777" w:rsidR="00BA28F7" w:rsidRPr="00BA28F7" w:rsidRDefault="00BA28F7" w:rsidP="00BA28F7">
            <w:pPr>
              <w:widowControl/>
              <w:jc w:val="center"/>
              <w:rPr>
                <w:rFonts w:ascii="宋体" w:hAnsi="宋体" w:cs="Arial"/>
                <w:b/>
                <w:bCs/>
                <w:kern w:val="0"/>
                <w:sz w:val="20"/>
              </w:rPr>
            </w:pPr>
            <w:r w:rsidRPr="00BA28F7">
              <w:rPr>
                <w:rFonts w:ascii="宋体" w:hAnsi="宋体" w:cs="Arial" w:hint="eastAsia"/>
                <w:b/>
                <w:bCs/>
                <w:kern w:val="0"/>
                <w:sz w:val="20"/>
              </w:rPr>
              <w:t>综合得分</w:t>
            </w:r>
          </w:p>
        </w:tc>
      </w:tr>
      <w:tr w:rsidR="00BA28F7" w:rsidRPr="00BA28F7" w14:paraId="3141A893" w14:textId="77777777" w:rsidTr="00BA28F7">
        <w:trPr>
          <w:trHeight w:val="221"/>
        </w:trPr>
        <w:tc>
          <w:tcPr>
            <w:tcW w:w="2771" w:type="dxa"/>
            <w:tcBorders>
              <w:top w:val="nil"/>
              <w:left w:val="nil"/>
              <w:bottom w:val="nil"/>
              <w:right w:val="nil"/>
            </w:tcBorders>
            <w:shd w:val="clear" w:color="auto" w:fill="auto"/>
            <w:noWrap/>
            <w:vAlign w:val="bottom"/>
            <w:hideMark/>
          </w:tcPr>
          <w:p w14:paraId="589625B3" w14:textId="11F65EB2" w:rsidR="00BA28F7" w:rsidRPr="00BA28F7" w:rsidRDefault="00BA28F7" w:rsidP="00BA28F7">
            <w:pPr>
              <w:widowControl/>
              <w:jc w:val="left"/>
              <w:rPr>
                <w:rFonts w:ascii="Arial" w:hAnsi="Arial" w:cs="Arial"/>
                <w:kern w:val="0"/>
                <w:sz w:val="20"/>
              </w:rPr>
            </w:pPr>
            <w:r w:rsidRPr="00BA28F7">
              <w:rPr>
                <w:rFonts w:ascii="Arial" w:hAnsi="Arial" w:cs="Arial"/>
                <w:kern w:val="0"/>
                <w:sz w:val="20"/>
              </w:rPr>
              <w:t>富国</w:t>
            </w:r>
            <w:r w:rsidRPr="00BA28F7">
              <w:rPr>
                <w:rFonts w:ascii="Arial" w:hAnsi="Arial" w:cs="Arial"/>
                <w:kern w:val="0"/>
                <w:sz w:val="20"/>
              </w:rPr>
              <w:t>MSCI</w:t>
            </w:r>
            <w:r w:rsidRPr="00BA28F7">
              <w:rPr>
                <w:rFonts w:ascii="Arial" w:hAnsi="Arial" w:cs="Arial"/>
                <w:kern w:val="0"/>
                <w:sz w:val="20"/>
              </w:rPr>
              <w:t>中国</w:t>
            </w:r>
            <w:r w:rsidRPr="00BA28F7">
              <w:rPr>
                <w:rFonts w:ascii="Arial" w:hAnsi="Arial" w:cs="Arial"/>
                <w:kern w:val="0"/>
                <w:sz w:val="20"/>
              </w:rPr>
              <w:t>A</w:t>
            </w:r>
            <w:r w:rsidRPr="00BA28F7">
              <w:rPr>
                <w:rFonts w:ascii="Arial" w:hAnsi="Arial" w:cs="Arial"/>
                <w:kern w:val="0"/>
                <w:sz w:val="20"/>
              </w:rPr>
              <w:t>股国际通</w:t>
            </w:r>
          </w:p>
        </w:tc>
        <w:tc>
          <w:tcPr>
            <w:tcW w:w="1180" w:type="dxa"/>
            <w:tcBorders>
              <w:top w:val="nil"/>
              <w:left w:val="nil"/>
              <w:bottom w:val="nil"/>
              <w:right w:val="nil"/>
            </w:tcBorders>
            <w:shd w:val="clear" w:color="auto" w:fill="auto"/>
            <w:noWrap/>
            <w:vAlign w:val="bottom"/>
            <w:hideMark/>
          </w:tcPr>
          <w:p w14:paraId="13313B65"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12.52 </w:t>
            </w:r>
          </w:p>
        </w:tc>
        <w:tc>
          <w:tcPr>
            <w:tcW w:w="948" w:type="dxa"/>
            <w:tcBorders>
              <w:top w:val="nil"/>
              <w:left w:val="nil"/>
              <w:bottom w:val="nil"/>
              <w:right w:val="nil"/>
            </w:tcBorders>
            <w:shd w:val="clear" w:color="auto" w:fill="auto"/>
            <w:noWrap/>
            <w:vAlign w:val="bottom"/>
            <w:hideMark/>
          </w:tcPr>
          <w:p w14:paraId="62C0435E"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04E55767" w14:textId="1A76B02E" w:rsidR="00BA28F7" w:rsidRPr="00BA28F7" w:rsidRDefault="00BA28F7" w:rsidP="00BA28F7">
            <w:pPr>
              <w:widowControl/>
              <w:jc w:val="left"/>
              <w:rPr>
                <w:rFonts w:ascii="Arial" w:hAnsi="Arial" w:cs="Arial"/>
                <w:kern w:val="0"/>
                <w:sz w:val="20"/>
              </w:rPr>
            </w:pPr>
            <w:r w:rsidRPr="00BA28F7">
              <w:rPr>
                <w:rFonts w:ascii="Arial" w:hAnsi="Arial" w:cs="Arial"/>
                <w:kern w:val="0"/>
                <w:sz w:val="20"/>
              </w:rPr>
              <w:t>中金</w:t>
            </w:r>
            <w:r w:rsidRPr="00BA28F7">
              <w:rPr>
                <w:rFonts w:ascii="Arial" w:hAnsi="Arial" w:cs="Arial"/>
                <w:kern w:val="0"/>
                <w:sz w:val="20"/>
              </w:rPr>
              <w:t>MSCI</w:t>
            </w:r>
            <w:r w:rsidRPr="00BA28F7">
              <w:rPr>
                <w:rFonts w:ascii="Arial" w:hAnsi="Arial" w:cs="Arial"/>
                <w:kern w:val="0"/>
                <w:sz w:val="20"/>
              </w:rPr>
              <w:t>中国</w:t>
            </w:r>
            <w:r w:rsidRPr="00BA28F7">
              <w:rPr>
                <w:rFonts w:ascii="Arial" w:hAnsi="Arial" w:cs="Arial"/>
                <w:kern w:val="0"/>
                <w:sz w:val="20"/>
              </w:rPr>
              <w:t>A</w:t>
            </w:r>
            <w:r w:rsidRPr="00BA28F7">
              <w:rPr>
                <w:rFonts w:ascii="Arial" w:hAnsi="Arial" w:cs="Arial"/>
                <w:kern w:val="0"/>
                <w:sz w:val="20"/>
              </w:rPr>
              <w:t>股质量</w:t>
            </w:r>
          </w:p>
        </w:tc>
        <w:tc>
          <w:tcPr>
            <w:tcW w:w="1180" w:type="dxa"/>
            <w:tcBorders>
              <w:top w:val="nil"/>
              <w:left w:val="nil"/>
              <w:bottom w:val="nil"/>
              <w:right w:val="nil"/>
            </w:tcBorders>
            <w:shd w:val="clear" w:color="auto" w:fill="auto"/>
            <w:noWrap/>
            <w:vAlign w:val="bottom"/>
            <w:hideMark/>
          </w:tcPr>
          <w:p w14:paraId="6D56AD42"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9.07 </w:t>
            </w:r>
          </w:p>
        </w:tc>
      </w:tr>
      <w:tr w:rsidR="00BA28F7" w:rsidRPr="00BA28F7" w14:paraId="1E8F7744" w14:textId="77777777" w:rsidTr="00BA28F7">
        <w:trPr>
          <w:trHeight w:val="221"/>
        </w:trPr>
        <w:tc>
          <w:tcPr>
            <w:tcW w:w="2771" w:type="dxa"/>
            <w:tcBorders>
              <w:top w:val="nil"/>
              <w:left w:val="nil"/>
              <w:bottom w:val="nil"/>
              <w:right w:val="nil"/>
            </w:tcBorders>
            <w:shd w:val="clear" w:color="auto" w:fill="auto"/>
            <w:noWrap/>
            <w:vAlign w:val="bottom"/>
            <w:hideMark/>
          </w:tcPr>
          <w:p w14:paraId="3EECE2F3"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海富通电子信息传媒产业</w:t>
            </w:r>
            <w:r w:rsidRPr="00BA28F7">
              <w:rPr>
                <w:rFonts w:ascii="Arial" w:hAnsi="Arial" w:cs="Arial"/>
                <w:kern w:val="0"/>
                <w:sz w:val="20"/>
              </w:rPr>
              <w:t>C</w:t>
            </w:r>
          </w:p>
        </w:tc>
        <w:tc>
          <w:tcPr>
            <w:tcW w:w="1180" w:type="dxa"/>
            <w:tcBorders>
              <w:top w:val="nil"/>
              <w:left w:val="nil"/>
              <w:bottom w:val="nil"/>
              <w:right w:val="nil"/>
            </w:tcBorders>
            <w:shd w:val="clear" w:color="auto" w:fill="auto"/>
            <w:noWrap/>
            <w:vAlign w:val="bottom"/>
            <w:hideMark/>
          </w:tcPr>
          <w:p w14:paraId="20CB4C10"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36.49 </w:t>
            </w:r>
          </w:p>
        </w:tc>
        <w:tc>
          <w:tcPr>
            <w:tcW w:w="948" w:type="dxa"/>
            <w:tcBorders>
              <w:top w:val="nil"/>
              <w:left w:val="nil"/>
              <w:bottom w:val="nil"/>
              <w:right w:val="nil"/>
            </w:tcBorders>
            <w:shd w:val="clear" w:color="auto" w:fill="auto"/>
            <w:noWrap/>
            <w:vAlign w:val="bottom"/>
            <w:hideMark/>
          </w:tcPr>
          <w:p w14:paraId="3231B5BD"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3815E8C8"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安信量化优选</w:t>
            </w:r>
            <w:r w:rsidRPr="00BA28F7">
              <w:rPr>
                <w:rFonts w:ascii="Arial" w:hAnsi="Arial" w:cs="Arial"/>
                <w:kern w:val="0"/>
                <w:sz w:val="20"/>
              </w:rPr>
              <w:t>A</w:t>
            </w:r>
          </w:p>
        </w:tc>
        <w:tc>
          <w:tcPr>
            <w:tcW w:w="1180" w:type="dxa"/>
            <w:tcBorders>
              <w:top w:val="nil"/>
              <w:left w:val="nil"/>
              <w:bottom w:val="nil"/>
              <w:right w:val="nil"/>
            </w:tcBorders>
            <w:shd w:val="clear" w:color="auto" w:fill="auto"/>
            <w:noWrap/>
            <w:vAlign w:val="bottom"/>
            <w:hideMark/>
          </w:tcPr>
          <w:p w14:paraId="3B900152"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16.12 </w:t>
            </w:r>
          </w:p>
        </w:tc>
      </w:tr>
      <w:tr w:rsidR="00BA28F7" w:rsidRPr="00BA28F7" w14:paraId="661682D0" w14:textId="77777777" w:rsidTr="00BA28F7">
        <w:trPr>
          <w:trHeight w:val="221"/>
        </w:trPr>
        <w:tc>
          <w:tcPr>
            <w:tcW w:w="2771" w:type="dxa"/>
            <w:tcBorders>
              <w:top w:val="nil"/>
              <w:left w:val="nil"/>
              <w:bottom w:val="nil"/>
              <w:right w:val="nil"/>
            </w:tcBorders>
            <w:shd w:val="clear" w:color="auto" w:fill="auto"/>
            <w:noWrap/>
            <w:vAlign w:val="bottom"/>
            <w:hideMark/>
          </w:tcPr>
          <w:p w14:paraId="00DF2254"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银华兴盛</w:t>
            </w:r>
          </w:p>
        </w:tc>
        <w:tc>
          <w:tcPr>
            <w:tcW w:w="1180" w:type="dxa"/>
            <w:tcBorders>
              <w:top w:val="nil"/>
              <w:left w:val="nil"/>
              <w:bottom w:val="nil"/>
              <w:right w:val="nil"/>
            </w:tcBorders>
            <w:shd w:val="clear" w:color="auto" w:fill="auto"/>
            <w:noWrap/>
            <w:vAlign w:val="bottom"/>
            <w:hideMark/>
          </w:tcPr>
          <w:p w14:paraId="0B34B3F4"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21.63 </w:t>
            </w:r>
          </w:p>
        </w:tc>
        <w:tc>
          <w:tcPr>
            <w:tcW w:w="948" w:type="dxa"/>
            <w:tcBorders>
              <w:top w:val="nil"/>
              <w:left w:val="nil"/>
              <w:bottom w:val="nil"/>
              <w:right w:val="nil"/>
            </w:tcBorders>
            <w:shd w:val="clear" w:color="auto" w:fill="auto"/>
            <w:noWrap/>
            <w:vAlign w:val="bottom"/>
            <w:hideMark/>
          </w:tcPr>
          <w:p w14:paraId="7FE85D65"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1053FB85"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嘉实消费精选</w:t>
            </w:r>
            <w:r w:rsidRPr="00BA28F7">
              <w:rPr>
                <w:rFonts w:ascii="Arial" w:hAnsi="Arial" w:cs="Arial"/>
                <w:kern w:val="0"/>
                <w:sz w:val="20"/>
              </w:rPr>
              <w:t>C</w:t>
            </w:r>
          </w:p>
        </w:tc>
        <w:tc>
          <w:tcPr>
            <w:tcW w:w="1180" w:type="dxa"/>
            <w:tcBorders>
              <w:top w:val="nil"/>
              <w:left w:val="nil"/>
              <w:bottom w:val="nil"/>
              <w:right w:val="nil"/>
            </w:tcBorders>
            <w:shd w:val="clear" w:color="auto" w:fill="auto"/>
            <w:noWrap/>
            <w:vAlign w:val="bottom"/>
            <w:hideMark/>
          </w:tcPr>
          <w:p w14:paraId="00E4D6F1"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13.00 </w:t>
            </w:r>
          </w:p>
        </w:tc>
      </w:tr>
      <w:tr w:rsidR="00BA28F7" w:rsidRPr="00BA28F7" w14:paraId="72CA0E35" w14:textId="77777777" w:rsidTr="00BA28F7">
        <w:trPr>
          <w:trHeight w:val="221"/>
        </w:trPr>
        <w:tc>
          <w:tcPr>
            <w:tcW w:w="2771" w:type="dxa"/>
            <w:tcBorders>
              <w:top w:val="nil"/>
              <w:left w:val="nil"/>
              <w:bottom w:val="nil"/>
              <w:right w:val="nil"/>
            </w:tcBorders>
            <w:shd w:val="clear" w:color="auto" w:fill="auto"/>
            <w:noWrap/>
            <w:vAlign w:val="bottom"/>
            <w:hideMark/>
          </w:tcPr>
          <w:p w14:paraId="08A5464D"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信达澳银先进智造</w:t>
            </w:r>
          </w:p>
        </w:tc>
        <w:tc>
          <w:tcPr>
            <w:tcW w:w="1180" w:type="dxa"/>
            <w:tcBorders>
              <w:top w:val="nil"/>
              <w:left w:val="nil"/>
              <w:bottom w:val="nil"/>
              <w:right w:val="nil"/>
            </w:tcBorders>
            <w:shd w:val="clear" w:color="auto" w:fill="auto"/>
            <w:noWrap/>
            <w:vAlign w:val="bottom"/>
            <w:hideMark/>
          </w:tcPr>
          <w:p w14:paraId="4786A3A8"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33.42 </w:t>
            </w:r>
          </w:p>
        </w:tc>
        <w:tc>
          <w:tcPr>
            <w:tcW w:w="948" w:type="dxa"/>
            <w:tcBorders>
              <w:top w:val="nil"/>
              <w:left w:val="nil"/>
              <w:bottom w:val="nil"/>
              <w:right w:val="nil"/>
            </w:tcBorders>
            <w:shd w:val="clear" w:color="auto" w:fill="auto"/>
            <w:noWrap/>
            <w:vAlign w:val="bottom"/>
            <w:hideMark/>
          </w:tcPr>
          <w:p w14:paraId="134139E7"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48570C8A"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广发消费升级</w:t>
            </w:r>
          </w:p>
        </w:tc>
        <w:tc>
          <w:tcPr>
            <w:tcW w:w="1180" w:type="dxa"/>
            <w:tcBorders>
              <w:top w:val="nil"/>
              <w:left w:val="nil"/>
              <w:bottom w:val="nil"/>
              <w:right w:val="nil"/>
            </w:tcBorders>
            <w:shd w:val="clear" w:color="auto" w:fill="auto"/>
            <w:noWrap/>
            <w:vAlign w:val="bottom"/>
            <w:hideMark/>
          </w:tcPr>
          <w:p w14:paraId="4E88D7C2"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6.00 </w:t>
            </w:r>
          </w:p>
        </w:tc>
      </w:tr>
      <w:tr w:rsidR="00BA28F7" w:rsidRPr="00BA28F7" w14:paraId="294E2BFA" w14:textId="77777777" w:rsidTr="00BA28F7">
        <w:trPr>
          <w:trHeight w:val="221"/>
        </w:trPr>
        <w:tc>
          <w:tcPr>
            <w:tcW w:w="2771" w:type="dxa"/>
            <w:tcBorders>
              <w:top w:val="nil"/>
              <w:left w:val="nil"/>
              <w:bottom w:val="nil"/>
              <w:right w:val="nil"/>
            </w:tcBorders>
            <w:shd w:val="clear" w:color="auto" w:fill="auto"/>
            <w:noWrap/>
            <w:vAlign w:val="bottom"/>
            <w:hideMark/>
          </w:tcPr>
          <w:p w14:paraId="4C8FF433"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红土创新新科技</w:t>
            </w:r>
          </w:p>
        </w:tc>
        <w:tc>
          <w:tcPr>
            <w:tcW w:w="1180" w:type="dxa"/>
            <w:tcBorders>
              <w:top w:val="nil"/>
              <w:left w:val="nil"/>
              <w:bottom w:val="nil"/>
              <w:right w:val="nil"/>
            </w:tcBorders>
            <w:shd w:val="clear" w:color="auto" w:fill="auto"/>
            <w:noWrap/>
            <w:vAlign w:val="bottom"/>
            <w:hideMark/>
          </w:tcPr>
          <w:p w14:paraId="49982690"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28.47 </w:t>
            </w:r>
          </w:p>
        </w:tc>
        <w:tc>
          <w:tcPr>
            <w:tcW w:w="948" w:type="dxa"/>
            <w:tcBorders>
              <w:top w:val="nil"/>
              <w:left w:val="nil"/>
              <w:bottom w:val="nil"/>
              <w:right w:val="nil"/>
            </w:tcBorders>
            <w:shd w:val="clear" w:color="auto" w:fill="auto"/>
            <w:noWrap/>
            <w:vAlign w:val="bottom"/>
            <w:hideMark/>
          </w:tcPr>
          <w:p w14:paraId="6D0C3A93"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0930188F"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宝盈品牌消费</w:t>
            </w:r>
            <w:r w:rsidRPr="00BA28F7">
              <w:rPr>
                <w:rFonts w:ascii="Arial" w:hAnsi="Arial" w:cs="Arial"/>
                <w:kern w:val="0"/>
                <w:sz w:val="20"/>
              </w:rPr>
              <w:t>C</w:t>
            </w:r>
          </w:p>
        </w:tc>
        <w:tc>
          <w:tcPr>
            <w:tcW w:w="1180" w:type="dxa"/>
            <w:tcBorders>
              <w:top w:val="nil"/>
              <w:left w:val="nil"/>
              <w:bottom w:val="nil"/>
              <w:right w:val="nil"/>
            </w:tcBorders>
            <w:shd w:val="clear" w:color="auto" w:fill="auto"/>
            <w:noWrap/>
            <w:vAlign w:val="bottom"/>
            <w:hideMark/>
          </w:tcPr>
          <w:p w14:paraId="152AE2DE"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8.79 </w:t>
            </w:r>
          </w:p>
        </w:tc>
      </w:tr>
      <w:tr w:rsidR="00BA28F7" w:rsidRPr="00BA28F7" w14:paraId="6CC3C2A8" w14:textId="77777777" w:rsidTr="00BA28F7">
        <w:trPr>
          <w:trHeight w:val="221"/>
        </w:trPr>
        <w:tc>
          <w:tcPr>
            <w:tcW w:w="2771" w:type="dxa"/>
            <w:tcBorders>
              <w:top w:val="nil"/>
              <w:left w:val="nil"/>
              <w:bottom w:val="nil"/>
              <w:right w:val="nil"/>
            </w:tcBorders>
            <w:shd w:val="clear" w:color="auto" w:fill="auto"/>
            <w:noWrap/>
            <w:vAlign w:val="bottom"/>
            <w:hideMark/>
          </w:tcPr>
          <w:p w14:paraId="36F9DAAE"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富国互联科技</w:t>
            </w:r>
            <w:r w:rsidRPr="00BA28F7">
              <w:rPr>
                <w:rFonts w:ascii="Arial" w:hAnsi="Arial" w:cs="Arial"/>
                <w:kern w:val="0"/>
                <w:sz w:val="20"/>
              </w:rPr>
              <w:t>A</w:t>
            </w:r>
          </w:p>
        </w:tc>
        <w:tc>
          <w:tcPr>
            <w:tcW w:w="1180" w:type="dxa"/>
            <w:tcBorders>
              <w:top w:val="nil"/>
              <w:left w:val="nil"/>
              <w:bottom w:val="nil"/>
              <w:right w:val="nil"/>
            </w:tcBorders>
            <w:shd w:val="clear" w:color="auto" w:fill="auto"/>
            <w:noWrap/>
            <w:vAlign w:val="bottom"/>
            <w:hideMark/>
          </w:tcPr>
          <w:p w14:paraId="2A471C47"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22.52 </w:t>
            </w:r>
          </w:p>
        </w:tc>
        <w:tc>
          <w:tcPr>
            <w:tcW w:w="948" w:type="dxa"/>
            <w:tcBorders>
              <w:top w:val="nil"/>
              <w:left w:val="nil"/>
              <w:bottom w:val="nil"/>
              <w:right w:val="nil"/>
            </w:tcBorders>
            <w:shd w:val="clear" w:color="auto" w:fill="auto"/>
            <w:noWrap/>
            <w:vAlign w:val="bottom"/>
            <w:hideMark/>
          </w:tcPr>
          <w:p w14:paraId="0514AC2F"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051E3921" w14:textId="742A6BCE" w:rsidR="00BA28F7" w:rsidRPr="00BA28F7" w:rsidRDefault="00BA28F7" w:rsidP="00BA28F7">
            <w:pPr>
              <w:widowControl/>
              <w:jc w:val="left"/>
              <w:rPr>
                <w:rFonts w:ascii="Arial" w:hAnsi="Arial" w:cs="Arial"/>
                <w:kern w:val="0"/>
                <w:sz w:val="20"/>
              </w:rPr>
            </w:pPr>
            <w:r w:rsidRPr="00BA28F7">
              <w:rPr>
                <w:rFonts w:ascii="Arial" w:hAnsi="Arial" w:cs="Arial"/>
                <w:kern w:val="0"/>
                <w:sz w:val="20"/>
              </w:rPr>
              <w:t>红土创新中证</w:t>
            </w:r>
            <w:r w:rsidRPr="00BA28F7">
              <w:rPr>
                <w:rFonts w:ascii="Arial" w:hAnsi="Arial" w:cs="Arial"/>
                <w:kern w:val="0"/>
                <w:sz w:val="20"/>
              </w:rPr>
              <w:t>500</w:t>
            </w:r>
            <w:r w:rsidRPr="00BA28F7">
              <w:rPr>
                <w:rFonts w:ascii="Arial" w:hAnsi="Arial" w:cs="Arial"/>
                <w:kern w:val="0"/>
                <w:sz w:val="20"/>
              </w:rPr>
              <w:t>指数增</w:t>
            </w:r>
          </w:p>
        </w:tc>
        <w:tc>
          <w:tcPr>
            <w:tcW w:w="1180" w:type="dxa"/>
            <w:tcBorders>
              <w:top w:val="nil"/>
              <w:left w:val="nil"/>
              <w:bottom w:val="nil"/>
              <w:right w:val="nil"/>
            </w:tcBorders>
            <w:shd w:val="clear" w:color="auto" w:fill="auto"/>
            <w:noWrap/>
            <w:vAlign w:val="bottom"/>
            <w:hideMark/>
          </w:tcPr>
          <w:p w14:paraId="73826759"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17.02 </w:t>
            </w:r>
          </w:p>
        </w:tc>
      </w:tr>
      <w:tr w:rsidR="00BA28F7" w:rsidRPr="00BA28F7" w14:paraId="5E01DE1F" w14:textId="77777777" w:rsidTr="00BA28F7">
        <w:trPr>
          <w:trHeight w:val="221"/>
        </w:trPr>
        <w:tc>
          <w:tcPr>
            <w:tcW w:w="2771" w:type="dxa"/>
            <w:tcBorders>
              <w:top w:val="nil"/>
              <w:left w:val="nil"/>
              <w:bottom w:val="nil"/>
              <w:right w:val="nil"/>
            </w:tcBorders>
            <w:shd w:val="clear" w:color="auto" w:fill="auto"/>
            <w:noWrap/>
            <w:vAlign w:val="bottom"/>
            <w:hideMark/>
          </w:tcPr>
          <w:p w14:paraId="2D0F94A7"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嘉实互通精选</w:t>
            </w:r>
          </w:p>
        </w:tc>
        <w:tc>
          <w:tcPr>
            <w:tcW w:w="1180" w:type="dxa"/>
            <w:tcBorders>
              <w:top w:val="nil"/>
              <w:left w:val="nil"/>
              <w:bottom w:val="nil"/>
              <w:right w:val="nil"/>
            </w:tcBorders>
            <w:shd w:val="clear" w:color="auto" w:fill="auto"/>
            <w:noWrap/>
            <w:vAlign w:val="bottom"/>
            <w:hideMark/>
          </w:tcPr>
          <w:p w14:paraId="49C69A9E"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12.27 </w:t>
            </w:r>
          </w:p>
        </w:tc>
        <w:tc>
          <w:tcPr>
            <w:tcW w:w="948" w:type="dxa"/>
            <w:tcBorders>
              <w:top w:val="nil"/>
              <w:left w:val="nil"/>
              <w:bottom w:val="nil"/>
              <w:right w:val="nil"/>
            </w:tcBorders>
            <w:shd w:val="clear" w:color="auto" w:fill="auto"/>
            <w:noWrap/>
            <w:vAlign w:val="bottom"/>
            <w:hideMark/>
          </w:tcPr>
          <w:p w14:paraId="632671F8"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54EF1760" w14:textId="11B61F1D" w:rsidR="00BA28F7" w:rsidRPr="00BA28F7" w:rsidRDefault="00BA28F7" w:rsidP="00BA28F7">
            <w:pPr>
              <w:widowControl/>
              <w:jc w:val="left"/>
              <w:rPr>
                <w:rFonts w:ascii="Arial" w:hAnsi="Arial" w:cs="Arial"/>
                <w:kern w:val="0"/>
                <w:sz w:val="20"/>
              </w:rPr>
            </w:pPr>
            <w:r w:rsidRPr="00BA28F7">
              <w:rPr>
                <w:rFonts w:ascii="Arial" w:hAnsi="Arial" w:cs="Arial"/>
                <w:kern w:val="0"/>
                <w:sz w:val="20"/>
              </w:rPr>
              <w:t>华宝沪港深中国增强价值</w:t>
            </w:r>
          </w:p>
        </w:tc>
        <w:tc>
          <w:tcPr>
            <w:tcW w:w="1180" w:type="dxa"/>
            <w:tcBorders>
              <w:top w:val="nil"/>
              <w:left w:val="nil"/>
              <w:bottom w:val="nil"/>
              <w:right w:val="nil"/>
            </w:tcBorders>
            <w:shd w:val="clear" w:color="auto" w:fill="auto"/>
            <w:noWrap/>
            <w:vAlign w:val="bottom"/>
            <w:hideMark/>
          </w:tcPr>
          <w:p w14:paraId="7360A75F"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11.19 </w:t>
            </w:r>
          </w:p>
        </w:tc>
      </w:tr>
      <w:tr w:rsidR="00BA28F7" w:rsidRPr="00BA28F7" w14:paraId="5A6093B7" w14:textId="77777777" w:rsidTr="00BA28F7">
        <w:trPr>
          <w:trHeight w:val="221"/>
        </w:trPr>
        <w:tc>
          <w:tcPr>
            <w:tcW w:w="2771" w:type="dxa"/>
            <w:tcBorders>
              <w:top w:val="nil"/>
              <w:left w:val="nil"/>
              <w:bottom w:val="nil"/>
              <w:right w:val="nil"/>
            </w:tcBorders>
            <w:shd w:val="clear" w:color="auto" w:fill="auto"/>
            <w:noWrap/>
            <w:vAlign w:val="bottom"/>
            <w:hideMark/>
          </w:tcPr>
          <w:p w14:paraId="08B339C9"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华夏科技成长</w:t>
            </w:r>
          </w:p>
        </w:tc>
        <w:tc>
          <w:tcPr>
            <w:tcW w:w="1180" w:type="dxa"/>
            <w:tcBorders>
              <w:top w:val="nil"/>
              <w:left w:val="nil"/>
              <w:bottom w:val="nil"/>
              <w:right w:val="nil"/>
            </w:tcBorders>
            <w:shd w:val="clear" w:color="auto" w:fill="auto"/>
            <w:noWrap/>
            <w:vAlign w:val="bottom"/>
            <w:hideMark/>
          </w:tcPr>
          <w:p w14:paraId="5EBC846C"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13.76 </w:t>
            </w:r>
          </w:p>
        </w:tc>
        <w:tc>
          <w:tcPr>
            <w:tcW w:w="948" w:type="dxa"/>
            <w:tcBorders>
              <w:top w:val="nil"/>
              <w:left w:val="nil"/>
              <w:bottom w:val="nil"/>
              <w:right w:val="nil"/>
            </w:tcBorders>
            <w:shd w:val="clear" w:color="auto" w:fill="auto"/>
            <w:noWrap/>
            <w:vAlign w:val="bottom"/>
            <w:hideMark/>
          </w:tcPr>
          <w:p w14:paraId="01310A1D"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515DBD12"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工银瑞信消费行业</w:t>
            </w:r>
            <w:r w:rsidRPr="00BA28F7">
              <w:rPr>
                <w:rFonts w:ascii="Arial" w:hAnsi="Arial" w:cs="Arial"/>
                <w:kern w:val="0"/>
                <w:sz w:val="20"/>
              </w:rPr>
              <w:t>A</w:t>
            </w:r>
          </w:p>
        </w:tc>
        <w:tc>
          <w:tcPr>
            <w:tcW w:w="1180" w:type="dxa"/>
            <w:tcBorders>
              <w:top w:val="nil"/>
              <w:left w:val="nil"/>
              <w:bottom w:val="nil"/>
              <w:right w:val="nil"/>
            </w:tcBorders>
            <w:shd w:val="clear" w:color="auto" w:fill="auto"/>
            <w:noWrap/>
            <w:vAlign w:val="bottom"/>
            <w:hideMark/>
          </w:tcPr>
          <w:p w14:paraId="142B40C5"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8.96 </w:t>
            </w:r>
          </w:p>
        </w:tc>
      </w:tr>
      <w:tr w:rsidR="00BA28F7" w:rsidRPr="00BA28F7" w14:paraId="312A014F" w14:textId="77777777" w:rsidTr="00BA28F7">
        <w:trPr>
          <w:trHeight w:val="221"/>
        </w:trPr>
        <w:tc>
          <w:tcPr>
            <w:tcW w:w="2771" w:type="dxa"/>
            <w:tcBorders>
              <w:top w:val="nil"/>
              <w:left w:val="nil"/>
              <w:bottom w:val="nil"/>
              <w:right w:val="nil"/>
            </w:tcBorders>
            <w:shd w:val="clear" w:color="auto" w:fill="auto"/>
            <w:noWrap/>
            <w:vAlign w:val="bottom"/>
            <w:hideMark/>
          </w:tcPr>
          <w:p w14:paraId="460FBEA1"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华宝中证</w:t>
            </w:r>
            <w:r w:rsidRPr="00BA28F7">
              <w:rPr>
                <w:rFonts w:ascii="Arial" w:hAnsi="Arial" w:cs="Arial"/>
                <w:kern w:val="0"/>
                <w:sz w:val="20"/>
              </w:rPr>
              <w:t>100C</w:t>
            </w:r>
          </w:p>
        </w:tc>
        <w:tc>
          <w:tcPr>
            <w:tcW w:w="1180" w:type="dxa"/>
            <w:tcBorders>
              <w:top w:val="nil"/>
              <w:left w:val="nil"/>
              <w:bottom w:val="nil"/>
              <w:right w:val="nil"/>
            </w:tcBorders>
            <w:shd w:val="clear" w:color="auto" w:fill="auto"/>
            <w:noWrap/>
            <w:vAlign w:val="bottom"/>
            <w:hideMark/>
          </w:tcPr>
          <w:p w14:paraId="6510F696"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4.36 </w:t>
            </w:r>
          </w:p>
        </w:tc>
        <w:tc>
          <w:tcPr>
            <w:tcW w:w="948" w:type="dxa"/>
            <w:tcBorders>
              <w:top w:val="nil"/>
              <w:left w:val="nil"/>
              <w:bottom w:val="nil"/>
              <w:right w:val="nil"/>
            </w:tcBorders>
            <w:shd w:val="clear" w:color="auto" w:fill="auto"/>
            <w:noWrap/>
            <w:vAlign w:val="bottom"/>
            <w:hideMark/>
          </w:tcPr>
          <w:p w14:paraId="56D0B900"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20560D0B"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光大保德信消费主题</w:t>
            </w:r>
          </w:p>
        </w:tc>
        <w:tc>
          <w:tcPr>
            <w:tcW w:w="1180" w:type="dxa"/>
            <w:tcBorders>
              <w:top w:val="nil"/>
              <w:left w:val="nil"/>
              <w:bottom w:val="nil"/>
              <w:right w:val="nil"/>
            </w:tcBorders>
            <w:shd w:val="clear" w:color="auto" w:fill="auto"/>
            <w:noWrap/>
            <w:vAlign w:val="bottom"/>
            <w:hideMark/>
          </w:tcPr>
          <w:p w14:paraId="203F22E2"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9.86 </w:t>
            </w:r>
          </w:p>
        </w:tc>
      </w:tr>
      <w:tr w:rsidR="00BA28F7" w:rsidRPr="00BA28F7" w14:paraId="2645CA46" w14:textId="77777777" w:rsidTr="00BA28F7">
        <w:trPr>
          <w:trHeight w:val="221"/>
        </w:trPr>
        <w:tc>
          <w:tcPr>
            <w:tcW w:w="2771" w:type="dxa"/>
            <w:tcBorders>
              <w:top w:val="nil"/>
              <w:left w:val="nil"/>
              <w:bottom w:val="nil"/>
              <w:right w:val="nil"/>
            </w:tcBorders>
            <w:shd w:val="clear" w:color="auto" w:fill="auto"/>
            <w:noWrap/>
            <w:vAlign w:val="bottom"/>
            <w:hideMark/>
          </w:tcPr>
          <w:p w14:paraId="3380F8EF"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华宝绿色领先</w:t>
            </w:r>
          </w:p>
        </w:tc>
        <w:tc>
          <w:tcPr>
            <w:tcW w:w="1180" w:type="dxa"/>
            <w:tcBorders>
              <w:top w:val="nil"/>
              <w:left w:val="nil"/>
              <w:bottom w:val="nil"/>
              <w:right w:val="nil"/>
            </w:tcBorders>
            <w:shd w:val="clear" w:color="auto" w:fill="auto"/>
            <w:noWrap/>
            <w:vAlign w:val="bottom"/>
            <w:hideMark/>
          </w:tcPr>
          <w:p w14:paraId="75DABC5E"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24.49 </w:t>
            </w:r>
          </w:p>
        </w:tc>
        <w:tc>
          <w:tcPr>
            <w:tcW w:w="948" w:type="dxa"/>
            <w:tcBorders>
              <w:top w:val="nil"/>
              <w:left w:val="nil"/>
              <w:bottom w:val="nil"/>
              <w:right w:val="nil"/>
            </w:tcBorders>
            <w:shd w:val="clear" w:color="auto" w:fill="auto"/>
            <w:noWrap/>
            <w:vAlign w:val="bottom"/>
            <w:hideMark/>
          </w:tcPr>
          <w:p w14:paraId="6379504B"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400A27AF"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易方达金融行业</w:t>
            </w:r>
          </w:p>
        </w:tc>
        <w:tc>
          <w:tcPr>
            <w:tcW w:w="1180" w:type="dxa"/>
            <w:tcBorders>
              <w:top w:val="nil"/>
              <w:left w:val="nil"/>
              <w:bottom w:val="nil"/>
              <w:right w:val="nil"/>
            </w:tcBorders>
            <w:shd w:val="clear" w:color="auto" w:fill="auto"/>
            <w:noWrap/>
            <w:vAlign w:val="bottom"/>
            <w:hideMark/>
          </w:tcPr>
          <w:p w14:paraId="60A147A1"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13.59 </w:t>
            </w:r>
          </w:p>
        </w:tc>
      </w:tr>
      <w:tr w:rsidR="00BA28F7" w:rsidRPr="00BA28F7" w14:paraId="48F517A5" w14:textId="77777777" w:rsidTr="00BA28F7">
        <w:trPr>
          <w:trHeight w:val="221"/>
        </w:trPr>
        <w:tc>
          <w:tcPr>
            <w:tcW w:w="2771" w:type="dxa"/>
            <w:tcBorders>
              <w:top w:val="nil"/>
              <w:left w:val="nil"/>
              <w:bottom w:val="nil"/>
              <w:right w:val="nil"/>
            </w:tcBorders>
            <w:shd w:val="clear" w:color="auto" w:fill="auto"/>
            <w:noWrap/>
            <w:vAlign w:val="bottom"/>
            <w:hideMark/>
          </w:tcPr>
          <w:p w14:paraId="5E6DB0A7"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永赢创业板指数</w:t>
            </w:r>
            <w:r w:rsidRPr="00BA28F7">
              <w:rPr>
                <w:rFonts w:ascii="Arial" w:hAnsi="Arial" w:cs="Arial"/>
                <w:kern w:val="0"/>
                <w:sz w:val="20"/>
              </w:rPr>
              <w:t>A</w:t>
            </w:r>
          </w:p>
        </w:tc>
        <w:tc>
          <w:tcPr>
            <w:tcW w:w="1180" w:type="dxa"/>
            <w:tcBorders>
              <w:top w:val="nil"/>
              <w:left w:val="nil"/>
              <w:bottom w:val="nil"/>
              <w:right w:val="nil"/>
            </w:tcBorders>
            <w:shd w:val="clear" w:color="auto" w:fill="auto"/>
            <w:noWrap/>
            <w:vAlign w:val="bottom"/>
            <w:hideMark/>
          </w:tcPr>
          <w:p w14:paraId="311ECC9D"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20.19 </w:t>
            </w:r>
          </w:p>
        </w:tc>
        <w:tc>
          <w:tcPr>
            <w:tcW w:w="948" w:type="dxa"/>
            <w:tcBorders>
              <w:top w:val="nil"/>
              <w:left w:val="nil"/>
              <w:bottom w:val="nil"/>
              <w:right w:val="nil"/>
            </w:tcBorders>
            <w:shd w:val="clear" w:color="auto" w:fill="auto"/>
            <w:noWrap/>
            <w:vAlign w:val="bottom"/>
            <w:hideMark/>
          </w:tcPr>
          <w:p w14:paraId="059C63A1"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5BA6BAA1"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宝盈龙头优选</w:t>
            </w:r>
            <w:r w:rsidRPr="00BA28F7">
              <w:rPr>
                <w:rFonts w:ascii="Arial" w:hAnsi="Arial" w:cs="Arial"/>
                <w:kern w:val="0"/>
                <w:sz w:val="20"/>
              </w:rPr>
              <w:t>C</w:t>
            </w:r>
          </w:p>
        </w:tc>
        <w:tc>
          <w:tcPr>
            <w:tcW w:w="1180" w:type="dxa"/>
            <w:tcBorders>
              <w:top w:val="nil"/>
              <w:left w:val="nil"/>
              <w:bottom w:val="nil"/>
              <w:right w:val="nil"/>
            </w:tcBorders>
            <w:shd w:val="clear" w:color="auto" w:fill="auto"/>
            <w:noWrap/>
            <w:vAlign w:val="bottom"/>
            <w:hideMark/>
          </w:tcPr>
          <w:p w14:paraId="26529399"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10.16 </w:t>
            </w:r>
          </w:p>
        </w:tc>
      </w:tr>
      <w:tr w:rsidR="00BA28F7" w:rsidRPr="00BA28F7" w14:paraId="7886DBEE" w14:textId="77777777" w:rsidTr="00BA28F7">
        <w:trPr>
          <w:trHeight w:val="221"/>
        </w:trPr>
        <w:tc>
          <w:tcPr>
            <w:tcW w:w="2771" w:type="dxa"/>
            <w:tcBorders>
              <w:top w:val="nil"/>
              <w:left w:val="nil"/>
              <w:bottom w:val="nil"/>
              <w:right w:val="nil"/>
            </w:tcBorders>
            <w:shd w:val="clear" w:color="auto" w:fill="auto"/>
            <w:noWrap/>
            <w:vAlign w:val="bottom"/>
            <w:hideMark/>
          </w:tcPr>
          <w:p w14:paraId="7D98DE38"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招商财经大数据策略</w:t>
            </w:r>
            <w:r w:rsidRPr="00BA28F7">
              <w:rPr>
                <w:rFonts w:ascii="Arial" w:hAnsi="Arial" w:cs="Arial"/>
                <w:kern w:val="0"/>
                <w:sz w:val="20"/>
              </w:rPr>
              <w:t>C</w:t>
            </w:r>
          </w:p>
        </w:tc>
        <w:tc>
          <w:tcPr>
            <w:tcW w:w="1180" w:type="dxa"/>
            <w:tcBorders>
              <w:top w:val="nil"/>
              <w:left w:val="nil"/>
              <w:bottom w:val="nil"/>
              <w:right w:val="nil"/>
            </w:tcBorders>
            <w:shd w:val="clear" w:color="auto" w:fill="auto"/>
            <w:noWrap/>
            <w:vAlign w:val="bottom"/>
            <w:hideMark/>
          </w:tcPr>
          <w:p w14:paraId="6C91FCE8"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18.41 </w:t>
            </w:r>
          </w:p>
        </w:tc>
        <w:tc>
          <w:tcPr>
            <w:tcW w:w="948" w:type="dxa"/>
            <w:tcBorders>
              <w:top w:val="nil"/>
              <w:left w:val="nil"/>
              <w:bottom w:val="nil"/>
              <w:right w:val="nil"/>
            </w:tcBorders>
            <w:shd w:val="clear" w:color="auto" w:fill="auto"/>
            <w:noWrap/>
            <w:vAlign w:val="bottom"/>
            <w:hideMark/>
          </w:tcPr>
          <w:p w14:paraId="37A04625"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1AAFC8A5"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长盛竞争优势</w:t>
            </w:r>
            <w:r w:rsidRPr="00BA28F7">
              <w:rPr>
                <w:rFonts w:ascii="Arial" w:hAnsi="Arial" w:cs="Arial"/>
                <w:kern w:val="0"/>
                <w:sz w:val="20"/>
              </w:rPr>
              <w:t>C</w:t>
            </w:r>
          </w:p>
        </w:tc>
        <w:tc>
          <w:tcPr>
            <w:tcW w:w="1180" w:type="dxa"/>
            <w:tcBorders>
              <w:top w:val="nil"/>
              <w:left w:val="nil"/>
              <w:bottom w:val="nil"/>
              <w:right w:val="nil"/>
            </w:tcBorders>
            <w:shd w:val="clear" w:color="auto" w:fill="auto"/>
            <w:noWrap/>
            <w:vAlign w:val="bottom"/>
            <w:hideMark/>
          </w:tcPr>
          <w:p w14:paraId="64B11531"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13.09 </w:t>
            </w:r>
          </w:p>
        </w:tc>
      </w:tr>
      <w:tr w:rsidR="00BA28F7" w:rsidRPr="00BA28F7" w14:paraId="46A87C06" w14:textId="77777777" w:rsidTr="00BA28F7">
        <w:trPr>
          <w:trHeight w:val="221"/>
        </w:trPr>
        <w:tc>
          <w:tcPr>
            <w:tcW w:w="2771" w:type="dxa"/>
            <w:tcBorders>
              <w:top w:val="nil"/>
              <w:left w:val="nil"/>
              <w:bottom w:val="nil"/>
              <w:right w:val="nil"/>
            </w:tcBorders>
            <w:shd w:val="clear" w:color="auto" w:fill="auto"/>
            <w:noWrap/>
            <w:vAlign w:val="bottom"/>
            <w:hideMark/>
          </w:tcPr>
          <w:p w14:paraId="68B01F36"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民生加银品质消费</w:t>
            </w:r>
            <w:r w:rsidRPr="00BA28F7">
              <w:rPr>
                <w:rFonts w:ascii="Arial" w:hAnsi="Arial" w:cs="Arial"/>
                <w:kern w:val="0"/>
                <w:sz w:val="20"/>
              </w:rPr>
              <w:t>C</w:t>
            </w:r>
          </w:p>
        </w:tc>
        <w:tc>
          <w:tcPr>
            <w:tcW w:w="1180" w:type="dxa"/>
            <w:tcBorders>
              <w:top w:val="nil"/>
              <w:left w:val="nil"/>
              <w:bottom w:val="nil"/>
              <w:right w:val="nil"/>
            </w:tcBorders>
            <w:shd w:val="clear" w:color="auto" w:fill="auto"/>
            <w:noWrap/>
            <w:vAlign w:val="bottom"/>
            <w:hideMark/>
          </w:tcPr>
          <w:p w14:paraId="47AA4E3B"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9.44 </w:t>
            </w:r>
          </w:p>
        </w:tc>
        <w:tc>
          <w:tcPr>
            <w:tcW w:w="948" w:type="dxa"/>
            <w:tcBorders>
              <w:top w:val="nil"/>
              <w:left w:val="nil"/>
              <w:bottom w:val="nil"/>
              <w:right w:val="nil"/>
            </w:tcBorders>
            <w:shd w:val="clear" w:color="auto" w:fill="auto"/>
            <w:noWrap/>
            <w:vAlign w:val="bottom"/>
            <w:hideMark/>
          </w:tcPr>
          <w:p w14:paraId="6B8811AF"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5E1B6820"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西藏东财中证医药卫生</w:t>
            </w:r>
            <w:r w:rsidRPr="00BA28F7">
              <w:rPr>
                <w:rFonts w:ascii="Arial" w:hAnsi="Arial" w:cs="Arial"/>
                <w:kern w:val="0"/>
                <w:sz w:val="20"/>
              </w:rPr>
              <w:t>C</w:t>
            </w:r>
          </w:p>
        </w:tc>
        <w:tc>
          <w:tcPr>
            <w:tcW w:w="1180" w:type="dxa"/>
            <w:tcBorders>
              <w:top w:val="nil"/>
              <w:left w:val="nil"/>
              <w:bottom w:val="nil"/>
              <w:right w:val="nil"/>
            </w:tcBorders>
            <w:shd w:val="clear" w:color="auto" w:fill="auto"/>
            <w:noWrap/>
            <w:vAlign w:val="bottom"/>
            <w:hideMark/>
          </w:tcPr>
          <w:p w14:paraId="5C766FB6"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12.25 </w:t>
            </w:r>
          </w:p>
        </w:tc>
      </w:tr>
      <w:tr w:rsidR="00BA28F7" w:rsidRPr="00BA28F7" w14:paraId="11C524DD" w14:textId="77777777" w:rsidTr="00BA28F7">
        <w:trPr>
          <w:trHeight w:val="221"/>
        </w:trPr>
        <w:tc>
          <w:tcPr>
            <w:tcW w:w="2771" w:type="dxa"/>
            <w:tcBorders>
              <w:top w:val="nil"/>
              <w:left w:val="nil"/>
              <w:bottom w:val="nil"/>
              <w:right w:val="nil"/>
            </w:tcBorders>
            <w:shd w:val="clear" w:color="auto" w:fill="auto"/>
            <w:noWrap/>
            <w:vAlign w:val="bottom"/>
            <w:hideMark/>
          </w:tcPr>
          <w:p w14:paraId="48AAC307"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海富通先进制造</w:t>
            </w:r>
            <w:r w:rsidRPr="00BA28F7">
              <w:rPr>
                <w:rFonts w:ascii="Arial" w:hAnsi="Arial" w:cs="Arial"/>
                <w:kern w:val="0"/>
                <w:sz w:val="20"/>
              </w:rPr>
              <w:t>A</w:t>
            </w:r>
          </w:p>
        </w:tc>
        <w:tc>
          <w:tcPr>
            <w:tcW w:w="1180" w:type="dxa"/>
            <w:tcBorders>
              <w:top w:val="nil"/>
              <w:left w:val="nil"/>
              <w:bottom w:val="nil"/>
              <w:right w:val="nil"/>
            </w:tcBorders>
            <w:shd w:val="clear" w:color="auto" w:fill="auto"/>
            <w:noWrap/>
            <w:vAlign w:val="bottom"/>
            <w:hideMark/>
          </w:tcPr>
          <w:p w14:paraId="5A08BD02"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26.61 </w:t>
            </w:r>
          </w:p>
        </w:tc>
        <w:tc>
          <w:tcPr>
            <w:tcW w:w="948" w:type="dxa"/>
            <w:tcBorders>
              <w:top w:val="nil"/>
              <w:left w:val="nil"/>
              <w:bottom w:val="nil"/>
              <w:right w:val="nil"/>
            </w:tcBorders>
            <w:shd w:val="clear" w:color="auto" w:fill="auto"/>
            <w:noWrap/>
            <w:vAlign w:val="bottom"/>
            <w:hideMark/>
          </w:tcPr>
          <w:p w14:paraId="1C47CAEC"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0940875F"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永赢医药健康</w:t>
            </w:r>
            <w:r w:rsidRPr="00BA28F7">
              <w:rPr>
                <w:rFonts w:ascii="Arial" w:hAnsi="Arial" w:cs="Arial"/>
                <w:kern w:val="0"/>
                <w:sz w:val="20"/>
              </w:rPr>
              <w:t>A</w:t>
            </w:r>
          </w:p>
        </w:tc>
        <w:tc>
          <w:tcPr>
            <w:tcW w:w="1180" w:type="dxa"/>
            <w:tcBorders>
              <w:top w:val="nil"/>
              <w:left w:val="nil"/>
              <w:bottom w:val="nil"/>
              <w:right w:val="nil"/>
            </w:tcBorders>
            <w:shd w:val="clear" w:color="auto" w:fill="auto"/>
            <w:noWrap/>
            <w:vAlign w:val="bottom"/>
            <w:hideMark/>
          </w:tcPr>
          <w:p w14:paraId="0B95ED81"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14.73 </w:t>
            </w:r>
          </w:p>
        </w:tc>
      </w:tr>
      <w:tr w:rsidR="00BA28F7" w:rsidRPr="00BA28F7" w14:paraId="522C4100" w14:textId="77777777" w:rsidTr="00BA28F7">
        <w:trPr>
          <w:trHeight w:val="221"/>
        </w:trPr>
        <w:tc>
          <w:tcPr>
            <w:tcW w:w="2771" w:type="dxa"/>
            <w:tcBorders>
              <w:top w:val="nil"/>
              <w:left w:val="nil"/>
              <w:bottom w:val="nil"/>
              <w:right w:val="nil"/>
            </w:tcBorders>
            <w:shd w:val="clear" w:color="auto" w:fill="auto"/>
            <w:noWrap/>
            <w:vAlign w:val="bottom"/>
            <w:hideMark/>
          </w:tcPr>
          <w:p w14:paraId="5323F233"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招商研究优选</w:t>
            </w:r>
            <w:r w:rsidRPr="00BA28F7">
              <w:rPr>
                <w:rFonts w:ascii="Arial" w:hAnsi="Arial" w:cs="Arial"/>
                <w:kern w:val="0"/>
                <w:sz w:val="20"/>
              </w:rPr>
              <w:t>A</w:t>
            </w:r>
          </w:p>
        </w:tc>
        <w:tc>
          <w:tcPr>
            <w:tcW w:w="1180" w:type="dxa"/>
            <w:tcBorders>
              <w:top w:val="nil"/>
              <w:left w:val="nil"/>
              <w:bottom w:val="nil"/>
              <w:right w:val="nil"/>
            </w:tcBorders>
            <w:shd w:val="clear" w:color="auto" w:fill="auto"/>
            <w:noWrap/>
            <w:vAlign w:val="bottom"/>
            <w:hideMark/>
          </w:tcPr>
          <w:p w14:paraId="250F660C"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10.13 </w:t>
            </w:r>
          </w:p>
        </w:tc>
        <w:tc>
          <w:tcPr>
            <w:tcW w:w="948" w:type="dxa"/>
            <w:tcBorders>
              <w:top w:val="nil"/>
              <w:left w:val="nil"/>
              <w:bottom w:val="nil"/>
              <w:right w:val="nil"/>
            </w:tcBorders>
            <w:shd w:val="clear" w:color="auto" w:fill="auto"/>
            <w:noWrap/>
            <w:vAlign w:val="bottom"/>
            <w:hideMark/>
          </w:tcPr>
          <w:p w14:paraId="5ACA93D4"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28961212"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大成科技消费</w:t>
            </w:r>
            <w:r w:rsidRPr="00BA28F7">
              <w:rPr>
                <w:rFonts w:ascii="Arial" w:hAnsi="Arial" w:cs="Arial"/>
                <w:kern w:val="0"/>
                <w:sz w:val="20"/>
              </w:rPr>
              <w:t>C</w:t>
            </w:r>
          </w:p>
        </w:tc>
        <w:tc>
          <w:tcPr>
            <w:tcW w:w="1180" w:type="dxa"/>
            <w:tcBorders>
              <w:top w:val="nil"/>
              <w:left w:val="nil"/>
              <w:bottom w:val="nil"/>
              <w:right w:val="nil"/>
            </w:tcBorders>
            <w:shd w:val="clear" w:color="auto" w:fill="auto"/>
            <w:noWrap/>
            <w:vAlign w:val="bottom"/>
            <w:hideMark/>
          </w:tcPr>
          <w:p w14:paraId="203FFF27"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7.59 </w:t>
            </w:r>
          </w:p>
        </w:tc>
      </w:tr>
      <w:tr w:rsidR="00BA28F7" w:rsidRPr="00BA28F7" w14:paraId="1A9E8C47" w14:textId="77777777" w:rsidTr="00BA28F7">
        <w:trPr>
          <w:trHeight w:val="221"/>
        </w:trPr>
        <w:tc>
          <w:tcPr>
            <w:tcW w:w="2771" w:type="dxa"/>
            <w:tcBorders>
              <w:top w:val="nil"/>
              <w:left w:val="nil"/>
              <w:bottom w:val="nil"/>
              <w:right w:val="nil"/>
            </w:tcBorders>
            <w:shd w:val="clear" w:color="auto" w:fill="auto"/>
            <w:noWrap/>
            <w:vAlign w:val="bottom"/>
            <w:hideMark/>
          </w:tcPr>
          <w:p w14:paraId="06C681EF"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南方</w:t>
            </w:r>
            <w:r w:rsidRPr="00BA28F7">
              <w:rPr>
                <w:rFonts w:ascii="Arial" w:hAnsi="Arial" w:cs="Arial"/>
                <w:kern w:val="0"/>
                <w:sz w:val="20"/>
              </w:rPr>
              <w:t>ESG</w:t>
            </w:r>
            <w:r w:rsidRPr="00BA28F7">
              <w:rPr>
                <w:rFonts w:ascii="Arial" w:hAnsi="Arial" w:cs="Arial"/>
                <w:kern w:val="0"/>
                <w:sz w:val="20"/>
              </w:rPr>
              <w:t>主题</w:t>
            </w:r>
            <w:r w:rsidRPr="00BA28F7">
              <w:rPr>
                <w:rFonts w:ascii="Arial" w:hAnsi="Arial" w:cs="Arial"/>
                <w:kern w:val="0"/>
                <w:sz w:val="20"/>
              </w:rPr>
              <w:t>C</w:t>
            </w:r>
          </w:p>
        </w:tc>
        <w:tc>
          <w:tcPr>
            <w:tcW w:w="1180" w:type="dxa"/>
            <w:tcBorders>
              <w:top w:val="nil"/>
              <w:left w:val="nil"/>
              <w:bottom w:val="nil"/>
              <w:right w:val="nil"/>
            </w:tcBorders>
            <w:shd w:val="clear" w:color="auto" w:fill="auto"/>
            <w:noWrap/>
            <w:vAlign w:val="bottom"/>
            <w:hideMark/>
          </w:tcPr>
          <w:p w14:paraId="087354A4"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8.40 </w:t>
            </w:r>
          </w:p>
        </w:tc>
        <w:tc>
          <w:tcPr>
            <w:tcW w:w="948" w:type="dxa"/>
            <w:tcBorders>
              <w:top w:val="nil"/>
              <w:left w:val="nil"/>
              <w:bottom w:val="nil"/>
              <w:right w:val="nil"/>
            </w:tcBorders>
            <w:shd w:val="clear" w:color="auto" w:fill="auto"/>
            <w:noWrap/>
            <w:vAlign w:val="bottom"/>
            <w:hideMark/>
          </w:tcPr>
          <w:p w14:paraId="4B82CE80"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7438E3CE"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嘉实基础产业优选</w:t>
            </w:r>
            <w:r w:rsidRPr="00BA28F7">
              <w:rPr>
                <w:rFonts w:ascii="Arial" w:hAnsi="Arial" w:cs="Arial"/>
                <w:kern w:val="0"/>
                <w:sz w:val="20"/>
              </w:rPr>
              <w:t>A</w:t>
            </w:r>
          </w:p>
        </w:tc>
        <w:tc>
          <w:tcPr>
            <w:tcW w:w="1180" w:type="dxa"/>
            <w:tcBorders>
              <w:top w:val="nil"/>
              <w:left w:val="nil"/>
              <w:bottom w:val="nil"/>
              <w:right w:val="nil"/>
            </w:tcBorders>
            <w:shd w:val="clear" w:color="auto" w:fill="auto"/>
            <w:noWrap/>
            <w:vAlign w:val="bottom"/>
            <w:hideMark/>
          </w:tcPr>
          <w:p w14:paraId="458857D6"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15.74 </w:t>
            </w:r>
          </w:p>
        </w:tc>
      </w:tr>
      <w:tr w:rsidR="00BA28F7" w:rsidRPr="00BA28F7" w14:paraId="44394889" w14:textId="77777777" w:rsidTr="00BA28F7">
        <w:trPr>
          <w:trHeight w:val="221"/>
        </w:trPr>
        <w:tc>
          <w:tcPr>
            <w:tcW w:w="2771" w:type="dxa"/>
            <w:tcBorders>
              <w:top w:val="nil"/>
              <w:left w:val="nil"/>
              <w:bottom w:val="nil"/>
              <w:right w:val="nil"/>
            </w:tcBorders>
            <w:shd w:val="clear" w:color="auto" w:fill="auto"/>
            <w:noWrap/>
            <w:vAlign w:val="bottom"/>
            <w:hideMark/>
          </w:tcPr>
          <w:p w14:paraId="4F7849F9"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易方达研究精选</w:t>
            </w:r>
          </w:p>
        </w:tc>
        <w:tc>
          <w:tcPr>
            <w:tcW w:w="1180" w:type="dxa"/>
            <w:tcBorders>
              <w:top w:val="nil"/>
              <w:left w:val="nil"/>
              <w:bottom w:val="nil"/>
              <w:right w:val="nil"/>
            </w:tcBorders>
            <w:shd w:val="clear" w:color="auto" w:fill="auto"/>
            <w:noWrap/>
            <w:vAlign w:val="bottom"/>
            <w:hideMark/>
          </w:tcPr>
          <w:p w14:paraId="54BAA88D"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20.53 </w:t>
            </w:r>
          </w:p>
        </w:tc>
        <w:tc>
          <w:tcPr>
            <w:tcW w:w="948" w:type="dxa"/>
            <w:tcBorders>
              <w:top w:val="nil"/>
              <w:left w:val="nil"/>
              <w:bottom w:val="nil"/>
              <w:right w:val="nil"/>
            </w:tcBorders>
            <w:shd w:val="clear" w:color="auto" w:fill="auto"/>
            <w:noWrap/>
            <w:vAlign w:val="bottom"/>
            <w:hideMark/>
          </w:tcPr>
          <w:p w14:paraId="17E113EC"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30C61163"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易方达均衡成长</w:t>
            </w:r>
          </w:p>
        </w:tc>
        <w:tc>
          <w:tcPr>
            <w:tcW w:w="1180" w:type="dxa"/>
            <w:tcBorders>
              <w:top w:val="nil"/>
              <w:left w:val="nil"/>
              <w:bottom w:val="nil"/>
              <w:right w:val="nil"/>
            </w:tcBorders>
            <w:shd w:val="clear" w:color="auto" w:fill="auto"/>
            <w:noWrap/>
            <w:vAlign w:val="bottom"/>
            <w:hideMark/>
          </w:tcPr>
          <w:p w14:paraId="3995D5D6"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21.76 </w:t>
            </w:r>
          </w:p>
        </w:tc>
      </w:tr>
      <w:tr w:rsidR="00BA28F7" w:rsidRPr="00BA28F7" w14:paraId="4F39DE3D" w14:textId="77777777" w:rsidTr="00BA28F7">
        <w:trPr>
          <w:trHeight w:val="221"/>
        </w:trPr>
        <w:tc>
          <w:tcPr>
            <w:tcW w:w="2771" w:type="dxa"/>
            <w:tcBorders>
              <w:top w:val="nil"/>
              <w:left w:val="nil"/>
              <w:bottom w:val="nil"/>
              <w:right w:val="nil"/>
            </w:tcBorders>
            <w:shd w:val="clear" w:color="auto" w:fill="auto"/>
            <w:noWrap/>
            <w:vAlign w:val="bottom"/>
            <w:hideMark/>
          </w:tcPr>
          <w:p w14:paraId="64A088C8"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朱雀企业优胜</w:t>
            </w:r>
            <w:r w:rsidRPr="00BA28F7">
              <w:rPr>
                <w:rFonts w:ascii="Arial" w:hAnsi="Arial" w:cs="Arial"/>
                <w:kern w:val="0"/>
                <w:sz w:val="20"/>
              </w:rPr>
              <w:t>C</w:t>
            </w:r>
          </w:p>
        </w:tc>
        <w:tc>
          <w:tcPr>
            <w:tcW w:w="1180" w:type="dxa"/>
            <w:tcBorders>
              <w:top w:val="nil"/>
              <w:left w:val="nil"/>
              <w:bottom w:val="nil"/>
              <w:right w:val="nil"/>
            </w:tcBorders>
            <w:shd w:val="clear" w:color="auto" w:fill="auto"/>
            <w:noWrap/>
            <w:vAlign w:val="bottom"/>
            <w:hideMark/>
          </w:tcPr>
          <w:p w14:paraId="7DAC58C3"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13.21 </w:t>
            </w:r>
          </w:p>
        </w:tc>
        <w:tc>
          <w:tcPr>
            <w:tcW w:w="948" w:type="dxa"/>
            <w:tcBorders>
              <w:top w:val="nil"/>
              <w:left w:val="nil"/>
              <w:bottom w:val="nil"/>
              <w:right w:val="nil"/>
            </w:tcBorders>
            <w:shd w:val="clear" w:color="auto" w:fill="auto"/>
            <w:noWrap/>
            <w:vAlign w:val="bottom"/>
            <w:hideMark/>
          </w:tcPr>
          <w:p w14:paraId="57D6378F"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501E5991"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中银大健康</w:t>
            </w:r>
            <w:r w:rsidRPr="00BA28F7">
              <w:rPr>
                <w:rFonts w:ascii="Arial" w:hAnsi="Arial" w:cs="Arial"/>
                <w:kern w:val="0"/>
                <w:sz w:val="20"/>
              </w:rPr>
              <w:t>A</w:t>
            </w:r>
          </w:p>
        </w:tc>
        <w:tc>
          <w:tcPr>
            <w:tcW w:w="1180" w:type="dxa"/>
            <w:tcBorders>
              <w:top w:val="nil"/>
              <w:left w:val="nil"/>
              <w:bottom w:val="nil"/>
              <w:right w:val="nil"/>
            </w:tcBorders>
            <w:shd w:val="clear" w:color="auto" w:fill="auto"/>
            <w:noWrap/>
            <w:vAlign w:val="bottom"/>
            <w:hideMark/>
          </w:tcPr>
          <w:p w14:paraId="375EE9BE"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8.26 </w:t>
            </w:r>
          </w:p>
        </w:tc>
      </w:tr>
      <w:tr w:rsidR="00BA28F7" w:rsidRPr="00BA28F7" w14:paraId="794A27F2" w14:textId="77777777" w:rsidTr="00BA28F7">
        <w:trPr>
          <w:trHeight w:val="221"/>
        </w:trPr>
        <w:tc>
          <w:tcPr>
            <w:tcW w:w="2771" w:type="dxa"/>
            <w:tcBorders>
              <w:top w:val="nil"/>
              <w:left w:val="nil"/>
              <w:bottom w:val="nil"/>
              <w:right w:val="nil"/>
            </w:tcBorders>
            <w:shd w:val="clear" w:color="auto" w:fill="auto"/>
            <w:noWrap/>
            <w:vAlign w:val="bottom"/>
            <w:hideMark/>
          </w:tcPr>
          <w:p w14:paraId="7A0F972F"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上投摩根慧选成长</w:t>
            </w:r>
            <w:r w:rsidRPr="00BA28F7">
              <w:rPr>
                <w:rFonts w:ascii="Arial" w:hAnsi="Arial" w:cs="Arial"/>
                <w:kern w:val="0"/>
                <w:sz w:val="20"/>
              </w:rPr>
              <w:t>C</w:t>
            </w:r>
          </w:p>
        </w:tc>
        <w:tc>
          <w:tcPr>
            <w:tcW w:w="1180" w:type="dxa"/>
            <w:tcBorders>
              <w:top w:val="nil"/>
              <w:left w:val="nil"/>
              <w:bottom w:val="nil"/>
              <w:right w:val="nil"/>
            </w:tcBorders>
            <w:shd w:val="clear" w:color="auto" w:fill="auto"/>
            <w:noWrap/>
            <w:vAlign w:val="bottom"/>
            <w:hideMark/>
          </w:tcPr>
          <w:p w14:paraId="4327DBC9"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10.59 </w:t>
            </w:r>
          </w:p>
        </w:tc>
        <w:tc>
          <w:tcPr>
            <w:tcW w:w="948" w:type="dxa"/>
            <w:tcBorders>
              <w:top w:val="nil"/>
              <w:left w:val="nil"/>
              <w:bottom w:val="nil"/>
              <w:right w:val="nil"/>
            </w:tcBorders>
            <w:shd w:val="clear" w:color="auto" w:fill="auto"/>
            <w:noWrap/>
            <w:vAlign w:val="bottom"/>
            <w:hideMark/>
          </w:tcPr>
          <w:p w14:paraId="6B2795A5"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68A4BCCC"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建信食品饮料行业</w:t>
            </w:r>
            <w:r w:rsidRPr="00BA28F7">
              <w:rPr>
                <w:rFonts w:ascii="Arial" w:hAnsi="Arial" w:cs="Arial"/>
                <w:kern w:val="0"/>
                <w:sz w:val="20"/>
              </w:rPr>
              <w:t>A</w:t>
            </w:r>
          </w:p>
        </w:tc>
        <w:tc>
          <w:tcPr>
            <w:tcW w:w="1180" w:type="dxa"/>
            <w:tcBorders>
              <w:top w:val="nil"/>
              <w:left w:val="nil"/>
              <w:bottom w:val="nil"/>
              <w:right w:val="nil"/>
            </w:tcBorders>
            <w:shd w:val="clear" w:color="auto" w:fill="auto"/>
            <w:noWrap/>
            <w:vAlign w:val="bottom"/>
            <w:hideMark/>
          </w:tcPr>
          <w:p w14:paraId="12EBC0A5"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19.23 </w:t>
            </w:r>
          </w:p>
        </w:tc>
      </w:tr>
      <w:tr w:rsidR="00BA28F7" w:rsidRPr="00BA28F7" w14:paraId="134573F1" w14:textId="77777777" w:rsidTr="00BA28F7">
        <w:trPr>
          <w:trHeight w:val="221"/>
        </w:trPr>
        <w:tc>
          <w:tcPr>
            <w:tcW w:w="2771" w:type="dxa"/>
            <w:tcBorders>
              <w:top w:val="nil"/>
              <w:left w:val="nil"/>
              <w:bottom w:val="nil"/>
              <w:right w:val="nil"/>
            </w:tcBorders>
            <w:shd w:val="clear" w:color="auto" w:fill="auto"/>
            <w:noWrap/>
            <w:vAlign w:val="bottom"/>
            <w:hideMark/>
          </w:tcPr>
          <w:p w14:paraId="2CEB5CFC"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融通产业趋势</w:t>
            </w:r>
          </w:p>
        </w:tc>
        <w:tc>
          <w:tcPr>
            <w:tcW w:w="1180" w:type="dxa"/>
            <w:tcBorders>
              <w:top w:val="nil"/>
              <w:left w:val="nil"/>
              <w:bottom w:val="nil"/>
              <w:right w:val="nil"/>
            </w:tcBorders>
            <w:shd w:val="clear" w:color="auto" w:fill="auto"/>
            <w:noWrap/>
            <w:vAlign w:val="bottom"/>
            <w:hideMark/>
          </w:tcPr>
          <w:p w14:paraId="5C5B02F1"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9.63 </w:t>
            </w:r>
          </w:p>
        </w:tc>
        <w:tc>
          <w:tcPr>
            <w:tcW w:w="948" w:type="dxa"/>
            <w:tcBorders>
              <w:top w:val="nil"/>
              <w:left w:val="nil"/>
              <w:bottom w:val="nil"/>
              <w:right w:val="nil"/>
            </w:tcBorders>
            <w:shd w:val="clear" w:color="auto" w:fill="auto"/>
            <w:noWrap/>
            <w:vAlign w:val="bottom"/>
            <w:hideMark/>
          </w:tcPr>
          <w:p w14:paraId="2A8CB7C3"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73727001"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国寿安保创新医药</w:t>
            </w:r>
            <w:r w:rsidRPr="00BA28F7">
              <w:rPr>
                <w:rFonts w:ascii="Arial" w:hAnsi="Arial" w:cs="Arial"/>
                <w:kern w:val="0"/>
                <w:sz w:val="20"/>
              </w:rPr>
              <w:t>C</w:t>
            </w:r>
          </w:p>
        </w:tc>
        <w:tc>
          <w:tcPr>
            <w:tcW w:w="1180" w:type="dxa"/>
            <w:tcBorders>
              <w:top w:val="nil"/>
              <w:left w:val="nil"/>
              <w:bottom w:val="nil"/>
              <w:right w:val="nil"/>
            </w:tcBorders>
            <w:shd w:val="clear" w:color="auto" w:fill="auto"/>
            <w:noWrap/>
            <w:vAlign w:val="bottom"/>
            <w:hideMark/>
          </w:tcPr>
          <w:p w14:paraId="083FD119"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6.05 </w:t>
            </w:r>
          </w:p>
        </w:tc>
      </w:tr>
      <w:tr w:rsidR="00BA28F7" w:rsidRPr="00BA28F7" w14:paraId="4A94B75F" w14:textId="77777777" w:rsidTr="00BA28F7">
        <w:trPr>
          <w:trHeight w:val="221"/>
        </w:trPr>
        <w:tc>
          <w:tcPr>
            <w:tcW w:w="2771" w:type="dxa"/>
            <w:tcBorders>
              <w:top w:val="nil"/>
              <w:left w:val="nil"/>
              <w:bottom w:val="nil"/>
              <w:right w:val="nil"/>
            </w:tcBorders>
            <w:shd w:val="clear" w:color="auto" w:fill="auto"/>
            <w:noWrap/>
            <w:vAlign w:val="bottom"/>
            <w:hideMark/>
          </w:tcPr>
          <w:p w14:paraId="6A7D9F71" w14:textId="77777777" w:rsidR="00BA28F7" w:rsidRPr="00BA28F7" w:rsidRDefault="00BA28F7" w:rsidP="00BA28F7">
            <w:pPr>
              <w:widowControl/>
              <w:jc w:val="left"/>
              <w:rPr>
                <w:rFonts w:ascii="Arial" w:hAnsi="Arial" w:cs="Arial"/>
                <w:kern w:val="0"/>
                <w:sz w:val="20"/>
              </w:rPr>
            </w:pPr>
            <w:r w:rsidRPr="00BA28F7">
              <w:rPr>
                <w:rFonts w:ascii="Arial" w:hAnsi="Arial" w:cs="Arial"/>
                <w:kern w:val="0"/>
                <w:sz w:val="20"/>
              </w:rPr>
              <w:t>融通产业趋势先锋</w:t>
            </w:r>
          </w:p>
        </w:tc>
        <w:tc>
          <w:tcPr>
            <w:tcW w:w="1180" w:type="dxa"/>
            <w:tcBorders>
              <w:top w:val="nil"/>
              <w:left w:val="nil"/>
              <w:bottom w:val="nil"/>
              <w:right w:val="nil"/>
            </w:tcBorders>
            <w:shd w:val="clear" w:color="auto" w:fill="auto"/>
            <w:noWrap/>
            <w:vAlign w:val="bottom"/>
            <w:hideMark/>
          </w:tcPr>
          <w:p w14:paraId="705AA969"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20.48 </w:t>
            </w:r>
          </w:p>
        </w:tc>
        <w:tc>
          <w:tcPr>
            <w:tcW w:w="948" w:type="dxa"/>
            <w:tcBorders>
              <w:top w:val="nil"/>
              <w:left w:val="nil"/>
              <w:bottom w:val="nil"/>
              <w:right w:val="nil"/>
            </w:tcBorders>
            <w:shd w:val="clear" w:color="auto" w:fill="auto"/>
            <w:noWrap/>
            <w:vAlign w:val="bottom"/>
            <w:hideMark/>
          </w:tcPr>
          <w:p w14:paraId="6122088B" w14:textId="77777777" w:rsidR="00BA28F7" w:rsidRPr="00BA28F7" w:rsidRDefault="00BA28F7" w:rsidP="00BA28F7">
            <w:pPr>
              <w:widowControl/>
              <w:jc w:val="right"/>
              <w:rPr>
                <w:rFonts w:ascii="Arial" w:hAnsi="Arial" w:cs="Arial"/>
                <w:kern w:val="0"/>
                <w:sz w:val="20"/>
              </w:rPr>
            </w:pPr>
          </w:p>
        </w:tc>
        <w:tc>
          <w:tcPr>
            <w:tcW w:w="2561" w:type="dxa"/>
            <w:tcBorders>
              <w:top w:val="nil"/>
              <w:left w:val="nil"/>
              <w:bottom w:val="nil"/>
              <w:right w:val="nil"/>
            </w:tcBorders>
            <w:shd w:val="clear" w:color="auto" w:fill="auto"/>
            <w:noWrap/>
            <w:vAlign w:val="bottom"/>
            <w:hideMark/>
          </w:tcPr>
          <w:p w14:paraId="71AEAFCF" w14:textId="1FE79119" w:rsidR="00BA28F7" w:rsidRPr="00BA28F7" w:rsidRDefault="00BA28F7" w:rsidP="00BA28F7">
            <w:pPr>
              <w:widowControl/>
              <w:jc w:val="left"/>
              <w:rPr>
                <w:rFonts w:ascii="Arial" w:hAnsi="Arial" w:cs="Arial"/>
                <w:kern w:val="0"/>
                <w:sz w:val="20"/>
              </w:rPr>
            </w:pPr>
            <w:r w:rsidRPr="00BA28F7">
              <w:rPr>
                <w:rFonts w:ascii="Arial" w:hAnsi="Arial" w:cs="Arial"/>
                <w:kern w:val="0"/>
                <w:sz w:val="20"/>
              </w:rPr>
              <w:t>汇添富开放视野中国优势</w:t>
            </w:r>
          </w:p>
        </w:tc>
        <w:tc>
          <w:tcPr>
            <w:tcW w:w="1180" w:type="dxa"/>
            <w:tcBorders>
              <w:top w:val="nil"/>
              <w:left w:val="nil"/>
              <w:bottom w:val="nil"/>
              <w:right w:val="nil"/>
            </w:tcBorders>
            <w:shd w:val="clear" w:color="auto" w:fill="auto"/>
            <w:noWrap/>
            <w:vAlign w:val="bottom"/>
            <w:hideMark/>
          </w:tcPr>
          <w:p w14:paraId="559B86F1" w14:textId="77777777" w:rsidR="00BA28F7" w:rsidRPr="00BA28F7" w:rsidRDefault="00BA28F7" w:rsidP="00BA28F7">
            <w:pPr>
              <w:widowControl/>
              <w:jc w:val="right"/>
              <w:rPr>
                <w:rFonts w:ascii="Arial" w:hAnsi="Arial" w:cs="Arial"/>
                <w:kern w:val="0"/>
                <w:sz w:val="20"/>
              </w:rPr>
            </w:pPr>
            <w:r w:rsidRPr="00BA28F7">
              <w:rPr>
                <w:rFonts w:ascii="Arial" w:hAnsi="Arial" w:cs="Arial"/>
                <w:kern w:val="0"/>
                <w:sz w:val="20"/>
              </w:rPr>
              <w:t xml:space="preserve">      11.10 </w:t>
            </w:r>
          </w:p>
        </w:tc>
      </w:tr>
    </w:tbl>
    <w:p w14:paraId="3B556278" w14:textId="76CEB883" w:rsidR="00DB7DE9" w:rsidRPr="00DB7DE9" w:rsidRDefault="00DB7DE9" w:rsidP="00DB7DE9">
      <w:pPr>
        <w:spacing w:line="360" w:lineRule="auto"/>
        <w:jc w:val="center"/>
        <w:rPr>
          <w:rFonts w:ascii="宋体" w:hAnsi="宋体"/>
          <w:szCs w:val="21"/>
        </w:rPr>
      </w:pPr>
      <w:r w:rsidRPr="00FD4939">
        <w:rPr>
          <w:rFonts w:ascii="宋体" w:hAnsi="宋体" w:hint="eastAsia"/>
          <w:szCs w:val="21"/>
        </w:rPr>
        <w:lastRenderedPageBreak/>
        <w:t>表</w:t>
      </w:r>
      <w:r w:rsidR="008F5CC1">
        <w:rPr>
          <w:rFonts w:ascii="宋体" w:hAnsi="宋体" w:hint="eastAsia"/>
          <w:szCs w:val="21"/>
        </w:rPr>
        <w:t>3</w:t>
      </w:r>
      <w:r w:rsidR="008F5CC1">
        <w:rPr>
          <w:rFonts w:ascii="宋体" w:hAnsi="宋体"/>
          <w:szCs w:val="21"/>
        </w:rPr>
        <w:t>-</w:t>
      </w:r>
      <w:r w:rsidR="00E535D9">
        <w:rPr>
          <w:rFonts w:ascii="宋体" w:hAnsi="宋体"/>
          <w:szCs w:val="21"/>
        </w:rPr>
        <w:t>7</w:t>
      </w:r>
      <w:r>
        <w:rPr>
          <w:rFonts w:ascii="宋体" w:hAnsi="宋体" w:hint="eastAsia"/>
          <w:szCs w:val="21"/>
        </w:rPr>
        <w:t>（续）</w:t>
      </w:r>
      <w:r w:rsidRPr="00FD4939">
        <w:rPr>
          <w:rFonts w:ascii="宋体" w:hAnsi="宋体" w:hint="eastAsia"/>
          <w:szCs w:val="21"/>
        </w:rPr>
        <w:t>：基金综合得分</w:t>
      </w:r>
    </w:p>
    <w:tbl>
      <w:tblPr>
        <w:tblW w:w="8640" w:type="dxa"/>
        <w:tblLook w:val="04A0" w:firstRow="1" w:lastRow="0" w:firstColumn="1" w:lastColumn="0" w:noHBand="0" w:noVBand="1"/>
      </w:tblPr>
      <w:tblGrid>
        <w:gridCol w:w="2615"/>
        <w:gridCol w:w="1216"/>
        <w:gridCol w:w="977"/>
        <w:gridCol w:w="2616"/>
        <w:gridCol w:w="1216"/>
      </w:tblGrid>
      <w:tr w:rsidR="00DB7DE9" w:rsidRPr="00DB7DE9" w14:paraId="1534CCED" w14:textId="77777777" w:rsidTr="00DB7DE9">
        <w:trPr>
          <w:trHeight w:val="221"/>
        </w:trPr>
        <w:tc>
          <w:tcPr>
            <w:tcW w:w="2615" w:type="dxa"/>
            <w:tcBorders>
              <w:top w:val="single" w:sz="12" w:space="0" w:color="auto"/>
              <w:left w:val="nil"/>
              <w:bottom w:val="single" w:sz="12" w:space="0" w:color="auto"/>
              <w:right w:val="nil"/>
            </w:tcBorders>
            <w:shd w:val="clear" w:color="auto" w:fill="auto"/>
            <w:noWrap/>
            <w:vAlign w:val="bottom"/>
            <w:hideMark/>
          </w:tcPr>
          <w:p w14:paraId="5830AAA8" w14:textId="77777777" w:rsidR="00DB7DE9" w:rsidRPr="00DB7DE9" w:rsidRDefault="00DB7DE9" w:rsidP="00DB7DE9">
            <w:pPr>
              <w:widowControl/>
              <w:jc w:val="center"/>
              <w:rPr>
                <w:rFonts w:ascii="宋体" w:hAnsi="宋体" w:cs="Arial"/>
                <w:b/>
                <w:bCs/>
                <w:kern w:val="0"/>
                <w:sz w:val="20"/>
              </w:rPr>
            </w:pPr>
            <w:r w:rsidRPr="00DB7DE9">
              <w:rPr>
                <w:rFonts w:ascii="宋体" w:hAnsi="宋体" w:cs="Arial" w:hint="eastAsia"/>
                <w:b/>
                <w:bCs/>
                <w:kern w:val="0"/>
                <w:sz w:val="20"/>
              </w:rPr>
              <w:t>碳中和概念基金名称</w:t>
            </w:r>
          </w:p>
        </w:tc>
        <w:tc>
          <w:tcPr>
            <w:tcW w:w="1216" w:type="dxa"/>
            <w:tcBorders>
              <w:top w:val="single" w:sz="12" w:space="0" w:color="auto"/>
              <w:left w:val="nil"/>
              <w:bottom w:val="single" w:sz="12" w:space="0" w:color="auto"/>
              <w:right w:val="nil"/>
            </w:tcBorders>
            <w:shd w:val="clear" w:color="auto" w:fill="auto"/>
            <w:noWrap/>
            <w:vAlign w:val="bottom"/>
            <w:hideMark/>
          </w:tcPr>
          <w:p w14:paraId="5E0FC9EB" w14:textId="77777777" w:rsidR="00DB7DE9" w:rsidRPr="00DB7DE9" w:rsidRDefault="00DB7DE9" w:rsidP="00DB7DE9">
            <w:pPr>
              <w:widowControl/>
              <w:jc w:val="center"/>
              <w:rPr>
                <w:rFonts w:ascii="宋体" w:hAnsi="宋体" w:cs="Arial"/>
                <w:b/>
                <w:bCs/>
                <w:kern w:val="0"/>
                <w:sz w:val="20"/>
              </w:rPr>
            </w:pPr>
            <w:r w:rsidRPr="00DB7DE9">
              <w:rPr>
                <w:rFonts w:ascii="宋体" w:hAnsi="宋体" w:cs="Arial" w:hint="eastAsia"/>
                <w:b/>
                <w:bCs/>
                <w:kern w:val="0"/>
                <w:sz w:val="20"/>
              </w:rPr>
              <w:t>综合得分</w:t>
            </w:r>
          </w:p>
        </w:tc>
        <w:tc>
          <w:tcPr>
            <w:tcW w:w="977" w:type="dxa"/>
            <w:tcBorders>
              <w:top w:val="single" w:sz="12" w:space="0" w:color="auto"/>
              <w:left w:val="nil"/>
              <w:bottom w:val="single" w:sz="12" w:space="0" w:color="auto"/>
              <w:right w:val="nil"/>
            </w:tcBorders>
            <w:shd w:val="clear" w:color="auto" w:fill="auto"/>
            <w:noWrap/>
            <w:vAlign w:val="bottom"/>
            <w:hideMark/>
          </w:tcPr>
          <w:p w14:paraId="1EC222E0" w14:textId="77777777" w:rsidR="00DB7DE9" w:rsidRPr="00DB7DE9" w:rsidRDefault="00DB7DE9" w:rsidP="00DB7DE9">
            <w:pPr>
              <w:widowControl/>
              <w:jc w:val="center"/>
              <w:rPr>
                <w:rFonts w:ascii="宋体" w:hAnsi="宋体" w:cs="Arial"/>
                <w:b/>
                <w:bCs/>
                <w:kern w:val="0"/>
                <w:sz w:val="20"/>
              </w:rPr>
            </w:pPr>
            <w:r w:rsidRPr="00DB7DE9">
              <w:rPr>
                <w:rFonts w:ascii="宋体" w:hAnsi="宋体" w:cs="Arial" w:hint="eastAsia"/>
                <w:b/>
                <w:bCs/>
                <w:kern w:val="0"/>
                <w:sz w:val="20"/>
              </w:rPr>
              <w:t xml:space="preserve">　</w:t>
            </w:r>
          </w:p>
        </w:tc>
        <w:tc>
          <w:tcPr>
            <w:tcW w:w="2616" w:type="dxa"/>
            <w:tcBorders>
              <w:top w:val="single" w:sz="12" w:space="0" w:color="auto"/>
              <w:left w:val="nil"/>
              <w:bottom w:val="single" w:sz="12" w:space="0" w:color="auto"/>
              <w:right w:val="nil"/>
            </w:tcBorders>
            <w:shd w:val="clear" w:color="auto" w:fill="auto"/>
            <w:noWrap/>
            <w:vAlign w:val="bottom"/>
            <w:hideMark/>
          </w:tcPr>
          <w:p w14:paraId="18C0B170" w14:textId="77777777" w:rsidR="00DB7DE9" w:rsidRPr="00DB7DE9" w:rsidRDefault="00DB7DE9" w:rsidP="00DB7DE9">
            <w:pPr>
              <w:widowControl/>
              <w:jc w:val="center"/>
              <w:rPr>
                <w:rFonts w:ascii="宋体" w:hAnsi="宋体" w:cs="Arial"/>
                <w:b/>
                <w:bCs/>
                <w:kern w:val="0"/>
                <w:sz w:val="20"/>
              </w:rPr>
            </w:pPr>
            <w:r w:rsidRPr="00DB7DE9">
              <w:rPr>
                <w:rFonts w:ascii="宋体" w:hAnsi="宋体" w:cs="Arial" w:hint="eastAsia"/>
                <w:b/>
                <w:bCs/>
                <w:kern w:val="0"/>
                <w:sz w:val="20"/>
              </w:rPr>
              <w:t>非碳中和概念基金名称</w:t>
            </w:r>
          </w:p>
        </w:tc>
        <w:tc>
          <w:tcPr>
            <w:tcW w:w="1216" w:type="dxa"/>
            <w:tcBorders>
              <w:top w:val="single" w:sz="12" w:space="0" w:color="auto"/>
              <w:left w:val="nil"/>
              <w:bottom w:val="single" w:sz="12" w:space="0" w:color="auto"/>
              <w:right w:val="nil"/>
            </w:tcBorders>
            <w:shd w:val="clear" w:color="auto" w:fill="auto"/>
            <w:noWrap/>
            <w:vAlign w:val="bottom"/>
            <w:hideMark/>
          </w:tcPr>
          <w:p w14:paraId="3363C2CC" w14:textId="77777777" w:rsidR="00DB7DE9" w:rsidRPr="00DB7DE9" w:rsidRDefault="00DB7DE9" w:rsidP="00DB7DE9">
            <w:pPr>
              <w:widowControl/>
              <w:jc w:val="center"/>
              <w:rPr>
                <w:rFonts w:ascii="宋体" w:hAnsi="宋体" w:cs="Arial"/>
                <w:b/>
                <w:bCs/>
                <w:kern w:val="0"/>
                <w:sz w:val="20"/>
              </w:rPr>
            </w:pPr>
            <w:r w:rsidRPr="00DB7DE9">
              <w:rPr>
                <w:rFonts w:ascii="宋体" w:hAnsi="宋体" w:cs="Arial" w:hint="eastAsia"/>
                <w:b/>
                <w:bCs/>
                <w:kern w:val="0"/>
                <w:sz w:val="20"/>
              </w:rPr>
              <w:t>综合得分</w:t>
            </w:r>
          </w:p>
        </w:tc>
      </w:tr>
      <w:tr w:rsidR="00DB7DE9" w:rsidRPr="00DB7DE9" w14:paraId="1B8C0D2C" w14:textId="77777777" w:rsidTr="00DB7DE9">
        <w:trPr>
          <w:trHeight w:val="221"/>
        </w:trPr>
        <w:tc>
          <w:tcPr>
            <w:tcW w:w="2615" w:type="dxa"/>
            <w:tcBorders>
              <w:top w:val="nil"/>
              <w:left w:val="nil"/>
              <w:bottom w:val="nil"/>
              <w:right w:val="nil"/>
            </w:tcBorders>
            <w:shd w:val="clear" w:color="auto" w:fill="auto"/>
            <w:noWrap/>
            <w:vAlign w:val="bottom"/>
            <w:hideMark/>
          </w:tcPr>
          <w:p w14:paraId="25A65825"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兴银研究精选</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7990582F"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13.61 </w:t>
            </w:r>
          </w:p>
        </w:tc>
        <w:tc>
          <w:tcPr>
            <w:tcW w:w="977" w:type="dxa"/>
            <w:tcBorders>
              <w:top w:val="nil"/>
              <w:left w:val="nil"/>
              <w:bottom w:val="nil"/>
              <w:right w:val="nil"/>
            </w:tcBorders>
            <w:shd w:val="clear" w:color="auto" w:fill="auto"/>
            <w:noWrap/>
            <w:vAlign w:val="bottom"/>
            <w:hideMark/>
          </w:tcPr>
          <w:p w14:paraId="3193EDA0"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130FD1FE" w14:textId="3E856E5C" w:rsidR="00DB7DE9" w:rsidRPr="00DB7DE9" w:rsidRDefault="00DB7DE9" w:rsidP="00DB7DE9">
            <w:pPr>
              <w:widowControl/>
              <w:jc w:val="left"/>
              <w:rPr>
                <w:rFonts w:ascii="Arial" w:hAnsi="Arial" w:cs="Arial"/>
                <w:kern w:val="0"/>
                <w:sz w:val="20"/>
              </w:rPr>
            </w:pPr>
            <w:r w:rsidRPr="00DB7DE9">
              <w:rPr>
                <w:rFonts w:ascii="Arial" w:hAnsi="Arial" w:cs="Arial"/>
                <w:kern w:val="0"/>
                <w:sz w:val="20"/>
              </w:rPr>
              <w:t>汇丰晋信中小盘低波动策略</w:t>
            </w:r>
          </w:p>
        </w:tc>
        <w:tc>
          <w:tcPr>
            <w:tcW w:w="1216" w:type="dxa"/>
            <w:tcBorders>
              <w:top w:val="nil"/>
              <w:left w:val="nil"/>
              <w:bottom w:val="nil"/>
              <w:right w:val="nil"/>
            </w:tcBorders>
            <w:shd w:val="clear" w:color="auto" w:fill="auto"/>
            <w:noWrap/>
            <w:vAlign w:val="bottom"/>
            <w:hideMark/>
          </w:tcPr>
          <w:p w14:paraId="60F7BFF5"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10.93 </w:t>
            </w:r>
          </w:p>
        </w:tc>
      </w:tr>
      <w:tr w:rsidR="00DB7DE9" w:rsidRPr="00DB7DE9" w14:paraId="633B0C8B" w14:textId="77777777" w:rsidTr="00DB7DE9">
        <w:trPr>
          <w:trHeight w:val="221"/>
        </w:trPr>
        <w:tc>
          <w:tcPr>
            <w:tcW w:w="2615" w:type="dxa"/>
            <w:tcBorders>
              <w:top w:val="nil"/>
              <w:left w:val="nil"/>
              <w:bottom w:val="nil"/>
              <w:right w:val="nil"/>
            </w:tcBorders>
            <w:shd w:val="clear" w:color="auto" w:fill="auto"/>
            <w:noWrap/>
            <w:vAlign w:val="bottom"/>
            <w:hideMark/>
          </w:tcPr>
          <w:p w14:paraId="66E20B6D"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银河龙头</w:t>
            </w:r>
          </w:p>
        </w:tc>
        <w:tc>
          <w:tcPr>
            <w:tcW w:w="1216" w:type="dxa"/>
            <w:tcBorders>
              <w:top w:val="nil"/>
              <w:left w:val="nil"/>
              <w:bottom w:val="nil"/>
              <w:right w:val="nil"/>
            </w:tcBorders>
            <w:shd w:val="clear" w:color="auto" w:fill="auto"/>
            <w:noWrap/>
            <w:vAlign w:val="bottom"/>
            <w:hideMark/>
          </w:tcPr>
          <w:p w14:paraId="08DD4884"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-3.36 </w:t>
            </w:r>
          </w:p>
        </w:tc>
        <w:tc>
          <w:tcPr>
            <w:tcW w:w="977" w:type="dxa"/>
            <w:tcBorders>
              <w:top w:val="nil"/>
              <w:left w:val="nil"/>
              <w:bottom w:val="nil"/>
              <w:right w:val="nil"/>
            </w:tcBorders>
            <w:shd w:val="clear" w:color="auto" w:fill="auto"/>
            <w:noWrap/>
            <w:vAlign w:val="bottom"/>
            <w:hideMark/>
          </w:tcPr>
          <w:p w14:paraId="2C33A35B"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540EA4C3"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国泰医药健康</w:t>
            </w:r>
            <w:r w:rsidRPr="00DB7DE9">
              <w:rPr>
                <w:rFonts w:ascii="Arial" w:hAnsi="Arial" w:cs="Arial"/>
                <w:kern w:val="0"/>
                <w:sz w:val="20"/>
              </w:rPr>
              <w:t>A</w:t>
            </w:r>
          </w:p>
        </w:tc>
        <w:tc>
          <w:tcPr>
            <w:tcW w:w="1216" w:type="dxa"/>
            <w:tcBorders>
              <w:top w:val="nil"/>
              <w:left w:val="nil"/>
              <w:bottom w:val="nil"/>
              <w:right w:val="nil"/>
            </w:tcBorders>
            <w:shd w:val="clear" w:color="auto" w:fill="auto"/>
            <w:noWrap/>
            <w:vAlign w:val="bottom"/>
            <w:hideMark/>
          </w:tcPr>
          <w:p w14:paraId="50D3AA5A"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10.88 </w:t>
            </w:r>
          </w:p>
        </w:tc>
      </w:tr>
      <w:tr w:rsidR="00DB7DE9" w:rsidRPr="00DB7DE9" w14:paraId="504F5F01" w14:textId="77777777" w:rsidTr="00DB7DE9">
        <w:trPr>
          <w:trHeight w:val="221"/>
        </w:trPr>
        <w:tc>
          <w:tcPr>
            <w:tcW w:w="2615" w:type="dxa"/>
            <w:tcBorders>
              <w:top w:val="nil"/>
              <w:left w:val="nil"/>
              <w:bottom w:val="nil"/>
              <w:right w:val="nil"/>
            </w:tcBorders>
            <w:shd w:val="clear" w:color="auto" w:fill="auto"/>
            <w:noWrap/>
            <w:vAlign w:val="bottom"/>
            <w:hideMark/>
          </w:tcPr>
          <w:p w14:paraId="6B5D2622"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南方高股息主题</w:t>
            </w:r>
            <w:r w:rsidRPr="00DB7DE9">
              <w:rPr>
                <w:rFonts w:ascii="Arial" w:hAnsi="Arial" w:cs="Arial"/>
                <w:kern w:val="0"/>
                <w:sz w:val="20"/>
              </w:rPr>
              <w:t>A</w:t>
            </w:r>
          </w:p>
        </w:tc>
        <w:tc>
          <w:tcPr>
            <w:tcW w:w="1216" w:type="dxa"/>
            <w:tcBorders>
              <w:top w:val="nil"/>
              <w:left w:val="nil"/>
              <w:bottom w:val="nil"/>
              <w:right w:val="nil"/>
            </w:tcBorders>
            <w:shd w:val="clear" w:color="auto" w:fill="auto"/>
            <w:noWrap/>
            <w:vAlign w:val="bottom"/>
            <w:hideMark/>
          </w:tcPr>
          <w:p w14:paraId="6F8CC6EE"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10.38 </w:t>
            </w:r>
          </w:p>
        </w:tc>
        <w:tc>
          <w:tcPr>
            <w:tcW w:w="977" w:type="dxa"/>
            <w:tcBorders>
              <w:top w:val="nil"/>
              <w:left w:val="nil"/>
              <w:bottom w:val="nil"/>
              <w:right w:val="nil"/>
            </w:tcBorders>
            <w:shd w:val="clear" w:color="auto" w:fill="auto"/>
            <w:noWrap/>
            <w:vAlign w:val="bottom"/>
            <w:hideMark/>
          </w:tcPr>
          <w:p w14:paraId="06B89DE9"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738EBA73"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易方达中证银行</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4593C091"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12.45 </w:t>
            </w:r>
          </w:p>
        </w:tc>
      </w:tr>
      <w:tr w:rsidR="00DB7DE9" w:rsidRPr="00DB7DE9" w14:paraId="602A9EE9" w14:textId="77777777" w:rsidTr="00DB7DE9">
        <w:trPr>
          <w:trHeight w:val="221"/>
        </w:trPr>
        <w:tc>
          <w:tcPr>
            <w:tcW w:w="2615" w:type="dxa"/>
            <w:tcBorders>
              <w:top w:val="nil"/>
              <w:left w:val="nil"/>
              <w:bottom w:val="nil"/>
              <w:right w:val="nil"/>
            </w:tcBorders>
            <w:shd w:val="clear" w:color="auto" w:fill="auto"/>
            <w:noWrap/>
            <w:vAlign w:val="bottom"/>
            <w:hideMark/>
          </w:tcPr>
          <w:p w14:paraId="0FFC8B86"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民生加银龙头优选</w:t>
            </w:r>
          </w:p>
        </w:tc>
        <w:tc>
          <w:tcPr>
            <w:tcW w:w="1216" w:type="dxa"/>
            <w:tcBorders>
              <w:top w:val="nil"/>
              <w:left w:val="nil"/>
              <w:bottom w:val="nil"/>
              <w:right w:val="nil"/>
            </w:tcBorders>
            <w:shd w:val="clear" w:color="auto" w:fill="auto"/>
            <w:noWrap/>
            <w:vAlign w:val="bottom"/>
            <w:hideMark/>
          </w:tcPr>
          <w:p w14:paraId="66814535"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9.10 </w:t>
            </w:r>
          </w:p>
        </w:tc>
        <w:tc>
          <w:tcPr>
            <w:tcW w:w="977" w:type="dxa"/>
            <w:tcBorders>
              <w:top w:val="nil"/>
              <w:left w:val="nil"/>
              <w:bottom w:val="nil"/>
              <w:right w:val="nil"/>
            </w:tcBorders>
            <w:shd w:val="clear" w:color="auto" w:fill="auto"/>
            <w:noWrap/>
            <w:vAlign w:val="bottom"/>
            <w:hideMark/>
          </w:tcPr>
          <w:p w14:paraId="0848DE92"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6E8F321F"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富国创新趋势</w:t>
            </w:r>
          </w:p>
        </w:tc>
        <w:tc>
          <w:tcPr>
            <w:tcW w:w="1216" w:type="dxa"/>
            <w:tcBorders>
              <w:top w:val="nil"/>
              <w:left w:val="nil"/>
              <w:bottom w:val="nil"/>
              <w:right w:val="nil"/>
            </w:tcBorders>
            <w:shd w:val="clear" w:color="auto" w:fill="auto"/>
            <w:noWrap/>
            <w:vAlign w:val="bottom"/>
            <w:hideMark/>
          </w:tcPr>
          <w:p w14:paraId="0682BA1D"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3.33 </w:t>
            </w:r>
          </w:p>
        </w:tc>
      </w:tr>
      <w:tr w:rsidR="00DB7DE9" w:rsidRPr="00DB7DE9" w14:paraId="70E6E864" w14:textId="77777777" w:rsidTr="00DB7DE9">
        <w:trPr>
          <w:trHeight w:val="221"/>
        </w:trPr>
        <w:tc>
          <w:tcPr>
            <w:tcW w:w="2615" w:type="dxa"/>
            <w:tcBorders>
              <w:top w:val="nil"/>
              <w:left w:val="nil"/>
              <w:bottom w:val="nil"/>
              <w:right w:val="nil"/>
            </w:tcBorders>
            <w:shd w:val="clear" w:color="auto" w:fill="auto"/>
            <w:noWrap/>
            <w:vAlign w:val="bottom"/>
            <w:hideMark/>
          </w:tcPr>
          <w:p w14:paraId="5E1F2935"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大成睿裕六个月持有</w:t>
            </w:r>
            <w:r w:rsidRPr="00DB7DE9">
              <w:rPr>
                <w:rFonts w:ascii="Arial" w:hAnsi="Arial" w:cs="Arial"/>
                <w:kern w:val="0"/>
                <w:sz w:val="20"/>
              </w:rPr>
              <w:t>A</w:t>
            </w:r>
          </w:p>
        </w:tc>
        <w:tc>
          <w:tcPr>
            <w:tcW w:w="1216" w:type="dxa"/>
            <w:tcBorders>
              <w:top w:val="nil"/>
              <w:left w:val="nil"/>
              <w:bottom w:val="nil"/>
              <w:right w:val="nil"/>
            </w:tcBorders>
            <w:shd w:val="clear" w:color="auto" w:fill="auto"/>
            <w:noWrap/>
            <w:vAlign w:val="bottom"/>
            <w:hideMark/>
          </w:tcPr>
          <w:p w14:paraId="6C7CCAEA"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16.48 </w:t>
            </w:r>
          </w:p>
        </w:tc>
        <w:tc>
          <w:tcPr>
            <w:tcW w:w="977" w:type="dxa"/>
            <w:tcBorders>
              <w:top w:val="nil"/>
              <w:left w:val="nil"/>
              <w:bottom w:val="nil"/>
              <w:right w:val="nil"/>
            </w:tcBorders>
            <w:shd w:val="clear" w:color="auto" w:fill="auto"/>
            <w:noWrap/>
            <w:vAlign w:val="bottom"/>
            <w:hideMark/>
          </w:tcPr>
          <w:p w14:paraId="0A816C18"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221C9C94"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九泰久睿量化</w:t>
            </w:r>
          </w:p>
        </w:tc>
        <w:tc>
          <w:tcPr>
            <w:tcW w:w="1216" w:type="dxa"/>
            <w:tcBorders>
              <w:top w:val="nil"/>
              <w:left w:val="nil"/>
              <w:bottom w:val="nil"/>
              <w:right w:val="nil"/>
            </w:tcBorders>
            <w:shd w:val="clear" w:color="auto" w:fill="auto"/>
            <w:noWrap/>
            <w:vAlign w:val="bottom"/>
            <w:hideMark/>
          </w:tcPr>
          <w:p w14:paraId="3EAF94A9"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12.09 </w:t>
            </w:r>
          </w:p>
        </w:tc>
      </w:tr>
      <w:tr w:rsidR="00DB7DE9" w:rsidRPr="00DB7DE9" w14:paraId="3EFCC4E1" w14:textId="77777777" w:rsidTr="00DB7DE9">
        <w:trPr>
          <w:trHeight w:val="221"/>
        </w:trPr>
        <w:tc>
          <w:tcPr>
            <w:tcW w:w="2615" w:type="dxa"/>
            <w:tcBorders>
              <w:top w:val="nil"/>
              <w:left w:val="nil"/>
              <w:bottom w:val="nil"/>
              <w:right w:val="nil"/>
            </w:tcBorders>
            <w:shd w:val="clear" w:color="auto" w:fill="auto"/>
            <w:noWrap/>
            <w:vAlign w:val="bottom"/>
            <w:hideMark/>
          </w:tcPr>
          <w:p w14:paraId="656E2BBA"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嘉实回报精选</w:t>
            </w:r>
          </w:p>
        </w:tc>
        <w:tc>
          <w:tcPr>
            <w:tcW w:w="1216" w:type="dxa"/>
            <w:tcBorders>
              <w:top w:val="nil"/>
              <w:left w:val="nil"/>
              <w:bottom w:val="nil"/>
              <w:right w:val="nil"/>
            </w:tcBorders>
            <w:shd w:val="clear" w:color="auto" w:fill="auto"/>
            <w:noWrap/>
            <w:vAlign w:val="bottom"/>
            <w:hideMark/>
          </w:tcPr>
          <w:p w14:paraId="4E9071E2"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11.57 </w:t>
            </w:r>
          </w:p>
        </w:tc>
        <w:tc>
          <w:tcPr>
            <w:tcW w:w="977" w:type="dxa"/>
            <w:tcBorders>
              <w:top w:val="nil"/>
              <w:left w:val="nil"/>
              <w:bottom w:val="nil"/>
              <w:right w:val="nil"/>
            </w:tcBorders>
            <w:shd w:val="clear" w:color="auto" w:fill="auto"/>
            <w:noWrap/>
            <w:vAlign w:val="bottom"/>
            <w:hideMark/>
          </w:tcPr>
          <w:p w14:paraId="166DD9D9"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0F4B1F25"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天弘甄选食品饮料</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4FF68297"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14.75 </w:t>
            </w:r>
          </w:p>
        </w:tc>
      </w:tr>
      <w:tr w:rsidR="00DB7DE9" w:rsidRPr="00DB7DE9" w14:paraId="75BE6B7F" w14:textId="77777777" w:rsidTr="00DB7DE9">
        <w:trPr>
          <w:trHeight w:val="221"/>
        </w:trPr>
        <w:tc>
          <w:tcPr>
            <w:tcW w:w="2615" w:type="dxa"/>
            <w:tcBorders>
              <w:top w:val="nil"/>
              <w:left w:val="nil"/>
              <w:bottom w:val="nil"/>
              <w:right w:val="nil"/>
            </w:tcBorders>
            <w:shd w:val="clear" w:color="auto" w:fill="auto"/>
            <w:noWrap/>
            <w:vAlign w:val="bottom"/>
            <w:hideMark/>
          </w:tcPr>
          <w:p w14:paraId="0219C668"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大成睿鑫</w:t>
            </w:r>
            <w:r w:rsidRPr="00DB7DE9">
              <w:rPr>
                <w:rFonts w:ascii="Arial" w:hAnsi="Arial" w:cs="Arial"/>
                <w:kern w:val="0"/>
                <w:sz w:val="20"/>
              </w:rPr>
              <w:t>A</w:t>
            </w:r>
          </w:p>
        </w:tc>
        <w:tc>
          <w:tcPr>
            <w:tcW w:w="1216" w:type="dxa"/>
            <w:tcBorders>
              <w:top w:val="nil"/>
              <w:left w:val="nil"/>
              <w:bottom w:val="nil"/>
              <w:right w:val="nil"/>
            </w:tcBorders>
            <w:shd w:val="clear" w:color="auto" w:fill="auto"/>
            <w:noWrap/>
            <w:vAlign w:val="bottom"/>
            <w:hideMark/>
          </w:tcPr>
          <w:p w14:paraId="31DD2F04"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15.88 </w:t>
            </w:r>
          </w:p>
        </w:tc>
        <w:tc>
          <w:tcPr>
            <w:tcW w:w="977" w:type="dxa"/>
            <w:tcBorders>
              <w:top w:val="nil"/>
              <w:left w:val="nil"/>
              <w:bottom w:val="nil"/>
              <w:right w:val="nil"/>
            </w:tcBorders>
            <w:shd w:val="clear" w:color="auto" w:fill="auto"/>
            <w:noWrap/>
            <w:vAlign w:val="bottom"/>
            <w:hideMark/>
          </w:tcPr>
          <w:p w14:paraId="0D617EE1"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704D40B9"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广发中证医疗</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5EB8E1E1"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11.17 </w:t>
            </w:r>
          </w:p>
        </w:tc>
      </w:tr>
      <w:tr w:rsidR="00DB7DE9" w:rsidRPr="00DB7DE9" w14:paraId="23719031" w14:textId="77777777" w:rsidTr="00DB7DE9">
        <w:trPr>
          <w:trHeight w:val="221"/>
        </w:trPr>
        <w:tc>
          <w:tcPr>
            <w:tcW w:w="2615" w:type="dxa"/>
            <w:tcBorders>
              <w:top w:val="nil"/>
              <w:left w:val="nil"/>
              <w:bottom w:val="nil"/>
              <w:right w:val="nil"/>
            </w:tcBorders>
            <w:shd w:val="clear" w:color="auto" w:fill="auto"/>
            <w:noWrap/>
            <w:vAlign w:val="bottom"/>
            <w:hideMark/>
          </w:tcPr>
          <w:p w14:paraId="252EE385"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银华品质消费</w:t>
            </w:r>
          </w:p>
        </w:tc>
        <w:tc>
          <w:tcPr>
            <w:tcW w:w="1216" w:type="dxa"/>
            <w:tcBorders>
              <w:top w:val="nil"/>
              <w:left w:val="nil"/>
              <w:bottom w:val="nil"/>
              <w:right w:val="nil"/>
            </w:tcBorders>
            <w:shd w:val="clear" w:color="auto" w:fill="auto"/>
            <w:noWrap/>
            <w:vAlign w:val="bottom"/>
            <w:hideMark/>
          </w:tcPr>
          <w:p w14:paraId="12DB2CE0"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11.95 </w:t>
            </w:r>
          </w:p>
        </w:tc>
        <w:tc>
          <w:tcPr>
            <w:tcW w:w="977" w:type="dxa"/>
            <w:tcBorders>
              <w:top w:val="nil"/>
              <w:left w:val="nil"/>
              <w:bottom w:val="nil"/>
              <w:right w:val="nil"/>
            </w:tcBorders>
            <w:shd w:val="clear" w:color="auto" w:fill="auto"/>
            <w:noWrap/>
            <w:vAlign w:val="bottom"/>
            <w:hideMark/>
          </w:tcPr>
          <w:p w14:paraId="7D5552C1"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4D54BDF5"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民生加银医药健康</w:t>
            </w:r>
            <w:r w:rsidRPr="00DB7DE9">
              <w:rPr>
                <w:rFonts w:ascii="Arial" w:hAnsi="Arial" w:cs="Arial"/>
                <w:kern w:val="0"/>
                <w:sz w:val="20"/>
              </w:rPr>
              <w:t>A</w:t>
            </w:r>
          </w:p>
        </w:tc>
        <w:tc>
          <w:tcPr>
            <w:tcW w:w="1216" w:type="dxa"/>
            <w:tcBorders>
              <w:top w:val="nil"/>
              <w:left w:val="nil"/>
              <w:bottom w:val="nil"/>
              <w:right w:val="nil"/>
            </w:tcBorders>
            <w:shd w:val="clear" w:color="auto" w:fill="auto"/>
            <w:noWrap/>
            <w:vAlign w:val="bottom"/>
            <w:hideMark/>
          </w:tcPr>
          <w:p w14:paraId="470845FB"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0.23 </w:t>
            </w:r>
          </w:p>
        </w:tc>
      </w:tr>
      <w:tr w:rsidR="00DB7DE9" w:rsidRPr="00DB7DE9" w14:paraId="3B6201AB" w14:textId="77777777" w:rsidTr="00DB7DE9">
        <w:trPr>
          <w:trHeight w:val="221"/>
        </w:trPr>
        <w:tc>
          <w:tcPr>
            <w:tcW w:w="2615" w:type="dxa"/>
            <w:tcBorders>
              <w:top w:val="nil"/>
              <w:left w:val="nil"/>
              <w:bottom w:val="nil"/>
              <w:right w:val="nil"/>
            </w:tcBorders>
            <w:shd w:val="clear" w:color="auto" w:fill="auto"/>
            <w:noWrap/>
            <w:vAlign w:val="bottom"/>
            <w:hideMark/>
          </w:tcPr>
          <w:p w14:paraId="56B571C1"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招商景气优选</w:t>
            </w:r>
            <w:r w:rsidRPr="00DB7DE9">
              <w:rPr>
                <w:rFonts w:ascii="Arial" w:hAnsi="Arial" w:cs="Arial"/>
                <w:kern w:val="0"/>
                <w:sz w:val="20"/>
              </w:rPr>
              <w:t>A</w:t>
            </w:r>
          </w:p>
        </w:tc>
        <w:tc>
          <w:tcPr>
            <w:tcW w:w="1216" w:type="dxa"/>
            <w:tcBorders>
              <w:top w:val="nil"/>
              <w:left w:val="nil"/>
              <w:bottom w:val="nil"/>
              <w:right w:val="nil"/>
            </w:tcBorders>
            <w:shd w:val="clear" w:color="auto" w:fill="auto"/>
            <w:noWrap/>
            <w:vAlign w:val="bottom"/>
            <w:hideMark/>
          </w:tcPr>
          <w:p w14:paraId="09D9DDAC"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0.38 </w:t>
            </w:r>
          </w:p>
        </w:tc>
        <w:tc>
          <w:tcPr>
            <w:tcW w:w="977" w:type="dxa"/>
            <w:tcBorders>
              <w:top w:val="nil"/>
              <w:left w:val="nil"/>
              <w:bottom w:val="nil"/>
              <w:right w:val="nil"/>
            </w:tcBorders>
            <w:shd w:val="clear" w:color="auto" w:fill="auto"/>
            <w:noWrap/>
            <w:vAlign w:val="bottom"/>
            <w:hideMark/>
          </w:tcPr>
          <w:p w14:paraId="0619B9D3"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23FA78D2"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北信瑞丰优选成长</w:t>
            </w:r>
          </w:p>
        </w:tc>
        <w:tc>
          <w:tcPr>
            <w:tcW w:w="1216" w:type="dxa"/>
            <w:tcBorders>
              <w:top w:val="nil"/>
              <w:left w:val="nil"/>
              <w:bottom w:val="nil"/>
              <w:right w:val="nil"/>
            </w:tcBorders>
            <w:shd w:val="clear" w:color="auto" w:fill="auto"/>
            <w:noWrap/>
            <w:vAlign w:val="bottom"/>
            <w:hideMark/>
          </w:tcPr>
          <w:p w14:paraId="5AF9C75C"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30.88 </w:t>
            </w:r>
          </w:p>
        </w:tc>
      </w:tr>
      <w:tr w:rsidR="00DB7DE9" w:rsidRPr="00DB7DE9" w14:paraId="3CC724CB" w14:textId="77777777" w:rsidTr="00DB7DE9">
        <w:trPr>
          <w:trHeight w:val="221"/>
        </w:trPr>
        <w:tc>
          <w:tcPr>
            <w:tcW w:w="2615" w:type="dxa"/>
            <w:tcBorders>
              <w:top w:val="nil"/>
              <w:left w:val="nil"/>
              <w:bottom w:val="nil"/>
              <w:right w:val="nil"/>
            </w:tcBorders>
            <w:shd w:val="clear" w:color="auto" w:fill="auto"/>
            <w:noWrap/>
            <w:vAlign w:val="bottom"/>
            <w:hideMark/>
          </w:tcPr>
          <w:p w14:paraId="39E6D084"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中银内核驱动</w:t>
            </w:r>
            <w:r w:rsidRPr="00DB7DE9">
              <w:rPr>
                <w:rFonts w:ascii="Arial" w:hAnsi="Arial" w:cs="Arial"/>
                <w:kern w:val="0"/>
                <w:sz w:val="20"/>
              </w:rPr>
              <w:t>A</w:t>
            </w:r>
          </w:p>
        </w:tc>
        <w:tc>
          <w:tcPr>
            <w:tcW w:w="1216" w:type="dxa"/>
            <w:tcBorders>
              <w:top w:val="nil"/>
              <w:left w:val="nil"/>
              <w:bottom w:val="nil"/>
              <w:right w:val="nil"/>
            </w:tcBorders>
            <w:shd w:val="clear" w:color="auto" w:fill="auto"/>
            <w:noWrap/>
            <w:vAlign w:val="bottom"/>
            <w:hideMark/>
          </w:tcPr>
          <w:p w14:paraId="66DA3829"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9.75 </w:t>
            </w:r>
          </w:p>
        </w:tc>
        <w:tc>
          <w:tcPr>
            <w:tcW w:w="977" w:type="dxa"/>
            <w:tcBorders>
              <w:top w:val="nil"/>
              <w:left w:val="nil"/>
              <w:bottom w:val="nil"/>
              <w:right w:val="nil"/>
            </w:tcBorders>
            <w:shd w:val="clear" w:color="auto" w:fill="auto"/>
            <w:noWrap/>
            <w:vAlign w:val="bottom"/>
            <w:hideMark/>
          </w:tcPr>
          <w:p w14:paraId="5CA95F6C"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68BEACF7"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信达澳银蓝筹精选</w:t>
            </w:r>
          </w:p>
        </w:tc>
        <w:tc>
          <w:tcPr>
            <w:tcW w:w="1216" w:type="dxa"/>
            <w:tcBorders>
              <w:top w:val="nil"/>
              <w:left w:val="nil"/>
              <w:bottom w:val="nil"/>
              <w:right w:val="nil"/>
            </w:tcBorders>
            <w:shd w:val="clear" w:color="auto" w:fill="auto"/>
            <w:noWrap/>
            <w:vAlign w:val="bottom"/>
            <w:hideMark/>
          </w:tcPr>
          <w:p w14:paraId="75FE6DCC"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9.65 </w:t>
            </w:r>
          </w:p>
        </w:tc>
      </w:tr>
      <w:tr w:rsidR="00DB7DE9" w:rsidRPr="00DB7DE9" w14:paraId="49433F62" w14:textId="77777777" w:rsidTr="00DB7DE9">
        <w:trPr>
          <w:trHeight w:val="221"/>
        </w:trPr>
        <w:tc>
          <w:tcPr>
            <w:tcW w:w="2615" w:type="dxa"/>
            <w:tcBorders>
              <w:top w:val="nil"/>
              <w:left w:val="nil"/>
              <w:bottom w:val="nil"/>
              <w:right w:val="nil"/>
            </w:tcBorders>
            <w:shd w:val="clear" w:color="auto" w:fill="auto"/>
            <w:noWrap/>
            <w:vAlign w:val="bottom"/>
            <w:hideMark/>
          </w:tcPr>
          <w:p w14:paraId="3EDB58FC"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融通产业趋势臻选</w:t>
            </w:r>
          </w:p>
        </w:tc>
        <w:tc>
          <w:tcPr>
            <w:tcW w:w="1216" w:type="dxa"/>
            <w:tcBorders>
              <w:top w:val="nil"/>
              <w:left w:val="nil"/>
              <w:bottom w:val="nil"/>
              <w:right w:val="nil"/>
            </w:tcBorders>
            <w:shd w:val="clear" w:color="auto" w:fill="auto"/>
            <w:noWrap/>
            <w:vAlign w:val="bottom"/>
            <w:hideMark/>
          </w:tcPr>
          <w:p w14:paraId="7FF1A232"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16.84 </w:t>
            </w:r>
          </w:p>
        </w:tc>
        <w:tc>
          <w:tcPr>
            <w:tcW w:w="977" w:type="dxa"/>
            <w:tcBorders>
              <w:top w:val="nil"/>
              <w:left w:val="nil"/>
              <w:bottom w:val="nil"/>
              <w:right w:val="nil"/>
            </w:tcBorders>
            <w:shd w:val="clear" w:color="auto" w:fill="auto"/>
            <w:noWrap/>
            <w:vAlign w:val="bottom"/>
            <w:hideMark/>
          </w:tcPr>
          <w:p w14:paraId="73E85285"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32B2A9FC"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广发研究精选</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0B2FF128"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7.58 </w:t>
            </w:r>
          </w:p>
        </w:tc>
      </w:tr>
      <w:tr w:rsidR="00DB7DE9" w:rsidRPr="00DB7DE9" w14:paraId="32079037" w14:textId="77777777" w:rsidTr="00DB7DE9">
        <w:trPr>
          <w:trHeight w:val="221"/>
        </w:trPr>
        <w:tc>
          <w:tcPr>
            <w:tcW w:w="2615" w:type="dxa"/>
            <w:tcBorders>
              <w:top w:val="nil"/>
              <w:left w:val="nil"/>
              <w:bottom w:val="nil"/>
              <w:right w:val="nil"/>
            </w:tcBorders>
            <w:shd w:val="clear" w:color="auto" w:fill="auto"/>
            <w:noWrap/>
            <w:vAlign w:val="bottom"/>
            <w:hideMark/>
          </w:tcPr>
          <w:p w14:paraId="33E360C1"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创金合信研究精选</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350390E6"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17.10 </w:t>
            </w:r>
          </w:p>
        </w:tc>
        <w:tc>
          <w:tcPr>
            <w:tcW w:w="977" w:type="dxa"/>
            <w:tcBorders>
              <w:top w:val="nil"/>
              <w:left w:val="nil"/>
              <w:bottom w:val="nil"/>
              <w:right w:val="nil"/>
            </w:tcBorders>
            <w:shd w:val="clear" w:color="auto" w:fill="auto"/>
            <w:noWrap/>
            <w:vAlign w:val="bottom"/>
            <w:hideMark/>
          </w:tcPr>
          <w:p w14:paraId="64DA97A7"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30F8C22D"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广发瑞安精选</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523E1063"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17.97 </w:t>
            </w:r>
          </w:p>
        </w:tc>
      </w:tr>
      <w:tr w:rsidR="00DB7DE9" w:rsidRPr="00DB7DE9" w14:paraId="7F3204ED" w14:textId="77777777" w:rsidTr="00DB7DE9">
        <w:trPr>
          <w:trHeight w:val="221"/>
        </w:trPr>
        <w:tc>
          <w:tcPr>
            <w:tcW w:w="2615" w:type="dxa"/>
            <w:tcBorders>
              <w:top w:val="nil"/>
              <w:left w:val="nil"/>
              <w:bottom w:val="nil"/>
              <w:right w:val="nil"/>
            </w:tcBorders>
            <w:shd w:val="clear" w:color="auto" w:fill="auto"/>
            <w:noWrap/>
            <w:vAlign w:val="bottom"/>
            <w:hideMark/>
          </w:tcPr>
          <w:p w14:paraId="6734572F"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景顺长城电子信息产业</w:t>
            </w:r>
            <w:r w:rsidRPr="00DB7DE9">
              <w:rPr>
                <w:rFonts w:ascii="Arial" w:hAnsi="Arial" w:cs="Arial"/>
                <w:kern w:val="0"/>
                <w:sz w:val="20"/>
              </w:rPr>
              <w:t>A</w:t>
            </w:r>
          </w:p>
        </w:tc>
        <w:tc>
          <w:tcPr>
            <w:tcW w:w="1216" w:type="dxa"/>
            <w:tcBorders>
              <w:top w:val="nil"/>
              <w:left w:val="nil"/>
              <w:bottom w:val="nil"/>
              <w:right w:val="nil"/>
            </w:tcBorders>
            <w:shd w:val="clear" w:color="auto" w:fill="auto"/>
            <w:noWrap/>
            <w:vAlign w:val="bottom"/>
            <w:hideMark/>
          </w:tcPr>
          <w:p w14:paraId="5E0191AB"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23.43 </w:t>
            </w:r>
          </w:p>
        </w:tc>
        <w:tc>
          <w:tcPr>
            <w:tcW w:w="977" w:type="dxa"/>
            <w:tcBorders>
              <w:top w:val="nil"/>
              <w:left w:val="nil"/>
              <w:bottom w:val="nil"/>
              <w:right w:val="nil"/>
            </w:tcBorders>
            <w:shd w:val="clear" w:color="auto" w:fill="auto"/>
            <w:noWrap/>
            <w:vAlign w:val="bottom"/>
            <w:hideMark/>
          </w:tcPr>
          <w:p w14:paraId="7D3E4707"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5937C5B0"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广发品牌消费</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4BA7CB60"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5.71 </w:t>
            </w:r>
          </w:p>
        </w:tc>
      </w:tr>
      <w:tr w:rsidR="00DB7DE9" w:rsidRPr="00DB7DE9" w14:paraId="77E585DE" w14:textId="77777777" w:rsidTr="00DB7DE9">
        <w:trPr>
          <w:trHeight w:val="221"/>
        </w:trPr>
        <w:tc>
          <w:tcPr>
            <w:tcW w:w="2615" w:type="dxa"/>
            <w:tcBorders>
              <w:top w:val="nil"/>
              <w:left w:val="nil"/>
              <w:bottom w:val="nil"/>
              <w:right w:val="nil"/>
            </w:tcBorders>
            <w:shd w:val="clear" w:color="auto" w:fill="auto"/>
            <w:noWrap/>
            <w:vAlign w:val="bottom"/>
            <w:hideMark/>
          </w:tcPr>
          <w:p w14:paraId="3CF3FD3F"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宝盈发展新动能</w:t>
            </w:r>
            <w:r w:rsidRPr="00DB7DE9">
              <w:rPr>
                <w:rFonts w:ascii="Arial" w:hAnsi="Arial" w:cs="Arial"/>
                <w:kern w:val="0"/>
                <w:sz w:val="20"/>
              </w:rPr>
              <w:t>A</w:t>
            </w:r>
          </w:p>
        </w:tc>
        <w:tc>
          <w:tcPr>
            <w:tcW w:w="1216" w:type="dxa"/>
            <w:tcBorders>
              <w:top w:val="nil"/>
              <w:left w:val="nil"/>
              <w:bottom w:val="nil"/>
              <w:right w:val="nil"/>
            </w:tcBorders>
            <w:shd w:val="clear" w:color="auto" w:fill="auto"/>
            <w:noWrap/>
            <w:vAlign w:val="bottom"/>
            <w:hideMark/>
          </w:tcPr>
          <w:p w14:paraId="77472B2E"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26.29 </w:t>
            </w:r>
          </w:p>
        </w:tc>
        <w:tc>
          <w:tcPr>
            <w:tcW w:w="977" w:type="dxa"/>
            <w:tcBorders>
              <w:top w:val="nil"/>
              <w:left w:val="nil"/>
              <w:bottom w:val="nil"/>
              <w:right w:val="nil"/>
            </w:tcBorders>
            <w:shd w:val="clear" w:color="auto" w:fill="auto"/>
            <w:noWrap/>
            <w:vAlign w:val="bottom"/>
            <w:hideMark/>
          </w:tcPr>
          <w:p w14:paraId="005086FD"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2C575461"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中银大健康</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2D4CD71F"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7.90 </w:t>
            </w:r>
          </w:p>
        </w:tc>
      </w:tr>
      <w:tr w:rsidR="00DB7DE9" w:rsidRPr="00DB7DE9" w14:paraId="66138B14" w14:textId="77777777" w:rsidTr="00DB7DE9">
        <w:trPr>
          <w:trHeight w:val="221"/>
        </w:trPr>
        <w:tc>
          <w:tcPr>
            <w:tcW w:w="2615" w:type="dxa"/>
            <w:tcBorders>
              <w:top w:val="nil"/>
              <w:left w:val="nil"/>
              <w:bottom w:val="nil"/>
              <w:right w:val="nil"/>
            </w:tcBorders>
            <w:shd w:val="clear" w:color="auto" w:fill="auto"/>
            <w:noWrap/>
            <w:vAlign w:val="bottom"/>
            <w:hideMark/>
          </w:tcPr>
          <w:p w14:paraId="3B4D8C09"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朱雀企业优选</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29020ED0"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12.49 </w:t>
            </w:r>
          </w:p>
        </w:tc>
        <w:tc>
          <w:tcPr>
            <w:tcW w:w="977" w:type="dxa"/>
            <w:tcBorders>
              <w:top w:val="nil"/>
              <w:left w:val="nil"/>
              <w:bottom w:val="nil"/>
              <w:right w:val="nil"/>
            </w:tcBorders>
            <w:shd w:val="clear" w:color="auto" w:fill="auto"/>
            <w:noWrap/>
            <w:vAlign w:val="bottom"/>
            <w:hideMark/>
          </w:tcPr>
          <w:p w14:paraId="4EFEF75C"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26646E4C"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诺安低碳经济</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75E82655"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21.83 </w:t>
            </w:r>
          </w:p>
        </w:tc>
      </w:tr>
      <w:tr w:rsidR="00DB7DE9" w:rsidRPr="00DB7DE9" w14:paraId="4B0BF034" w14:textId="77777777" w:rsidTr="00DB7DE9">
        <w:trPr>
          <w:trHeight w:val="221"/>
        </w:trPr>
        <w:tc>
          <w:tcPr>
            <w:tcW w:w="2615" w:type="dxa"/>
            <w:tcBorders>
              <w:top w:val="nil"/>
              <w:left w:val="nil"/>
              <w:bottom w:val="nil"/>
              <w:right w:val="nil"/>
            </w:tcBorders>
            <w:shd w:val="clear" w:color="auto" w:fill="auto"/>
            <w:noWrap/>
            <w:vAlign w:val="bottom"/>
            <w:hideMark/>
          </w:tcPr>
          <w:p w14:paraId="16CB7661"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广发高端制造</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1689213C"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23.10 </w:t>
            </w:r>
          </w:p>
        </w:tc>
        <w:tc>
          <w:tcPr>
            <w:tcW w:w="977" w:type="dxa"/>
            <w:tcBorders>
              <w:top w:val="nil"/>
              <w:left w:val="nil"/>
              <w:bottom w:val="nil"/>
              <w:right w:val="nil"/>
            </w:tcBorders>
            <w:shd w:val="clear" w:color="auto" w:fill="auto"/>
            <w:noWrap/>
            <w:vAlign w:val="bottom"/>
            <w:hideMark/>
          </w:tcPr>
          <w:p w14:paraId="25CCC4E7"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3BAA9E0C"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诺安中证</w:t>
            </w:r>
            <w:r w:rsidRPr="00DB7DE9">
              <w:rPr>
                <w:rFonts w:ascii="Arial" w:hAnsi="Arial" w:cs="Arial"/>
                <w:kern w:val="0"/>
                <w:sz w:val="20"/>
              </w:rPr>
              <w:t>100C</w:t>
            </w:r>
          </w:p>
        </w:tc>
        <w:tc>
          <w:tcPr>
            <w:tcW w:w="1216" w:type="dxa"/>
            <w:tcBorders>
              <w:top w:val="nil"/>
              <w:left w:val="nil"/>
              <w:bottom w:val="nil"/>
              <w:right w:val="nil"/>
            </w:tcBorders>
            <w:shd w:val="clear" w:color="auto" w:fill="auto"/>
            <w:noWrap/>
            <w:vAlign w:val="bottom"/>
            <w:hideMark/>
          </w:tcPr>
          <w:p w14:paraId="1B7DFAD1"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6.54 </w:t>
            </w:r>
          </w:p>
        </w:tc>
      </w:tr>
      <w:tr w:rsidR="00DB7DE9" w:rsidRPr="00DB7DE9" w14:paraId="3F56346F" w14:textId="77777777" w:rsidTr="00DB7DE9">
        <w:trPr>
          <w:trHeight w:val="221"/>
        </w:trPr>
        <w:tc>
          <w:tcPr>
            <w:tcW w:w="2615" w:type="dxa"/>
            <w:tcBorders>
              <w:top w:val="nil"/>
              <w:left w:val="nil"/>
              <w:bottom w:val="nil"/>
              <w:right w:val="nil"/>
            </w:tcBorders>
            <w:shd w:val="clear" w:color="auto" w:fill="auto"/>
            <w:noWrap/>
            <w:vAlign w:val="bottom"/>
            <w:hideMark/>
          </w:tcPr>
          <w:p w14:paraId="240AD149"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广发资源优选</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4E0BA18E"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29.44 </w:t>
            </w:r>
          </w:p>
        </w:tc>
        <w:tc>
          <w:tcPr>
            <w:tcW w:w="977" w:type="dxa"/>
            <w:tcBorders>
              <w:top w:val="nil"/>
              <w:left w:val="nil"/>
              <w:bottom w:val="nil"/>
              <w:right w:val="nil"/>
            </w:tcBorders>
            <w:shd w:val="clear" w:color="auto" w:fill="auto"/>
            <w:noWrap/>
            <w:vAlign w:val="bottom"/>
            <w:hideMark/>
          </w:tcPr>
          <w:p w14:paraId="2F419BBB"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030011EE"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鹏华中证空天军工</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34BC8565"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24.80 </w:t>
            </w:r>
          </w:p>
        </w:tc>
      </w:tr>
      <w:tr w:rsidR="00DB7DE9" w:rsidRPr="00DB7DE9" w14:paraId="6461E30F" w14:textId="77777777" w:rsidTr="00DB7DE9">
        <w:trPr>
          <w:trHeight w:val="221"/>
        </w:trPr>
        <w:tc>
          <w:tcPr>
            <w:tcW w:w="2615" w:type="dxa"/>
            <w:tcBorders>
              <w:top w:val="nil"/>
              <w:left w:val="nil"/>
              <w:bottom w:val="nil"/>
              <w:right w:val="nil"/>
            </w:tcBorders>
            <w:shd w:val="clear" w:color="auto" w:fill="auto"/>
            <w:noWrap/>
            <w:vAlign w:val="bottom"/>
            <w:hideMark/>
          </w:tcPr>
          <w:p w14:paraId="69264E67"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广发电子信息传媒产业精选</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7D9ABB94"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23.52 </w:t>
            </w:r>
          </w:p>
        </w:tc>
        <w:tc>
          <w:tcPr>
            <w:tcW w:w="977" w:type="dxa"/>
            <w:tcBorders>
              <w:top w:val="nil"/>
              <w:left w:val="nil"/>
              <w:bottom w:val="nil"/>
              <w:right w:val="nil"/>
            </w:tcBorders>
            <w:shd w:val="clear" w:color="auto" w:fill="auto"/>
            <w:noWrap/>
            <w:vAlign w:val="bottom"/>
            <w:hideMark/>
          </w:tcPr>
          <w:p w14:paraId="341B07C4"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0C05AC5E"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鹏华中证医药卫生</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50B25489"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8.44 </w:t>
            </w:r>
          </w:p>
        </w:tc>
      </w:tr>
      <w:tr w:rsidR="00DB7DE9" w:rsidRPr="00DB7DE9" w14:paraId="453BAF3A" w14:textId="77777777" w:rsidTr="00DB7DE9">
        <w:trPr>
          <w:trHeight w:val="221"/>
        </w:trPr>
        <w:tc>
          <w:tcPr>
            <w:tcW w:w="2615" w:type="dxa"/>
            <w:tcBorders>
              <w:top w:val="nil"/>
              <w:left w:val="nil"/>
              <w:bottom w:val="nil"/>
              <w:right w:val="nil"/>
            </w:tcBorders>
            <w:shd w:val="clear" w:color="auto" w:fill="auto"/>
            <w:noWrap/>
            <w:vAlign w:val="bottom"/>
            <w:hideMark/>
          </w:tcPr>
          <w:p w14:paraId="1A50A7BE"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招商产业精选</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233FF014"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9.01 </w:t>
            </w:r>
          </w:p>
        </w:tc>
        <w:tc>
          <w:tcPr>
            <w:tcW w:w="977" w:type="dxa"/>
            <w:tcBorders>
              <w:top w:val="nil"/>
              <w:left w:val="nil"/>
              <w:bottom w:val="nil"/>
              <w:right w:val="nil"/>
            </w:tcBorders>
            <w:shd w:val="clear" w:color="auto" w:fill="auto"/>
            <w:noWrap/>
            <w:vAlign w:val="bottom"/>
            <w:hideMark/>
          </w:tcPr>
          <w:p w14:paraId="66E9F0C0"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37C5EC83"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易方达医药生物</w:t>
            </w:r>
            <w:r w:rsidRPr="00DB7DE9">
              <w:rPr>
                <w:rFonts w:ascii="Arial" w:hAnsi="Arial" w:cs="Arial"/>
                <w:kern w:val="0"/>
                <w:sz w:val="20"/>
              </w:rPr>
              <w:t>A</w:t>
            </w:r>
          </w:p>
        </w:tc>
        <w:tc>
          <w:tcPr>
            <w:tcW w:w="1216" w:type="dxa"/>
            <w:tcBorders>
              <w:top w:val="nil"/>
              <w:left w:val="nil"/>
              <w:bottom w:val="nil"/>
              <w:right w:val="nil"/>
            </w:tcBorders>
            <w:shd w:val="clear" w:color="auto" w:fill="auto"/>
            <w:noWrap/>
            <w:vAlign w:val="bottom"/>
            <w:hideMark/>
          </w:tcPr>
          <w:p w14:paraId="3F0F339C"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0.83 </w:t>
            </w:r>
          </w:p>
        </w:tc>
      </w:tr>
      <w:tr w:rsidR="00DB7DE9" w:rsidRPr="00DB7DE9" w14:paraId="192B385B" w14:textId="77777777" w:rsidTr="00DB7DE9">
        <w:trPr>
          <w:trHeight w:val="221"/>
        </w:trPr>
        <w:tc>
          <w:tcPr>
            <w:tcW w:w="2615" w:type="dxa"/>
            <w:tcBorders>
              <w:top w:val="nil"/>
              <w:left w:val="nil"/>
              <w:bottom w:val="nil"/>
              <w:right w:val="nil"/>
            </w:tcBorders>
            <w:shd w:val="clear" w:color="auto" w:fill="auto"/>
            <w:noWrap/>
            <w:vAlign w:val="bottom"/>
            <w:hideMark/>
          </w:tcPr>
          <w:p w14:paraId="1DBE2FD2"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富国消费精选</w:t>
            </w:r>
            <w:r w:rsidRPr="00DB7DE9">
              <w:rPr>
                <w:rFonts w:ascii="Arial" w:hAnsi="Arial" w:cs="Arial"/>
                <w:kern w:val="0"/>
                <w:sz w:val="20"/>
              </w:rPr>
              <w:t>30</w:t>
            </w:r>
          </w:p>
        </w:tc>
        <w:tc>
          <w:tcPr>
            <w:tcW w:w="1216" w:type="dxa"/>
            <w:tcBorders>
              <w:top w:val="nil"/>
              <w:left w:val="nil"/>
              <w:bottom w:val="nil"/>
              <w:right w:val="nil"/>
            </w:tcBorders>
            <w:shd w:val="clear" w:color="auto" w:fill="auto"/>
            <w:noWrap/>
            <w:vAlign w:val="bottom"/>
            <w:hideMark/>
          </w:tcPr>
          <w:p w14:paraId="243D4669"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6.99 </w:t>
            </w:r>
          </w:p>
        </w:tc>
        <w:tc>
          <w:tcPr>
            <w:tcW w:w="977" w:type="dxa"/>
            <w:tcBorders>
              <w:top w:val="nil"/>
              <w:left w:val="nil"/>
              <w:bottom w:val="nil"/>
              <w:right w:val="nil"/>
            </w:tcBorders>
            <w:shd w:val="clear" w:color="auto" w:fill="auto"/>
            <w:noWrap/>
            <w:vAlign w:val="bottom"/>
            <w:hideMark/>
          </w:tcPr>
          <w:p w14:paraId="5DC2E9AF"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198BB99D"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创金合信创新驱动</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205C8A1D"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15.25 </w:t>
            </w:r>
          </w:p>
        </w:tc>
      </w:tr>
      <w:tr w:rsidR="00DB7DE9" w:rsidRPr="00DB7DE9" w14:paraId="5B2B8BDA" w14:textId="77777777" w:rsidTr="00DB7DE9">
        <w:trPr>
          <w:trHeight w:val="221"/>
        </w:trPr>
        <w:tc>
          <w:tcPr>
            <w:tcW w:w="2615" w:type="dxa"/>
            <w:tcBorders>
              <w:top w:val="nil"/>
              <w:left w:val="nil"/>
              <w:bottom w:val="nil"/>
              <w:right w:val="nil"/>
            </w:tcBorders>
            <w:shd w:val="clear" w:color="auto" w:fill="auto"/>
            <w:noWrap/>
            <w:vAlign w:val="bottom"/>
            <w:hideMark/>
          </w:tcPr>
          <w:p w14:paraId="2A1DA8EB"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申万菱信中证环保产业</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4EE5F924"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33.86 </w:t>
            </w:r>
          </w:p>
        </w:tc>
        <w:tc>
          <w:tcPr>
            <w:tcW w:w="977" w:type="dxa"/>
            <w:tcBorders>
              <w:top w:val="nil"/>
              <w:left w:val="nil"/>
              <w:bottom w:val="nil"/>
              <w:right w:val="nil"/>
            </w:tcBorders>
            <w:shd w:val="clear" w:color="auto" w:fill="auto"/>
            <w:noWrap/>
            <w:vAlign w:val="bottom"/>
            <w:hideMark/>
          </w:tcPr>
          <w:p w14:paraId="6793B5A3" w14:textId="77777777" w:rsidR="00DB7DE9" w:rsidRPr="00DB7DE9" w:rsidRDefault="00DB7DE9" w:rsidP="00DB7DE9">
            <w:pPr>
              <w:widowControl/>
              <w:jc w:val="right"/>
              <w:rPr>
                <w:rFonts w:ascii="Arial" w:hAnsi="Arial" w:cs="Arial"/>
                <w:kern w:val="0"/>
                <w:sz w:val="20"/>
              </w:rPr>
            </w:pPr>
          </w:p>
        </w:tc>
        <w:tc>
          <w:tcPr>
            <w:tcW w:w="2616" w:type="dxa"/>
            <w:tcBorders>
              <w:top w:val="nil"/>
              <w:left w:val="nil"/>
              <w:bottom w:val="nil"/>
              <w:right w:val="nil"/>
            </w:tcBorders>
            <w:shd w:val="clear" w:color="auto" w:fill="auto"/>
            <w:noWrap/>
            <w:vAlign w:val="bottom"/>
            <w:hideMark/>
          </w:tcPr>
          <w:p w14:paraId="28AC2D12"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申万菱信电子行业</w:t>
            </w:r>
            <w:r w:rsidRPr="00DB7DE9">
              <w:rPr>
                <w:rFonts w:ascii="Arial" w:hAnsi="Arial" w:cs="Arial"/>
                <w:kern w:val="0"/>
                <w:sz w:val="20"/>
              </w:rPr>
              <w:t>C</w:t>
            </w:r>
          </w:p>
        </w:tc>
        <w:tc>
          <w:tcPr>
            <w:tcW w:w="1216" w:type="dxa"/>
            <w:tcBorders>
              <w:top w:val="nil"/>
              <w:left w:val="nil"/>
              <w:bottom w:val="nil"/>
              <w:right w:val="nil"/>
            </w:tcBorders>
            <w:shd w:val="clear" w:color="auto" w:fill="auto"/>
            <w:noWrap/>
            <w:vAlign w:val="bottom"/>
            <w:hideMark/>
          </w:tcPr>
          <w:p w14:paraId="7049D2DE"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18.51 </w:t>
            </w:r>
          </w:p>
        </w:tc>
      </w:tr>
    </w:tbl>
    <w:p w14:paraId="45FF6ABF" w14:textId="7CFB07F0" w:rsidR="00DB7DE9" w:rsidRPr="00DB7DE9" w:rsidRDefault="00DB7DE9" w:rsidP="00DB7DE9">
      <w:pPr>
        <w:spacing w:line="360" w:lineRule="auto"/>
        <w:jc w:val="center"/>
        <w:rPr>
          <w:rFonts w:ascii="宋体" w:hAnsi="宋体"/>
          <w:szCs w:val="21"/>
        </w:rPr>
      </w:pPr>
      <w:r w:rsidRPr="00FD4939">
        <w:rPr>
          <w:rFonts w:ascii="宋体" w:hAnsi="宋体" w:hint="eastAsia"/>
          <w:szCs w:val="21"/>
        </w:rPr>
        <w:lastRenderedPageBreak/>
        <w:t>表</w:t>
      </w:r>
      <w:r w:rsidR="008F5CC1">
        <w:rPr>
          <w:rFonts w:ascii="宋体" w:hAnsi="宋体" w:hint="eastAsia"/>
          <w:szCs w:val="21"/>
        </w:rPr>
        <w:t>3</w:t>
      </w:r>
      <w:r w:rsidR="008F5CC1">
        <w:rPr>
          <w:rFonts w:ascii="宋体" w:hAnsi="宋体"/>
          <w:szCs w:val="21"/>
        </w:rPr>
        <w:t>-</w:t>
      </w:r>
      <w:r w:rsidR="00E535D9">
        <w:rPr>
          <w:rFonts w:ascii="宋体" w:hAnsi="宋体"/>
          <w:szCs w:val="21"/>
        </w:rPr>
        <w:t>7</w:t>
      </w:r>
      <w:r>
        <w:rPr>
          <w:rFonts w:ascii="宋体" w:hAnsi="宋体" w:hint="eastAsia"/>
          <w:szCs w:val="21"/>
        </w:rPr>
        <w:t>（续）</w:t>
      </w:r>
      <w:r w:rsidRPr="00FD4939">
        <w:rPr>
          <w:rFonts w:ascii="宋体" w:hAnsi="宋体" w:hint="eastAsia"/>
          <w:szCs w:val="21"/>
        </w:rPr>
        <w:t>：基金综合得分</w:t>
      </w:r>
    </w:p>
    <w:tbl>
      <w:tblPr>
        <w:tblW w:w="8181" w:type="dxa"/>
        <w:tblLook w:val="04A0" w:firstRow="1" w:lastRow="0" w:firstColumn="1" w:lastColumn="0" w:noHBand="0" w:noVBand="1"/>
      </w:tblPr>
      <w:tblGrid>
        <w:gridCol w:w="2425"/>
        <w:gridCol w:w="1220"/>
        <w:gridCol w:w="980"/>
        <w:gridCol w:w="2425"/>
        <w:gridCol w:w="1131"/>
      </w:tblGrid>
      <w:tr w:rsidR="00DB7DE9" w:rsidRPr="00DB7DE9" w14:paraId="08B46F2E" w14:textId="77777777" w:rsidTr="00DB7DE9">
        <w:trPr>
          <w:trHeight w:val="221"/>
        </w:trPr>
        <w:tc>
          <w:tcPr>
            <w:tcW w:w="2425" w:type="dxa"/>
            <w:tcBorders>
              <w:top w:val="single" w:sz="12" w:space="0" w:color="auto"/>
              <w:left w:val="nil"/>
              <w:bottom w:val="single" w:sz="12" w:space="0" w:color="auto"/>
              <w:right w:val="nil"/>
            </w:tcBorders>
            <w:shd w:val="clear" w:color="auto" w:fill="auto"/>
            <w:noWrap/>
            <w:vAlign w:val="bottom"/>
            <w:hideMark/>
          </w:tcPr>
          <w:p w14:paraId="254DE4E4" w14:textId="77777777" w:rsidR="00DB7DE9" w:rsidRPr="00DB7DE9" w:rsidRDefault="00DB7DE9" w:rsidP="00DB7DE9">
            <w:pPr>
              <w:widowControl/>
              <w:jc w:val="center"/>
              <w:rPr>
                <w:rFonts w:ascii="宋体" w:hAnsi="宋体" w:cs="Arial"/>
                <w:b/>
                <w:bCs/>
                <w:kern w:val="0"/>
                <w:sz w:val="20"/>
              </w:rPr>
            </w:pPr>
            <w:r w:rsidRPr="00DB7DE9">
              <w:rPr>
                <w:rFonts w:ascii="宋体" w:hAnsi="宋体" w:cs="Arial" w:hint="eastAsia"/>
                <w:b/>
                <w:bCs/>
                <w:kern w:val="0"/>
                <w:sz w:val="20"/>
              </w:rPr>
              <w:t>碳中和概念基金名称</w:t>
            </w:r>
          </w:p>
        </w:tc>
        <w:tc>
          <w:tcPr>
            <w:tcW w:w="1220" w:type="dxa"/>
            <w:tcBorders>
              <w:top w:val="single" w:sz="12" w:space="0" w:color="auto"/>
              <w:left w:val="nil"/>
              <w:bottom w:val="single" w:sz="12" w:space="0" w:color="auto"/>
              <w:right w:val="nil"/>
            </w:tcBorders>
            <w:shd w:val="clear" w:color="auto" w:fill="auto"/>
            <w:noWrap/>
            <w:vAlign w:val="bottom"/>
            <w:hideMark/>
          </w:tcPr>
          <w:p w14:paraId="3852D1ED" w14:textId="77777777" w:rsidR="00DB7DE9" w:rsidRPr="00DB7DE9" w:rsidRDefault="00DB7DE9" w:rsidP="00DB7DE9">
            <w:pPr>
              <w:widowControl/>
              <w:jc w:val="center"/>
              <w:rPr>
                <w:rFonts w:ascii="宋体" w:hAnsi="宋体" w:cs="Arial"/>
                <w:b/>
                <w:bCs/>
                <w:kern w:val="0"/>
                <w:sz w:val="20"/>
              </w:rPr>
            </w:pPr>
            <w:r w:rsidRPr="00DB7DE9">
              <w:rPr>
                <w:rFonts w:ascii="宋体" w:hAnsi="宋体" w:cs="Arial" w:hint="eastAsia"/>
                <w:b/>
                <w:bCs/>
                <w:kern w:val="0"/>
                <w:sz w:val="20"/>
              </w:rPr>
              <w:t>综合得分</w:t>
            </w:r>
          </w:p>
        </w:tc>
        <w:tc>
          <w:tcPr>
            <w:tcW w:w="980" w:type="dxa"/>
            <w:tcBorders>
              <w:top w:val="single" w:sz="12" w:space="0" w:color="auto"/>
              <w:left w:val="nil"/>
              <w:bottom w:val="single" w:sz="12" w:space="0" w:color="auto"/>
              <w:right w:val="nil"/>
            </w:tcBorders>
            <w:shd w:val="clear" w:color="auto" w:fill="auto"/>
            <w:noWrap/>
            <w:vAlign w:val="bottom"/>
            <w:hideMark/>
          </w:tcPr>
          <w:p w14:paraId="5C4C43D1" w14:textId="77777777" w:rsidR="00DB7DE9" w:rsidRPr="00DB7DE9" w:rsidRDefault="00DB7DE9" w:rsidP="00DB7DE9">
            <w:pPr>
              <w:widowControl/>
              <w:jc w:val="center"/>
              <w:rPr>
                <w:rFonts w:ascii="宋体" w:hAnsi="宋体" w:cs="Arial"/>
                <w:b/>
                <w:bCs/>
                <w:kern w:val="0"/>
                <w:sz w:val="20"/>
              </w:rPr>
            </w:pPr>
            <w:r w:rsidRPr="00DB7DE9">
              <w:rPr>
                <w:rFonts w:ascii="宋体" w:hAnsi="宋体" w:cs="Arial" w:hint="eastAsia"/>
                <w:b/>
                <w:bCs/>
                <w:kern w:val="0"/>
                <w:sz w:val="20"/>
              </w:rPr>
              <w:t xml:space="preserve">　</w:t>
            </w:r>
          </w:p>
        </w:tc>
        <w:tc>
          <w:tcPr>
            <w:tcW w:w="2425" w:type="dxa"/>
            <w:tcBorders>
              <w:top w:val="single" w:sz="12" w:space="0" w:color="auto"/>
              <w:left w:val="nil"/>
              <w:bottom w:val="single" w:sz="12" w:space="0" w:color="auto"/>
              <w:right w:val="nil"/>
            </w:tcBorders>
            <w:shd w:val="clear" w:color="auto" w:fill="auto"/>
            <w:noWrap/>
            <w:vAlign w:val="bottom"/>
            <w:hideMark/>
          </w:tcPr>
          <w:p w14:paraId="74D29724" w14:textId="77777777" w:rsidR="00DB7DE9" w:rsidRPr="00DB7DE9" w:rsidRDefault="00DB7DE9" w:rsidP="00DB7DE9">
            <w:pPr>
              <w:widowControl/>
              <w:jc w:val="center"/>
              <w:rPr>
                <w:rFonts w:ascii="宋体" w:hAnsi="宋体" w:cs="Arial"/>
                <w:b/>
                <w:bCs/>
                <w:kern w:val="0"/>
                <w:sz w:val="20"/>
              </w:rPr>
            </w:pPr>
            <w:r w:rsidRPr="00DB7DE9">
              <w:rPr>
                <w:rFonts w:ascii="宋体" w:hAnsi="宋体" w:cs="Arial" w:hint="eastAsia"/>
                <w:b/>
                <w:bCs/>
                <w:kern w:val="0"/>
                <w:sz w:val="20"/>
              </w:rPr>
              <w:t>非碳中和概念基金名称</w:t>
            </w:r>
          </w:p>
        </w:tc>
        <w:tc>
          <w:tcPr>
            <w:tcW w:w="1131" w:type="dxa"/>
            <w:tcBorders>
              <w:top w:val="single" w:sz="12" w:space="0" w:color="auto"/>
              <w:left w:val="nil"/>
              <w:bottom w:val="single" w:sz="12" w:space="0" w:color="auto"/>
              <w:right w:val="nil"/>
            </w:tcBorders>
            <w:shd w:val="clear" w:color="auto" w:fill="auto"/>
            <w:noWrap/>
            <w:vAlign w:val="bottom"/>
            <w:hideMark/>
          </w:tcPr>
          <w:p w14:paraId="4DFD47B3" w14:textId="77777777" w:rsidR="00DB7DE9" w:rsidRPr="00DB7DE9" w:rsidRDefault="00DB7DE9" w:rsidP="00DB7DE9">
            <w:pPr>
              <w:widowControl/>
              <w:jc w:val="center"/>
              <w:rPr>
                <w:rFonts w:ascii="宋体" w:hAnsi="宋体" w:cs="Arial"/>
                <w:b/>
                <w:bCs/>
                <w:kern w:val="0"/>
                <w:sz w:val="20"/>
              </w:rPr>
            </w:pPr>
            <w:r w:rsidRPr="00DB7DE9">
              <w:rPr>
                <w:rFonts w:ascii="宋体" w:hAnsi="宋体" w:cs="Arial" w:hint="eastAsia"/>
                <w:b/>
                <w:bCs/>
                <w:kern w:val="0"/>
                <w:sz w:val="20"/>
              </w:rPr>
              <w:t>综合得分</w:t>
            </w:r>
          </w:p>
        </w:tc>
      </w:tr>
      <w:tr w:rsidR="00DB7DE9" w:rsidRPr="00DB7DE9" w14:paraId="0FC60B03" w14:textId="77777777" w:rsidTr="00DB7DE9">
        <w:trPr>
          <w:trHeight w:val="221"/>
        </w:trPr>
        <w:tc>
          <w:tcPr>
            <w:tcW w:w="2425" w:type="dxa"/>
            <w:tcBorders>
              <w:top w:val="nil"/>
              <w:left w:val="nil"/>
              <w:bottom w:val="nil"/>
              <w:right w:val="nil"/>
            </w:tcBorders>
            <w:shd w:val="clear" w:color="auto" w:fill="auto"/>
            <w:noWrap/>
            <w:vAlign w:val="bottom"/>
            <w:hideMark/>
          </w:tcPr>
          <w:p w14:paraId="0D19E053"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民生加银成长优选</w:t>
            </w:r>
          </w:p>
        </w:tc>
        <w:tc>
          <w:tcPr>
            <w:tcW w:w="1220" w:type="dxa"/>
            <w:tcBorders>
              <w:top w:val="nil"/>
              <w:left w:val="nil"/>
              <w:bottom w:val="nil"/>
              <w:right w:val="nil"/>
            </w:tcBorders>
            <w:shd w:val="clear" w:color="auto" w:fill="auto"/>
            <w:noWrap/>
            <w:vAlign w:val="bottom"/>
            <w:hideMark/>
          </w:tcPr>
          <w:p w14:paraId="34BF94DD"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8.70 </w:t>
            </w:r>
          </w:p>
        </w:tc>
        <w:tc>
          <w:tcPr>
            <w:tcW w:w="980" w:type="dxa"/>
            <w:tcBorders>
              <w:top w:val="nil"/>
              <w:left w:val="nil"/>
              <w:bottom w:val="nil"/>
              <w:right w:val="nil"/>
            </w:tcBorders>
            <w:shd w:val="clear" w:color="auto" w:fill="auto"/>
            <w:noWrap/>
            <w:vAlign w:val="bottom"/>
            <w:hideMark/>
          </w:tcPr>
          <w:p w14:paraId="34BEAB6B" w14:textId="77777777" w:rsidR="00DB7DE9" w:rsidRPr="00DB7DE9" w:rsidRDefault="00DB7DE9" w:rsidP="00DB7DE9">
            <w:pPr>
              <w:widowControl/>
              <w:jc w:val="right"/>
              <w:rPr>
                <w:rFonts w:ascii="Arial" w:hAnsi="Arial" w:cs="Arial"/>
                <w:kern w:val="0"/>
                <w:sz w:val="20"/>
              </w:rPr>
            </w:pPr>
          </w:p>
        </w:tc>
        <w:tc>
          <w:tcPr>
            <w:tcW w:w="2425" w:type="dxa"/>
            <w:tcBorders>
              <w:top w:val="nil"/>
              <w:left w:val="nil"/>
              <w:bottom w:val="nil"/>
              <w:right w:val="nil"/>
            </w:tcBorders>
            <w:shd w:val="clear" w:color="auto" w:fill="auto"/>
            <w:noWrap/>
            <w:vAlign w:val="bottom"/>
            <w:hideMark/>
          </w:tcPr>
          <w:p w14:paraId="11C2E624" w14:textId="3281F449" w:rsidR="00DB7DE9" w:rsidRPr="00DB7DE9" w:rsidRDefault="00DB7DE9" w:rsidP="00DB7DE9">
            <w:pPr>
              <w:widowControl/>
              <w:jc w:val="left"/>
              <w:rPr>
                <w:rFonts w:ascii="Arial" w:hAnsi="Arial" w:cs="Arial"/>
                <w:kern w:val="0"/>
                <w:sz w:val="20"/>
              </w:rPr>
            </w:pPr>
            <w:r w:rsidRPr="00DB7DE9">
              <w:rPr>
                <w:rFonts w:ascii="Arial" w:hAnsi="Arial" w:cs="Arial"/>
                <w:kern w:val="0"/>
                <w:sz w:val="20"/>
              </w:rPr>
              <w:t>易方达中证万得生物科</w:t>
            </w:r>
          </w:p>
        </w:tc>
        <w:tc>
          <w:tcPr>
            <w:tcW w:w="1131" w:type="dxa"/>
            <w:tcBorders>
              <w:top w:val="nil"/>
              <w:left w:val="nil"/>
              <w:bottom w:val="nil"/>
              <w:right w:val="nil"/>
            </w:tcBorders>
            <w:shd w:val="clear" w:color="auto" w:fill="auto"/>
            <w:noWrap/>
            <w:vAlign w:val="bottom"/>
            <w:hideMark/>
          </w:tcPr>
          <w:p w14:paraId="7D03A461"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13.26 </w:t>
            </w:r>
          </w:p>
        </w:tc>
      </w:tr>
      <w:tr w:rsidR="00DB7DE9" w:rsidRPr="00DB7DE9" w14:paraId="08425532" w14:textId="77777777" w:rsidTr="00DB7DE9">
        <w:trPr>
          <w:trHeight w:val="221"/>
        </w:trPr>
        <w:tc>
          <w:tcPr>
            <w:tcW w:w="2425" w:type="dxa"/>
            <w:tcBorders>
              <w:top w:val="nil"/>
              <w:left w:val="nil"/>
              <w:bottom w:val="nil"/>
              <w:right w:val="nil"/>
            </w:tcBorders>
            <w:shd w:val="clear" w:color="auto" w:fill="auto"/>
            <w:noWrap/>
            <w:vAlign w:val="bottom"/>
            <w:hideMark/>
          </w:tcPr>
          <w:p w14:paraId="3BA1299D"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西藏东财中证新能源汽车</w:t>
            </w:r>
            <w:r w:rsidRPr="00DB7DE9">
              <w:rPr>
                <w:rFonts w:ascii="Arial" w:hAnsi="Arial" w:cs="Arial"/>
                <w:kern w:val="0"/>
                <w:sz w:val="20"/>
              </w:rPr>
              <w:t>C</w:t>
            </w:r>
          </w:p>
        </w:tc>
        <w:tc>
          <w:tcPr>
            <w:tcW w:w="1220" w:type="dxa"/>
            <w:tcBorders>
              <w:top w:val="nil"/>
              <w:left w:val="nil"/>
              <w:bottom w:val="nil"/>
              <w:right w:val="nil"/>
            </w:tcBorders>
            <w:shd w:val="clear" w:color="auto" w:fill="auto"/>
            <w:noWrap/>
            <w:vAlign w:val="bottom"/>
            <w:hideMark/>
          </w:tcPr>
          <w:p w14:paraId="30C6365E"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35.94 </w:t>
            </w:r>
          </w:p>
        </w:tc>
        <w:tc>
          <w:tcPr>
            <w:tcW w:w="980" w:type="dxa"/>
            <w:tcBorders>
              <w:top w:val="nil"/>
              <w:left w:val="nil"/>
              <w:bottom w:val="nil"/>
              <w:right w:val="nil"/>
            </w:tcBorders>
            <w:shd w:val="clear" w:color="auto" w:fill="auto"/>
            <w:noWrap/>
            <w:vAlign w:val="bottom"/>
            <w:hideMark/>
          </w:tcPr>
          <w:p w14:paraId="3F206ED1" w14:textId="77777777" w:rsidR="00DB7DE9" w:rsidRPr="00DB7DE9" w:rsidRDefault="00DB7DE9" w:rsidP="00DB7DE9">
            <w:pPr>
              <w:widowControl/>
              <w:jc w:val="right"/>
              <w:rPr>
                <w:rFonts w:ascii="Arial" w:hAnsi="Arial" w:cs="Arial"/>
                <w:kern w:val="0"/>
                <w:sz w:val="20"/>
              </w:rPr>
            </w:pPr>
          </w:p>
        </w:tc>
        <w:tc>
          <w:tcPr>
            <w:tcW w:w="2425" w:type="dxa"/>
            <w:tcBorders>
              <w:top w:val="nil"/>
              <w:left w:val="nil"/>
              <w:bottom w:val="nil"/>
              <w:right w:val="nil"/>
            </w:tcBorders>
            <w:shd w:val="clear" w:color="auto" w:fill="auto"/>
            <w:noWrap/>
            <w:vAlign w:val="bottom"/>
            <w:hideMark/>
          </w:tcPr>
          <w:p w14:paraId="5A482A61"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创金合信医药消费</w:t>
            </w:r>
            <w:r w:rsidRPr="00DB7DE9">
              <w:rPr>
                <w:rFonts w:ascii="Arial" w:hAnsi="Arial" w:cs="Arial"/>
                <w:kern w:val="0"/>
                <w:sz w:val="20"/>
              </w:rPr>
              <w:t>A</w:t>
            </w:r>
          </w:p>
        </w:tc>
        <w:tc>
          <w:tcPr>
            <w:tcW w:w="1131" w:type="dxa"/>
            <w:tcBorders>
              <w:top w:val="nil"/>
              <w:left w:val="nil"/>
              <w:bottom w:val="nil"/>
              <w:right w:val="nil"/>
            </w:tcBorders>
            <w:shd w:val="clear" w:color="auto" w:fill="auto"/>
            <w:noWrap/>
            <w:vAlign w:val="bottom"/>
            <w:hideMark/>
          </w:tcPr>
          <w:p w14:paraId="1D8EBF01"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10.71 </w:t>
            </w:r>
          </w:p>
        </w:tc>
      </w:tr>
      <w:tr w:rsidR="00DB7DE9" w:rsidRPr="00DB7DE9" w14:paraId="035D3BDA" w14:textId="77777777" w:rsidTr="00DB7DE9">
        <w:trPr>
          <w:trHeight w:val="221"/>
        </w:trPr>
        <w:tc>
          <w:tcPr>
            <w:tcW w:w="2425" w:type="dxa"/>
            <w:tcBorders>
              <w:top w:val="nil"/>
              <w:left w:val="nil"/>
              <w:bottom w:val="nil"/>
              <w:right w:val="nil"/>
            </w:tcBorders>
            <w:shd w:val="clear" w:color="auto" w:fill="auto"/>
            <w:noWrap/>
            <w:vAlign w:val="bottom"/>
            <w:hideMark/>
          </w:tcPr>
          <w:p w14:paraId="73CB0BBE"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中银战略新兴产业</w:t>
            </w:r>
            <w:r w:rsidRPr="00DB7DE9">
              <w:rPr>
                <w:rFonts w:ascii="Arial" w:hAnsi="Arial" w:cs="Arial"/>
                <w:kern w:val="0"/>
                <w:sz w:val="20"/>
              </w:rPr>
              <w:t>C</w:t>
            </w:r>
          </w:p>
        </w:tc>
        <w:tc>
          <w:tcPr>
            <w:tcW w:w="1220" w:type="dxa"/>
            <w:tcBorders>
              <w:top w:val="nil"/>
              <w:left w:val="nil"/>
              <w:bottom w:val="nil"/>
              <w:right w:val="nil"/>
            </w:tcBorders>
            <w:shd w:val="clear" w:color="auto" w:fill="auto"/>
            <w:noWrap/>
            <w:vAlign w:val="bottom"/>
            <w:hideMark/>
          </w:tcPr>
          <w:p w14:paraId="4F8E7B26"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23.65 </w:t>
            </w:r>
          </w:p>
        </w:tc>
        <w:tc>
          <w:tcPr>
            <w:tcW w:w="980" w:type="dxa"/>
            <w:tcBorders>
              <w:top w:val="nil"/>
              <w:left w:val="nil"/>
              <w:bottom w:val="nil"/>
              <w:right w:val="nil"/>
            </w:tcBorders>
            <w:shd w:val="clear" w:color="auto" w:fill="auto"/>
            <w:noWrap/>
            <w:vAlign w:val="bottom"/>
            <w:hideMark/>
          </w:tcPr>
          <w:p w14:paraId="281735DA" w14:textId="77777777" w:rsidR="00DB7DE9" w:rsidRPr="00DB7DE9" w:rsidRDefault="00DB7DE9" w:rsidP="00DB7DE9">
            <w:pPr>
              <w:widowControl/>
              <w:jc w:val="right"/>
              <w:rPr>
                <w:rFonts w:ascii="Arial" w:hAnsi="Arial" w:cs="Arial"/>
                <w:kern w:val="0"/>
                <w:sz w:val="20"/>
              </w:rPr>
            </w:pPr>
          </w:p>
        </w:tc>
        <w:tc>
          <w:tcPr>
            <w:tcW w:w="2425" w:type="dxa"/>
            <w:tcBorders>
              <w:top w:val="nil"/>
              <w:left w:val="nil"/>
              <w:bottom w:val="nil"/>
              <w:right w:val="nil"/>
            </w:tcBorders>
            <w:shd w:val="clear" w:color="auto" w:fill="auto"/>
            <w:noWrap/>
            <w:vAlign w:val="bottom"/>
            <w:hideMark/>
          </w:tcPr>
          <w:p w14:paraId="1D79A5E4"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工银瑞信中证传媒</w:t>
            </w:r>
            <w:r w:rsidRPr="00DB7DE9">
              <w:rPr>
                <w:rFonts w:ascii="Arial" w:hAnsi="Arial" w:cs="Arial"/>
                <w:kern w:val="0"/>
                <w:sz w:val="20"/>
              </w:rPr>
              <w:t>C</w:t>
            </w:r>
          </w:p>
        </w:tc>
        <w:tc>
          <w:tcPr>
            <w:tcW w:w="1131" w:type="dxa"/>
            <w:tcBorders>
              <w:top w:val="nil"/>
              <w:left w:val="nil"/>
              <w:bottom w:val="nil"/>
              <w:right w:val="nil"/>
            </w:tcBorders>
            <w:shd w:val="clear" w:color="auto" w:fill="auto"/>
            <w:noWrap/>
            <w:vAlign w:val="bottom"/>
            <w:hideMark/>
          </w:tcPr>
          <w:p w14:paraId="5EDDF06C"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11.47 </w:t>
            </w:r>
          </w:p>
        </w:tc>
      </w:tr>
      <w:tr w:rsidR="00DB7DE9" w:rsidRPr="00DB7DE9" w14:paraId="532BD0D1" w14:textId="77777777" w:rsidTr="00DB7DE9">
        <w:trPr>
          <w:trHeight w:val="221"/>
        </w:trPr>
        <w:tc>
          <w:tcPr>
            <w:tcW w:w="2425" w:type="dxa"/>
            <w:tcBorders>
              <w:top w:val="nil"/>
              <w:left w:val="nil"/>
              <w:bottom w:val="nil"/>
              <w:right w:val="nil"/>
            </w:tcBorders>
            <w:shd w:val="clear" w:color="auto" w:fill="auto"/>
            <w:noWrap/>
            <w:vAlign w:val="bottom"/>
            <w:hideMark/>
          </w:tcPr>
          <w:p w14:paraId="2ACDBACA"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富国互联科技</w:t>
            </w:r>
            <w:r w:rsidRPr="00DB7DE9">
              <w:rPr>
                <w:rFonts w:ascii="Arial" w:hAnsi="Arial" w:cs="Arial"/>
                <w:kern w:val="0"/>
                <w:sz w:val="20"/>
              </w:rPr>
              <w:t>C</w:t>
            </w:r>
          </w:p>
        </w:tc>
        <w:tc>
          <w:tcPr>
            <w:tcW w:w="1220" w:type="dxa"/>
            <w:tcBorders>
              <w:top w:val="nil"/>
              <w:left w:val="nil"/>
              <w:bottom w:val="nil"/>
              <w:right w:val="nil"/>
            </w:tcBorders>
            <w:shd w:val="clear" w:color="auto" w:fill="auto"/>
            <w:noWrap/>
            <w:vAlign w:val="bottom"/>
            <w:hideMark/>
          </w:tcPr>
          <w:p w14:paraId="3183B1BF"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18.04 </w:t>
            </w:r>
          </w:p>
        </w:tc>
        <w:tc>
          <w:tcPr>
            <w:tcW w:w="980" w:type="dxa"/>
            <w:tcBorders>
              <w:top w:val="nil"/>
              <w:left w:val="nil"/>
              <w:bottom w:val="nil"/>
              <w:right w:val="nil"/>
            </w:tcBorders>
            <w:shd w:val="clear" w:color="auto" w:fill="auto"/>
            <w:noWrap/>
            <w:vAlign w:val="bottom"/>
            <w:hideMark/>
          </w:tcPr>
          <w:p w14:paraId="2446C87A" w14:textId="77777777" w:rsidR="00DB7DE9" w:rsidRPr="00DB7DE9" w:rsidRDefault="00DB7DE9" w:rsidP="00DB7DE9">
            <w:pPr>
              <w:widowControl/>
              <w:jc w:val="right"/>
              <w:rPr>
                <w:rFonts w:ascii="Arial" w:hAnsi="Arial" w:cs="Arial"/>
                <w:kern w:val="0"/>
                <w:sz w:val="20"/>
              </w:rPr>
            </w:pPr>
          </w:p>
        </w:tc>
        <w:tc>
          <w:tcPr>
            <w:tcW w:w="2425" w:type="dxa"/>
            <w:tcBorders>
              <w:top w:val="nil"/>
              <w:left w:val="nil"/>
              <w:bottom w:val="nil"/>
              <w:right w:val="nil"/>
            </w:tcBorders>
            <w:shd w:val="clear" w:color="auto" w:fill="auto"/>
            <w:noWrap/>
            <w:vAlign w:val="bottom"/>
            <w:hideMark/>
          </w:tcPr>
          <w:p w14:paraId="4A85ACDD"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工银瑞信前沿医疗</w:t>
            </w:r>
            <w:r w:rsidRPr="00DB7DE9">
              <w:rPr>
                <w:rFonts w:ascii="Arial" w:hAnsi="Arial" w:cs="Arial"/>
                <w:kern w:val="0"/>
                <w:sz w:val="20"/>
              </w:rPr>
              <w:t>C</w:t>
            </w:r>
          </w:p>
        </w:tc>
        <w:tc>
          <w:tcPr>
            <w:tcW w:w="1131" w:type="dxa"/>
            <w:tcBorders>
              <w:top w:val="nil"/>
              <w:left w:val="nil"/>
              <w:bottom w:val="nil"/>
              <w:right w:val="nil"/>
            </w:tcBorders>
            <w:shd w:val="clear" w:color="auto" w:fill="auto"/>
            <w:noWrap/>
            <w:vAlign w:val="bottom"/>
            <w:hideMark/>
          </w:tcPr>
          <w:p w14:paraId="05456B23"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22.66 </w:t>
            </w:r>
          </w:p>
        </w:tc>
      </w:tr>
      <w:tr w:rsidR="00DB7DE9" w:rsidRPr="00DB7DE9" w14:paraId="381F8542" w14:textId="77777777" w:rsidTr="00DB7DE9">
        <w:trPr>
          <w:trHeight w:val="221"/>
        </w:trPr>
        <w:tc>
          <w:tcPr>
            <w:tcW w:w="2425" w:type="dxa"/>
            <w:tcBorders>
              <w:top w:val="nil"/>
              <w:left w:val="nil"/>
              <w:bottom w:val="nil"/>
              <w:right w:val="nil"/>
            </w:tcBorders>
            <w:shd w:val="clear" w:color="auto" w:fill="auto"/>
            <w:noWrap/>
            <w:vAlign w:val="bottom"/>
            <w:hideMark/>
          </w:tcPr>
          <w:p w14:paraId="52F6B71E"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创金合信新材料新能源</w:t>
            </w:r>
            <w:r w:rsidRPr="00DB7DE9">
              <w:rPr>
                <w:rFonts w:ascii="Arial" w:hAnsi="Arial" w:cs="Arial"/>
                <w:kern w:val="0"/>
                <w:sz w:val="20"/>
              </w:rPr>
              <w:t>C</w:t>
            </w:r>
          </w:p>
        </w:tc>
        <w:tc>
          <w:tcPr>
            <w:tcW w:w="1220" w:type="dxa"/>
            <w:tcBorders>
              <w:top w:val="nil"/>
              <w:left w:val="nil"/>
              <w:bottom w:val="nil"/>
              <w:right w:val="nil"/>
            </w:tcBorders>
            <w:shd w:val="clear" w:color="auto" w:fill="auto"/>
            <w:noWrap/>
            <w:vAlign w:val="bottom"/>
            <w:hideMark/>
          </w:tcPr>
          <w:p w14:paraId="5DDBE7E4"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30.51 </w:t>
            </w:r>
          </w:p>
        </w:tc>
        <w:tc>
          <w:tcPr>
            <w:tcW w:w="980" w:type="dxa"/>
            <w:tcBorders>
              <w:top w:val="nil"/>
              <w:left w:val="nil"/>
              <w:bottom w:val="nil"/>
              <w:right w:val="nil"/>
            </w:tcBorders>
            <w:shd w:val="clear" w:color="auto" w:fill="auto"/>
            <w:noWrap/>
            <w:vAlign w:val="bottom"/>
            <w:hideMark/>
          </w:tcPr>
          <w:p w14:paraId="585C088B" w14:textId="77777777" w:rsidR="00DB7DE9" w:rsidRPr="00DB7DE9" w:rsidRDefault="00DB7DE9" w:rsidP="00DB7DE9">
            <w:pPr>
              <w:widowControl/>
              <w:jc w:val="right"/>
              <w:rPr>
                <w:rFonts w:ascii="Arial" w:hAnsi="Arial" w:cs="Arial"/>
                <w:kern w:val="0"/>
                <w:sz w:val="20"/>
              </w:rPr>
            </w:pPr>
          </w:p>
        </w:tc>
        <w:tc>
          <w:tcPr>
            <w:tcW w:w="2425" w:type="dxa"/>
            <w:tcBorders>
              <w:top w:val="nil"/>
              <w:left w:val="nil"/>
              <w:bottom w:val="nil"/>
              <w:right w:val="nil"/>
            </w:tcBorders>
            <w:shd w:val="clear" w:color="auto" w:fill="auto"/>
            <w:noWrap/>
            <w:vAlign w:val="bottom"/>
            <w:hideMark/>
          </w:tcPr>
          <w:p w14:paraId="5DC099DB" w14:textId="0D3B5338" w:rsidR="00DB7DE9" w:rsidRPr="00DB7DE9" w:rsidRDefault="00DB7DE9" w:rsidP="00DB7DE9">
            <w:pPr>
              <w:widowControl/>
              <w:jc w:val="left"/>
              <w:rPr>
                <w:rFonts w:ascii="Arial" w:hAnsi="Arial" w:cs="Arial"/>
                <w:kern w:val="0"/>
                <w:sz w:val="20"/>
              </w:rPr>
            </w:pPr>
            <w:r w:rsidRPr="00DB7DE9">
              <w:rPr>
                <w:rFonts w:ascii="Arial" w:hAnsi="Arial" w:cs="Arial"/>
                <w:kern w:val="0"/>
                <w:sz w:val="20"/>
              </w:rPr>
              <w:t>创金合信</w:t>
            </w:r>
            <w:r w:rsidRPr="00DB7DE9">
              <w:rPr>
                <w:rFonts w:ascii="Arial" w:hAnsi="Arial" w:cs="Arial"/>
                <w:kern w:val="0"/>
                <w:sz w:val="20"/>
              </w:rPr>
              <w:t>ESG</w:t>
            </w:r>
            <w:r w:rsidRPr="00DB7DE9">
              <w:rPr>
                <w:rFonts w:ascii="Arial" w:hAnsi="Arial" w:cs="Arial"/>
                <w:kern w:val="0"/>
                <w:sz w:val="20"/>
              </w:rPr>
              <w:t>责任投资</w:t>
            </w:r>
          </w:p>
        </w:tc>
        <w:tc>
          <w:tcPr>
            <w:tcW w:w="1131" w:type="dxa"/>
            <w:tcBorders>
              <w:top w:val="nil"/>
              <w:left w:val="nil"/>
              <w:bottom w:val="nil"/>
              <w:right w:val="nil"/>
            </w:tcBorders>
            <w:shd w:val="clear" w:color="auto" w:fill="auto"/>
            <w:noWrap/>
            <w:vAlign w:val="bottom"/>
            <w:hideMark/>
          </w:tcPr>
          <w:p w14:paraId="40DB4CD6"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12.58 </w:t>
            </w:r>
          </w:p>
        </w:tc>
      </w:tr>
      <w:tr w:rsidR="00DB7DE9" w:rsidRPr="00DB7DE9" w14:paraId="09F61103" w14:textId="77777777" w:rsidTr="00DB7DE9">
        <w:trPr>
          <w:trHeight w:val="221"/>
        </w:trPr>
        <w:tc>
          <w:tcPr>
            <w:tcW w:w="2425" w:type="dxa"/>
            <w:tcBorders>
              <w:top w:val="nil"/>
              <w:left w:val="nil"/>
              <w:bottom w:val="nil"/>
              <w:right w:val="nil"/>
            </w:tcBorders>
            <w:shd w:val="clear" w:color="auto" w:fill="auto"/>
            <w:noWrap/>
            <w:vAlign w:val="bottom"/>
            <w:hideMark/>
          </w:tcPr>
          <w:p w14:paraId="2C4814D0"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创金合信气候变化</w:t>
            </w:r>
            <w:r w:rsidRPr="00DB7DE9">
              <w:rPr>
                <w:rFonts w:ascii="Arial" w:hAnsi="Arial" w:cs="Arial"/>
                <w:kern w:val="0"/>
                <w:sz w:val="20"/>
              </w:rPr>
              <w:t>A</w:t>
            </w:r>
          </w:p>
        </w:tc>
        <w:tc>
          <w:tcPr>
            <w:tcW w:w="1220" w:type="dxa"/>
            <w:tcBorders>
              <w:top w:val="nil"/>
              <w:left w:val="nil"/>
              <w:bottom w:val="nil"/>
              <w:right w:val="nil"/>
            </w:tcBorders>
            <w:shd w:val="clear" w:color="auto" w:fill="auto"/>
            <w:noWrap/>
            <w:vAlign w:val="bottom"/>
            <w:hideMark/>
          </w:tcPr>
          <w:p w14:paraId="64532F40"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39.12 </w:t>
            </w:r>
          </w:p>
        </w:tc>
        <w:tc>
          <w:tcPr>
            <w:tcW w:w="980" w:type="dxa"/>
            <w:tcBorders>
              <w:top w:val="nil"/>
              <w:left w:val="nil"/>
              <w:bottom w:val="nil"/>
              <w:right w:val="nil"/>
            </w:tcBorders>
            <w:shd w:val="clear" w:color="auto" w:fill="auto"/>
            <w:noWrap/>
            <w:vAlign w:val="bottom"/>
            <w:hideMark/>
          </w:tcPr>
          <w:p w14:paraId="66489339" w14:textId="77777777" w:rsidR="00DB7DE9" w:rsidRPr="00DB7DE9" w:rsidRDefault="00DB7DE9" w:rsidP="00DB7DE9">
            <w:pPr>
              <w:widowControl/>
              <w:jc w:val="right"/>
              <w:rPr>
                <w:rFonts w:ascii="Arial" w:hAnsi="Arial" w:cs="Arial"/>
                <w:kern w:val="0"/>
                <w:sz w:val="20"/>
              </w:rPr>
            </w:pPr>
          </w:p>
        </w:tc>
        <w:tc>
          <w:tcPr>
            <w:tcW w:w="2425" w:type="dxa"/>
            <w:tcBorders>
              <w:top w:val="nil"/>
              <w:left w:val="nil"/>
              <w:bottom w:val="nil"/>
              <w:right w:val="nil"/>
            </w:tcBorders>
            <w:shd w:val="clear" w:color="auto" w:fill="auto"/>
            <w:noWrap/>
            <w:vAlign w:val="bottom"/>
            <w:hideMark/>
          </w:tcPr>
          <w:p w14:paraId="0944DDE8" w14:textId="6D631576" w:rsidR="00DB7DE9" w:rsidRPr="00DB7DE9" w:rsidRDefault="00DB7DE9" w:rsidP="00DB7DE9">
            <w:pPr>
              <w:widowControl/>
              <w:jc w:val="left"/>
              <w:rPr>
                <w:rFonts w:ascii="Arial" w:hAnsi="Arial" w:cs="Arial"/>
                <w:kern w:val="0"/>
                <w:sz w:val="20"/>
              </w:rPr>
            </w:pPr>
            <w:r w:rsidRPr="00DB7DE9">
              <w:rPr>
                <w:rFonts w:ascii="Arial" w:hAnsi="Arial" w:cs="Arial"/>
                <w:kern w:val="0"/>
                <w:sz w:val="20"/>
              </w:rPr>
              <w:t>创金合信</w:t>
            </w:r>
            <w:r w:rsidRPr="00DB7DE9">
              <w:rPr>
                <w:rFonts w:ascii="Arial" w:hAnsi="Arial" w:cs="Arial"/>
                <w:kern w:val="0"/>
                <w:sz w:val="20"/>
              </w:rPr>
              <w:t>ESG</w:t>
            </w:r>
            <w:r w:rsidRPr="00DB7DE9">
              <w:rPr>
                <w:rFonts w:ascii="Arial" w:hAnsi="Arial" w:cs="Arial"/>
                <w:kern w:val="0"/>
                <w:sz w:val="20"/>
              </w:rPr>
              <w:t>责任投资</w:t>
            </w:r>
          </w:p>
        </w:tc>
        <w:tc>
          <w:tcPr>
            <w:tcW w:w="1131" w:type="dxa"/>
            <w:tcBorders>
              <w:top w:val="nil"/>
              <w:left w:val="nil"/>
              <w:bottom w:val="nil"/>
              <w:right w:val="nil"/>
            </w:tcBorders>
            <w:shd w:val="clear" w:color="auto" w:fill="auto"/>
            <w:noWrap/>
            <w:vAlign w:val="bottom"/>
            <w:hideMark/>
          </w:tcPr>
          <w:p w14:paraId="3201CBD9"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14.99 </w:t>
            </w:r>
          </w:p>
        </w:tc>
      </w:tr>
      <w:tr w:rsidR="00DB7DE9" w:rsidRPr="00DB7DE9" w14:paraId="56A0D3F0" w14:textId="77777777" w:rsidTr="00DB7DE9">
        <w:trPr>
          <w:trHeight w:val="221"/>
        </w:trPr>
        <w:tc>
          <w:tcPr>
            <w:tcW w:w="2425" w:type="dxa"/>
            <w:tcBorders>
              <w:top w:val="nil"/>
              <w:left w:val="nil"/>
              <w:bottom w:val="single" w:sz="12" w:space="0" w:color="auto"/>
              <w:right w:val="nil"/>
            </w:tcBorders>
            <w:shd w:val="clear" w:color="auto" w:fill="auto"/>
            <w:noWrap/>
            <w:vAlign w:val="bottom"/>
            <w:hideMark/>
          </w:tcPr>
          <w:p w14:paraId="3FF75703"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南方新兴消费</w:t>
            </w:r>
            <w:r w:rsidRPr="00DB7DE9">
              <w:rPr>
                <w:rFonts w:ascii="Arial" w:hAnsi="Arial" w:cs="Arial"/>
                <w:kern w:val="0"/>
                <w:sz w:val="20"/>
              </w:rPr>
              <w:t>C</w:t>
            </w:r>
          </w:p>
        </w:tc>
        <w:tc>
          <w:tcPr>
            <w:tcW w:w="1220" w:type="dxa"/>
            <w:tcBorders>
              <w:top w:val="nil"/>
              <w:left w:val="nil"/>
              <w:bottom w:val="single" w:sz="12" w:space="0" w:color="auto"/>
              <w:right w:val="nil"/>
            </w:tcBorders>
            <w:shd w:val="clear" w:color="auto" w:fill="auto"/>
            <w:noWrap/>
            <w:vAlign w:val="bottom"/>
            <w:hideMark/>
          </w:tcPr>
          <w:p w14:paraId="0ED1ED67"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5.35 </w:t>
            </w:r>
          </w:p>
        </w:tc>
        <w:tc>
          <w:tcPr>
            <w:tcW w:w="980" w:type="dxa"/>
            <w:tcBorders>
              <w:top w:val="nil"/>
              <w:left w:val="nil"/>
              <w:bottom w:val="single" w:sz="12" w:space="0" w:color="auto"/>
              <w:right w:val="nil"/>
            </w:tcBorders>
            <w:shd w:val="clear" w:color="auto" w:fill="auto"/>
            <w:noWrap/>
            <w:vAlign w:val="bottom"/>
            <w:hideMark/>
          </w:tcPr>
          <w:p w14:paraId="268D3DB2"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w:t>
            </w:r>
          </w:p>
        </w:tc>
        <w:tc>
          <w:tcPr>
            <w:tcW w:w="2425" w:type="dxa"/>
            <w:tcBorders>
              <w:top w:val="nil"/>
              <w:left w:val="nil"/>
              <w:bottom w:val="single" w:sz="12" w:space="0" w:color="auto"/>
              <w:right w:val="nil"/>
            </w:tcBorders>
            <w:shd w:val="clear" w:color="auto" w:fill="auto"/>
            <w:noWrap/>
            <w:vAlign w:val="bottom"/>
            <w:hideMark/>
          </w:tcPr>
          <w:p w14:paraId="13848EC3"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 xml:space="preserve">　</w:t>
            </w:r>
          </w:p>
        </w:tc>
        <w:tc>
          <w:tcPr>
            <w:tcW w:w="1131" w:type="dxa"/>
            <w:tcBorders>
              <w:top w:val="nil"/>
              <w:left w:val="nil"/>
              <w:bottom w:val="single" w:sz="12" w:space="0" w:color="auto"/>
              <w:right w:val="nil"/>
            </w:tcBorders>
            <w:shd w:val="clear" w:color="auto" w:fill="auto"/>
            <w:noWrap/>
            <w:vAlign w:val="bottom"/>
            <w:hideMark/>
          </w:tcPr>
          <w:p w14:paraId="5F65920D"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 xml:space="preserve">　</w:t>
            </w:r>
          </w:p>
        </w:tc>
      </w:tr>
      <w:tr w:rsidR="00DB7DE9" w:rsidRPr="00DB7DE9" w14:paraId="3B6F574F" w14:textId="77777777" w:rsidTr="004F72DF">
        <w:trPr>
          <w:trHeight w:val="407"/>
        </w:trPr>
        <w:tc>
          <w:tcPr>
            <w:tcW w:w="2425" w:type="dxa"/>
            <w:tcBorders>
              <w:top w:val="nil"/>
              <w:left w:val="nil"/>
              <w:bottom w:val="single" w:sz="12" w:space="0" w:color="auto"/>
              <w:right w:val="nil"/>
            </w:tcBorders>
            <w:shd w:val="clear" w:color="auto" w:fill="auto"/>
            <w:noWrap/>
            <w:vAlign w:val="bottom"/>
            <w:hideMark/>
          </w:tcPr>
          <w:p w14:paraId="72EF8882" w14:textId="77777777" w:rsidR="00DB7DE9" w:rsidRPr="00DB7DE9" w:rsidRDefault="00DB7DE9" w:rsidP="00DB7DE9">
            <w:pPr>
              <w:widowControl/>
              <w:jc w:val="left"/>
              <w:rPr>
                <w:rFonts w:ascii="Arial" w:hAnsi="Arial" w:cs="Arial"/>
                <w:b/>
                <w:bCs/>
                <w:kern w:val="0"/>
                <w:sz w:val="20"/>
              </w:rPr>
            </w:pPr>
            <w:r w:rsidRPr="00DB7DE9">
              <w:rPr>
                <w:rFonts w:ascii="Arial" w:hAnsi="Arial" w:cs="Arial"/>
                <w:b/>
                <w:bCs/>
                <w:kern w:val="0"/>
                <w:sz w:val="20"/>
              </w:rPr>
              <w:t>平均</w:t>
            </w:r>
          </w:p>
        </w:tc>
        <w:tc>
          <w:tcPr>
            <w:tcW w:w="1220" w:type="dxa"/>
            <w:tcBorders>
              <w:top w:val="nil"/>
              <w:left w:val="nil"/>
              <w:bottom w:val="single" w:sz="12" w:space="0" w:color="auto"/>
              <w:right w:val="nil"/>
            </w:tcBorders>
            <w:shd w:val="clear" w:color="auto" w:fill="auto"/>
            <w:noWrap/>
            <w:vAlign w:val="bottom"/>
            <w:hideMark/>
          </w:tcPr>
          <w:p w14:paraId="6A54D9C3"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18.89 </w:t>
            </w:r>
          </w:p>
        </w:tc>
        <w:tc>
          <w:tcPr>
            <w:tcW w:w="980" w:type="dxa"/>
            <w:tcBorders>
              <w:top w:val="nil"/>
              <w:left w:val="nil"/>
              <w:bottom w:val="single" w:sz="12" w:space="0" w:color="auto"/>
              <w:right w:val="nil"/>
            </w:tcBorders>
            <w:shd w:val="clear" w:color="auto" w:fill="auto"/>
            <w:noWrap/>
            <w:vAlign w:val="bottom"/>
            <w:hideMark/>
          </w:tcPr>
          <w:p w14:paraId="5432F577" w14:textId="77777777" w:rsidR="00DB7DE9" w:rsidRPr="00DB7DE9" w:rsidRDefault="00DB7DE9" w:rsidP="00DB7DE9">
            <w:pPr>
              <w:widowControl/>
              <w:jc w:val="left"/>
              <w:rPr>
                <w:rFonts w:ascii="Arial" w:hAnsi="Arial" w:cs="Arial"/>
                <w:kern w:val="0"/>
                <w:sz w:val="20"/>
              </w:rPr>
            </w:pPr>
            <w:r w:rsidRPr="00DB7DE9">
              <w:rPr>
                <w:rFonts w:ascii="Arial" w:hAnsi="Arial" w:cs="Arial"/>
                <w:kern w:val="0"/>
                <w:sz w:val="20"/>
              </w:rPr>
              <w:t xml:space="preserve">　</w:t>
            </w:r>
          </w:p>
        </w:tc>
        <w:tc>
          <w:tcPr>
            <w:tcW w:w="2425" w:type="dxa"/>
            <w:tcBorders>
              <w:top w:val="nil"/>
              <w:left w:val="nil"/>
              <w:bottom w:val="single" w:sz="12" w:space="0" w:color="auto"/>
              <w:right w:val="nil"/>
            </w:tcBorders>
            <w:shd w:val="clear" w:color="auto" w:fill="auto"/>
            <w:noWrap/>
            <w:vAlign w:val="bottom"/>
            <w:hideMark/>
          </w:tcPr>
          <w:p w14:paraId="41FFB816" w14:textId="77777777" w:rsidR="00DB7DE9" w:rsidRPr="00DB7DE9" w:rsidRDefault="00DB7DE9" w:rsidP="00DB7DE9">
            <w:pPr>
              <w:widowControl/>
              <w:jc w:val="left"/>
              <w:rPr>
                <w:rFonts w:ascii="Arial" w:hAnsi="Arial" w:cs="Arial"/>
                <w:b/>
                <w:bCs/>
                <w:kern w:val="0"/>
                <w:sz w:val="20"/>
              </w:rPr>
            </w:pPr>
            <w:r w:rsidRPr="00DB7DE9">
              <w:rPr>
                <w:rFonts w:ascii="Arial" w:hAnsi="Arial" w:cs="Arial"/>
                <w:b/>
                <w:bCs/>
                <w:kern w:val="0"/>
                <w:sz w:val="20"/>
              </w:rPr>
              <w:t>平均</w:t>
            </w:r>
          </w:p>
        </w:tc>
        <w:tc>
          <w:tcPr>
            <w:tcW w:w="1131" w:type="dxa"/>
            <w:tcBorders>
              <w:top w:val="nil"/>
              <w:left w:val="nil"/>
              <w:bottom w:val="single" w:sz="12" w:space="0" w:color="auto"/>
              <w:right w:val="nil"/>
            </w:tcBorders>
            <w:shd w:val="clear" w:color="auto" w:fill="auto"/>
            <w:noWrap/>
            <w:vAlign w:val="bottom"/>
            <w:hideMark/>
          </w:tcPr>
          <w:p w14:paraId="0A460660" w14:textId="77777777" w:rsidR="00DB7DE9" w:rsidRPr="00DB7DE9" w:rsidRDefault="00DB7DE9" w:rsidP="00DB7DE9">
            <w:pPr>
              <w:widowControl/>
              <w:jc w:val="right"/>
              <w:rPr>
                <w:rFonts w:ascii="Arial" w:hAnsi="Arial" w:cs="Arial"/>
                <w:kern w:val="0"/>
                <w:sz w:val="20"/>
              </w:rPr>
            </w:pPr>
            <w:r w:rsidRPr="00DB7DE9">
              <w:rPr>
                <w:rFonts w:ascii="Arial" w:hAnsi="Arial" w:cs="Arial"/>
                <w:kern w:val="0"/>
                <w:sz w:val="20"/>
              </w:rPr>
              <w:t xml:space="preserve">      12.87 </w:t>
            </w:r>
          </w:p>
        </w:tc>
      </w:tr>
    </w:tbl>
    <w:p w14:paraId="6918A3C4" w14:textId="51A3699F" w:rsidR="004974B1" w:rsidRDefault="004974B1" w:rsidP="004F72DF">
      <w:pPr>
        <w:spacing w:line="360" w:lineRule="auto"/>
        <w:ind w:firstLineChars="200" w:firstLine="480"/>
        <w:rPr>
          <w:rFonts w:ascii="宋体" w:hAnsi="宋体"/>
          <w:sz w:val="24"/>
          <w:szCs w:val="24"/>
        </w:rPr>
      </w:pPr>
      <w:r>
        <w:rPr>
          <w:rFonts w:ascii="宋体" w:hAnsi="宋体" w:hint="eastAsia"/>
          <w:sz w:val="24"/>
          <w:szCs w:val="24"/>
        </w:rPr>
        <w:t>其中碳中和基金共计</w:t>
      </w:r>
      <w:r>
        <w:rPr>
          <w:rFonts w:ascii="宋体" w:hAnsi="宋体"/>
          <w:sz w:val="24"/>
          <w:szCs w:val="24"/>
        </w:rPr>
        <w:t>62</w:t>
      </w:r>
      <w:r>
        <w:rPr>
          <w:rFonts w:ascii="宋体" w:hAnsi="宋体" w:hint="eastAsia"/>
          <w:sz w:val="24"/>
          <w:szCs w:val="24"/>
        </w:rPr>
        <w:t>支，非碳中和基金共计</w:t>
      </w:r>
      <w:r>
        <w:rPr>
          <w:rFonts w:ascii="宋体" w:hAnsi="宋体"/>
          <w:sz w:val="24"/>
          <w:szCs w:val="24"/>
        </w:rPr>
        <w:t>61</w:t>
      </w:r>
      <w:r>
        <w:rPr>
          <w:rFonts w:ascii="宋体" w:hAnsi="宋体" w:hint="eastAsia"/>
          <w:sz w:val="24"/>
          <w:szCs w:val="24"/>
        </w:rPr>
        <w:t>支</w:t>
      </w:r>
      <w:r>
        <w:rPr>
          <w:rFonts w:ascii="宋体" w:hAnsi="宋体"/>
          <w:sz w:val="24"/>
          <w:szCs w:val="24"/>
        </w:rPr>
        <w:t>.</w:t>
      </w:r>
      <w:r>
        <w:rPr>
          <w:rFonts w:ascii="宋体" w:hAnsi="宋体" w:hint="eastAsia"/>
          <w:sz w:val="24"/>
          <w:szCs w:val="24"/>
        </w:rPr>
        <w:t>从综合绩效计算碳中和基金的平均得分为</w:t>
      </w:r>
      <w:r>
        <w:rPr>
          <w:rFonts w:ascii="宋体" w:hAnsi="宋体"/>
          <w:sz w:val="24"/>
          <w:szCs w:val="24"/>
        </w:rPr>
        <w:t>18.8</w:t>
      </w:r>
      <w:r w:rsidR="009A23E9">
        <w:rPr>
          <w:rFonts w:ascii="宋体" w:hAnsi="宋体"/>
          <w:sz w:val="24"/>
          <w:szCs w:val="24"/>
        </w:rPr>
        <w:t>9</w:t>
      </w:r>
      <w:r>
        <w:rPr>
          <w:rFonts w:ascii="宋体" w:hAnsi="宋体" w:hint="eastAsia"/>
          <w:sz w:val="24"/>
          <w:szCs w:val="24"/>
        </w:rPr>
        <w:t>，非碳中和基金平均得分为</w:t>
      </w:r>
      <w:r>
        <w:rPr>
          <w:rFonts w:ascii="宋体" w:hAnsi="宋体"/>
          <w:sz w:val="24"/>
          <w:szCs w:val="24"/>
        </w:rPr>
        <w:t>12.87</w:t>
      </w:r>
      <w:r>
        <w:rPr>
          <w:rFonts w:ascii="宋体" w:hAnsi="宋体" w:hint="eastAsia"/>
          <w:sz w:val="24"/>
          <w:szCs w:val="24"/>
        </w:rPr>
        <w:t>。</w:t>
      </w:r>
      <w:bookmarkStart w:id="50" w:name="_Hlk104133051"/>
      <w:r>
        <w:rPr>
          <w:rFonts w:ascii="宋体" w:hAnsi="宋体" w:hint="eastAsia"/>
          <w:sz w:val="24"/>
          <w:szCs w:val="24"/>
        </w:rPr>
        <w:t>从综合绩效计算可以看出碳中和基金的绩效高于非碳中和基金。得到结论基金持仓公司涉及碳中和行业，将会对其绩效有正向影响。</w:t>
      </w:r>
    </w:p>
    <w:p w14:paraId="0517E244" w14:textId="59995FCA" w:rsidR="007E297C" w:rsidRDefault="007E297C" w:rsidP="004F72DF">
      <w:pPr>
        <w:spacing w:line="360" w:lineRule="auto"/>
        <w:ind w:firstLineChars="200" w:firstLine="480"/>
        <w:rPr>
          <w:rFonts w:ascii="宋体" w:hAnsi="宋体"/>
          <w:sz w:val="24"/>
          <w:szCs w:val="24"/>
        </w:rPr>
      </w:pPr>
      <w:r>
        <w:rPr>
          <w:rFonts w:ascii="宋体" w:hAnsi="宋体" w:hint="eastAsia"/>
          <w:sz w:val="24"/>
          <w:szCs w:val="24"/>
        </w:rPr>
        <w:t>其次，</w:t>
      </w:r>
      <w:r w:rsidRPr="007E297C">
        <w:rPr>
          <w:rFonts w:ascii="宋体" w:hAnsi="宋体" w:hint="eastAsia"/>
          <w:sz w:val="24"/>
          <w:szCs w:val="24"/>
        </w:rPr>
        <w:t>从各因子权重来看，对基金综合绩效影响权重最大的是风险因子，说明基金承担风险越大，其综合收益越高。ESG因子的系数为0.16，说明ESG因子对基金综合绩效也有正向影响。基金ESG因子指标得分越高，基金综合绩效越大。</w:t>
      </w:r>
    </w:p>
    <w:bookmarkEnd w:id="50"/>
    <w:p w14:paraId="64AC9FF1" w14:textId="590FF209" w:rsidR="009A23E9" w:rsidRDefault="007E297C" w:rsidP="009A23E9">
      <w:pPr>
        <w:spacing w:line="360" w:lineRule="auto"/>
        <w:ind w:firstLineChars="200" w:firstLine="480"/>
        <w:rPr>
          <w:rFonts w:ascii="宋体" w:hAnsi="宋体"/>
          <w:sz w:val="24"/>
          <w:szCs w:val="24"/>
        </w:rPr>
      </w:pPr>
      <w:r>
        <w:rPr>
          <w:rFonts w:ascii="宋体" w:hAnsi="宋体" w:hint="eastAsia"/>
          <w:sz w:val="24"/>
          <w:szCs w:val="24"/>
        </w:rPr>
        <w:t>最后</w:t>
      </w:r>
      <w:r w:rsidR="004974B1">
        <w:rPr>
          <w:rFonts w:ascii="宋体" w:hAnsi="宋体" w:hint="eastAsia"/>
          <w:sz w:val="24"/>
          <w:szCs w:val="24"/>
        </w:rPr>
        <w:t>，在ESG因子的因子载荷表中，可以看出6个ESG原始指标中，碳中和指标、</w:t>
      </w:r>
      <w:r w:rsidR="004974B1" w:rsidRPr="00735845">
        <w:rPr>
          <w:rFonts w:ascii="宋体" w:hAnsi="宋体" w:hint="eastAsia"/>
          <w:sz w:val="24"/>
          <w:szCs w:val="24"/>
        </w:rPr>
        <w:t>基金</w:t>
      </w:r>
      <w:r w:rsidR="004974B1" w:rsidRPr="00735845">
        <w:rPr>
          <w:rFonts w:ascii="宋体" w:hAnsi="宋体"/>
          <w:sz w:val="24"/>
          <w:szCs w:val="24"/>
        </w:rPr>
        <w:t>E环境评分、基金S社会评分、基金G治理评分</w:t>
      </w:r>
      <w:r w:rsidR="004974B1">
        <w:rPr>
          <w:rFonts w:ascii="宋体" w:hAnsi="宋体" w:hint="eastAsia"/>
          <w:sz w:val="24"/>
          <w:szCs w:val="24"/>
        </w:rPr>
        <w:t>对基金绩效有明显的正向影响。且在</w:t>
      </w:r>
      <w:r w:rsidR="004974B1" w:rsidRPr="00735845">
        <w:rPr>
          <w:rFonts w:ascii="宋体" w:hAnsi="宋体" w:hint="eastAsia"/>
          <w:sz w:val="24"/>
          <w:szCs w:val="24"/>
        </w:rPr>
        <w:t>基金</w:t>
      </w:r>
      <w:r w:rsidR="004974B1" w:rsidRPr="00735845">
        <w:rPr>
          <w:rFonts w:ascii="宋体" w:hAnsi="宋体"/>
          <w:sz w:val="24"/>
          <w:szCs w:val="24"/>
        </w:rPr>
        <w:t>E环境评分、基金S社会评分、基金G治理评分</w:t>
      </w:r>
      <w:r w:rsidR="004974B1">
        <w:rPr>
          <w:rFonts w:ascii="宋体" w:hAnsi="宋体" w:hint="eastAsia"/>
          <w:sz w:val="24"/>
          <w:szCs w:val="24"/>
        </w:rPr>
        <w:t>三个原始指标中，</w:t>
      </w:r>
      <w:bookmarkStart w:id="51" w:name="_Hlk103675802"/>
      <w:r w:rsidR="004974B1" w:rsidRPr="00735845">
        <w:rPr>
          <w:rFonts w:ascii="宋体" w:hAnsi="宋体" w:hint="eastAsia"/>
          <w:sz w:val="24"/>
          <w:szCs w:val="24"/>
        </w:rPr>
        <w:t>基金</w:t>
      </w:r>
      <w:r w:rsidR="004974B1" w:rsidRPr="00735845">
        <w:rPr>
          <w:rFonts w:ascii="宋体" w:hAnsi="宋体"/>
          <w:sz w:val="24"/>
          <w:szCs w:val="24"/>
        </w:rPr>
        <w:t>E环境评分</w:t>
      </w:r>
      <w:r w:rsidR="004974B1">
        <w:rPr>
          <w:rFonts w:ascii="宋体" w:hAnsi="宋体" w:hint="eastAsia"/>
          <w:sz w:val="24"/>
          <w:szCs w:val="24"/>
        </w:rPr>
        <w:t>指标对基金综合绩效正向影响程度大于</w:t>
      </w:r>
      <w:r w:rsidR="004974B1" w:rsidRPr="00735845">
        <w:rPr>
          <w:rFonts w:ascii="宋体" w:hAnsi="宋体"/>
          <w:sz w:val="24"/>
          <w:szCs w:val="24"/>
        </w:rPr>
        <w:t>基金S社会评分</w:t>
      </w:r>
      <w:r w:rsidR="004974B1">
        <w:rPr>
          <w:rFonts w:ascii="宋体" w:hAnsi="宋体" w:hint="eastAsia"/>
          <w:sz w:val="24"/>
          <w:szCs w:val="24"/>
        </w:rPr>
        <w:t>指标</w:t>
      </w:r>
      <w:r w:rsidR="00E5069C">
        <w:rPr>
          <w:rFonts w:ascii="宋体" w:hAnsi="宋体" w:hint="eastAsia"/>
          <w:sz w:val="24"/>
          <w:szCs w:val="24"/>
        </w:rPr>
        <w:t>与</w:t>
      </w:r>
      <w:r w:rsidR="004974B1" w:rsidRPr="00735845">
        <w:rPr>
          <w:rFonts w:ascii="宋体" w:hAnsi="宋体"/>
          <w:sz w:val="24"/>
          <w:szCs w:val="24"/>
        </w:rPr>
        <w:t>基金G治理评分</w:t>
      </w:r>
      <w:r w:rsidR="004974B1">
        <w:rPr>
          <w:rFonts w:ascii="宋体" w:hAnsi="宋体" w:hint="eastAsia"/>
          <w:sz w:val="24"/>
          <w:szCs w:val="24"/>
        </w:rPr>
        <w:t>指标。</w:t>
      </w:r>
      <w:bookmarkEnd w:id="51"/>
      <w:r w:rsidR="009A23E9">
        <w:rPr>
          <w:rFonts w:ascii="宋体" w:hAnsi="宋体" w:hint="eastAsia"/>
          <w:sz w:val="24"/>
          <w:szCs w:val="24"/>
        </w:rPr>
        <w:t>可初步得到结论，若基金选股持续关注环境指标，从环境管理、能源与气候变化、水资源、原材料与废弃物、废气、废水、生物多样性、绿色建筑、绿色金融</w:t>
      </w:r>
      <w:r w:rsidR="009F69E8">
        <w:rPr>
          <w:rFonts w:ascii="宋体" w:hAnsi="宋体" w:hint="eastAsia"/>
          <w:sz w:val="24"/>
          <w:szCs w:val="24"/>
        </w:rPr>
        <w:t>等方面考察持仓股票公司，将对基金的绩效有正向影响。</w:t>
      </w:r>
    </w:p>
    <w:p w14:paraId="239CC66D" w14:textId="157E625F" w:rsidR="00E43765" w:rsidRPr="004974B1" w:rsidRDefault="00E43765" w:rsidP="00E94BA7">
      <w:pPr>
        <w:spacing w:line="360" w:lineRule="auto"/>
        <w:jc w:val="center"/>
        <w:rPr>
          <w:rFonts w:ascii="宋体" w:hAnsi="宋体"/>
          <w:sz w:val="24"/>
          <w:szCs w:val="24"/>
        </w:rPr>
      </w:pPr>
    </w:p>
    <w:p w14:paraId="2C90A676" w14:textId="62A9CB34" w:rsidR="00FD4939" w:rsidRDefault="00FD4939" w:rsidP="00E94BA7">
      <w:pPr>
        <w:spacing w:line="360" w:lineRule="auto"/>
        <w:jc w:val="center"/>
        <w:rPr>
          <w:rFonts w:ascii="宋体" w:hAnsi="宋体"/>
          <w:sz w:val="24"/>
          <w:szCs w:val="24"/>
        </w:rPr>
      </w:pPr>
    </w:p>
    <w:p w14:paraId="258273DB" w14:textId="18A367C3" w:rsidR="002A7D73" w:rsidRDefault="002A7D73" w:rsidP="001B02B5">
      <w:pPr>
        <w:spacing w:line="360" w:lineRule="auto"/>
        <w:rPr>
          <w:rFonts w:ascii="宋体" w:hAnsi="宋体"/>
          <w:sz w:val="24"/>
          <w:szCs w:val="24"/>
        </w:rPr>
      </w:pPr>
    </w:p>
    <w:p w14:paraId="4FD05717" w14:textId="4202160E" w:rsidR="002A7D73" w:rsidRDefault="002A7D73" w:rsidP="001B02B5">
      <w:pPr>
        <w:pStyle w:val="11"/>
        <w:rPr>
          <w:rFonts w:ascii="楷体_GB2312" w:eastAsia="楷体_GB2312"/>
        </w:rPr>
      </w:pPr>
      <w:bookmarkStart w:id="52" w:name="_Toc105023915"/>
      <w:r>
        <w:lastRenderedPageBreak/>
        <w:t>4</w:t>
      </w:r>
      <w:r w:rsidRPr="002A7D73">
        <w:rPr>
          <w:rFonts w:hint="eastAsia"/>
        </w:rPr>
        <w:t>基金绩效</w:t>
      </w:r>
      <w:r w:rsidR="00115069">
        <w:rPr>
          <w:rFonts w:hint="eastAsia"/>
        </w:rPr>
        <w:t>与超额收益</w:t>
      </w:r>
      <w:r w:rsidRPr="002A7D73">
        <w:rPr>
          <w:rFonts w:hint="eastAsia"/>
        </w:rPr>
        <w:t>论证及检验</w:t>
      </w:r>
      <w:bookmarkEnd w:id="52"/>
    </w:p>
    <w:p w14:paraId="3C62D194" w14:textId="338D31CA" w:rsidR="002A7D73" w:rsidRDefault="009F69E8" w:rsidP="002A7D73">
      <w:pPr>
        <w:spacing w:line="360" w:lineRule="auto"/>
        <w:ind w:firstLineChars="200" w:firstLine="480"/>
        <w:rPr>
          <w:rFonts w:ascii="宋体" w:hAnsi="宋体"/>
          <w:sz w:val="24"/>
          <w:szCs w:val="24"/>
        </w:rPr>
      </w:pPr>
      <w:r>
        <w:rPr>
          <w:rFonts w:ascii="宋体" w:hAnsi="宋体" w:hint="eastAsia"/>
          <w:sz w:val="24"/>
          <w:szCs w:val="24"/>
        </w:rPr>
        <w:t>本文第三章构造</w:t>
      </w:r>
      <w:r w:rsidR="00115069">
        <w:rPr>
          <w:rFonts w:ascii="宋体" w:hAnsi="宋体" w:hint="eastAsia"/>
          <w:sz w:val="24"/>
          <w:szCs w:val="24"/>
        </w:rPr>
        <w:t>了</w:t>
      </w:r>
      <w:r>
        <w:rPr>
          <w:rFonts w:ascii="宋体" w:hAnsi="宋体" w:hint="eastAsia"/>
          <w:sz w:val="24"/>
          <w:szCs w:val="24"/>
        </w:rPr>
        <w:t>包含ESG指标的创新性的基金综合绩效评价体系，</w:t>
      </w:r>
      <w:r w:rsidR="00070A65">
        <w:rPr>
          <w:rFonts w:ascii="宋体" w:hAnsi="宋体" w:hint="eastAsia"/>
          <w:sz w:val="24"/>
          <w:szCs w:val="24"/>
        </w:rPr>
        <w:t>主要探究了碳中和概念类型基金和非碳中和概念型基金的综合绩效高低。本章选取部分指标进行回归验证前章评价结果的合理性。第三章综合绩效评价体系</w:t>
      </w:r>
      <w:r>
        <w:rPr>
          <w:rFonts w:ascii="宋体" w:hAnsi="宋体" w:hint="eastAsia"/>
          <w:sz w:val="24"/>
          <w:szCs w:val="24"/>
        </w:rPr>
        <w:t>中的一些原始指标，例如收益标准差、年化波动率、最大回撤、选股能力、跟踪误差、信息比率本身为绩效指标，包含收益与风险的内在关系，所以本章从客观因素出发，着重探究基金本身性质与ESG属性对其收益的影响。</w:t>
      </w:r>
      <w:r w:rsidR="002A7D73" w:rsidRPr="008949B3">
        <w:rPr>
          <w:rFonts w:ascii="宋体" w:hAnsi="宋体" w:hint="eastAsia"/>
          <w:sz w:val="24"/>
          <w:szCs w:val="24"/>
        </w:rPr>
        <w:t>本章是对前文第三章构造的综合绩效评价指标进行合理性论证及实证检验，</w:t>
      </w:r>
      <w:r w:rsidR="00115069">
        <w:rPr>
          <w:rFonts w:ascii="宋体" w:hAnsi="宋体" w:hint="eastAsia"/>
          <w:sz w:val="24"/>
          <w:szCs w:val="24"/>
        </w:rPr>
        <w:t>使用超额收益作为被解释变量验证</w:t>
      </w:r>
      <w:r w:rsidR="00E24ADA">
        <w:rPr>
          <w:rFonts w:ascii="宋体" w:hAnsi="宋体" w:hint="eastAsia"/>
          <w:sz w:val="24"/>
          <w:szCs w:val="24"/>
        </w:rPr>
        <w:t>实证结果是否与</w:t>
      </w:r>
      <w:r w:rsidR="00115069">
        <w:rPr>
          <w:rFonts w:ascii="宋体" w:hAnsi="宋体" w:hint="eastAsia"/>
          <w:sz w:val="24"/>
          <w:szCs w:val="24"/>
        </w:rPr>
        <w:t>上一章主成分分析得到的因子影响程度</w:t>
      </w:r>
      <w:r w:rsidR="00E24ADA">
        <w:rPr>
          <w:rFonts w:ascii="宋体" w:hAnsi="宋体" w:hint="eastAsia"/>
          <w:sz w:val="24"/>
          <w:szCs w:val="24"/>
        </w:rPr>
        <w:t>一致，同时检验其合理性。</w:t>
      </w:r>
      <w:r w:rsidR="002A7D73" w:rsidRPr="008949B3">
        <w:rPr>
          <w:rFonts w:ascii="宋体" w:hAnsi="宋体" w:hint="eastAsia"/>
          <w:sz w:val="24"/>
          <w:szCs w:val="24"/>
        </w:rPr>
        <w:t>本章对样本基金</w:t>
      </w:r>
      <w:r w:rsidR="00FC5304">
        <w:rPr>
          <w:rFonts w:ascii="宋体" w:hAnsi="宋体" w:hint="eastAsia"/>
          <w:sz w:val="24"/>
          <w:szCs w:val="24"/>
        </w:rPr>
        <w:t>数据</w:t>
      </w:r>
      <w:r w:rsidR="002A7D73" w:rsidRPr="008949B3">
        <w:rPr>
          <w:rFonts w:ascii="宋体" w:hAnsi="宋体" w:hint="eastAsia"/>
          <w:sz w:val="24"/>
          <w:szCs w:val="24"/>
        </w:rPr>
        <w:t>进行了</w:t>
      </w:r>
      <w:r w:rsidR="002A7D73">
        <w:rPr>
          <w:rFonts w:ascii="宋体" w:hAnsi="宋体" w:hint="eastAsia"/>
          <w:sz w:val="24"/>
          <w:szCs w:val="24"/>
        </w:rPr>
        <w:t>逻辑回归</w:t>
      </w:r>
      <w:r w:rsidR="002A7D73" w:rsidRPr="008949B3">
        <w:rPr>
          <w:rFonts w:ascii="宋体" w:hAnsi="宋体" w:hint="eastAsia"/>
          <w:sz w:val="24"/>
          <w:szCs w:val="24"/>
        </w:rPr>
        <w:t>分析，探究基金绩效</w:t>
      </w:r>
      <w:r w:rsidR="00EF12AB">
        <w:rPr>
          <w:rFonts w:ascii="宋体" w:hAnsi="宋体" w:hint="eastAsia"/>
          <w:sz w:val="24"/>
          <w:szCs w:val="24"/>
        </w:rPr>
        <w:t>与收益</w:t>
      </w:r>
      <w:r w:rsidR="002A7D73" w:rsidRPr="008949B3">
        <w:rPr>
          <w:rFonts w:ascii="宋体" w:hAnsi="宋体" w:hint="eastAsia"/>
          <w:sz w:val="24"/>
          <w:szCs w:val="24"/>
        </w:rPr>
        <w:t>表现优劣的原因</w:t>
      </w:r>
      <w:r w:rsidR="002A7D73">
        <w:rPr>
          <w:rFonts w:ascii="宋体" w:hAnsi="宋体" w:hint="eastAsia"/>
          <w:sz w:val="24"/>
          <w:szCs w:val="24"/>
        </w:rPr>
        <w:t>以及验证本文设计的ESG因子对基金综合绩效的影响强弱。不同</w:t>
      </w:r>
      <w:r w:rsidR="002A7D73" w:rsidRPr="008949B3">
        <w:rPr>
          <w:rFonts w:ascii="宋体" w:hAnsi="宋体" w:hint="eastAsia"/>
          <w:sz w:val="24"/>
          <w:szCs w:val="24"/>
        </w:rPr>
        <w:t>基金绩效表现的差异由三种基金本身的特性决定</w:t>
      </w:r>
      <w:r w:rsidR="002A7D73">
        <w:rPr>
          <w:rFonts w:ascii="宋体" w:hAnsi="宋体" w:hint="eastAsia"/>
          <w:sz w:val="24"/>
          <w:szCs w:val="24"/>
        </w:rPr>
        <w:t>。</w:t>
      </w:r>
    </w:p>
    <w:p w14:paraId="360EE22C" w14:textId="44AB0423" w:rsidR="002A7D73" w:rsidRPr="00D85E9E" w:rsidRDefault="002A7D73" w:rsidP="001B02B5">
      <w:pPr>
        <w:pStyle w:val="21"/>
      </w:pPr>
      <w:bookmarkStart w:id="53" w:name="_Toc105023916"/>
      <w:r w:rsidRPr="00D85E9E">
        <w:rPr>
          <w:rFonts w:hint="eastAsia"/>
        </w:rPr>
        <w:t>4</w:t>
      </w:r>
      <w:r w:rsidRPr="00D85E9E">
        <w:t>.1</w:t>
      </w:r>
      <w:r w:rsidR="00EF12AB">
        <w:rPr>
          <w:rFonts w:hint="eastAsia"/>
        </w:rPr>
        <w:t>对基金获得超额收益原因的验证</w:t>
      </w:r>
      <w:bookmarkStart w:id="54" w:name="_Hlk103583286"/>
      <w:bookmarkEnd w:id="53"/>
    </w:p>
    <w:p w14:paraId="357D1D13" w14:textId="78EE7D28" w:rsidR="00E11AF4" w:rsidRPr="00D85E9E" w:rsidRDefault="00E11AF4" w:rsidP="001B02B5">
      <w:pPr>
        <w:pStyle w:val="4"/>
      </w:pPr>
      <w:bookmarkStart w:id="55" w:name="_Toc105023917"/>
      <w:bookmarkEnd w:id="54"/>
      <w:r w:rsidRPr="00D85E9E">
        <w:rPr>
          <w:rFonts w:hint="eastAsia"/>
        </w:rPr>
        <w:t>4</w:t>
      </w:r>
      <w:r w:rsidRPr="00D85E9E">
        <w:t>.1.1</w:t>
      </w:r>
      <w:r w:rsidRPr="00D85E9E">
        <w:rPr>
          <w:rFonts w:hint="eastAsia"/>
        </w:rPr>
        <w:t>变量选取</w:t>
      </w:r>
      <w:bookmarkEnd w:id="55"/>
    </w:p>
    <w:p w14:paraId="74078FCB" w14:textId="0B2F0C48" w:rsidR="002A7D73" w:rsidRDefault="002A7D73" w:rsidP="002A7D73">
      <w:pPr>
        <w:spacing w:line="360" w:lineRule="auto"/>
        <w:ind w:firstLineChars="200" w:firstLine="480"/>
        <w:rPr>
          <w:rFonts w:ascii="宋体" w:hAnsi="宋体"/>
          <w:sz w:val="24"/>
          <w:szCs w:val="24"/>
        </w:rPr>
      </w:pPr>
      <w:r>
        <w:rPr>
          <w:rFonts w:ascii="宋体" w:hAnsi="宋体" w:hint="eastAsia"/>
          <w:sz w:val="24"/>
          <w:szCs w:val="24"/>
        </w:rPr>
        <w:t>第三章主成分因子分析构建绩效评价体系的基准</w:t>
      </w:r>
      <w:r w:rsidRPr="00DA06FA">
        <w:rPr>
          <w:rFonts w:ascii="宋体" w:hAnsi="宋体" w:hint="eastAsia"/>
          <w:sz w:val="24"/>
          <w:szCs w:val="24"/>
        </w:rPr>
        <w:t>指数选取指数为沪深</w:t>
      </w:r>
      <w:r w:rsidRPr="00DA06FA">
        <w:rPr>
          <w:rFonts w:ascii="宋体" w:hAnsi="宋体"/>
          <w:sz w:val="24"/>
          <w:szCs w:val="24"/>
        </w:rPr>
        <w:t>300指数</w:t>
      </w:r>
      <w:r>
        <w:rPr>
          <w:rFonts w:ascii="宋体" w:hAnsi="宋体" w:hint="eastAsia"/>
          <w:sz w:val="24"/>
          <w:szCs w:val="24"/>
        </w:rPr>
        <w:t>，为了研究第三章选取的各原始指标对基金是否获得超额收益的影响，本章将被解释变量设置为基金收益率是否超过沪深3</w:t>
      </w:r>
      <w:r>
        <w:rPr>
          <w:rFonts w:ascii="宋体" w:hAnsi="宋体"/>
          <w:sz w:val="24"/>
          <w:szCs w:val="24"/>
        </w:rPr>
        <w:t>00</w:t>
      </w:r>
      <w:r>
        <w:rPr>
          <w:rFonts w:ascii="宋体" w:hAnsi="宋体" w:hint="eastAsia"/>
          <w:sz w:val="24"/>
          <w:szCs w:val="24"/>
        </w:rPr>
        <w:t>指数</w:t>
      </w:r>
      <w:r w:rsidR="00B01D4B">
        <w:rPr>
          <w:rFonts w:ascii="宋体" w:hAnsi="宋体" w:hint="eastAsia"/>
          <w:sz w:val="24"/>
          <w:szCs w:val="24"/>
        </w:rPr>
        <w:t>(</w:t>
      </w:r>
      <w:r w:rsidR="00B01D4B">
        <w:rPr>
          <w:rFonts w:ascii="宋体" w:hAnsi="宋体"/>
          <w:sz w:val="24"/>
          <w:szCs w:val="24"/>
        </w:rPr>
        <w:t>W)</w:t>
      </w:r>
      <w:r>
        <w:rPr>
          <w:rFonts w:ascii="宋体" w:hAnsi="宋体" w:hint="eastAsia"/>
          <w:sz w:val="24"/>
          <w:szCs w:val="24"/>
        </w:rPr>
        <w:t>，</w:t>
      </w:r>
      <w:r w:rsidRPr="002771FC">
        <w:rPr>
          <w:rFonts w:ascii="宋体" w:hAnsi="宋体" w:hint="eastAsia"/>
          <w:sz w:val="24"/>
          <w:szCs w:val="24"/>
        </w:rPr>
        <w:t>样本区间为</w:t>
      </w:r>
      <w:r w:rsidRPr="002771FC">
        <w:rPr>
          <w:rFonts w:ascii="宋体" w:hAnsi="宋体"/>
          <w:sz w:val="24"/>
          <w:szCs w:val="24"/>
        </w:rPr>
        <w:t>2019年1月至2021年12月</w:t>
      </w:r>
      <w:r>
        <w:rPr>
          <w:rFonts w:ascii="宋体" w:hAnsi="宋体" w:hint="eastAsia"/>
          <w:sz w:val="24"/>
          <w:szCs w:val="24"/>
        </w:rPr>
        <w:t>，</w:t>
      </w:r>
      <w:bookmarkStart w:id="56" w:name="_Hlk102040140"/>
      <w:r>
        <w:rPr>
          <w:rFonts w:ascii="宋体" w:hAnsi="宋体" w:hint="eastAsia"/>
          <w:sz w:val="24"/>
          <w:szCs w:val="24"/>
        </w:rPr>
        <w:t>若基金年化收益率高于沪深3</w:t>
      </w:r>
      <w:r>
        <w:rPr>
          <w:rFonts w:ascii="宋体" w:hAnsi="宋体"/>
          <w:sz w:val="24"/>
          <w:szCs w:val="24"/>
        </w:rPr>
        <w:t>00</w:t>
      </w:r>
      <w:r>
        <w:rPr>
          <w:rFonts w:ascii="宋体" w:hAnsi="宋体" w:hint="eastAsia"/>
          <w:sz w:val="24"/>
          <w:szCs w:val="24"/>
        </w:rPr>
        <w:t>指数收益率</w:t>
      </w:r>
      <w:bookmarkEnd w:id="56"/>
      <w:r>
        <w:rPr>
          <w:rFonts w:ascii="宋体" w:hAnsi="宋体" w:hint="eastAsia"/>
          <w:sz w:val="24"/>
          <w:szCs w:val="24"/>
        </w:rPr>
        <w:t>，则对应被解释变量赋值为1；</w:t>
      </w:r>
      <w:r w:rsidRPr="002771FC">
        <w:rPr>
          <w:rFonts w:ascii="宋体" w:hAnsi="宋体" w:hint="eastAsia"/>
          <w:sz w:val="24"/>
          <w:szCs w:val="24"/>
        </w:rPr>
        <w:t>若基金年化收益率</w:t>
      </w:r>
      <w:r>
        <w:rPr>
          <w:rFonts w:ascii="宋体" w:hAnsi="宋体" w:hint="eastAsia"/>
          <w:sz w:val="24"/>
          <w:szCs w:val="24"/>
        </w:rPr>
        <w:t>低于</w:t>
      </w:r>
      <w:r w:rsidRPr="002771FC">
        <w:rPr>
          <w:rFonts w:ascii="宋体" w:hAnsi="宋体" w:hint="eastAsia"/>
          <w:sz w:val="24"/>
          <w:szCs w:val="24"/>
        </w:rPr>
        <w:t>沪深</w:t>
      </w:r>
      <w:r w:rsidRPr="002771FC">
        <w:rPr>
          <w:rFonts w:ascii="宋体" w:hAnsi="宋体"/>
          <w:sz w:val="24"/>
          <w:szCs w:val="24"/>
        </w:rPr>
        <w:t>300指数收益率</w:t>
      </w:r>
      <w:r>
        <w:rPr>
          <w:rFonts w:ascii="宋体" w:hAnsi="宋体" w:hint="eastAsia"/>
          <w:sz w:val="24"/>
          <w:szCs w:val="24"/>
        </w:rPr>
        <w:t>，则对应被解释变量赋值为0。本章采用二分类的l</w:t>
      </w:r>
      <w:r>
        <w:rPr>
          <w:rFonts w:ascii="宋体" w:hAnsi="宋体"/>
          <w:sz w:val="24"/>
          <w:szCs w:val="24"/>
        </w:rPr>
        <w:t>ogit</w:t>
      </w:r>
      <w:r>
        <w:rPr>
          <w:rFonts w:ascii="宋体" w:hAnsi="宋体" w:hint="eastAsia"/>
          <w:sz w:val="24"/>
          <w:szCs w:val="24"/>
        </w:rPr>
        <w:t>回归，探究第三章各指标对基金获得超额收益的影响程度。</w:t>
      </w:r>
    </w:p>
    <w:p w14:paraId="47FD08D2" w14:textId="5B7CB4CD" w:rsidR="002A7D73" w:rsidRDefault="002A7D73" w:rsidP="002A7D73">
      <w:pPr>
        <w:spacing w:line="360" w:lineRule="auto"/>
        <w:ind w:firstLineChars="200" w:firstLine="480"/>
        <w:rPr>
          <w:rFonts w:ascii="宋体" w:hAnsi="宋体"/>
          <w:sz w:val="24"/>
          <w:szCs w:val="24"/>
        </w:rPr>
      </w:pPr>
      <w:r>
        <w:rPr>
          <w:rFonts w:ascii="宋体" w:hAnsi="宋体" w:hint="eastAsia"/>
          <w:sz w:val="24"/>
          <w:szCs w:val="24"/>
        </w:rPr>
        <w:t>本章解释变量沿用上一章原始指标的数据，</w:t>
      </w:r>
      <w:r w:rsidR="00E11AF4">
        <w:rPr>
          <w:rFonts w:ascii="宋体" w:hAnsi="宋体" w:hint="eastAsia"/>
          <w:sz w:val="24"/>
          <w:szCs w:val="24"/>
        </w:rPr>
        <w:t>由于</w:t>
      </w:r>
      <w:r w:rsidR="00E11AF4" w:rsidRPr="00E11AF4">
        <w:rPr>
          <w:rFonts w:ascii="宋体" w:hAnsi="宋体" w:hint="eastAsia"/>
          <w:sz w:val="24"/>
          <w:szCs w:val="24"/>
        </w:rPr>
        <w:t>年化波动率、非系统风险、最大回撤、选股能力、跟踪误差、信息比率</w:t>
      </w:r>
      <w:r w:rsidR="00E11AF4">
        <w:rPr>
          <w:rFonts w:ascii="宋体" w:hAnsi="宋体" w:hint="eastAsia"/>
          <w:sz w:val="24"/>
          <w:szCs w:val="24"/>
        </w:rPr>
        <w:t>等指标本身为绩效指标，在进行这些原始指标计算时已经包含了风险与收益因素。所以在进行样本逻辑回归探究影响基金获得超额收益原因时，</w:t>
      </w:r>
      <w:bookmarkStart w:id="57" w:name="_Hlk103582870"/>
      <w:r>
        <w:rPr>
          <w:rFonts w:ascii="宋体" w:hAnsi="宋体" w:hint="eastAsia"/>
          <w:sz w:val="24"/>
          <w:szCs w:val="24"/>
        </w:rPr>
        <w:t>选取了</w:t>
      </w:r>
      <w:bookmarkStart w:id="58" w:name="_Hlk102051056"/>
      <w:bookmarkStart w:id="59" w:name="_Hlk103672613"/>
      <w:r w:rsidRPr="00E61A6D">
        <w:rPr>
          <w:rFonts w:ascii="宋体" w:hAnsi="宋体" w:hint="eastAsia"/>
          <w:sz w:val="24"/>
          <w:szCs w:val="24"/>
        </w:rPr>
        <w:t>非系统风险</w:t>
      </w:r>
      <w:r w:rsidR="00B01D4B">
        <w:rPr>
          <w:rFonts w:ascii="宋体" w:hAnsi="宋体" w:hint="eastAsia"/>
          <w:sz w:val="24"/>
          <w:szCs w:val="24"/>
        </w:rPr>
        <w:t>(</w:t>
      </w:r>
      <w:r w:rsidR="00B01D4B">
        <w:rPr>
          <w:rFonts w:ascii="宋体" w:hAnsi="宋体"/>
          <w:sz w:val="24"/>
          <w:szCs w:val="24"/>
        </w:rPr>
        <w:t>r)</w:t>
      </w:r>
      <w:r w:rsidRPr="00E61A6D">
        <w:rPr>
          <w:rFonts w:ascii="宋体" w:hAnsi="宋体" w:hint="eastAsia"/>
          <w:sz w:val="24"/>
          <w:szCs w:val="24"/>
        </w:rPr>
        <w:t>、</w:t>
      </w:r>
      <w:r>
        <w:rPr>
          <w:rFonts w:ascii="宋体" w:hAnsi="宋体" w:hint="eastAsia"/>
          <w:sz w:val="24"/>
          <w:szCs w:val="24"/>
        </w:rPr>
        <w:t>基金规模</w:t>
      </w:r>
      <w:r w:rsidR="00B01D4B">
        <w:rPr>
          <w:rFonts w:ascii="宋体" w:hAnsi="宋体" w:hint="eastAsia"/>
          <w:sz w:val="24"/>
          <w:szCs w:val="24"/>
        </w:rPr>
        <w:t>(</w:t>
      </w:r>
      <w:r w:rsidR="00B01D4B">
        <w:rPr>
          <w:rFonts w:ascii="宋体" w:hAnsi="宋体"/>
          <w:sz w:val="24"/>
          <w:szCs w:val="24"/>
        </w:rPr>
        <w:t>g</w:t>
      </w:r>
      <w:r w:rsidR="00B01D4B">
        <w:rPr>
          <w:rFonts w:ascii="宋体" w:hAnsi="宋体" w:hint="eastAsia"/>
          <w:sz w:val="24"/>
          <w:szCs w:val="24"/>
        </w:rPr>
        <w:t>)</w:t>
      </w:r>
      <w:r w:rsidRPr="00E61A6D">
        <w:rPr>
          <w:rFonts w:ascii="宋体" w:hAnsi="宋体" w:hint="eastAsia"/>
          <w:sz w:val="24"/>
          <w:szCs w:val="24"/>
        </w:rPr>
        <w:t>、</w:t>
      </w:r>
      <w:r>
        <w:rPr>
          <w:rFonts w:ascii="宋体" w:hAnsi="宋体" w:hint="eastAsia"/>
          <w:sz w:val="24"/>
          <w:szCs w:val="24"/>
        </w:rPr>
        <w:t>基金成立年限</w:t>
      </w:r>
      <w:r w:rsidR="00B01D4B">
        <w:rPr>
          <w:rFonts w:ascii="宋体" w:hAnsi="宋体" w:hint="eastAsia"/>
          <w:sz w:val="24"/>
          <w:szCs w:val="24"/>
        </w:rPr>
        <w:t>（y）</w:t>
      </w:r>
      <w:r>
        <w:rPr>
          <w:rFonts w:ascii="宋体" w:hAnsi="宋体" w:hint="eastAsia"/>
          <w:sz w:val="24"/>
          <w:szCs w:val="24"/>
        </w:rPr>
        <w:t>、</w:t>
      </w:r>
      <w:r w:rsidRPr="00E61A6D">
        <w:rPr>
          <w:rFonts w:ascii="宋体" w:hAnsi="宋体"/>
          <w:sz w:val="24"/>
          <w:szCs w:val="24"/>
        </w:rPr>
        <w:t>碳中和指标</w:t>
      </w:r>
      <w:r w:rsidR="00B01D4B">
        <w:rPr>
          <w:rFonts w:ascii="宋体" w:hAnsi="宋体" w:hint="eastAsia"/>
          <w:sz w:val="24"/>
          <w:szCs w:val="24"/>
        </w:rPr>
        <w:t>(</w:t>
      </w:r>
      <w:r w:rsidR="00B01D4B">
        <w:rPr>
          <w:rFonts w:ascii="宋体" w:hAnsi="宋体"/>
          <w:sz w:val="24"/>
          <w:szCs w:val="24"/>
        </w:rPr>
        <w:t>t)</w:t>
      </w:r>
      <w:r w:rsidRPr="00E61A6D">
        <w:rPr>
          <w:rFonts w:ascii="宋体" w:hAnsi="宋体"/>
          <w:sz w:val="24"/>
          <w:szCs w:val="24"/>
        </w:rPr>
        <w:t>、</w:t>
      </w:r>
      <w:bookmarkStart w:id="60" w:name="_Hlk102054467"/>
      <w:r w:rsidR="00E31513" w:rsidRPr="00E31513">
        <w:rPr>
          <w:rFonts w:ascii="宋体" w:hAnsi="宋体" w:hint="eastAsia"/>
          <w:sz w:val="24"/>
          <w:szCs w:val="24"/>
        </w:rPr>
        <w:t>重仓股票ESG评分</w:t>
      </w:r>
      <w:r w:rsidR="00E31513">
        <w:rPr>
          <w:rFonts w:ascii="宋体" w:hAnsi="宋体" w:hint="eastAsia"/>
          <w:sz w:val="24"/>
          <w:szCs w:val="24"/>
        </w:rPr>
        <w:t>(</w:t>
      </w:r>
      <w:r w:rsidR="00E31513">
        <w:rPr>
          <w:rFonts w:ascii="宋体" w:hAnsi="宋体"/>
          <w:sz w:val="24"/>
          <w:szCs w:val="24"/>
        </w:rPr>
        <w:t>i)</w:t>
      </w:r>
      <w:r w:rsidR="00E31513">
        <w:rPr>
          <w:rFonts w:ascii="宋体" w:hAnsi="宋体" w:hint="eastAsia"/>
          <w:sz w:val="24"/>
          <w:szCs w:val="24"/>
        </w:rPr>
        <w:t>、</w:t>
      </w:r>
      <w:r w:rsidRPr="00E61A6D">
        <w:rPr>
          <w:rFonts w:ascii="宋体" w:hAnsi="宋体"/>
          <w:sz w:val="24"/>
          <w:szCs w:val="24"/>
        </w:rPr>
        <w:t>基金E环境评分</w:t>
      </w:r>
      <w:r w:rsidR="00B01D4B">
        <w:rPr>
          <w:rFonts w:ascii="宋体" w:hAnsi="宋体" w:hint="eastAsia"/>
          <w:sz w:val="24"/>
          <w:szCs w:val="24"/>
        </w:rPr>
        <w:t>(</w:t>
      </w:r>
      <w:r w:rsidR="00B01D4B">
        <w:rPr>
          <w:rFonts w:ascii="宋体" w:hAnsi="宋体"/>
          <w:sz w:val="24"/>
          <w:szCs w:val="24"/>
        </w:rPr>
        <w:t>e)</w:t>
      </w:r>
      <w:r w:rsidRPr="00E61A6D">
        <w:rPr>
          <w:rFonts w:ascii="宋体" w:hAnsi="宋体"/>
          <w:sz w:val="24"/>
          <w:szCs w:val="24"/>
        </w:rPr>
        <w:t>、</w:t>
      </w:r>
      <w:bookmarkStart w:id="61" w:name="_Hlk102054819"/>
      <w:r w:rsidRPr="00E61A6D">
        <w:rPr>
          <w:rFonts w:ascii="宋体" w:hAnsi="宋体"/>
          <w:sz w:val="24"/>
          <w:szCs w:val="24"/>
        </w:rPr>
        <w:t>基金S社会评分</w:t>
      </w:r>
      <w:bookmarkEnd w:id="61"/>
      <w:r w:rsidR="00B01D4B">
        <w:rPr>
          <w:rFonts w:ascii="宋体" w:hAnsi="宋体" w:hint="eastAsia"/>
          <w:sz w:val="24"/>
          <w:szCs w:val="24"/>
        </w:rPr>
        <w:t>(</w:t>
      </w:r>
      <w:r w:rsidR="00B01D4B">
        <w:rPr>
          <w:rFonts w:ascii="宋体" w:hAnsi="宋体"/>
          <w:sz w:val="24"/>
          <w:szCs w:val="24"/>
        </w:rPr>
        <w:t>s)</w:t>
      </w:r>
      <w:r w:rsidRPr="00E61A6D">
        <w:rPr>
          <w:rFonts w:ascii="宋体" w:hAnsi="宋体"/>
          <w:sz w:val="24"/>
          <w:szCs w:val="24"/>
        </w:rPr>
        <w:t>、</w:t>
      </w:r>
      <w:r w:rsidRPr="00E61A6D">
        <w:rPr>
          <w:rFonts w:ascii="宋体" w:hAnsi="宋体"/>
          <w:sz w:val="24"/>
          <w:szCs w:val="24"/>
        </w:rPr>
        <w:lastRenderedPageBreak/>
        <w:t>基金G治理评分</w:t>
      </w:r>
      <w:bookmarkEnd w:id="60"/>
      <w:r w:rsidR="00B01D4B">
        <w:rPr>
          <w:rFonts w:ascii="宋体" w:hAnsi="宋体" w:hint="eastAsia"/>
          <w:sz w:val="24"/>
          <w:szCs w:val="24"/>
        </w:rPr>
        <w:t>(</w:t>
      </w:r>
      <w:r w:rsidR="00B01D4B">
        <w:rPr>
          <w:rFonts w:ascii="宋体" w:hAnsi="宋体"/>
          <w:sz w:val="24"/>
          <w:szCs w:val="24"/>
        </w:rPr>
        <w:t>g)</w:t>
      </w:r>
      <w:bookmarkEnd w:id="58"/>
      <w:r w:rsidR="00E11AF4">
        <w:rPr>
          <w:rFonts w:ascii="宋体" w:hAnsi="宋体" w:hint="eastAsia"/>
          <w:sz w:val="24"/>
          <w:szCs w:val="24"/>
        </w:rPr>
        <w:t>等客观因素</w:t>
      </w:r>
      <w:r>
        <w:rPr>
          <w:rFonts w:ascii="宋体" w:hAnsi="宋体" w:hint="eastAsia"/>
          <w:sz w:val="24"/>
          <w:szCs w:val="24"/>
        </w:rPr>
        <w:t>作为解释变量</w:t>
      </w:r>
      <w:bookmarkEnd w:id="57"/>
      <w:bookmarkEnd w:id="59"/>
      <w:r>
        <w:rPr>
          <w:rFonts w:ascii="宋体" w:hAnsi="宋体" w:hint="eastAsia"/>
          <w:sz w:val="24"/>
          <w:szCs w:val="24"/>
        </w:rPr>
        <w:t>。</w:t>
      </w:r>
    </w:p>
    <w:p w14:paraId="7B66EC0E" w14:textId="441C7B8A" w:rsidR="002A7D73" w:rsidRPr="00D85E9E" w:rsidRDefault="00E11AF4" w:rsidP="001B02B5">
      <w:pPr>
        <w:pStyle w:val="4"/>
      </w:pPr>
      <w:bookmarkStart w:id="62" w:name="_Toc105023918"/>
      <w:r w:rsidRPr="00D85E9E">
        <w:rPr>
          <w:rFonts w:hint="eastAsia"/>
        </w:rPr>
        <w:t>4</w:t>
      </w:r>
      <w:r w:rsidRPr="00D85E9E">
        <w:t>.1.2</w:t>
      </w:r>
      <w:r w:rsidRPr="00D85E9E">
        <w:rPr>
          <w:rFonts w:hint="eastAsia"/>
        </w:rPr>
        <w:t>回归结果及其分析</w:t>
      </w:r>
      <w:bookmarkEnd w:id="62"/>
    </w:p>
    <w:p w14:paraId="38D14309" w14:textId="19E89C42" w:rsidR="00D85E9E" w:rsidRDefault="00D85E9E" w:rsidP="00D85E9E">
      <w:pPr>
        <w:spacing w:line="360" w:lineRule="auto"/>
        <w:ind w:firstLineChars="200" w:firstLine="480"/>
        <w:rPr>
          <w:rFonts w:ascii="宋体" w:hAnsi="宋体"/>
          <w:sz w:val="24"/>
          <w:szCs w:val="24"/>
        </w:rPr>
      </w:pPr>
      <w:bookmarkStart w:id="63" w:name="_Hlk103582911"/>
      <w:r>
        <w:rPr>
          <w:rFonts w:ascii="宋体" w:hAnsi="宋体" w:hint="eastAsia"/>
          <w:sz w:val="24"/>
          <w:szCs w:val="24"/>
        </w:rPr>
        <w:t>将样本数据导入s</w:t>
      </w:r>
      <w:r>
        <w:rPr>
          <w:rFonts w:ascii="宋体" w:hAnsi="宋体"/>
          <w:sz w:val="24"/>
          <w:szCs w:val="24"/>
        </w:rPr>
        <w:t>tata</w:t>
      </w:r>
      <w:r>
        <w:rPr>
          <w:rFonts w:ascii="宋体" w:hAnsi="宋体" w:hint="eastAsia"/>
          <w:sz w:val="24"/>
          <w:szCs w:val="24"/>
        </w:rPr>
        <w:t>，进行Logit回归结果如下：</w:t>
      </w:r>
    </w:p>
    <w:p w14:paraId="0BBF5E0E" w14:textId="2703E594" w:rsidR="00811855" w:rsidRPr="00811855" w:rsidRDefault="00811855" w:rsidP="00811855">
      <w:pPr>
        <w:spacing w:line="360" w:lineRule="auto"/>
        <w:ind w:firstLineChars="200" w:firstLine="420"/>
        <w:jc w:val="center"/>
        <w:rPr>
          <w:rFonts w:ascii="宋体" w:hAnsi="宋体"/>
          <w:szCs w:val="21"/>
        </w:rPr>
      </w:pPr>
      <w:r w:rsidRPr="00811855">
        <w:rPr>
          <w:rFonts w:ascii="宋体" w:hAnsi="宋体" w:hint="eastAsia"/>
          <w:szCs w:val="21"/>
        </w:rPr>
        <w:t>表</w:t>
      </w:r>
      <w:r w:rsidR="008F5CC1">
        <w:rPr>
          <w:rFonts w:ascii="宋体" w:hAnsi="宋体" w:hint="eastAsia"/>
          <w:szCs w:val="21"/>
        </w:rPr>
        <w:t>4</w:t>
      </w:r>
      <w:r w:rsidR="008F5CC1">
        <w:rPr>
          <w:rFonts w:ascii="宋体" w:hAnsi="宋体"/>
          <w:szCs w:val="21"/>
        </w:rPr>
        <w:t>-1</w:t>
      </w:r>
      <w:r w:rsidRPr="00811855">
        <w:rPr>
          <w:rFonts w:ascii="宋体" w:hAnsi="宋体" w:hint="eastAsia"/>
          <w:szCs w:val="21"/>
        </w:rPr>
        <w:t>：Logit回归结果</w:t>
      </w:r>
    </w:p>
    <w:tbl>
      <w:tblPr>
        <w:tblW w:w="8892" w:type="dxa"/>
        <w:tblInd w:w="108" w:type="dxa"/>
        <w:tblLook w:val="04A0" w:firstRow="1" w:lastRow="0" w:firstColumn="1" w:lastColumn="0" w:noHBand="0" w:noVBand="1"/>
      </w:tblPr>
      <w:tblGrid>
        <w:gridCol w:w="2096"/>
        <w:gridCol w:w="1014"/>
        <w:gridCol w:w="1103"/>
        <w:gridCol w:w="1014"/>
        <w:gridCol w:w="1014"/>
        <w:gridCol w:w="1280"/>
        <w:gridCol w:w="1371"/>
      </w:tblGrid>
      <w:tr w:rsidR="00D85E9E" w:rsidRPr="00720EF1" w14:paraId="2DEBD389" w14:textId="77777777" w:rsidTr="00D85E9E">
        <w:trPr>
          <w:trHeight w:val="287"/>
        </w:trPr>
        <w:tc>
          <w:tcPr>
            <w:tcW w:w="2096" w:type="dxa"/>
            <w:tcBorders>
              <w:top w:val="single" w:sz="12" w:space="0" w:color="auto"/>
              <w:left w:val="nil"/>
              <w:bottom w:val="single" w:sz="12" w:space="0" w:color="auto"/>
              <w:right w:val="nil"/>
            </w:tcBorders>
            <w:shd w:val="clear" w:color="auto" w:fill="auto"/>
            <w:noWrap/>
            <w:vAlign w:val="bottom"/>
            <w:hideMark/>
          </w:tcPr>
          <w:bookmarkEnd w:id="63"/>
          <w:p w14:paraId="0D6C7463" w14:textId="77777777" w:rsidR="00D85E9E" w:rsidRPr="00720EF1" w:rsidRDefault="00D85E9E" w:rsidP="00D85E9E">
            <w:pPr>
              <w:widowControl/>
              <w:jc w:val="left"/>
              <w:rPr>
                <w:kern w:val="0"/>
                <w:sz w:val="20"/>
              </w:rPr>
            </w:pPr>
            <w:r w:rsidRPr="00720EF1">
              <w:rPr>
                <w:kern w:val="0"/>
                <w:sz w:val="20"/>
              </w:rPr>
              <w:t>是否超过沪深</w:t>
            </w:r>
            <w:r w:rsidRPr="00720EF1">
              <w:rPr>
                <w:kern w:val="0"/>
                <w:sz w:val="20"/>
              </w:rPr>
              <w:t>300</w:t>
            </w:r>
            <w:r w:rsidRPr="00720EF1">
              <w:rPr>
                <w:kern w:val="0"/>
                <w:sz w:val="20"/>
              </w:rPr>
              <w:t>收益率</w:t>
            </w:r>
          </w:p>
        </w:tc>
        <w:tc>
          <w:tcPr>
            <w:tcW w:w="1014" w:type="dxa"/>
            <w:tcBorders>
              <w:top w:val="single" w:sz="12" w:space="0" w:color="auto"/>
              <w:left w:val="nil"/>
              <w:bottom w:val="single" w:sz="12" w:space="0" w:color="auto"/>
              <w:right w:val="nil"/>
            </w:tcBorders>
            <w:shd w:val="clear" w:color="auto" w:fill="auto"/>
            <w:noWrap/>
            <w:vAlign w:val="bottom"/>
            <w:hideMark/>
          </w:tcPr>
          <w:p w14:paraId="14B9BCBB" w14:textId="77777777" w:rsidR="00D85E9E" w:rsidRPr="00720EF1" w:rsidRDefault="00D85E9E" w:rsidP="00D85E9E">
            <w:pPr>
              <w:widowControl/>
              <w:jc w:val="center"/>
              <w:rPr>
                <w:kern w:val="0"/>
                <w:sz w:val="20"/>
              </w:rPr>
            </w:pPr>
            <w:r w:rsidRPr="00720EF1">
              <w:rPr>
                <w:kern w:val="0"/>
                <w:sz w:val="20"/>
              </w:rPr>
              <w:t>系数</w:t>
            </w:r>
          </w:p>
        </w:tc>
        <w:tc>
          <w:tcPr>
            <w:tcW w:w="1103" w:type="dxa"/>
            <w:tcBorders>
              <w:top w:val="single" w:sz="12" w:space="0" w:color="auto"/>
              <w:left w:val="nil"/>
              <w:bottom w:val="single" w:sz="12" w:space="0" w:color="auto"/>
              <w:right w:val="nil"/>
            </w:tcBorders>
            <w:shd w:val="clear" w:color="auto" w:fill="auto"/>
            <w:noWrap/>
            <w:vAlign w:val="bottom"/>
            <w:hideMark/>
          </w:tcPr>
          <w:p w14:paraId="3489FF57" w14:textId="77777777" w:rsidR="00D85E9E" w:rsidRPr="00720EF1" w:rsidRDefault="00D85E9E" w:rsidP="00D85E9E">
            <w:pPr>
              <w:widowControl/>
              <w:jc w:val="right"/>
              <w:rPr>
                <w:kern w:val="0"/>
                <w:sz w:val="20"/>
              </w:rPr>
            </w:pPr>
            <w:r w:rsidRPr="00720EF1">
              <w:rPr>
                <w:kern w:val="0"/>
                <w:sz w:val="20"/>
              </w:rPr>
              <w:t>标准差</w:t>
            </w:r>
          </w:p>
        </w:tc>
        <w:tc>
          <w:tcPr>
            <w:tcW w:w="1014" w:type="dxa"/>
            <w:tcBorders>
              <w:top w:val="single" w:sz="12" w:space="0" w:color="auto"/>
              <w:left w:val="nil"/>
              <w:bottom w:val="single" w:sz="12" w:space="0" w:color="auto"/>
              <w:right w:val="nil"/>
            </w:tcBorders>
            <w:shd w:val="clear" w:color="auto" w:fill="auto"/>
            <w:noWrap/>
            <w:vAlign w:val="bottom"/>
            <w:hideMark/>
          </w:tcPr>
          <w:p w14:paraId="2D15894B" w14:textId="77777777" w:rsidR="00D85E9E" w:rsidRPr="00720EF1" w:rsidRDefault="00D85E9E" w:rsidP="00D85E9E">
            <w:pPr>
              <w:widowControl/>
              <w:jc w:val="right"/>
              <w:rPr>
                <w:kern w:val="0"/>
                <w:sz w:val="20"/>
              </w:rPr>
            </w:pPr>
            <w:r w:rsidRPr="00720EF1">
              <w:rPr>
                <w:kern w:val="0"/>
                <w:sz w:val="20"/>
              </w:rPr>
              <w:t>z</w:t>
            </w:r>
            <w:r w:rsidRPr="00720EF1">
              <w:rPr>
                <w:kern w:val="0"/>
                <w:sz w:val="20"/>
              </w:rPr>
              <w:t>值</w:t>
            </w:r>
          </w:p>
        </w:tc>
        <w:tc>
          <w:tcPr>
            <w:tcW w:w="1014" w:type="dxa"/>
            <w:tcBorders>
              <w:top w:val="single" w:sz="12" w:space="0" w:color="auto"/>
              <w:left w:val="nil"/>
              <w:bottom w:val="single" w:sz="12" w:space="0" w:color="auto"/>
              <w:right w:val="nil"/>
            </w:tcBorders>
            <w:shd w:val="clear" w:color="auto" w:fill="auto"/>
            <w:noWrap/>
            <w:vAlign w:val="bottom"/>
            <w:hideMark/>
          </w:tcPr>
          <w:p w14:paraId="2E40D02C" w14:textId="77777777" w:rsidR="00D85E9E" w:rsidRPr="00720EF1" w:rsidRDefault="00D85E9E" w:rsidP="00D85E9E">
            <w:pPr>
              <w:widowControl/>
              <w:jc w:val="right"/>
              <w:rPr>
                <w:kern w:val="0"/>
                <w:sz w:val="20"/>
              </w:rPr>
            </w:pPr>
            <w:r w:rsidRPr="00720EF1">
              <w:rPr>
                <w:kern w:val="0"/>
                <w:sz w:val="20"/>
              </w:rPr>
              <w:t>P&gt;z</w:t>
            </w:r>
          </w:p>
        </w:tc>
        <w:tc>
          <w:tcPr>
            <w:tcW w:w="2651" w:type="dxa"/>
            <w:gridSpan w:val="2"/>
            <w:tcBorders>
              <w:top w:val="single" w:sz="12" w:space="0" w:color="auto"/>
              <w:left w:val="nil"/>
              <w:bottom w:val="single" w:sz="12" w:space="0" w:color="auto"/>
              <w:right w:val="nil"/>
            </w:tcBorders>
            <w:shd w:val="clear" w:color="auto" w:fill="auto"/>
            <w:noWrap/>
            <w:vAlign w:val="bottom"/>
            <w:hideMark/>
          </w:tcPr>
          <w:p w14:paraId="077EFE3B" w14:textId="77777777" w:rsidR="00D85E9E" w:rsidRPr="00720EF1" w:rsidRDefault="00D85E9E" w:rsidP="00D85E9E">
            <w:pPr>
              <w:widowControl/>
              <w:jc w:val="center"/>
              <w:rPr>
                <w:kern w:val="0"/>
                <w:sz w:val="20"/>
              </w:rPr>
            </w:pPr>
            <w:r w:rsidRPr="00720EF1">
              <w:rPr>
                <w:kern w:val="0"/>
                <w:sz w:val="20"/>
              </w:rPr>
              <w:t>95%</w:t>
            </w:r>
            <w:r w:rsidRPr="00720EF1">
              <w:rPr>
                <w:kern w:val="0"/>
                <w:sz w:val="20"/>
              </w:rPr>
              <w:t>置信区间</w:t>
            </w:r>
          </w:p>
        </w:tc>
      </w:tr>
      <w:tr w:rsidR="00D85E9E" w:rsidRPr="00720EF1" w14:paraId="7AF30140" w14:textId="77777777" w:rsidTr="00D85E9E">
        <w:trPr>
          <w:trHeight w:val="273"/>
        </w:trPr>
        <w:tc>
          <w:tcPr>
            <w:tcW w:w="2096" w:type="dxa"/>
            <w:tcBorders>
              <w:top w:val="nil"/>
              <w:left w:val="nil"/>
              <w:bottom w:val="nil"/>
              <w:right w:val="nil"/>
            </w:tcBorders>
            <w:shd w:val="clear" w:color="auto" w:fill="auto"/>
            <w:noWrap/>
            <w:vAlign w:val="bottom"/>
            <w:hideMark/>
          </w:tcPr>
          <w:p w14:paraId="4B1EE7CA" w14:textId="77777777" w:rsidR="00D85E9E" w:rsidRPr="00720EF1" w:rsidRDefault="00D85E9E" w:rsidP="00D85E9E">
            <w:pPr>
              <w:widowControl/>
              <w:jc w:val="left"/>
              <w:rPr>
                <w:kern w:val="0"/>
                <w:sz w:val="20"/>
              </w:rPr>
            </w:pPr>
            <w:r w:rsidRPr="00720EF1">
              <w:rPr>
                <w:kern w:val="0"/>
                <w:sz w:val="20"/>
              </w:rPr>
              <w:t>非系统风险</w:t>
            </w:r>
          </w:p>
        </w:tc>
        <w:tc>
          <w:tcPr>
            <w:tcW w:w="1014" w:type="dxa"/>
            <w:tcBorders>
              <w:top w:val="nil"/>
              <w:left w:val="nil"/>
              <w:bottom w:val="nil"/>
              <w:right w:val="nil"/>
            </w:tcBorders>
            <w:shd w:val="clear" w:color="auto" w:fill="auto"/>
            <w:noWrap/>
            <w:vAlign w:val="bottom"/>
            <w:hideMark/>
          </w:tcPr>
          <w:p w14:paraId="7BAF12FC" w14:textId="77777777" w:rsidR="00D85E9E" w:rsidRPr="00720EF1" w:rsidRDefault="00D85E9E" w:rsidP="00D85E9E">
            <w:pPr>
              <w:widowControl/>
              <w:jc w:val="center"/>
              <w:rPr>
                <w:kern w:val="0"/>
                <w:sz w:val="20"/>
              </w:rPr>
            </w:pPr>
            <w:r w:rsidRPr="00720EF1">
              <w:rPr>
                <w:kern w:val="0"/>
                <w:sz w:val="20"/>
              </w:rPr>
              <w:t xml:space="preserve">   87.7506 </w:t>
            </w:r>
          </w:p>
        </w:tc>
        <w:tc>
          <w:tcPr>
            <w:tcW w:w="1103" w:type="dxa"/>
            <w:tcBorders>
              <w:top w:val="nil"/>
              <w:left w:val="nil"/>
              <w:bottom w:val="nil"/>
              <w:right w:val="nil"/>
            </w:tcBorders>
            <w:shd w:val="clear" w:color="auto" w:fill="auto"/>
            <w:noWrap/>
            <w:vAlign w:val="bottom"/>
            <w:hideMark/>
          </w:tcPr>
          <w:p w14:paraId="06784F40" w14:textId="77777777" w:rsidR="00D85E9E" w:rsidRPr="00720EF1" w:rsidRDefault="00D85E9E" w:rsidP="00D85E9E">
            <w:pPr>
              <w:widowControl/>
              <w:jc w:val="right"/>
              <w:rPr>
                <w:kern w:val="0"/>
                <w:sz w:val="20"/>
              </w:rPr>
            </w:pPr>
            <w:r w:rsidRPr="00720EF1">
              <w:rPr>
                <w:kern w:val="0"/>
                <w:sz w:val="20"/>
              </w:rPr>
              <w:t xml:space="preserve">    29.8654 </w:t>
            </w:r>
          </w:p>
        </w:tc>
        <w:tc>
          <w:tcPr>
            <w:tcW w:w="1014" w:type="dxa"/>
            <w:tcBorders>
              <w:top w:val="nil"/>
              <w:left w:val="nil"/>
              <w:bottom w:val="nil"/>
              <w:right w:val="nil"/>
            </w:tcBorders>
            <w:shd w:val="clear" w:color="auto" w:fill="auto"/>
            <w:noWrap/>
            <w:vAlign w:val="bottom"/>
            <w:hideMark/>
          </w:tcPr>
          <w:p w14:paraId="50850DE9" w14:textId="77777777" w:rsidR="00D85E9E" w:rsidRPr="00720EF1" w:rsidRDefault="00D85E9E" w:rsidP="00D85E9E">
            <w:pPr>
              <w:widowControl/>
              <w:jc w:val="right"/>
              <w:rPr>
                <w:kern w:val="0"/>
                <w:sz w:val="20"/>
              </w:rPr>
            </w:pPr>
            <w:r w:rsidRPr="00720EF1">
              <w:rPr>
                <w:kern w:val="0"/>
                <w:sz w:val="20"/>
              </w:rPr>
              <w:t xml:space="preserve">     2.9400 </w:t>
            </w:r>
          </w:p>
        </w:tc>
        <w:tc>
          <w:tcPr>
            <w:tcW w:w="1014" w:type="dxa"/>
            <w:tcBorders>
              <w:top w:val="nil"/>
              <w:left w:val="nil"/>
              <w:bottom w:val="nil"/>
              <w:right w:val="nil"/>
            </w:tcBorders>
            <w:shd w:val="clear" w:color="auto" w:fill="auto"/>
            <w:noWrap/>
            <w:vAlign w:val="bottom"/>
            <w:hideMark/>
          </w:tcPr>
          <w:p w14:paraId="1B737E4F" w14:textId="77777777" w:rsidR="00D85E9E" w:rsidRPr="00720EF1" w:rsidRDefault="00D85E9E" w:rsidP="00D85E9E">
            <w:pPr>
              <w:widowControl/>
              <w:jc w:val="right"/>
              <w:rPr>
                <w:kern w:val="0"/>
                <w:sz w:val="20"/>
              </w:rPr>
            </w:pPr>
            <w:r w:rsidRPr="00720EF1">
              <w:rPr>
                <w:kern w:val="0"/>
                <w:sz w:val="20"/>
              </w:rPr>
              <w:t xml:space="preserve">     0.0030 </w:t>
            </w:r>
          </w:p>
        </w:tc>
        <w:tc>
          <w:tcPr>
            <w:tcW w:w="1280" w:type="dxa"/>
            <w:tcBorders>
              <w:top w:val="nil"/>
              <w:left w:val="nil"/>
              <w:bottom w:val="nil"/>
              <w:right w:val="nil"/>
            </w:tcBorders>
            <w:shd w:val="clear" w:color="auto" w:fill="auto"/>
            <w:noWrap/>
            <w:vAlign w:val="bottom"/>
            <w:hideMark/>
          </w:tcPr>
          <w:p w14:paraId="38C16E4C" w14:textId="77777777" w:rsidR="00D85E9E" w:rsidRPr="00720EF1" w:rsidRDefault="00D85E9E" w:rsidP="00D85E9E">
            <w:pPr>
              <w:widowControl/>
              <w:jc w:val="right"/>
              <w:rPr>
                <w:kern w:val="0"/>
                <w:sz w:val="20"/>
              </w:rPr>
            </w:pPr>
            <w:r w:rsidRPr="00720EF1">
              <w:rPr>
                <w:kern w:val="0"/>
                <w:sz w:val="20"/>
              </w:rPr>
              <w:t xml:space="preserve">      29.2154 </w:t>
            </w:r>
          </w:p>
        </w:tc>
        <w:tc>
          <w:tcPr>
            <w:tcW w:w="1371" w:type="dxa"/>
            <w:tcBorders>
              <w:top w:val="nil"/>
              <w:left w:val="nil"/>
              <w:bottom w:val="nil"/>
              <w:right w:val="nil"/>
            </w:tcBorders>
            <w:shd w:val="clear" w:color="auto" w:fill="auto"/>
            <w:noWrap/>
            <w:vAlign w:val="bottom"/>
            <w:hideMark/>
          </w:tcPr>
          <w:p w14:paraId="6FB12C07" w14:textId="77777777" w:rsidR="00D85E9E" w:rsidRPr="00720EF1" w:rsidRDefault="00D85E9E" w:rsidP="00D85E9E">
            <w:pPr>
              <w:widowControl/>
              <w:jc w:val="right"/>
              <w:rPr>
                <w:kern w:val="0"/>
                <w:sz w:val="20"/>
              </w:rPr>
            </w:pPr>
            <w:r w:rsidRPr="00720EF1">
              <w:rPr>
                <w:kern w:val="0"/>
                <w:sz w:val="20"/>
              </w:rPr>
              <w:t xml:space="preserve">     146.2857 </w:t>
            </w:r>
          </w:p>
        </w:tc>
      </w:tr>
      <w:tr w:rsidR="00D85E9E" w:rsidRPr="00720EF1" w14:paraId="4AC7C494" w14:textId="77777777" w:rsidTr="00D85E9E">
        <w:trPr>
          <w:trHeight w:val="259"/>
        </w:trPr>
        <w:tc>
          <w:tcPr>
            <w:tcW w:w="2096" w:type="dxa"/>
            <w:tcBorders>
              <w:top w:val="nil"/>
              <w:left w:val="nil"/>
              <w:bottom w:val="nil"/>
              <w:right w:val="nil"/>
            </w:tcBorders>
            <w:shd w:val="clear" w:color="auto" w:fill="auto"/>
            <w:noWrap/>
            <w:vAlign w:val="bottom"/>
            <w:hideMark/>
          </w:tcPr>
          <w:p w14:paraId="5783E611" w14:textId="77777777" w:rsidR="00D85E9E" w:rsidRPr="00720EF1" w:rsidRDefault="00D85E9E" w:rsidP="00D85E9E">
            <w:pPr>
              <w:widowControl/>
              <w:jc w:val="left"/>
              <w:rPr>
                <w:kern w:val="0"/>
                <w:sz w:val="20"/>
              </w:rPr>
            </w:pPr>
            <w:r w:rsidRPr="00720EF1">
              <w:rPr>
                <w:kern w:val="0"/>
                <w:sz w:val="20"/>
              </w:rPr>
              <w:t>基金规模单位亿元</w:t>
            </w:r>
          </w:p>
        </w:tc>
        <w:tc>
          <w:tcPr>
            <w:tcW w:w="1014" w:type="dxa"/>
            <w:tcBorders>
              <w:top w:val="nil"/>
              <w:left w:val="nil"/>
              <w:bottom w:val="nil"/>
              <w:right w:val="nil"/>
            </w:tcBorders>
            <w:shd w:val="clear" w:color="auto" w:fill="auto"/>
            <w:noWrap/>
            <w:vAlign w:val="bottom"/>
            <w:hideMark/>
          </w:tcPr>
          <w:p w14:paraId="7A1DF0B7" w14:textId="77777777" w:rsidR="00D85E9E" w:rsidRPr="00720EF1" w:rsidRDefault="00D85E9E" w:rsidP="00D85E9E">
            <w:pPr>
              <w:widowControl/>
              <w:jc w:val="center"/>
              <w:rPr>
                <w:kern w:val="0"/>
                <w:sz w:val="20"/>
              </w:rPr>
            </w:pPr>
            <w:r w:rsidRPr="00720EF1">
              <w:rPr>
                <w:kern w:val="0"/>
                <w:sz w:val="20"/>
              </w:rPr>
              <w:t xml:space="preserve">     0.0026 </w:t>
            </w:r>
          </w:p>
        </w:tc>
        <w:tc>
          <w:tcPr>
            <w:tcW w:w="1103" w:type="dxa"/>
            <w:tcBorders>
              <w:top w:val="nil"/>
              <w:left w:val="nil"/>
              <w:bottom w:val="nil"/>
              <w:right w:val="nil"/>
            </w:tcBorders>
            <w:shd w:val="clear" w:color="auto" w:fill="auto"/>
            <w:noWrap/>
            <w:vAlign w:val="bottom"/>
            <w:hideMark/>
          </w:tcPr>
          <w:p w14:paraId="69A894D0" w14:textId="77777777" w:rsidR="00D85E9E" w:rsidRPr="00720EF1" w:rsidRDefault="00D85E9E" w:rsidP="00D85E9E">
            <w:pPr>
              <w:widowControl/>
              <w:jc w:val="right"/>
              <w:rPr>
                <w:kern w:val="0"/>
                <w:sz w:val="20"/>
              </w:rPr>
            </w:pPr>
            <w:r w:rsidRPr="00720EF1">
              <w:rPr>
                <w:kern w:val="0"/>
                <w:sz w:val="20"/>
              </w:rPr>
              <w:t xml:space="preserve">      0.0133 </w:t>
            </w:r>
          </w:p>
        </w:tc>
        <w:tc>
          <w:tcPr>
            <w:tcW w:w="1014" w:type="dxa"/>
            <w:tcBorders>
              <w:top w:val="nil"/>
              <w:left w:val="nil"/>
              <w:bottom w:val="nil"/>
              <w:right w:val="nil"/>
            </w:tcBorders>
            <w:shd w:val="clear" w:color="auto" w:fill="auto"/>
            <w:noWrap/>
            <w:vAlign w:val="bottom"/>
            <w:hideMark/>
          </w:tcPr>
          <w:p w14:paraId="0361E4FB" w14:textId="77777777" w:rsidR="00D85E9E" w:rsidRPr="00720EF1" w:rsidRDefault="00D85E9E" w:rsidP="00D85E9E">
            <w:pPr>
              <w:widowControl/>
              <w:jc w:val="right"/>
              <w:rPr>
                <w:kern w:val="0"/>
                <w:sz w:val="20"/>
              </w:rPr>
            </w:pPr>
            <w:r w:rsidRPr="00720EF1">
              <w:rPr>
                <w:kern w:val="0"/>
                <w:sz w:val="20"/>
              </w:rPr>
              <w:t xml:space="preserve">     0.1900 </w:t>
            </w:r>
          </w:p>
        </w:tc>
        <w:tc>
          <w:tcPr>
            <w:tcW w:w="1014" w:type="dxa"/>
            <w:tcBorders>
              <w:top w:val="nil"/>
              <w:left w:val="nil"/>
              <w:bottom w:val="nil"/>
              <w:right w:val="nil"/>
            </w:tcBorders>
            <w:shd w:val="clear" w:color="auto" w:fill="auto"/>
            <w:noWrap/>
            <w:vAlign w:val="bottom"/>
            <w:hideMark/>
          </w:tcPr>
          <w:p w14:paraId="5D9A167F" w14:textId="77777777" w:rsidR="00D85E9E" w:rsidRPr="00720EF1" w:rsidRDefault="00D85E9E" w:rsidP="00D85E9E">
            <w:pPr>
              <w:widowControl/>
              <w:jc w:val="right"/>
              <w:rPr>
                <w:kern w:val="0"/>
                <w:sz w:val="20"/>
              </w:rPr>
            </w:pPr>
            <w:r w:rsidRPr="00720EF1">
              <w:rPr>
                <w:kern w:val="0"/>
                <w:sz w:val="20"/>
              </w:rPr>
              <w:t xml:space="preserve">     0.8470 </w:t>
            </w:r>
          </w:p>
        </w:tc>
        <w:tc>
          <w:tcPr>
            <w:tcW w:w="1280" w:type="dxa"/>
            <w:tcBorders>
              <w:top w:val="nil"/>
              <w:left w:val="nil"/>
              <w:bottom w:val="nil"/>
              <w:right w:val="nil"/>
            </w:tcBorders>
            <w:shd w:val="clear" w:color="auto" w:fill="auto"/>
            <w:noWrap/>
            <w:vAlign w:val="bottom"/>
            <w:hideMark/>
          </w:tcPr>
          <w:p w14:paraId="7B5DF181" w14:textId="77777777" w:rsidR="00D85E9E" w:rsidRPr="00720EF1" w:rsidRDefault="00D85E9E" w:rsidP="00D85E9E">
            <w:pPr>
              <w:widowControl/>
              <w:jc w:val="right"/>
              <w:rPr>
                <w:kern w:val="0"/>
                <w:sz w:val="20"/>
              </w:rPr>
            </w:pPr>
            <w:r w:rsidRPr="00720EF1">
              <w:rPr>
                <w:kern w:val="0"/>
                <w:sz w:val="20"/>
              </w:rPr>
              <w:t xml:space="preserve">      -0.0235 </w:t>
            </w:r>
          </w:p>
        </w:tc>
        <w:tc>
          <w:tcPr>
            <w:tcW w:w="1371" w:type="dxa"/>
            <w:tcBorders>
              <w:top w:val="nil"/>
              <w:left w:val="nil"/>
              <w:bottom w:val="nil"/>
              <w:right w:val="nil"/>
            </w:tcBorders>
            <w:shd w:val="clear" w:color="auto" w:fill="auto"/>
            <w:noWrap/>
            <w:vAlign w:val="bottom"/>
            <w:hideMark/>
          </w:tcPr>
          <w:p w14:paraId="5E06ED3A" w14:textId="77777777" w:rsidR="00D85E9E" w:rsidRPr="00720EF1" w:rsidRDefault="00D85E9E" w:rsidP="00D85E9E">
            <w:pPr>
              <w:widowControl/>
              <w:jc w:val="right"/>
              <w:rPr>
                <w:kern w:val="0"/>
                <w:sz w:val="20"/>
              </w:rPr>
            </w:pPr>
            <w:r w:rsidRPr="00720EF1">
              <w:rPr>
                <w:kern w:val="0"/>
                <w:sz w:val="20"/>
              </w:rPr>
              <w:t xml:space="preserve">         0.0286 </w:t>
            </w:r>
          </w:p>
        </w:tc>
      </w:tr>
      <w:tr w:rsidR="00D85E9E" w:rsidRPr="00720EF1" w14:paraId="61842BB8" w14:textId="77777777" w:rsidTr="00D85E9E">
        <w:trPr>
          <w:trHeight w:val="259"/>
        </w:trPr>
        <w:tc>
          <w:tcPr>
            <w:tcW w:w="2096" w:type="dxa"/>
            <w:tcBorders>
              <w:top w:val="nil"/>
              <w:left w:val="nil"/>
              <w:bottom w:val="nil"/>
              <w:right w:val="nil"/>
            </w:tcBorders>
            <w:shd w:val="clear" w:color="auto" w:fill="auto"/>
            <w:noWrap/>
            <w:vAlign w:val="bottom"/>
            <w:hideMark/>
          </w:tcPr>
          <w:p w14:paraId="6CCD3AEE" w14:textId="77777777" w:rsidR="00D85E9E" w:rsidRPr="00720EF1" w:rsidRDefault="00D85E9E" w:rsidP="00D85E9E">
            <w:pPr>
              <w:widowControl/>
              <w:jc w:val="left"/>
              <w:rPr>
                <w:kern w:val="0"/>
                <w:sz w:val="20"/>
              </w:rPr>
            </w:pPr>
            <w:r w:rsidRPr="00720EF1">
              <w:rPr>
                <w:kern w:val="0"/>
                <w:sz w:val="20"/>
              </w:rPr>
              <w:t>成立年限</w:t>
            </w:r>
          </w:p>
        </w:tc>
        <w:tc>
          <w:tcPr>
            <w:tcW w:w="1014" w:type="dxa"/>
            <w:tcBorders>
              <w:top w:val="nil"/>
              <w:left w:val="nil"/>
              <w:bottom w:val="nil"/>
              <w:right w:val="nil"/>
            </w:tcBorders>
            <w:shd w:val="clear" w:color="auto" w:fill="auto"/>
            <w:noWrap/>
            <w:vAlign w:val="bottom"/>
            <w:hideMark/>
          </w:tcPr>
          <w:p w14:paraId="185A9C26" w14:textId="77777777" w:rsidR="00D85E9E" w:rsidRPr="00720EF1" w:rsidRDefault="00D85E9E" w:rsidP="00D85E9E">
            <w:pPr>
              <w:widowControl/>
              <w:jc w:val="center"/>
              <w:rPr>
                <w:kern w:val="0"/>
                <w:sz w:val="20"/>
              </w:rPr>
            </w:pPr>
            <w:r w:rsidRPr="00720EF1">
              <w:rPr>
                <w:kern w:val="0"/>
                <w:sz w:val="20"/>
              </w:rPr>
              <w:t xml:space="preserve">     0.8233 </w:t>
            </w:r>
          </w:p>
        </w:tc>
        <w:tc>
          <w:tcPr>
            <w:tcW w:w="1103" w:type="dxa"/>
            <w:tcBorders>
              <w:top w:val="nil"/>
              <w:left w:val="nil"/>
              <w:bottom w:val="nil"/>
              <w:right w:val="nil"/>
            </w:tcBorders>
            <w:shd w:val="clear" w:color="auto" w:fill="auto"/>
            <w:noWrap/>
            <w:vAlign w:val="bottom"/>
            <w:hideMark/>
          </w:tcPr>
          <w:p w14:paraId="67250FA1" w14:textId="77777777" w:rsidR="00D85E9E" w:rsidRPr="00720EF1" w:rsidRDefault="00D85E9E" w:rsidP="00D85E9E">
            <w:pPr>
              <w:widowControl/>
              <w:jc w:val="right"/>
              <w:rPr>
                <w:kern w:val="0"/>
                <w:sz w:val="20"/>
              </w:rPr>
            </w:pPr>
            <w:r w:rsidRPr="00720EF1">
              <w:rPr>
                <w:kern w:val="0"/>
                <w:sz w:val="20"/>
              </w:rPr>
              <w:t xml:space="preserve">      0.2790 </w:t>
            </w:r>
          </w:p>
        </w:tc>
        <w:tc>
          <w:tcPr>
            <w:tcW w:w="1014" w:type="dxa"/>
            <w:tcBorders>
              <w:top w:val="nil"/>
              <w:left w:val="nil"/>
              <w:bottom w:val="nil"/>
              <w:right w:val="nil"/>
            </w:tcBorders>
            <w:shd w:val="clear" w:color="auto" w:fill="auto"/>
            <w:noWrap/>
            <w:vAlign w:val="bottom"/>
            <w:hideMark/>
          </w:tcPr>
          <w:p w14:paraId="13D58BAD" w14:textId="77777777" w:rsidR="00D85E9E" w:rsidRPr="00720EF1" w:rsidRDefault="00D85E9E" w:rsidP="00D85E9E">
            <w:pPr>
              <w:widowControl/>
              <w:jc w:val="right"/>
              <w:rPr>
                <w:kern w:val="0"/>
                <w:sz w:val="20"/>
              </w:rPr>
            </w:pPr>
            <w:r w:rsidRPr="00720EF1">
              <w:rPr>
                <w:kern w:val="0"/>
                <w:sz w:val="20"/>
              </w:rPr>
              <w:t xml:space="preserve">     2.9500 </w:t>
            </w:r>
          </w:p>
        </w:tc>
        <w:tc>
          <w:tcPr>
            <w:tcW w:w="1014" w:type="dxa"/>
            <w:tcBorders>
              <w:top w:val="nil"/>
              <w:left w:val="nil"/>
              <w:bottom w:val="nil"/>
              <w:right w:val="nil"/>
            </w:tcBorders>
            <w:shd w:val="clear" w:color="auto" w:fill="auto"/>
            <w:noWrap/>
            <w:vAlign w:val="bottom"/>
            <w:hideMark/>
          </w:tcPr>
          <w:p w14:paraId="025C2CD1" w14:textId="77777777" w:rsidR="00D85E9E" w:rsidRPr="00720EF1" w:rsidRDefault="00D85E9E" w:rsidP="00D85E9E">
            <w:pPr>
              <w:widowControl/>
              <w:jc w:val="right"/>
              <w:rPr>
                <w:kern w:val="0"/>
                <w:sz w:val="20"/>
              </w:rPr>
            </w:pPr>
            <w:r w:rsidRPr="00720EF1">
              <w:rPr>
                <w:kern w:val="0"/>
                <w:sz w:val="20"/>
              </w:rPr>
              <w:t xml:space="preserve">     0.0030 </w:t>
            </w:r>
          </w:p>
        </w:tc>
        <w:tc>
          <w:tcPr>
            <w:tcW w:w="1280" w:type="dxa"/>
            <w:tcBorders>
              <w:top w:val="nil"/>
              <w:left w:val="nil"/>
              <w:bottom w:val="nil"/>
              <w:right w:val="nil"/>
            </w:tcBorders>
            <w:shd w:val="clear" w:color="auto" w:fill="auto"/>
            <w:noWrap/>
            <w:vAlign w:val="bottom"/>
            <w:hideMark/>
          </w:tcPr>
          <w:p w14:paraId="252FED8C" w14:textId="77777777" w:rsidR="00D85E9E" w:rsidRPr="00720EF1" w:rsidRDefault="00D85E9E" w:rsidP="00D85E9E">
            <w:pPr>
              <w:widowControl/>
              <w:jc w:val="right"/>
              <w:rPr>
                <w:kern w:val="0"/>
                <w:sz w:val="20"/>
              </w:rPr>
            </w:pPr>
            <w:r w:rsidRPr="00720EF1">
              <w:rPr>
                <w:kern w:val="0"/>
                <w:sz w:val="20"/>
              </w:rPr>
              <w:t xml:space="preserve">        0.2764 </w:t>
            </w:r>
          </w:p>
        </w:tc>
        <w:tc>
          <w:tcPr>
            <w:tcW w:w="1371" w:type="dxa"/>
            <w:tcBorders>
              <w:top w:val="nil"/>
              <w:left w:val="nil"/>
              <w:bottom w:val="nil"/>
              <w:right w:val="nil"/>
            </w:tcBorders>
            <w:shd w:val="clear" w:color="auto" w:fill="auto"/>
            <w:noWrap/>
            <w:vAlign w:val="bottom"/>
            <w:hideMark/>
          </w:tcPr>
          <w:p w14:paraId="3AB8E05D" w14:textId="77777777" w:rsidR="00D85E9E" w:rsidRPr="00720EF1" w:rsidRDefault="00D85E9E" w:rsidP="00D85E9E">
            <w:pPr>
              <w:widowControl/>
              <w:jc w:val="right"/>
              <w:rPr>
                <w:kern w:val="0"/>
                <w:sz w:val="20"/>
              </w:rPr>
            </w:pPr>
            <w:r w:rsidRPr="00720EF1">
              <w:rPr>
                <w:kern w:val="0"/>
                <w:sz w:val="20"/>
              </w:rPr>
              <w:t xml:space="preserve">         1.3701 </w:t>
            </w:r>
          </w:p>
        </w:tc>
      </w:tr>
      <w:tr w:rsidR="00D85E9E" w:rsidRPr="00720EF1" w14:paraId="48111463" w14:textId="77777777" w:rsidTr="00D85E9E">
        <w:trPr>
          <w:trHeight w:val="259"/>
        </w:trPr>
        <w:tc>
          <w:tcPr>
            <w:tcW w:w="2096" w:type="dxa"/>
            <w:tcBorders>
              <w:top w:val="nil"/>
              <w:left w:val="nil"/>
              <w:bottom w:val="nil"/>
              <w:right w:val="nil"/>
            </w:tcBorders>
            <w:shd w:val="clear" w:color="auto" w:fill="auto"/>
            <w:noWrap/>
            <w:vAlign w:val="bottom"/>
            <w:hideMark/>
          </w:tcPr>
          <w:p w14:paraId="268E2D2D" w14:textId="77777777" w:rsidR="00D85E9E" w:rsidRPr="00720EF1" w:rsidRDefault="00D85E9E" w:rsidP="00D85E9E">
            <w:pPr>
              <w:widowControl/>
              <w:jc w:val="left"/>
              <w:rPr>
                <w:kern w:val="0"/>
                <w:sz w:val="20"/>
              </w:rPr>
            </w:pPr>
            <w:r w:rsidRPr="00720EF1">
              <w:rPr>
                <w:kern w:val="0"/>
                <w:sz w:val="20"/>
              </w:rPr>
              <w:t>是否为碳中和</w:t>
            </w:r>
          </w:p>
        </w:tc>
        <w:tc>
          <w:tcPr>
            <w:tcW w:w="1014" w:type="dxa"/>
            <w:tcBorders>
              <w:top w:val="nil"/>
              <w:left w:val="nil"/>
              <w:bottom w:val="nil"/>
              <w:right w:val="nil"/>
            </w:tcBorders>
            <w:shd w:val="clear" w:color="auto" w:fill="auto"/>
            <w:noWrap/>
            <w:vAlign w:val="bottom"/>
            <w:hideMark/>
          </w:tcPr>
          <w:p w14:paraId="3767F070" w14:textId="77777777" w:rsidR="00D85E9E" w:rsidRPr="00720EF1" w:rsidRDefault="00D85E9E" w:rsidP="00D85E9E">
            <w:pPr>
              <w:widowControl/>
              <w:jc w:val="center"/>
              <w:rPr>
                <w:kern w:val="0"/>
                <w:sz w:val="20"/>
              </w:rPr>
            </w:pPr>
            <w:r w:rsidRPr="00720EF1">
              <w:rPr>
                <w:kern w:val="0"/>
                <w:sz w:val="20"/>
              </w:rPr>
              <w:t xml:space="preserve">     1.2564 </w:t>
            </w:r>
          </w:p>
        </w:tc>
        <w:tc>
          <w:tcPr>
            <w:tcW w:w="1103" w:type="dxa"/>
            <w:tcBorders>
              <w:top w:val="nil"/>
              <w:left w:val="nil"/>
              <w:bottom w:val="nil"/>
              <w:right w:val="nil"/>
            </w:tcBorders>
            <w:shd w:val="clear" w:color="auto" w:fill="auto"/>
            <w:noWrap/>
            <w:vAlign w:val="bottom"/>
            <w:hideMark/>
          </w:tcPr>
          <w:p w14:paraId="297FD168" w14:textId="77777777" w:rsidR="00D85E9E" w:rsidRPr="00720EF1" w:rsidRDefault="00D85E9E" w:rsidP="00D85E9E">
            <w:pPr>
              <w:widowControl/>
              <w:jc w:val="right"/>
              <w:rPr>
                <w:kern w:val="0"/>
                <w:sz w:val="20"/>
              </w:rPr>
            </w:pPr>
            <w:r w:rsidRPr="00720EF1">
              <w:rPr>
                <w:kern w:val="0"/>
                <w:sz w:val="20"/>
              </w:rPr>
              <w:t xml:space="preserve">      0.4497 </w:t>
            </w:r>
          </w:p>
        </w:tc>
        <w:tc>
          <w:tcPr>
            <w:tcW w:w="1014" w:type="dxa"/>
            <w:tcBorders>
              <w:top w:val="nil"/>
              <w:left w:val="nil"/>
              <w:bottom w:val="nil"/>
              <w:right w:val="nil"/>
            </w:tcBorders>
            <w:shd w:val="clear" w:color="auto" w:fill="auto"/>
            <w:noWrap/>
            <w:vAlign w:val="bottom"/>
            <w:hideMark/>
          </w:tcPr>
          <w:p w14:paraId="279138A8" w14:textId="77777777" w:rsidR="00D85E9E" w:rsidRPr="00720EF1" w:rsidRDefault="00D85E9E" w:rsidP="00D85E9E">
            <w:pPr>
              <w:widowControl/>
              <w:jc w:val="right"/>
              <w:rPr>
                <w:kern w:val="0"/>
                <w:sz w:val="20"/>
              </w:rPr>
            </w:pPr>
            <w:r w:rsidRPr="00720EF1">
              <w:rPr>
                <w:kern w:val="0"/>
                <w:sz w:val="20"/>
              </w:rPr>
              <w:t xml:space="preserve">     2.7900 </w:t>
            </w:r>
          </w:p>
        </w:tc>
        <w:tc>
          <w:tcPr>
            <w:tcW w:w="1014" w:type="dxa"/>
            <w:tcBorders>
              <w:top w:val="nil"/>
              <w:left w:val="nil"/>
              <w:bottom w:val="nil"/>
              <w:right w:val="nil"/>
            </w:tcBorders>
            <w:shd w:val="clear" w:color="auto" w:fill="auto"/>
            <w:noWrap/>
            <w:vAlign w:val="bottom"/>
            <w:hideMark/>
          </w:tcPr>
          <w:p w14:paraId="09374F83" w14:textId="77777777" w:rsidR="00D85E9E" w:rsidRPr="00720EF1" w:rsidRDefault="00D85E9E" w:rsidP="00D85E9E">
            <w:pPr>
              <w:widowControl/>
              <w:jc w:val="right"/>
              <w:rPr>
                <w:kern w:val="0"/>
                <w:sz w:val="20"/>
              </w:rPr>
            </w:pPr>
            <w:r w:rsidRPr="00720EF1">
              <w:rPr>
                <w:kern w:val="0"/>
                <w:sz w:val="20"/>
              </w:rPr>
              <w:t xml:space="preserve">     0.0050 </w:t>
            </w:r>
          </w:p>
        </w:tc>
        <w:tc>
          <w:tcPr>
            <w:tcW w:w="1280" w:type="dxa"/>
            <w:tcBorders>
              <w:top w:val="nil"/>
              <w:left w:val="nil"/>
              <w:bottom w:val="nil"/>
              <w:right w:val="nil"/>
            </w:tcBorders>
            <w:shd w:val="clear" w:color="auto" w:fill="auto"/>
            <w:noWrap/>
            <w:vAlign w:val="bottom"/>
            <w:hideMark/>
          </w:tcPr>
          <w:p w14:paraId="29F21D32" w14:textId="77777777" w:rsidR="00D85E9E" w:rsidRPr="00720EF1" w:rsidRDefault="00D85E9E" w:rsidP="00D85E9E">
            <w:pPr>
              <w:widowControl/>
              <w:jc w:val="right"/>
              <w:rPr>
                <w:kern w:val="0"/>
                <w:sz w:val="20"/>
              </w:rPr>
            </w:pPr>
            <w:r w:rsidRPr="00720EF1">
              <w:rPr>
                <w:kern w:val="0"/>
                <w:sz w:val="20"/>
              </w:rPr>
              <w:t xml:space="preserve">        0.3750 </w:t>
            </w:r>
          </w:p>
        </w:tc>
        <w:tc>
          <w:tcPr>
            <w:tcW w:w="1371" w:type="dxa"/>
            <w:tcBorders>
              <w:top w:val="nil"/>
              <w:left w:val="nil"/>
              <w:bottom w:val="nil"/>
              <w:right w:val="nil"/>
            </w:tcBorders>
            <w:shd w:val="clear" w:color="auto" w:fill="auto"/>
            <w:noWrap/>
            <w:vAlign w:val="bottom"/>
            <w:hideMark/>
          </w:tcPr>
          <w:p w14:paraId="4856E161" w14:textId="77777777" w:rsidR="00D85E9E" w:rsidRPr="00720EF1" w:rsidRDefault="00D85E9E" w:rsidP="00D85E9E">
            <w:pPr>
              <w:widowControl/>
              <w:jc w:val="right"/>
              <w:rPr>
                <w:kern w:val="0"/>
                <w:sz w:val="20"/>
              </w:rPr>
            </w:pPr>
            <w:r w:rsidRPr="00720EF1">
              <w:rPr>
                <w:kern w:val="0"/>
                <w:sz w:val="20"/>
              </w:rPr>
              <w:t xml:space="preserve">         2.1377 </w:t>
            </w:r>
          </w:p>
        </w:tc>
      </w:tr>
      <w:tr w:rsidR="00D85E9E" w:rsidRPr="00720EF1" w14:paraId="718AD87C" w14:textId="77777777" w:rsidTr="00D85E9E">
        <w:trPr>
          <w:trHeight w:val="259"/>
        </w:trPr>
        <w:tc>
          <w:tcPr>
            <w:tcW w:w="2096" w:type="dxa"/>
            <w:tcBorders>
              <w:top w:val="nil"/>
              <w:left w:val="nil"/>
              <w:bottom w:val="nil"/>
              <w:right w:val="nil"/>
            </w:tcBorders>
            <w:shd w:val="clear" w:color="auto" w:fill="auto"/>
            <w:noWrap/>
            <w:vAlign w:val="bottom"/>
            <w:hideMark/>
          </w:tcPr>
          <w:p w14:paraId="5248051D" w14:textId="77777777" w:rsidR="00D85E9E" w:rsidRPr="00720EF1" w:rsidRDefault="00D85E9E" w:rsidP="00D85E9E">
            <w:pPr>
              <w:widowControl/>
              <w:jc w:val="left"/>
              <w:rPr>
                <w:kern w:val="0"/>
                <w:sz w:val="20"/>
              </w:rPr>
            </w:pPr>
            <w:bookmarkStart w:id="64" w:name="_Hlk103641650"/>
            <w:r w:rsidRPr="00720EF1">
              <w:rPr>
                <w:kern w:val="0"/>
                <w:sz w:val="20"/>
              </w:rPr>
              <w:t>重仓股票</w:t>
            </w:r>
            <w:r w:rsidRPr="00720EF1">
              <w:rPr>
                <w:kern w:val="0"/>
                <w:sz w:val="20"/>
              </w:rPr>
              <w:t>ESG</w:t>
            </w:r>
            <w:r w:rsidRPr="00720EF1">
              <w:rPr>
                <w:kern w:val="0"/>
                <w:sz w:val="20"/>
              </w:rPr>
              <w:t>评分</w:t>
            </w:r>
            <w:bookmarkEnd w:id="64"/>
          </w:p>
        </w:tc>
        <w:tc>
          <w:tcPr>
            <w:tcW w:w="1014" w:type="dxa"/>
            <w:tcBorders>
              <w:top w:val="nil"/>
              <w:left w:val="nil"/>
              <w:bottom w:val="nil"/>
              <w:right w:val="nil"/>
            </w:tcBorders>
            <w:shd w:val="clear" w:color="auto" w:fill="auto"/>
            <w:noWrap/>
            <w:vAlign w:val="bottom"/>
            <w:hideMark/>
          </w:tcPr>
          <w:p w14:paraId="2FF8F9A3" w14:textId="77777777" w:rsidR="00D85E9E" w:rsidRPr="00720EF1" w:rsidRDefault="00D85E9E" w:rsidP="00D85E9E">
            <w:pPr>
              <w:widowControl/>
              <w:jc w:val="center"/>
              <w:rPr>
                <w:kern w:val="0"/>
                <w:sz w:val="20"/>
              </w:rPr>
            </w:pPr>
            <w:r w:rsidRPr="00720EF1">
              <w:rPr>
                <w:kern w:val="0"/>
                <w:sz w:val="20"/>
              </w:rPr>
              <w:t xml:space="preserve">     0.1670 </w:t>
            </w:r>
          </w:p>
        </w:tc>
        <w:tc>
          <w:tcPr>
            <w:tcW w:w="1103" w:type="dxa"/>
            <w:tcBorders>
              <w:top w:val="nil"/>
              <w:left w:val="nil"/>
              <w:bottom w:val="nil"/>
              <w:right w:val="nil"/>
            </w:tcBorders>
            <w:shd w:val="clear" w:color="auto" w:fill="auto"/>
            <w:noWrap/>
            <w:vAlign w:val="bottom"/>
            <w:hideMark/>
          </w:tcPr>
          <w:p w14:paraId="7D8D9C5B" w14:textId="77777777" w:rsidR="00D85E9E" w:rsidRPr="00720EF1" w:rsidRDefault="00D85E9E" w:rsidP="00D85E9E">
            <w:pPr>
              <w:widowControl/>
              <w:jc w:val="right"/>
              <w:rPr>
                <w:kern w:val="0"/>
                <w:sz w:val="20"/>
              </w:rPr>
            </w:pPr>
            <w:r w:rsidRPr="00720EF1">
              <w:rPr>
                <w:kern w:val="0"/>
                <w:sz w:val="20"/>
              </w:rPr>
              <w:t xml:space="preserve">      0.2611 </w:t>
            </w:r>
          </w:p>
        </w:tc>
        <w:tc>
          <w:tcPr>
            <w:tcW w:w="1014" w:type="dxa"/>
            <w:tcBorders>
              <w:top w:val="nil"/>
              <w:left w:val="nil"/>
              <w:bottom w:val="nil"/>
              <w:right w:val="nil"/>
            </w:tcBorders>
            <w:shd w:val="clear" w:color="auto" w:fill="auto"/>
            <w:noWrap/>
            <w:vAlign w:val="bottom"/>
            <w:hideMark/>
          </w:tcPr>
          <w:p w14:paraId="3CB44D77" w14:textId="77777777" w:rsidR="00D85E9E" w:rsidRPr="00720EF1" w:rsidRDefault="00D85E9E" w:rsidP="00D85E9E">
            <w:pPr>
              <w:widowControl/>
              <w:jc w:val="right"/>
              <w:rPr>
                <w:kern w:val="0"/>
                <w:sz w:val="20"/>
              </w:rPr>
            </w:pPr>
            <w:r w:rsidRPr="00720EF1">
              <w:rPr>
                <w:kern w:val="0"/>
                <w:sz w:val="20"/>
              </w:rPr>
              <w:t xml:space="preserve">     0.6400 </w:t>
            </w:r>
          </w:p>
        </w:tc>
        <w:tc>
          <w:tcPr>
            <w:tcW w:w="1014" w:type="dxa"/>
            <w:tcBorders>
              <w:top w:val="nil"/>
              <w:left w:val="nil"/>
              <w:bottom w:val="nil"/>
              <w:right w:val="nil"/>
            </w:tcBorders>
            <w:shd w:val="clear" w:color="auto" w:fill="auto"/>
            <w:noWrap/>
            <w:vAlign w:val="bottom"/>
            <w:hideMark/>
          </w:tcPr>
          <w:p w14:paraId="6C0C9230" w14:textId="77777777" w:rsidR="00D85E9E" w:rsidRPr="00720EF1" w:rsidRDefault="00D85E9E" w:rsidP="00D85E9E">
            <w:pPr>
              <w:widowControl/>
              <w:jc w:val="right"/>
              <w:rPr>
                <w:kern w:val="0"/>
                <w:sz w:val="20"/>
              </w:rPr>
            </w:pPr>
            <w:r w:rsidRPr="00720EF1">
              <w:rPr>
                <w:kern w:val="0"/>
                <w:sz w:val="20"/>
              </w:rPr>
              <w:t xml:space="preserve">     0.5220 </w:t>
            </w:r>
          </w:p>
        </w:tc>
        <w:tc>
          <w:tcPr>
            <w:tcW w:w="1280" w:type="dxa"/>
            <w:tcBorders>
              <w:top w:val="nil"/>
              <w:left w:val="nil"/>
              <w:bottom w:val="nil"/>
              <w:right w:val="nil"/>
            </w:tcBorders>
            <w:shd w:val="clear" w:color="auto" w:fill="auto"/>
            <w:noWrap/>
            <w:vAlign w:val="bottom"/>
            <w:hideMark/>
          </w:tcPr>
          <w:p w14:paraId="395131FA" w14:textId="77777777" w:rsidR="00D85E9E" w:rsidRPr="00720EF1" w:rsidRDefault="00D85E9E" w:rsidP="00D85E9E">
            <w:pPr>
              <w:widowControl/>
              <w:jc w:val="right"/>
              <w:rPr>
                <w:kern w:val="0"/>
                <w:sz w:val="20"/>
              </w:rPr>
            </w:pPr>
            <w:r w:rsidRPr="00720EF1">
              <w:rPr>
                <w:kern w:val="0"/>
                <w:sz w:val="20"/>
              </w:rPr>
              <w:t xml:space="preserve">      -0.3448 </w:t>
            </w:r>
          </w:p>
        </w:tc>
        <w:tc>
          <w:tcPr>
            <w:tcW w:w="1371" w:type="dxa"/>
            <w:tcBorders>
              <w:top w:val="nil"/>
              <w:left w:val="nil"/>
              <w:bottom w:val="nil"/>
              <w:right w:val="nil"/>
            </w:tcBorders>
            <w:shd w:val="clear" w:color="auto" w:fill="auto"/>
            <w:noWrap/>
            <w:vAlign w:val="bottom"/>
            <w:hideMark/>
          </w:tcPr>
          <w:p w14:paraId="7AF70514" w14:textId="77777777" w:rsidR="00D85E9E" w:rsidRPr="00720EF1" w:rsidRDefault="00D85E9E" w:rsidP="00D85E9E">
            <w:pPr>
              <w:widowControl/>
              <w:jc w:val="right"/>
              <w:rPr>
                <w:kern w:val="0"/>
                <w:sz w:val="20"/>
              </w:rPr>
            </w:pPr>
            <w:r w:rsidRPr="00720EF1">
              <w:rPr>
                <w:kern w:val="0"/>
                <w:sz w:val="20"/>
              </w:rPr>
              <w:t xml:space="preserve">         0.6787 </w:t>
            </w:r>
          </w:p>
        </w:tc>
      </w:tr>
      <w:tr w:rsidR="00D85E9E" w:rsidRPr="00720EF1" w14:paraId="63913477" w14:textId="77777777" w:rsidTr="00D85E9E">
        <w:trPr>
          <w:trHeight w:val="259"/>
        </w:trPr>
        <w:tc>
          <w:tcPr>
            <w:tcW w:w="2096" w:type="dxa"/>
            <w:tcBorders>
              <w:top w:val="nil"/>
              <w:left w:val="nil"/>
              <w:bottom w:val="nil"/>
              <w:right w:val="nil"/>
            </w:tcBorders>
            <w:shd w:val="clear" w:color="auto" w:fill="auto"/>
            <w:noWrap/>
            <w:vAlign w:val="bottom"/>
            <w:hideMark/>
          </w:tcPr>
          <w:p w14:paraId="769FEF93" w14:textId="77777777" w:rsidR="00D85E9E" w:rsidRPr="00720EF1" w:rsidRDefault="00D85E9E" w:rsidP="00D85E9E">
            <w:pPr>
              <w:widowControl/>
              <w:jc w:val="left"/>
              <w:rPr>
                <w:kern w:val="0"/>
                <w:sz w:val="20"/>
              </w:rPr>
            </w:pPr>
            <w:r w:rsidRPr="00720EF1">
              <w:rPr>
                <w:kern w:val="0"/>
                <w:sz w:val="20"/>
              </w:rPr>
              <w:t>E</w:t>
            </w:r>
            <w:r w:rsidRPr="00720EF1">
              <w:rPr>
                <w:kern w:val="0"/>
                <w:sz w:val="20"/>
              </w:rPr>
              <w:t>评分</w:t>
            </w:r>
          </w:p>
        </w:tc>
        <w:tc>
          <w:tcPr>
            <w:tcW w:w="1014" w:type="dxa"/>
            <w:tcBorders>
              <w:top w:val="nil"/>
              <w:left w:val="nil"/>
              <w:bottom w:val="nil"/>
              <w:right w:val="nil"/>
            </w:tcBorders>
            <w:shd w:val="clear" w:color="auto" w:fill="auto"/>
            <w:noWrap/>
            <w:vAlign w:val="bottom"/>
            <w:hideMark/>
          </w:tcPr>
          <w:p w14:paraId="70B6D535" w14:textId="10783A2D" w:rsidR="00D85E9E" w:rsidRPr="00720EF1" w:rsidRDefault="00D85E9E" w:rsidP="00D85E9E">
            <w:pPr>
              <w:widowControl/>
              <w:jc w:val="center"/>
              <w:rPr>
                <w:kern w:val="0"/>
                <w:sz w:val="20"/>
              </w:rPr>
            </w:pPr>
            <w:r w:rsidRPr="00720EF1">
              <w:rPr>
                <w:kern w:val="0"/>
                <w:sz w:val="20"/>
              </w:rPr>
              <w:t xml:space="preserve">     </w:t>
            </w:r>
            <w:r w:rsidR="00E5069C" w:rsidRPr="00720EF1">
              <w:rPr>
                <w:kern w:val="0"/>
                <w:sz w:val="20"/>
              </w:rPr>
              <w:t>0.1967</w:t>
            </w:r>
            <w:r w:rsidRPr="00720EF1">
              <w:rPr>
                <w:kern w:val="0"/>
                <w:sz w:val="20"/>
              </w:rPr>
              <w:t xml:space="preserve"> </w:t>
            </w:r>
          </w:p>
        </w:tc>
        <w:tc>
          <w:tcPr>
            <w:tcW w:w="1103" w:type="dxa"/>
            <w:tcBorders>
              <w:top w:val="nil"/>
              <w:left w:val="nil"/>
              <w:bottom w:val="nil"/>
              <w:right w:val="nil"/>
            </w:tcBorders>
            <w:shd w:val="clear" w:color="auto" w:fill="auto"/>
            <w:noWrap/>
            <w:vAlign w:val="bottom"/>
            <w:hideMark/>
          </w:tcPr>
          <w:p w14:paraId="311E475E" w14:textId="77777777" w:rsidR="00D85E9E" w:rsidRPr="00720EF1" w:rsidRDefault="00D85E9E" w:rsidP="00D85E9E">
            <w:pPr>
              <w:widowControl/>
              <w:jc w:val="right"/>
              <w:rPr>
                <w:kern w:val="0"/>
                <w:sz w:val="20"/>
              </w:rPr>
            </w:pPr>
            <w:r w:rsidRPr="00720EF1">
              <w:rPr>
                <w:kern w:val="0"/>
                <w:sz w:val="20"/>
              </w:rPr>
              <w:t xml:space="preserve">      0.0977 </w:t>
            </w:r>
          </w:p>
        </w:tc>
        <w:tc>
          <w:tcPr>
            <w:tcW w:w="1014" w:type="dxa"/>
            <w:tcBorders>
              <w:top w:val="nil"/>
              <w:left w:val="nil"/>
              <w:bottom w:val="nil"/>
              <w:right w:val="nil"/>
            </w:tcBorders>
            <w:shd w:val="clear" w:color="auto" w:fill="auto"/>
            <w:noWrap/>
            <w:vAlign w:val="bottom"/>
            <w:hideMark/>
          </w:tcPr>
          <w:p w14:paraId="71A4B763" w14:textId="77777777" w:rsidR="00D85E9E" w:rsidRPr="00720EF1" w:rsidRDefault="00D85E9E" w:rsidP="00D85E9E">
            <w:pPr>
              <w:widowControl/>
              <w:jc w:val="right"/>
              <w:rPr>
                <w:kern w:val="0"/>
                <w:sz w:val="20"/>
              </w:rPr>
            </w:pPr>
            <w:r w:rsidRPr="00720EF1">
              <w:rPr>
                <w:kern w:val="0"/>
                <w:sz w:val="20"/>
              </w:rPr>
              <w:t xml:space="preserve">     0.3600 </w:t>
            </w:r>
          </w:p>
        </w:tc>
        <w:tc>
          <w:tcPr>
            <w:tcW w:w="1014" w:type="dxa"/>
            <w:tcBorders>
              <w:top w:val="nil"/>
              <w:left w:val="nil"/>
              <w:bottom w:val="nil"/>
              <w:right w:val="nil"/>
            </w:tcBorders>
            <w:shd w:val="clear" w:color="auto" w:fill="auto"/>
            <w:noWrap/>
            <w:vAlign w:val="bottom"/>
            <w:hideMark/>
          </w:tcPr>
          <w:p w14:paraId="571C53CA" w14:textId="77777777" w:rsidR="00D85E9E" w:rsidRPr="00720EF1" w:rsidRDefault="00D85E9E" w:rsidP="00D85E9E">
            <w:pPr>
              <w:widowControl/>
              <w:jc w:val="right"/>
              <w:rPr>
                <w:kern w:val="0"/>
                <w:sz w:val="20"/>
              </w:rPr>
            </w:pPr>
            <w:r w:rsidRPr="00720EF1">
              <w:rPr>
                <w:kern w:val="0"/>
                <w:sz w:val="20"/>
              </w:rPr>
              <w:t xml:space="preserve">     0.7200 </w:t>
            </w:r>
          </w:p>
        </w:tc>
        <w:tc>
          <w:tcPr>
            <w:tcW w:w="1280" w:type="dxa"/>
            <w:tcBorders>
              <w:top w:val="nil"/>
              <w:left w:val="nil"/>
              <w:bottom w:val="nil"/>
              <w:right w:val="nil"/>
            </w:tcBorders>
            <w:shd w:val="clear" w:color="auto" w:fill="auto"/>
            <w:noWrap/>
            <w:vAlign w:val="bottom"/>
            <w:hideMark/>
          </w:tcPr>
          <w:p w14:paraId="74C74BEA" w14:textId="77777777" w:rsidR="00D85E9E" w:rsidRPr="00720EF1" w:rsidRDefault="00D85E9E" w:rsidP="00D85E9E">
            <w:pPr>
              <w:widowControl/>
              <w:jc w:val="right"/>
              <w:rPr>
                <w:kern w:val="0"/>
                <w:sz w:val="20"/>
              </w:rPr>
            </w:pPr>
            <w:r w:rsidRPr="00720EF1">
              <w:rPr>
                <w:kern w:val="0"/>
                <w:sz w:val="20"/>
              </w:rPr>
              <w:t xml:space="preserve">      -0.1566 </w:t>
            </w:r>
          </w:p>
        </w:tc>
        <w:tc>
          <w:tcPr>
            <w:tcW w:w="1371" w:type="dxa"/>
            <w:tcBorders>
              <w:top w:val="nil"/>
              <w:left w:val="nil"/>
              <w:bottom w:val="nil"/>
              <w:right w:val="nil"/>
            </w:tcBorders>
            <w:shd w:val="clear" w:color="auto" w:fill="auto"/>
            <w:noWrap/>
            <w:vAlign w:val="bottom"/>
            <w:hideMark/>
          </w:tcPr>
          <w:p w14:paraId="1CB8408D" w14:textId="77777777" w:rsidR="00D85E9E" w:rsidRPr="00720EF1" w:rsidRDefault="00D85E9E" w:rsidP="00D85E9E">
            <w:pPr>
              <w:widowControl/>
              <w:jc w:val="right"/>
              <w:rPr>
                <w:kern w:val="0"/>
                <w:sz w:val="20"/>
              </w:rPr>
            </w:pPr>
            <w:r w:rsidRPr="00720EF1">
              <w:rPr>
                <w:kern w:val="0"/>
                <w:sz w:val="20"/>
              </w:rPr>
              <w:t xml:space="preserve">         0.2266 </w:t>
            </w:r>
          </w:p>
        </w:tc>
      </w:tr>
      <w:tr w:rsidR="00D85E9E" w:rsidRPr="00720EF1" w14:paraId="0B643F10" w14:textId="77777777" w:rsidTr="00D85E9E">
        <w:trPr>
          <w:trHeight w:val="259"/>
        </w:trPr>
        <w:tc>
          <w:tcPr>
            <w:tcW w:w="2096" w:type="dxa"/>
            <w:tcBorders>
              <w:top w:val="nil"/>
              <w:left w:val="nil"/>
              <w:bottom w:val="nil"/>
              <w:right w:val="nil"/>
            </w:tcBorders>
            <w:shd w:val="clear" w:color="auto" w:fill="auto"/>
            <w:noWrap/>
            <w:vAlign w:val="bottom"/>
            <w:hideMark/>
          </w:tcPr>
          <w:p w14:paraId="5496B1DD" w14:textId="77777777" w:rsidR="00D85E9E" w:rsidRPr="00720EF1" w:rsidRDefault="00D85E9E" w:rsidP="00D85E9E">
            <w:pPr>
              <w:widowControl/>
              <w:jc w:val="left"/>
              <w:rPr>
                <w:kern w:val="0"/>
                <w:sz w:val="20"/>
              </w:rPr>
            </w:pPr>
            <w:r w:rsidRPr="00720EF1">
              <w:rPr>
                <w:kern w:val="0"/>
                <w:sz w:val="20"/>
              </w:rPr>
              <w:t>S</w:t>
            </w:r>
            <w:r w:rsidRPr="00720EF1">
              <w:rPr>
                <w:kern w:val="0"/>
                <w:sz w:val="20"/>
              </w:rPr>
              <w:t>评分</w:t>
            </w:r>
          </w:p>
        </w:tc>
        <w:tc>
          <w:tcPr>
            <w:tcW w:w="1014" w:type="dxa"/>
            <w:tcBorders>
              <w:top w:val="nil"/>
              <w:left w:val="nil"/>
              <w:bottom w:val="nil"/>
              <w:right w:val="nil"/>
            </w:tcBorders>
            <w:shd w:val="clear" w:color="auto" w:fill="auto"/>
            <w:noWrap/>
            <w:vAlign w:val="bottom"/>
            <w:hideMark/>
          </w:tcPr>
          <w:p w14:paraId="3432560F" w14:textId="77777777" w:rsidR="00D85E9E" w:rsidRPr="00720EF1" w:rsidRDefault="00D85E9E" w:rsidP="00D85E9E">
            <w:pPr>
              <w:widowControl/>
              <w:jc w:val="center"/>
              <w:rPr>
                <w:kern w:val="0"/>
                <w:sz w:val="20"/>
              </w:rPr>
            </w:pPr>
            <w:r w:rsidRPr="00720EF1">
              <w:rPr>
                <w:kern w:val="0"/>
                <w:sz w:val="20"/>
              </w:rPr>
              <w:t xml:space="preserve">     0.0796 </w:t>
            </w:r>
          </w:p>
        </w:tc>
        <w:tc>
          <w:tcPr>
            <w:tcW w:w="1103" w:type="dxa"/>
            <w:tcBorders>
              <w:top w:val="nil"/>
              <w:left w:val="nil"/>
              <w:bottom w:val="nil"/>
              <w:right w:val="nil"/>
            </w:tcBorders>
            <w:shd w:val="clear" w:color="auto" w:fill="auto"/>
            <w:noWrap/>
            <w:vAlign w:val="bottom"/>
            <w:hideMark/>
          </w:tcPr>
          <w:p w14:paraId="0A1C5113" w14:textId="77777777" w:rsidR="00D85E9E" w:rsidRPr="00720EF1" w:rsidRDefault="00D85E9E" w:rsidP="00D85E9E">
            <w:pPr>
              <w:widowControl/>
              <w:jc w:val="right"/>
              <w:rPr>
                <w:kern w:val="0"/>
                <w:sz w:val="20"/>
              </w:rPr>
            </w:pPr>
            <w:r w:rsidRPr="00720EF1">
              <w:rPr>
                <w:kern w:val="0"/>
                <w:sz w:val="20"/>
              </w:rPr>
              <w:t xml:space="preserve">      0.0999 </w:t>
            </w:r>
          </w:p>
        </w:tc>
        <w:tc>
          <w:tcPr>
            <w:tcW w:w="1014" w:type="dxa"/>
            <w:tcBorders>
              <w:top w:val="nil"/>
              <w:left w:val="nil"/>
              <w:bottom w:val="nil"/>
              <w:right w:val="nil"/>
            </w:tcBorders>
            <w:shd w:val="clear" w:color="auto" w:fill="auto"/>
            <w:noWrap/>
            <w:vAlign w:val="bottom"/>
            <w:hideMark/>
          </w:tcPr>
          <w:p w14:paraId="7B5EEE49" w14:textId="77777777" w:rsidR="00D85E9E" w:rsidRPr="00720EF1" w:rsidRDefault="00D85E9E" w:rsidP="00D85E9E">
            <w:pPr>
              <w:widowControl/>
              <w:jc w:val="right"/>
              <w:rPr>
                <w:kern w:val="0"/>
                <w:sz w:val="20"/>
              </w:rPr>
            </w:pPr>
            <w:r w:rsidRPr="00720EF1">
              <w:rPr>
                <w:kern w:val="0"/>
                <w:sz w:val="20"/>
              </w:rPr>
              <w:t xml:space="preserve">     0.8000 </w:t>
            </w:r>
          </w:p>
        </w:tc>
        <w:tc>
          <w:tcPr>
            <w:tcW w:w="1014" w:type="dxa"/>
            <w:tcBorders>
              <w:top w:val="nil"/>
              <w:left w:val="nil"/>
              <w:bottom w:val="nil"/>
              <w:right w:val="nil"/>
            </w:tcBorders>
            <w:shd w:val="clear" w:color="auto" w:fill="auto"/>
            <w:noWrap/>
            <w:vAlign w:val="bottom"/>
            <w:hideMark/>
          </w:tcPr>
          <w:p w14:paraId="03E8630E" w14:textId="77777777" w:rsidR="00D85E9E" w:rsidRPr="00720EF1" w:rsidRDefault="00D85E9E" w:rsidP="00D85E9E">
            <w:pPr>
              <w:widowControl/>
              <w:jc w:val="right"/>
              <w:rPr>
                <w:kern w:val="0"/>
                <w:sz w:val="20"/>
              </w:rPr>
            </w:pPr>
            <w:r w:rsidRPr="00720EF1">
              <w:rPr>
                <w:kern w:val="0"/>
                <w:sz w:val="20"/>
              </w:rPr>
              <w:t xml:space="preserve">     0.4260 </w:t>
            </w:r>
          </w:p>
        </w:tc>
        <w:tc>
          <w:tcPr>
            <w:tcW w:w="1280" w:type="dxa"/>
            <w:tcBorders>
              <w:top w:val="nil"/>
              <w:left w:val="nil"/>
              <w:bottom w:val="nil"/>
              <w:right w:val="nil"/>
            </w:tcBorders>
            <w:shd w:val="clear" w:color="auto" w:fill="auto"/>
            <w:noWrap/>
            <w:vAlign w:val="bottom"/>
            <w:hideMark/>
          </w:tcPr>
          <w:p w14:paraId="052CBF5F" w14:textId="77777777" w:rsidR="00D85E9E" w:rsidRPr="00720EF1" w:rsidRDefault="00D85E9E" w:rsidP="00D85E9E">
            <w:pPr>
              <w:widowControl/>
              <w:jc w:val="right"/>
              <w:rPr>
                <w:kern w:val="0"/>
                <w:sz w:val="20"/>
              </w:rPr>
            </w:pPr>
            <w:r w:rsidRPr="00720EF1">
              <w:rPr>
                <w:kern w:val="0"/>
                <w:sz w:val="20"/>
              </w:rPr>
              <w:t xml:space="preserve">      -0.1163 </w:t>
            </w:r>
          </w:p>
        </w:tc>
        <w:tc>
          <w:tcPr>
            <w:tcW w:w="1371" w:type="dxa"/>
            <w:tcBorders>
              <w:top w:val="nil"/>
              <w:left w:val="nil"/>
              <w:bottom w:val="nil"/>
              <w:right w:val="nil"/>
            </w:tcBorders>
            <w:shd w:val="clear" w:color="auto" w:fill="auto"/>
            <w:noWrap/>
            <w:vAlign w:val="bottom"/>
            <w:hideMark/>
          </w:tcPr>
          <w:p w14:paraId="20B6443B" w14:textId="77777777" w:rsidR="00D85E9E" w:rsidRPr="00720EF1" w:rsidRDefault="00D85E9E" w:rsidP="00D85E9E">
            <w:pPr>
              <w:widowControl/>
              <w:jc w:val="right"/>
              <w:rPr>
                <w:kern w:val="0"/>
                <w:sz w:val="20"/>
              </w:rPr>
            </w:pPr>
            <w:r w:rsidRPr="00720EF1">
              <w:rPr>
                <w:kern w:val="0"/>
                <w:sz w:val="20"/>
              </w:rPr>
              <w:t xml:space="preserve">         0.2754 </w:t>
            </w:r>
          </w:p>
        </w:tc>
      </w:tr>
      <w:tr w:rsidR="00D85E9E" w:rsidRPr="00720EF1" w14:paraId="73E5B88D" w14:textId="77777777" w:rsidTr="00D85E9E">
        <w:trPr>
          <w:trHeight w:val="259"/>
        </w:trPr>
        <w:tc>
          <w:tcPr>
            <w:tcW w:w="2096" w:type="dxa"/>
            <w:tcBorders>
              <w:top w:val="nil"/>
              <w:left w:val="nil"/>
              <w:bottom w:val="nil"/>
              <w:right w:val="nil"/>
            </w:tcBorders>
            <w:shd w:val="clear" w:color="auto" w:fill="auto"/>
            <w:noWrap/>
            <w:vAlign w:val="bottom"/>
            <w:hideMark/>
          </w:tcPr>
          <w:p w14:paraId="1FD4020F" w14:textId="77777777" w:rsidR="00D85E9E" w:rsidRPr="00720EF1" w:rsidRDefault="00D85E9E" w:rsidP="00D85E9E">
            <w:pPr>
              <w:widowControl/>
              <w:jc w:val="left"/>
              <w:rPr>
                <w:kern w:val="0"/>
                <w:sz w:val="20"/>
              </w:rPr>
            </w:pPr>
            <w:r w:rsidRPr="00720EF1">
              <w:rPr>
                <w:kern w:val="0"/>
                <w:sz w:val="20"/>
              </w:rPr>
              <w:t>G</w:t>
            </w:r>
            <w:r w:rsidRPr="00720EF1">
              <w:rPr>
                <w:kern w:val="0"/>
                <w:sz w:val="20"/>
              </w:rPr>
              <w:t>评分</w:t>
            </w:r>
          </w:p>
        </w:tc>
        <w:tc>
          <w:tcPr>
            <w:tcW w:w="1014" w:type="dxa"/>
            <w:tcBorders>
              <w:top w:val="nil"/>
              <w:left w:val="nil"/>
              <w:bottom w:val="nil"/>
              <w:right w:val="nil"/>
            </w:tcBorders>
            <w:shd w:val="clear" w:color="auto" w:fill="auto"/>
            <w:noWrap/>
            <w:vAlign w:val="bottom"/>
            <w:hideMark/>
          </w:tcPr>
          <w:p w14:paraId="235FCA99" w14:textId="66E10D3A" w:rsidR="00D85E9E" w:rsidRPr="00720EF1" w:rsidRDefault="00D85E9E" w:rsidP="00D85E9E">
            <w:pPr>
              <w:widowControl/>
              <w:jc w:val="center"/>
              <w:rPr>
                <w:kern w:val="0"/>
                <w:sz w:val="20"/>
              </w:rPr>
            </w:pPr>
            <w:r w:rsidRPr="00720EF1">
              <w:rPr>
                <w:kern w:val="0"/>
                <w:sz w:val="20"/>
              </w:rPr>
              <w:t xml:space="preserve">   -0.</w:t>
            </w:r>
            <w:r w:rsidR="00E5069C" w:rsidRPr="00720EF1">
              <w:rPr>
                <w:kern w:val="0"/>
                <w:sz w:val="20"/>
              </w:rPr>
              <w:t>0350</w:t>
            </w:r>
            <w:r w:rsidRPr="00720EF1">
              <w:rPr>
                <w:kern w:val="0"/>
                <w:sz w:val="20"/>
              </w:rPr>
              <w:t xml:space="preserve"> </w:t>
            </w:r>
          </w:p>
        </w:tc>
        <w:tc>
          <w:tcPr>
            <w:tcW w:w="1103" w:type="dxa"/>
            <w:tcBorders>
              <w:top w:val="nil"/>
              <w:left w:val="nil"/>
              <w:bottom w:val="nil"/>
              <w:right w:val="nil"/>
            </w:tcBorders>
            <w:shd w:val="clear" w:color="auto" w:fill="auto"/>
            <w:noWrap/>
            <w:vAlign w:val="bottom"/>
            <w:hideMark/>
          </w:tcPr>
          <w:p w14:paraId="2CEC1E8F" w14:textId="77777777" w:rsidR="00D85E9E" w:rsidRPr="00720EF1" w:rsidRDefault="00D85E9E" w:rsidP="00D85E9E">
            <w:pPr>
              <w:widowControl/>
              <w:jc w:val="right"/>
              <w:rPr>
                <w:kern w:val="0"/>
                <w:sz w:val="20"/>
              </w:rPr>
            </w:pPr>
            <w:r w:rsidRPr="00720EF1">
              <w:rPr>
                <w:kern w:val="0"/>
                <w:sz w:val="20"/>
              </w:rPr>
              <w:t xml:space="preserve">      0.1406 </w:t>
            </w:r>
          </w:p>
        </w:tc>
        <w:tc>
          <w:tcPr>
            <w:tcW w:w="1014" w:type="dxa"/>
            <w:tcBorders>
              <w:top w:val="nil"/>
              <w:left w:val="nil"/>
              <w:bottom w:val="nil"/>
              <w:right w:val="nil"/>
            </w:tcBorders>
            <w:shd w:val="clear" w:color="auto" w:fill="auto"/>
            <w:noWrap/>
            <w:vAlign w:val="bottom"/>
            <w:hideMark/>
          </w:tcPr>
          <w:p w14:paraId="795D18A8" w14:textId="77777777" w:rsidR="00D85E9E" w:rsidRPr="00720EF1" w:rsidRDefault="00D85E9E" w:rsidP="00D85E9E">
            <w:pPr>
              <w:widowControl/>
              <w:jc w:val="right"/>
              <w:rPr>
                <w:kern w:val="0"/>
                <w:sz w:val="20"/>
              </w:rPr>
            </w:pPr>
            <w:r w:rsidRPr="00720EF1">
              <w:rPr>
                <w:kern w:val="0"/>
                <w:sz w:val="20"/>
              </w:rPr>
              <w:t xml:space="preserve">   -1.4000 </w:t>
            </w:r>
          </w:p>
        </w:tc>
        <w:tc>
          <w:tcPr>
            <w:tcW w:w="1014" w:type="dxa"/>
            <w:tcBorders>
              <w:top w:val="nil"/>
              <w:left w:val="nil"/>
              <w:bottom w:val="nil"/>
              <w:right w:val="nil"/>
            </w:tcBorders>
            <w:shd w:val="clear" w:color="auto" w:fill="auto"/>
            <w:noWrap/>
            <w:vAlign w:val="bottom"/>
            <w:hideMark/>
          </w:tcPr>
          <w:p w14:paraId="0387D487" w14:textId="77777777" w:rsidR="00D85E9E" w:rsidRPr="00720EF1" w:rsidRDefault="00D85E9E" w:rsidP="00D85E9E">
            <w:pPr>
              <w:widowControl/>
              <w:jc w:val="right"/>
              <w:rPr>
                <w:kern w:val="0"/>
                <w:sz w:val="20"/>
              </w:rPr>
            </w:pPr>
            <w:r w:rsidRPr="00720EF1">
              <w:rPr>
                <w:kern w:val="0"/>
                <w:sz w:val="20"/>
              </w:rPr>
              <w:t xml:space="preserve">     0.1620 </w:t>
            </w:r>
          </w:p>
        </w:tc>
        <w:tc>
          <w:tcPr>
            <w:tcW w:w="1280" w:type="dxa"/>
            <w:tcBorders>
              <w:top w:val="nil"/>
              <w:left w:val="nil"/>
              <w:bottom w:val="nil"/>
              <w:right w:val="nil"/>
            </w:tcBorders>
            <w:shd w:val="clear" w:color="auto" w:fill="auto"/>
            <w:noWrap/>
            <w:vAlign w:val="bottom"/>
            <w:hideMark/>
          </w:tcPr>
          <w:p w14:paraId="0CF0FD50" w14:textId="77777777" w:rsidR="00D85E9E" w:rsidRPr="00720EF1" w:rsidRDefault="00D85E9E" w:rsidP="00D85E9E">
            <w:pPr>
              <w:widowControl/>
              <w:jc w:val="right"/>
              <w:rPr>
                <w:kern w:val="0"/>
                <w:sz w:val="20"/>
              </w:rPr>
            </w:pPr>
            <w:r w:rsidRPr="00720EF1">
              <w:rPr>
                <w:kern w:val="0"/>
                <w:sz w:val="20"/>
              </w:rPr>
              <w:t xml:space="preserve">      -0.4723 </w:t>
            </w:r>
          </w:p>
        </w:tc>
        <w:tc>
          <w:tcPr>
            <w:tcW w:w="1371" w:type="dxa"/>
            <w:tcBorders>
              <w:top w:val="nil"/>
              <w:left w:val="nil"/>
              <w:bottom w:val="nil"/>
              <w:right w:val="nil"/>
            </w:tcBorders>
            <w:shd w:val="clear" w:color="auto" w:fill="auto"/>
            <w:noWrap/>
            <w:vAlign w:val="bottom"/>
            <w:hideMark/>
          </w:tcPr>
          <w:p w14:paraId="1432975E" w14:textId="77777777" w:rsidR="00D85E9E" w:rsidRPr="00720EF1" w:rsidRDefault="00D85E9E" w:rsidP="00D85E9E">
            <w:pPr>
              <w:widowControl/>
              <w:jc w:val="right"/>
              <w:rPr>
                <w:kern w:val="0"/>
                <w:sz w:val="20"/>
              </w:rPr>
            </w:pPr>
            <w:r w:rsidRPr="00720EF1">
              <w:rPr>
                <w:kern w:val="0"/>
                <w:sz w:val="20"/>
              </w:rPr>
              <w:t xml:space="preserve">         0.0789 </w:t>
            </w:r>
          </w:p>
        </w:tc>
      </w:tr>
      <w:tr w:rsidR="00D85E9E" w:rsidRPr="00720EF1" w14:paraId="0085136D" w14:textId="77777777" w:rsidTr="00D85E9E">
        <w:trPr>
          <w:trHeight w:val="273"/>
        </w:trPr>
        <w:tc>
          <w:tcPr>
            <w:tcW w:w="2096" w:type="dxa"/>
            <w:tcBorders>
              <w:top w:val="nil"/>
              <w:left w:val="nil"/>
              <w:bottom w:val="single" w:sz="12" w:space="0" w:color="auto"/>
              <w:right w:val="nil"/>
            </w:tcBorders>
            <w:shd w:val="clear" w:color="auto" w:fill="auto"/>
            <w:noWrap/>
            <w:vAlign w:val="bottom"/>
            <w:hideMark/>
          </w:tcPr>
          <w:p w14:paraId="4EE5FD65" w14:textId="77777777" w:rsidR="00D85E9E" w:rsidRPr="00720EF1" w:rsidRDefault="00D85E9E" w:rsidP="00D85E9E">
            <w:pPr>
              <w:widowControl/>
              <w:jc w:val="left"/>
              <w:rPr>
                <w:kern w:val="0"/>
                <w:sz w:val="20"/>
              </w:rPr>
            </w:pPr>
            <w:r w:rsidRPr="00720EF1">
              <w:rPr>
                <w:kern w:val="0"/>
                <w:sz w:val="20"/>
              </w:rPr>
              <w:t>常数</w:t>
            </w:r>
          </w:p>
        </w:tc>
        <w:tc>
          <w:tcPr>
            <w:tcW w:w="1014" w:type="dxa"/>
            <w:tcBorders>
              <w:top w:val="nil"/>
              <w:left w:val="nil"/>
              <w:bottom w:val="single" w:sz="12" w:space="0" w:color="auto"/>
              <w:right w:val="nil"/>
            </w:tcBorders>
            <w:shd w:val="clear" w:color="auto" w:fill="auto"/>
            <w:noWrap/>
            <w:vAlign w:val="bottom"/>
            <w:hideMark/>
          </w:tcPr>
          <w:p w14:paraId="6836F56A" w14:textId="77777777" w:rsidR="00D85E9E" w:rsidRPr="00720EF1" w:rsidRDefault="00D85E9E" w:rsidP="00D85E9E">
            <w:pPr>
              <w:widowControl/>
              <w:jc w:val="center"/>
              <w:rPr>
                <w:kern w:val="0"/>
                <w:sz w:val="20"/>
              </w:rPr>
            </w:pPr>
            <w:r w:rsidRPr="00720EF1">
              <w:rPr>
                <w:kern w:val="0"/>
                <w:sz w:val="20"/>
              </w:rPr>
              <w:t xml:space="preserve">     1.4020 </w:t>
            </w:r>
          </w:p>
        </w:tc>
        <w:tc>
          <w:tcPr>
            <w:tcW w:w="1103" w:type="dxa"/>
            <w:tcBorders>
              <w:top w:val="nil"/>
              <w:left w:val="nil"/>
              <w:bottom w:val="single" w:sz="12" w:space="0" w:color="auto"/>
              <w:right w:val="nil"/>
            </w:tcBorders>
            <w:shd w:val="clear" w:color="auto" w:fill="auto"/>
            <w:noWrap/>
            <w:vAlign w:val="bottom"/>
            <w:hideMark/>
          </w:tcPr>
          <w:p w14:paraId="1F71C8AA" w14:textId="77777777" w:rsidR="00D85E9E" w:rsidRPr="00720EF1" w:rsidRDefault="00D85E9E" w:rsidP="00D85E9E">
            <w:pPr>
              <w:widowControl/>
              <w:jc w:val="right"/>
              <w:rPr>
                <w:kern w:val="0"/>
                <w:sz w:val="20"/>
              </w:rPr>
            </w:pPr>
            <w:r w:rsidRPr="00720EF1">
              <w:rPr>
                <w:kern w:val="0"/>
                <w:sz w:val="20"/>
              </w:rPr>
              <w:t xml:space="preserve">    12.3824 </w:t>
            </w:r>
          </w:p>
        </w:tc>
        <w:tc>
          <w:tcPr>
            <w:tcW w:w="1014" w:type="dxa"/>
            <w:tcBorders>
              <w:top w:val="nil"/>
              <w:left w:val="nil"/>
              <w:bottom w:val="single" w:sz="12" w:space="0" w:color="auto"/>
              <w:right w:val="nil"/>
            </w:tcBorders>
            <w:shd w:val="clear" w:color="auto" w:fill="auto"/>
            <w:noWrap/>
            <w:vAlign w:val="bottom"/>
            <w:hideMark/>
          </w:tcPr>
          <w:p w14:paraId="6B2BDD79" w14:textId="77777777" w:rsidR="00D85E9E" w:rsidRPr="00720EF1" w:rsidRDefault="00D85E9E" w:rsidP="00D85E9E">
            <w:pPr>
              <w:widowControl/>
              <w:jc w:val="right"/>
              <w:rPr>
                <w:kern w:val="0"/>
                <w:sz w:val="20"/>
              </w:rPr>
            </w:pPr>
            <w:r w:rsidRPr="00720EF1">
              <w:rPr>
                <w:kern w:val="0"/>
                <w:sz w:val="20"/>
              </w:rPr>
              <w:t xml:space="preserve">     0.1100 </w:t>
            </w:r>
          </w:p>
        </w:tc>
        <w:tc>
          <w:tcPr>
            <w:tcW w:w="1014" w:type="dxa"/>
            <w:tcBorders>
              <w:top w:val="nil"/>
              <w:left w:val="nil"/>
              <w:bottom w:val="single" w:sz="12" w:space="0" w:color="auto"/>
              <w:right w:val="nil"/>
            </w:tcBorders>
            <w:shd w:val="clear" w:color="auto" w:fill="auto"/>
            <w:noWrap/>
            <w:vAlign w:val="bottom"/>
            <w:hideMark/>
          </w:tcPr>
          <w:p w14:paraId="0CDC623F" w14:textId="77777777" w:rsidR="00D85E9E" w:rsidRPr="00720EF1" w:rsidRDefault="00D85E9E" w:rsidP="00D85E9E">
            <w:pPr>
              <w:widowControl/>
              <w:jc w:val="right"/>
              <w:rPr>
                <w:kern w:val="0"/>
                <w:sz w:val="20"/>
              </w:rPr>
            </w:pPr>
            <w:r w:rsidRPr="00720EF1">
              <w:rPr>
                <w:kern w:val="0"/>
                <w:sz w:val="20"/>
              </w:rPr>
              <w:t xml:space="preserve">     0.9100 </w:t>
            </w:r>
          </w:p>
        </w:tc>
        <w:tc>
          <w:tcPr>
            <w:tcW w:w="1280" w:type="dxa"/>
            <w:tcBorders>
              <w:top w:val="nil"/>
              <w:left w:val="nil"/>
              <w:bottom w:val="single" w:sz="12" w:space="0" w:color="auto"/>
              <w:right w:val="nil"/>
            </w:tcBorders>
            <w:shd w:val="clear" w:color="auto" w:fill="auto"/>
            <w:noWrap/>
            <w:vAlign w:val="bottom"/>
            <w:hideMark/>
          </w:tcPr>
          <w:p w14:paraId="7DB1C4F4" w14:textId="77777777" w:rsidR="00D85E9E" w:rsidRPr="00720EF1" w:rsidRDefault="00D85E9E" w:rsidP="00D85E9E">
            <w:pPr>
              <w:widowControl/>
              <w:jc w:val="right"/>
              <w:rPr>
                <w:kern w:val="0"/>
                <w:sz w:val="20"/>
              </w:rPr>
            </w:pPr>
            <w:r w:rsidRPr="00720EF1">
              <w:rPr>
                <w:kern w:val="0"/>
                <w:sz w:val="20"/>
              </w:rPr>
              <w:t xml:space="preserve">    -22.8670 </w:t>
            </w:r>
          </w:p>
        </w:tc>
        <w:tc>
          <w:tcPr>
            <w:tcW w:w="1371" w:type="dxa"/>
            <w:tcBorders>
              <w:top w:val="nil"/>
              <w:left w:val="nil"/>
              <w:bottom w:val="single" w:sz="12" w:space="0" w:color="auto"/>
              <w:right w:val="nil"/>
            </w:tcBorders>
            <w:shd w:val="clear" w:color="auto" w:fill="auto"/>
            <w:noWrap/>
            <w:vAlign w:val="bottom"/>
            <w:hideMark/>
          </w:tcPr>
          <w:p w14:paraId="27DDBC14" w14:textId="77777777" w:rsidR="00D85E9E" w:rsidRPr="00720EF1" w:rsidRDefault="00D85E9E" w:rsidP="00D85E9E">
            <w:pPr>
              <w:widowControl/>
              <w:jc w:val="right"/>
              <w:rPr>
                <w:kern w:val="0"/>
                <w:sz w:val="20"/>
              </w:rPr>
            </w:pPr>
            <w:r w:rsidRPr="00720EF1">
              <w:rPr>
                <w:kern w:val="0"/>
                <w:sz w:val="20"/>
              </w:rPr>
              <w:t xml:space="preserve">       25.6711 </w:t>
            </w:r>
          </w:p>
        </w:tc>
      </w:tr>
    </w:tbl>
    <w:p w14:paraId="2C6768FE" w14:textId="12B7FAD2" w:rsidR="00D85E9E" w:rsidRDefault="00D85E9E" w:rsidP="00D85E9E">
      <w:pPr>
        <w:spacing w:line="360" w:lineRule="auto"/>
        <w:ind w:firstLineChars="200" w:firstLine="480"/>
        <w:rPr>
          <w:rFonts w:ascii="宋体" w:hAnsi="宋体"/>
          <w:sz w:val="24"/>
          <w:szCs w:val="24"/>
        </w:rPr>
      </w:pPr>
      <w:bookmarkStart w:id="65" w:name="_Hlk103583085"/>
      <w:r>
        <w:rPr>
          <w:rFonts w:ascii="宋体" w:hAnsi="宋体" w:hint="eastAsia"/>
          <w:sz w:val="24"/>
          <w:szCs w:val="24"/>
        </w:rPr>
        <w:t>回归结果显示Logit回归模型对样本数据拟合度为0</w:t>
      </w:r>
      <w:r w:rsidR="00837B33">
        <w:rPr>
          <w:rFonts w:ascii="宋体" w:hAnsi="宋体"/>
          <w:sz w:val="24"/>
          <w:szCs w:val="24"/>
        </w:rPr>
        <w:t>.7891</w:t>
      </w:r>
      <w:r w:rsidR="00837B33">
        <w:rPr>
          <w:rFonts w:ascii="宋体" w:hAnsi="宋体" w:hint="eastAsia"/>
          <w:sz w:val="24"/>
          <w:szCs w:val="24"/>
        </w:rPr>
        <w:t>，</w:t>
      </w:r>
      <w:r>
        <w:rPr>
          <w:rFonts w:ascii="宋体" w:hAnsi="宋体" w:hint="eastAsia"/>
          <w:sz w:val="24"/>
          <w:szCs w:val="24"/>
        </w:rPr>
        <w:t>拟合程度良好。模型P值为0</w:t>
      </w:r>
      <w:r>
        <w:rPr>
          <w:rFonts w:ascii="宋体" w:hAnsi="宋体"/>
          <w:sz w:val="24"/>
          <w:szCs w:val="24"/>
        </w:rPr>
        <w:t>.000</w:t>
      </w:r>
      <w:r>
        <w:rPr>
          <w:rFonts w:ascii="宋体" w:hAnsi="宋体" w:hint="eastAsia"/>
          <w:sz w:val="24"/>
          <w:szCs w:val="24"/>
        </w:rPr>
        <w:t>，说明模型在显著性水平下是显著的。</w:t>
      </w:r>
    </w:p>
    <w:p w14:paraId="371E087B" w14:textId="73EB04A9" w:rsidR="00E5069C" w:rsidRDefault="00E5069C" w:rsidP="00D85E9E">
      <w:pPr>
        <w:spacing w:line="360" w:lineRule="auto"/>
        <w:ind w:firstLineChars="200" w:firstLine="480"/>
        <w:rPr>
          <w:rFonts w:ascii="宋体" w:hAnsi="宋体"/>
          <w:sz w:val="24"/>
          <w:szCs w:val="24"/>
        </w:rPr>
      </w:pPr>
      <w:r>
        <w:rPr>
          <w:rFonts w:ascii="宋体" w:hAnsi="宋体" w:hint="eastAsia"/>
          <w:sz w:val="24"/>
          <w:szCs w:val="24"/>
        </w:rPr>
        <w:t>从变量显著性来看，8个解释变量中，在Logit回归中</w:t>
      </w:r>
      <w:r w:rsidR="00927543">
        <w:rPr>
          <w:rFonts w:ascii="宋体" w:hAnsi="宋体" w:hint="eastAsia"/>
          <w:sz w:val="24"/>
          <w:szCs w:val="24"/>
        </w:rPr>
        <w:t>表现为</w:t>
      </w:r>
      <w:r>
        <w:rPr>
          <w:rFonts w:ascii="宋体" w:hAnsi="宋体" w:hint="eastAsia"/>
          <w:sz w:val="24"/>
          <w:szCs w:val="24"/>
        </w:rPr>
        <w:t>显著的是非系统风险、成立年限与是否为碳中和</w:t>
      </w:r>
      <w:r w:rsidR="00927543">
        <w:rPr>
          <w:rFonts w:ascii="宋体" w:hAnsi="宋体" w:hint="eastAsia"/>
          <w:sz w:val="24"/>
          <w:szCs w:val="24"/>
        </w:rPr>
        <w:t>，说明这三个变量与</w:t>
      </w:r>
      <w:bookmarkStart w:id="66" w:name="_Hlk103642642"/>
      <w:r w:rsidR="00927543">
        <w:rPr>
          <w:rFonts w:ascii="宋体" w:hAnsi="宋体" w:hint="eastAsia"/>
          <w:sz w:val="24"/>
          <w:szCs w:val="24"/>
        </w:rPr>
        <w:t>基金是否获得超额收益</w:t>
      </w:r>
      <w:bookmarkEnd w:id="66"/>
      <w:r w:rsidR="00927543">
        <w:rPr>
          <w:rFonts w:ascii="宋体" w:hAnsi="宋体" w:hint="eastAsia"/>
          <w:sz w:val="24"/>
          <w:szCs w:val="24"/>
        </w:rPr>
        <w:t>有较强的联系。</w:t>
      </w:r>
      <w:r w:rsidR="00927543" w:rsidRPr="00D85E9E">
        <w:rPr>
          <w:rFonts w:ascii="宋体" w:hAnsi="宋体"/>
          <w:sz w:val="24"/>
          <w:szCs w:val="24"/>
        </w:rPr>
        <w:t>重仓股票ESG评分</w:t>
      </w:r>
      <w:r w:rsidR="00927543" w:rsidRPr="00927543">
        <w:rPr>
          <w:rFonts w:ascii="宋体" w:hAnsi="宋体" w:hint="eastAsia"/>
          <w:sz w:val="24"/>
          <w:szCs w:val="24"/>
        </w:rPr>
        <w:t>、</w:t>
      </w:r>
      <w:r w:rsidR="00927543" w:rsidRPr="00D85E9E">
        <w:rPr>
          <w:rFonts w:ascii="宋体" w:hAnsi="宋体"/>
          <w:sz w:val="24"/>
          <w:szCs w:val="24"/>
        </w:rPr>
        <w:t>E评分</w:t>
      </w:r>
      <w:r w:rsidR="00927543" w:rsidRPr="00927543">
        <w:rPr>
          <w:rFonts w:ascii="宋体" w:hAnsi="宋体" w:hint="eastAsia"/>
          <w:sz w:val="24"/>
          <w:szCs w:val="24"/>
        </w:rPr>
        <w:t>、</w:t>
      </w:r>
      <w:r w:rsidR="00927543" w:rsidRPr="00D85E9E">
        <w:rPr>
          <w:rFonts w:ascii="宋体" w:hAnsi="宋体"/>
          <w:sz w:val="24"/>
          <w:szCs w:val="24"/>
        </w:rPr>
        <w:t>S评分</w:t>
      </w:r>
      <w:r w:rsidR="00927543" w:rsidRPr="00927543">
        <w:rPr>
          <w:rFonts w:ascii="宋体" w:hAnsi="宋体" w:hint="eastAsia"/>
          <w:sz w:val="24"/>
          <w:szCs w:val="24"/>
        </w:rPr>
        <w:t>、</w:t>
      </w:r>
      <w:r w:rsidR="00927543" w:rsidRPr="00D85E9E">
        <w:rPr>
          <w:rFonts w:ascii="宋体" w:hAnsi="宋体"/>
          <w:sz w:val="24"/>
          <w:szCs w:val="24"/>
        </w:rPr>
        <w:t>G评分</w:t>
      </w:r>
      <w:r w:rsidR="00927543">
        <w:rPr>
          <w:rFonts w:ascii="宋体" w:hAnsi="宋体" w:hint="eastAsia"/>
          <w:sz w:val="24"/>
          <w:szCs w:val="24"/>
        </w:rPr>
        <w:t>这四个变量不显著，对</w:t>
      </w:r>
      <w:r w:rsidR="00927543" w:rsidRPr="00927543">
        <w:rPr>
          <w:rFonts w:ascii="宋体" w:hAnsi="宋体" w:hint="eastAsia"/>
          <w:sz w:val="24"/>
          <w:szCs w:val="24"/>
        </w:rPr>
        <w:t>基金是否获得超额收益</w:t>
      </w:r>
      <w:r w:rsidR="00927543">
        <w:rPr>
          <w:rFonts w:ascii="宋体" w:hAnsi="宋体" w:hint="eastAsia"/>
          <w:sz w:val="24"/>
          <w:szCs w:val="24"/>
        </w:rPr>
        <w:t>影响较小，可能是我国投资界ESG责任投资概念尚未广泛普及，业界对环境、社会、治理三方面关注较少。</w:t>
      </w:r>
    </w:p>
    <w:bookmarkEnd w:id="65"/>
    <w:p w14:paraId="2B52D288" w14:textId="335552EB" w:rsidR="00C17E75" w:rsidRPr="00B01D4B" w:rsidRDefault="00837B33" w:rsidP="00B01D4B">
      <w:pPr>
        <w:spacing w:line="360" w:lineRule="auto"/>
        <w:ind w:firstLineChars="200" w:firstLine="480"/>
        <w:rPr>
          <w:rFonts w:ascii="宋体" w:hAnsi="宋体"/>
          <w:sz w:val="24"/>
          <w:szCs w:val="24"/>
        </w:rPr>
      </w:pPr>
      <w:r>
        <w:rPr>
          <w:rFonts w:ascii="宋体" w:hAnsi="宋体" w:hint="eastAsia"/>
          <w:sz w:val="24"/>
          <w:szCs w:val="24"/>
        </w:rPr>
        <w:t>根据l</w:t>
      </w:r>
      <w:r>
        <w:rPr>
          <w:rFonts w:ascii="宋体" w:hAnsi="宋体"/>
          <w:sz w:val="24"/>
          <w:szCs w:val="24"/>
        </w:rPr>
        <w:t>ogit</w:t>
      </w:r>
      <w:r w:rsidR="00E31513">
        <w:rPr>
          <w:rFonts w:ascii="宋体" w:hAnsi="宋体" w:hint="eastAsia"/>
          <w:sz w:val="24"/>
          <w:szCs w:val="24"/>
        </w:rPr>
        <w:t>模型，得到如下样本回归函数：</w:t>
      </w:r>
    </w:p>
    <w:p w14:paraId="5F46C850" w14:textId="0A8BDCF0" w:rsidR="00B01D4B" w:rsidRPr="00E31513" w:rsidRDefault="00B01D4B" w:rsidP="00D85E9E">
      <w:pPr>
        <w:spacing w:line="360" w:lineRule="auto"/>
        <w:ind w:firstLineChars="200" w:firstLine="560"/>
        <w:rPr>
          <w:rFonts w:ascii="宋体" w:hAnsi="宋体"/>
          <w:sz w:val="28"/>
          <w:szCs w:val="28"/>
        </w:rPr>
      </w:pPr>
      <m:oMathPara>
        <m:oMath>
          <m:r>
            <w:rPr>
              <w:rFonts w:ascii="Cambria Math" w:eastAsia="Cambria Math" w:hAnsi="Cambria Math" w:cs="Cambria Math"/>
              <w:sz w:val="28"/>
              <w:szCs w:val="28"/>
            </w:rPr>
            <m:t>W</m:t>
          </m:r>
          <m:r>
            <m:rPr>
              <m:sty m:val="p"/>
            </m:rPr>
            <w:rPr>
              <w:rFonts w:ascii="Cambria Math" w:eastAsia="Cambria Math" w:hAnsi="Cambria Math" w:cs="Cambria Math"/>
              <w:sz w:val="28"/>
              <w:szCs w:val="28"/>
            </w:rPr>
            <m:t>=</m:t>
          </m:r>
          <m:f>
            <m:fPr>
              <m:ctrlPr>
                <w:rPr>
                  <w:rFonts w:ascii="Cambria Math" w:eastAsia="Cambria Math" w:hAnsi="Cambria Math"/>
                  <w:sz w:val="28"/>
                  <w:szCs w:val="28"/>
                </w:rPr>
              </m:ctrlPr>
            </m:fPr>
            <m:num>
              <m:r>
                <m:rPr>
                  <m:sty m:val="p"/>
                </m:rPr>
                <w:rPr>
                  <w:rFonts w:ascii="Cambria Math" w:eastAsia="Cambria Math" w:hAnsi="Cambria Math" w:cs="Cambria Math"/>
                  <w:sz w:val="28"/>
                  <w:szCs w:val="28"/>
                </w:rPr>
                <m:t>1</m:t>
              </m:r>
            </m:num>
            <m:den>
              <m:sSup>
                <m:sSupPr>
                  <m:ctrlPr>
                    <w:rPr>
                      <w:rFonts w:ascii="Cambria Math" w:eastAsia="Cambria Math" w:hAnsi="Cambria Math" w:cs="Cambria Math"/>
                      <w:i/>
                      <w:sz w:val="28"/>
                      <w:szCs w:val="28"/>
                    </w:rPr>
                  </m:ctrlPr>
                </m:sSupPr>
                <m:e>
                  <m:r>
                    <w:rPr>
                      <w:rFonts w:ascii="Cambria Math" w:eastAsia="Cambria Math" w:hAnsi="Cambria Math" w:cs="Cambria Math"/>
                      <w:sz w:val="28"/>
                      <w:szCs w:val="28"/>
                    </w:rPr>
                    <m:t>1+e</m:t>
                  </m:r>
                </m:e>
                <m:sup>
                  <m:r>
                    <w:rPr>
                      <w:rFonts w:ascii="Cambria Math" w:eastAsia="Cambria Math" w:hAnsi="Cambria Math" w:cs="Cambria Math"/>
                      <w:sz w:val="28"/>
                      <w:szCs w:val="28"/>
                    </w:rPr>
                    <m:t>-(1.402+87.751r+0.003g+0.823y+1.256t+0.167i+0.035e+0.079s+0.197g)</m:t>
                  </m:r>
                </m:sup>
              </m:sSup>
            </m:den>
          </m:f>
        </m:oMath>
      </m:oMathPara>
    </w:p>
    <w:p w14:paraId="1730FCF3" w14:textId="2DC78011" w:rsidR="00E31513" w:rsidRDefault="00E31513" w:rsidP="00E5069C">
      <w:pPr>
        <w:spacing w:line="360" w:lineRule="auto"/>
        <w:ind w:firstLineChars="200" w:firstLine="480"/>
        <w:rPr>
          <w:rFonts w:ascii="宋体" w:hAnsi="宋体"/>
          <w:sz w:val="24"/>
          <w:szCs w:val="24"/>
        </w:rPr>
      </w:pPr>
      <w:r w:rsidRPr="00E5069C">
        <w:rPr>
          <w:rFonts w:ascii="宋体" w:hAnsi="宋体" w:hint="eastAsia"/>
          <w:sz w:val="24"/>
          <w:szCs w:val="24"/>
        </w:rPr>
        <w:t>其中，W值的大小可以用来度量基金获得超额收益的可能性。若预测值W接近</w:t>
      </w:r>
      <w:r w:rsidRPr="00E5069C">
        <w:rPr>
          <w:rFonts w:ascii="宋体" w:hAnsi="宋体" w:hint="eastAsia"/>
          <w:sz w:val="24"/>
          <w:szCs w:val="24"/>
        </w:rPr>
        <w:lastRenderedPageBreak/>
        <w:t>于1，则表</w:t>
      </w:r>
      <w:bookmarkStart w:id="67" w:name="_Hlk103641881"/>
      <w:r w:rsidRPr="00E5069C">
        <w:rPr>
          <w:rFonts w:ascii="宋体" w:hAnsi="宋体" w:hint="eastAsia"/>
          <w:sz w:val="24"/>
          <w:szCs w:val="24"/>
        </w:rPr>
        <w:t>示基金获得超额收益概率越高</w:t>
      </w:r>
      <w:bookmarkEnd w:id="67"/>
      <w:r w:rsidRPr="00E5069C">
        <w:rPr>
          <w:rFonts w:ascii="宋体" w:hAnsi="宋体" w:hint="eastAsia"/>
          <w:sz w:val="24"/>
          <w:szCs w:val="24"/>
        </w:rPr>
        <w:t>；反之，若预测值W接近0，则表示示基金获得超额收益概率越低。</w:t>
      </w:r>
    </w:p>
    <w:p w14:paraId="46CD9C2B" w14:textId="1DED9B53" w:rsidR="00E5069C" w:rsidRDefault="00927543" w:rsidP="00E5069C">
      <w:pPr>
        <w:spacing w:line="360" w:lineRule="auto"/>
        <w:ind w:firstLineChars="200" w:firstLine="480"/>
        <w:rPr>
          <w:rFonts w:ascii="宋体" w:hAnsi="宋体"/>
          <w:sz w:val="24"/>
          <w:szCs w:val="24"/>
        </w:rPr>
      </w:pPr>
      <w:bookmarkStart w:id="68" w:name="_Hlk103676551"/>
      <w:r>
        <w:rPr>
          <w:rFonts w:ascii="宋体" w:hAnsi="宋体" w:hint="eastAsia"/>
          <w:sz w:val="24"/>
          <w:szCs w:val="24"/>
        </w:rPr>
        <w:t>从样本回归函数可以看出，非系统风险</w:t>
      </w:r>
      <w:r w:rsidR="00FC2C95">
        <w:rPr>
          <w:rFonts w:ascii="宋体" w:hAnsi="宋体" w:hint="eastAsia"/>
          <w:sz w:val="24"/>
          <w:szCs w:val="24"/>
        </w:rPr>
        <w:t>在逻辑回归中系数为8</w:t>
      </w:r>
      <w:r w:rsidR="00FC2C95">
        <w:rPr>
          <w:rFonts w:ascii="宋体" w:hAnsi="宋体"/>
          <w:sz w:val="24"/>
          <w:szCs w:val="24"/>
        </w:rPr>
        <w:t>7.751</w:t>
      </w:r>
      <w:r w:rsidR="00FC2C95">
        <w:rPr>
          <w:rFonts w:ascii="宋体" w:hAnsi="宋体" w:hint="eastAsia"/>
          <w:sz w:val="24"/>
          <w:szCs w:val="24"/>
        </w:rPr>
        <w:t>，</w:t>
      </w:r>
      <w:r>
        <w:rPr>
          <w:rFonts w:ascii="宋体" w:hAnsi="宋体" w:hint="eastAsia"/>
          <w:sz w:val="24"/>
          <w:szCs w:val="24"/>
        </w:rPr>
        <w:t>对基金</w:t>
      </w:r>
      <w:r w:rsidR="00FC2C95">
        <w:rPr>
          <w:rFonts w:ascii="宋体" w:hAnsi="宋体" w:hint="eastAsia"/>
          <w:sz w:val="24"/>
          <w:szCs w:val="24"/>
        </w:rPr>
        <w:t>获得超额收益影响较大，说明</w:t>
      </w:r>
      <w:bookmarkStart w:id="69" w:name="_Hlk104133293"/>
      <w:r w:rsidR="00FC2C95">
        <w:rPr>
          <w:rFonts w:ascii="宋体" w:hAnsi="宋体" w:hint="eastAsia"/>
          <w:sz w:val="24"/>
          <w:szCs w:val="24"/>
        </w:rPr>
        <w:t>基金获得超额收益是因为其承担了较大的非系统风险，符合风险收益匹配关系。基金是否为碳中和变量的系数为1</w:t>
      </w:r>
      <w:r w:rsidR="00FC2C95">
        <w:rPr>
          <w:rFonts w:ascii="宋体" w:hAnsi="宋体"/>
          <w:sz w:val="24"/>
          <w:szCs w:val="24"/>
        </w:rPr>
        <w:t>.256</w:t>
      </w:r>
      <w:r w:rsidR="00FC2C95">
        <w:rPr>
          <w:rFonts w:ascii="宋体" w:hAnsi="宋体" w:hint="eastAsia"/>
          <w:sz w:val="24"/>
          <w:szCs w:val="24"/>
        </w:rPr>
        <w:t>，也显著影响了基金获得超额收益的程度,说明若基金为碳中和概念基金，其年化收益率超过沪深3</w:t>
      </w:r>
      <w:r w:rsidR="00FC2C95">
        <w:rPr>
          <w:rFonts w:ascii="宋体" w:hAnsi="宋体"/>
          <w:sz w:val="24"/>
          <w:szCs w:val="24"/>
        </w:rPr>
        <w:t>00</w:t>
      </w:r>
      <w:r w:rsidR="00FC2C95">
        <w:rPr>
          <w:rFonts w:ascii="宋体" w:hAnsi="宋体" w:hint="eastAsia"/>
          <w:sz w:val="24"/>
          <w:szCs w:val="24"/>
        </w:rPr>
        <w:t>的可能性比非碳中和概念基金增加。</w:t>
      </w:r>
      <w:r w:rsidR="0097236F">
        <w:rPr>
          <w:rFonts w:ascii="宋体" w:hAnsi="宋体" w:hint="eastAsia"/>
          <w:sz w:val="24"/>
          <w:szCs w:val="24"/>
        </w:rPr>
        <w:t>其原因分析为，在碳中和政策背景下，由于行业发展和政策扶持，碳中和产业链</w:t>
      </w:r>
      <w:r w:rsidR="0091236B">
        <w:rPr>
          <w:rFonts w:ascii="宋体" w:hAnsi="宋体" w:hint="eastAsia"/>
          <w:sz w:val="24"/>
          <w:szCs w:val="24"/>
        </w:rPr>
        <w:t>相关公司和其他不涉及碳中和行业公司比较，更有可能获得较高收益。</w:t>
      </w:r>
      <w:r w:rsidR="00FC2C95">
        <w:rPr>
          <w:rFonts w:ascii="宋体" w:hAnsi="宋体" w:hint="eastAsia"/>
          <w:sz w:val="24"/>
          <w:szCs w:val="24"/>
        </w:rPr>
        <w:t>最后，对比基金规模与基金成立年限两个基金结构指标，基金成立年限对基金获得超额收益的正向影响大于</w:t>
      </w:r>
      <w:r w:rsidR="00E8591C">
        <w:rPr>
          <w:rFonts w:ascii="宋体" w:hAnsi="宋体" w:hint="eastAsia"/>
          <w:sz w:val="24"/>
          <w:szCs w:val="24"/>
        </w:rPr>
        <w:t>基金规模。</w:t>
      </w:r>
    </w:p>
    <w:bookmarkEnd w:id="69"/>
    <w:p w14:paraId="7EC3B980" w14:textId="30382237" w:rsidR="000A496A" w:rsidRDefault="0097236F" w:rsidP="00E5069C">
      <w:pPr>
        <w:spacing w:line="360" w:lineRule="auto"/>
        <w:ind w:firstLineChars="200" w:firstLine="480"/>
        <w:rPr>
          <w:rFonts w:ascii="宋体" w:hAnsi="宋体"/>
          <w:sz w:val="24"/>
          <w:szCs w:val="24"/>
        </w:rPr>
      </w:pPr>
      <w:r>
        <w:rPr>
          <w:rFonts w:ascii="宋体" w:hAnsi="宋体" w:hint="eastAsia"/>
          <w:sz w:val="24"/>
          <w:szCs w:val="24"/>
        </w:rPr>
        <w:t>从ESG指标分析，</w:t>
      </w:r>
      <w:bookmarkStart w:id="70" w:name="_Hlk103643705"/>
      <w:r>
        <w:rPr>
          <w:rFonts w:ascii="宋体" w:hAnsi="宋体" w:hint="eastAsia"/>
          <w:sz w:val="24"/>
          <w:szCs w:val="24"/>
        </w:rPr>
        <w:t>考察</w:t>
      </w:r>
      <w:r w:rsidR="00E8591C" w:rsidRPr="00E8591C">
        <w:rPr>
          <w:rFonts w:ascii="宋体" w:hAnsi="宋体" w:hint="eastAsia"/>
          <w:sz w:val="24"/>
          <w:szCs w:val="24"/>
        </w:rPr>
        <w:t>基金E环境评分、基金S社会评分、基金G治理评分</w:t>
      </w:r>
      <w:bookmarkEnd w:id="70"/>
      <w:r w:rsidR="007D055E">
        <w:rPr>
          <w:rFonts w:ascii="宋体" w:hAnsi="宋体" w:hint="eastAsia"/>
          <w:sz w:val="24"/>
          <w:szCs w:val="24"/>
        </w:rPr>
        <w:t>三个维度对基金获得超额收益影响程度，结论为</w:t>
      </w:r>
      <w:r w:rsidR="007D055E" w:rsidRPr="007D055E">
        <w:rPr>
          <w:rFonts w:ascii="宋体" w:hAnsi="宋体" w:hint="eastAsia"/>
          <w:sz w:val="24"/>
          <w:szCs w:val="24"/>
        </w:rPr>
        <w:t>基金E环境评分指标对基金综合绩效正向影响程度</w:t>
      </w:r>
      <w:r w:rsidR="007D055E">
        <w:rPr>
          <w:rFonts w:ascii="宋体" w:hAnsi="宋体" w:hint="eastAsia"/>
          <w:sz w:val="24"/>
          <w:szCs w:val="24"/>
        </w:rPr>
        <w:t>最大，</w:t>
      </w:r>
      <w:r w:rsidR="007D055E" w:rsidRPr="007D055E">
        <w:rPr>
          <w:rFonts w:ascii="宋体" w:hAnsi="宋体" w:hint="eastAsia"/>
          <w:sz w:val="24"/>
          <w:szCs w:val="24"/>
        </w:rPr>
        <w:t>基金S社会评分指标与基金G治理评分指标</w:t>
      </w:r>
      <w:r w:rsidR="007D055E">
        <w:rPr>
          <w:rFonts w:ascii="宋体" w:hAnsi="宋体" w:hint="eastAsia"/>
          <w:sz w:val="24"/>
          <w:szCs w:val="24"/>
        </w:rPr>
        <w:t>对基金获得超额收益影响为正但相差不大。</w:t>
      </w:r>
      <w:r w:rsidR="000A496A">
        <w:rPr>
          <w:rFonts w:ascii="宋体" w:hAnsi="宋体" w:hint="eastAsia"/>
          <w:sz w:val="24"/>
          <w:szCs w:val="24"/>
        </w:rPr>
        <w:t>这与第3章建立的基金综合绩效评价结果一致。</w:t>
      </w:r>
      <w:r w:rsidR="0091236B">
        <w:rPr>
          <w:rFonts w:ascii="宋体" w:hAnsi="宋体" w:hint="eastAsia"/>
          <w:sz w:val="24"/>
          <w:szCs w:val="24"/>
        </w:rPr>
        <w:t>结合现状，由于ESG投资及其相关监管体系在我国尚未健全，并且目前监管机构监督监管力度最大的是环境指标，这是ESG三个指标中相比较后容易监督与管控的一个领域。所以企业的ESG评分中环境</w:t>
      </w:r>
      <w:r w:rsidR="00B65820">
        <w:rPr>
          <w:rFonts w:ascii="宋体" w:hAnsi="宋体" w:hint="eastAsia"/>
          <w:sz w:val="24"/>
          <w:szCs w:val="24"/>
        </w:rPr>
        <w:t>E</w:t>
      </w:r>
      <w:r w:rsidR="0091236B">
        <w:rPr>
          <w:rFonts w:ascii="宋体" w:hAnsi="宋体" w:hint="eastAsia"/>
          <w:sz w:val="24"/>
          <w:szCs w:val="24"/>
        </w:rPr>
        <w:t>指标评分较高，对其综合绩效与超额收益</w:t>
      </w:r>
      <w:r w:rsidR="000A496A">
        <w:rPr>
          <w:rFonts w:ascii="宋体" w:hAnsi="宋体" w:hint="eastAsia"/>
          <w:sz w:val="24"/>
          <w:szCs w:val="24"/>
        </w:rPr>
        <w:t>正向</w:t>
      </w:r>
      <w:r w:rsidR="0091236B">
        <w:rPr>
          <w:rFonts w:ascii="宋体" w:hAnsi="宋体" w:hint="eastAsia"/>
          <w:sz w:val="24"/>
          <w:szCs w:val="24"/>
        </w:rPr>
        <w:t>影响最大</w:t>
      </w:r>
      <w:r w:rsidR="000A496A">
        <w:rPr>
          <w:rFonts w:ascii="宋体" w:hAnsi="宋体" w:hint="eastAsia"/>
          <w:sz w:val="24"/>
          <w:szCs w:val="24"/>
        </w:rPr>
        <w:t>，这符合我国社会基本情况与我国ESG监督体系建设现状。</w:t>
      </w:r>
    </w:p>
    <w:p w14:paraId="04703CA6" w14:textId="72CC8312" w:rsidR="00B01D4B" w:rsidRPr="00D85E9E" w:rsidRDefault="00E048D9" w:rsidP="001B02B5">
      <w:pPr>
        <w:pStyle w:val="21"/>
      </w:pPr>
      <w:bookmarkStart w:id="71" w:name="_Toc105023919"/>
      <w:bookmarkEnd w:id="68"/>
      <w:r w:rsidRPr="00D85E9E">
        <w:rPr>
          <w:rFonts w:hint="eastAsia"/>
        </w:rPr>
        <w:t>4</w:t>
      </w:r>
      <w:r w:rsidRPr="00D85E9E">
        <w:t>.</w:t>
      </w:r>
      <w:r>
        <w:t>2</w:t>
      </w:r>
      <w:r>
        <w:rPr>
          <w:rFonts w:hint="eastAsia"/>
        </w:rPr>
        <w:t>稳健性检验</w:t>
      </w:r>
      <w:bookmarkEnd w:id="71"/>
    </w:p>
    <w:p w14:paraId="10302E0A" w14:textId="310AAF94" w:rsidR="00E048D9" w:rsidRPr="00E048D9" w:rsidRDefault="00E048D9" w:rsidP="001B02B5">
      <w:pPr>
        <w:pStyle w:val="4"/>
      </w:pPr>
      <w:bookmarkStart w:id="72" w:name="_Toc105023920"/>
      <w:r w:rsidRPr="00E048D9">
        <w:rPr>
          <w:rFonts w:hint="eastAsia"/>
        </w:rPr>
        <w:t>4</w:t>
      </w:r>
      <w:r w:rsidRPr="00E048D9">
        <w:t>.2.1</w:t>
      </w:r>
      <w:r w:rsidR="00EF12AB">
        <w:rPr>
          <w:rFonts w:hint="eastAsia"/>
        </w:rPr>
        <w:t>更换模型</w:t>
      </w:r>
      <w:bookmarkEnd w:id="72"/>
    </w:p>
    <w:p w14:paraId="6708F1A9" w14:textId="27458553" w:rsidR="00E048D9" w:rsidRDefault="00CD00AB" w:rsidP="00E048D9">
      <w:pPr>
        <w:spacing w:line="360" w:lineRule="auto"/>
        <w:ind w:firstLineChars="200" w:firstLine="480"/>
        <w:rPr>
          <w:rFonts w:ascii="宋体" w:hAnsi="宋体"/>
          <w:sz w:val="24"/>
          <w:szCs w:val="24"/>
        </w:rPr>
      </w:pPr>
      <w:r>
        <w:rPr>
          <w:rFonts w:ascii="宋体" w:hAnsi="宋体" w:hint="eastAsia"/>
          <w:sz w:val="24"/>
          <w:szCs w:val="24"/>
        </w:rPr>
        <w:t>使用原始指标数据进行线性回归来进行</w:t>
      </w:r>
      <w:r w:rsidR="00E048D9">
        <w:rPr>
          <w:rFonts w:ascii="宋体" w:hAnsi="宋体" w:hint="eastAsia"/>
          <w:sz w:val="24"/>
          <w:szCs w:val="24"/>
        </w:rPr>
        <w:t>稳健性检验</w:t>
      </w:r>
      <w:r>
        <w:rPr>
          <w:rFonts w:ascii="宋体" w:hAnsi="宋体" w:hint="eastAsia"/>
          <w:sz w:val="24"/>
          <w:szCs w:val="24"/>
        </w:rPr>
        <w:t>。</w:t>
      </w:r>
      <w:r w:rsidRPr="00CD00AB">
        <w:rPr>
          <w:rFonts w:ascii="宋体" w:hAnsi="宋体" w:hint="eastAsia"/>
          <w:sz w:val="24"/>
          <w:szCs w:val="24"/>
        </w:rPr>
        <w:t>选取非系统风险、基金规模、基金成立年限、碳中和指标、基金E环境评分、基金S社会评分、基金G治理评分、重仓股票ESG评分等客观因素作为解释变量</w:t>
      </w:r>
      <w:r>
        <w:rPr>
          <w:rFonts w:ascii="宋体" w:hAnsi="宋体" w:hint="eastAsia"/>
          <w:sz w:val="24"/>
          <w:szCs w:val="24"/>
        </w:rPr>
        <w:t>，</w:t>
      </w:r>
      <w:r w:rsidR="00E8591C">
        <w:rPr>
          <w:rFonts w:ascii="宋体" w:hAnsi="宋体" w:hint="eastAsia"/>
          <w:sz w:val="24"/>
          <w:szCs w:val="24"/>
        </w:rPr>
        <w:t>基金是否获得超额收益</w:t>
      </w:r>
      <w:r>
        <w:rPr>
          <w:rFonts w:ascii="宋体" w:hAnsi="宋体" w:hint="eastAsia"/>
          <w:sz w:val="24"/>
          <w:szCs w:val="24"/>
        </w:rPr>
        <w:t>作为被解释变量。</w:t>
      </w:r>
    </w:p>
    <w:p w14:paraId="442E3EA6" w14:textId="20161B49" w:rsidR="00CD00AB" w:rsidRDefault="00CD00AB" w:rsidP="00E048D9">
      <w:pPr>
        <w:spacing w:line="360" w:lineRule="auto"/>
        <w:ind w:firstLineChars="200" w:firstLine="480"/>
        <w:rPr>
          <w:rFonts w:ascii="宋体" w:hAnsi="宋体"/>
          <w:sz w:val="24"/>
          <w:szCs w:val="24"/>
        </w:rPr>
      </w:pPr>
      <w:bookmarkStart w:id="73" w:name="_Hlk103645470"/>
      <w:r w:rsidRPr="00CD00AB">
        <w:rPr>
          <w:rFonts w:ascii="宋体" w:hAnsi="宋体" w:hint="eastAsia"/>
          <w:sz w:val="24"/>
          <w:szCs w:val="24"/>
        </w:rPr>
        <w:t>将样本数据导入stata，进行</w:t>
      </w:r>
      <w:r>
        <w:rPr>
          <w:rFonts w:ascii="宋体" w:hAnsi="宋体" w:hint="eastAsia"/>
          <w:sz w:val="24"/>
          <w:szCs w:val="24"/>
        </w:rPr>
        <w:t>线性</w:t>
      </w:r>
      <w:r w:rsidRPr="00CD00AB">
        <w:rPr>
          <w:rFonts w:ascii="宋体" w:hAnsi="宋体" w:hint="eastAsia"/>
          <w:sz w:val="24"/>
          <w:szCs w:val="24"/>
        </w:rPr>
        <w:t>回归结果如下：</w:t>
      </w:r>
    </w:p>
    <w:p w14:paraId="0B2195B1" w14:textId="2278566F" w:rsidR="00481BEA" w:rsidRDefault="00481BEA" w:rsidP="00E048D9">
      <w:pPr>
        <w:spacing w:line="360" w:lineRule="auto"/>
        <w:ind w:firstLineChars="200" w:firstLine="480"/>
        <w:rPr>
          <w:rFonts w:ascii="宋体" w:hAnsi="宋体"/>
          <w:sz w:val="24"/>
          <w:szCs w:val="24"/>
        </w:rPr>
      </w:pPr>
    </w:p>
    <w:p w14:paraId="7D989D76" w14:textId="62DDC076" w:rsidR="00481BEA" w:rsidRDefault="00481BEA" w:rsidP="00E048D9">
      <w:pPr>
        <w:spacing w:line="360" w:lineRule="auto"/>
        <w:ind w:firstLineChars="200" w:firstLine="480"/>
        <w:rPr>
          <w:rFonts w:ascii="宋体" w:hAnsi="宋体"/>
          <w:sz w:val="24"/>
          <w:szCs w:val="24"/>
        </w:rPr>
      </w:pPr>
    </w:p>
    <w:p w14:paraId="702D4DCC" w14:textId="77777777" w:rsidR="00481BEA" w:rsidRDefault="00481BEA" w:rsidP="00E048D9">
      <w:pPr>
        <w:spacing w:line="360" w:lineRule="auto"/>
        <w:ind w:firstLineChars="200" w:firstLine="480"/>
        <w:rPr>
          <w:rFonts w:ascii="宋体" w:hAnsi="宋体"/>
          <w:sz w:val="24"/>
          <w:szCs w:val="24"/>
        </w:rPr>
      </w:pPr>
    </w:p>
    <w:p w14:paraId="65C9EB1D" w14:textId="13B74058" w:rsidR="00811855" w:rsidRPr="00811855" w:rsidRDefault="00811855" w:rsidP="00811855">
      <w:pPr>
        <w:spacing w:line="360" w:lineRule="auto"/>
        <w:ind w:firstLineChars="200" w:firstLine="420"/>
        <w:jc w:val="center"/>
        <w:rPr>
          <w:rFonts w:ascii="宋体" w:hAnsi="宋体"/>
          <w:szCs w:val="21"/>
        </w:rPr>
      </w:pPr>
      <w:r w:rsidRPr="00811855">
        <w:rPr>
          <w:rFonts w:ascii="宋体" w:hAnsi="宋体" w:hint="eastAsia"/>
          <w:szCs w:val="21"/>
        </w:rPr>
        <w:t>表</w:t>
      </w:r>
      <w:r w:rsidR="008F5CC1">
        <w:rPr>
          <w:rFonts w:ascii="宋体" w:hAnsi="宋体"/>
          <w:szCs w:val="21"/>
        </w:rPr>
        <w:t>4-2</w:t>
      </w:r>
      <w:r w:rsidRPr="00811855">
        <w:rPr>
          <w:rFonts w:ascii="宋体" w:hAnsi="宋体" w:hint="eastAsia"/>
          <w:szCs w:val="21"/>
        </w:rPr>
        <w:t>：稳健性检验1</w:t>
      </w:r>
    </w:p>
    <w:tbl>
      <w:tblPr>
        <w:tblW w:w="8636" w:type="dxa"/>
        <w:tblInd w:w="108" w:type="dxa"/>
        <w:tblLook w:val="04A0" w:firstRow="1" w:lastRow="0" w:firstColumn="1" w:lastColumn="0" w:noHBand="0" w:noVBand="1"/>
      </w:tblPr>
      <w:tblGrid>
        <w:gridCol w:w="2036"/>
        <w:gridCol w:w="985"/>
        <w:gridCol w:w="1071"/>
        <w:gridCol w:w="985"/>
        <w:gridCol w:w="985"/>
        <w:gridCol w:w="1244"/>
        <w:gridCol w:w="1330"/>
      </w:tblGrid>
      <w:tr w:rsidR="00CD00AB" w:rsidRPr="00720EF1" w14:paraId="09FB3F65" w14:textId="77777777" w:rsidTr="00CD00AB">
        <w:trPr>
          <w:trHeight w:val="281"/>
        </w:trPr>
        <w:tc>
          <w:tcPr>
            <w:tcW w:w="2036" w:type="dxa"/>
            <w:tcBorders>
              <w:top w:val="single" w:sz="12" w:space="0" w:color="auto"/>
              <w:left w:val="nil"/>
              <w:bottom w:val="single" w:sz="12" w:space="0" w:color="auto"/>
              <w:right w:val="nil"/>
            </w:tcBorders>
            <w:shd w:val="clear" w:color="auto" w:fill="auto"/>
            <w:noWrap/>
            <w:vAlign w:val="bottom"/>
            <w:hideMark/>
          </w:tcPr>
          <w:bookmarkEnd w:id="73"/>
          <w:p w14:paraId="4FF683B7" w14:textId="77777777" w:rsidR="00CD00AB" w:rsidRPr="00720EF1" w:rsidRDefault="00CD00AB" w:rsidP="00CD00AB">
            <w:pPr>
              <w:widowControl/>
              <w:jc w:val="left"/>
              <w:rPr>
                <w:kern w:val="0"/>
                <w:sz w:val="20"/>
              </w:rPr>
            </w:pPr>
            <w:r w:rsidRPr="00720EF1">
              <w:rPr>
                <w:kern w:val="0"/>
                <w:sz w:val="20"/>
              </w:rPr>
              <w:t>是否超过沪深</w:t>
            </w:r>
            <w:r w:rsidRPr="00720EF1">
              <w:rPr>
                <w:kern w:val="0"/>
                <w:sz w:val="20"/>
              </w:rPr>
              <w:t>300</w:t>
            </w:r>
            <w:r w:rsidRPr="00720EF1">
              <w:rPr>
                <w:kern w:val="0"/>
                <w:sz w:val="20"/>
              </w:rPr>
              <w:t>收益率</w:t>
            </w:r>
          </w:p>
        </w:tc>
        <w:tc>
          <w:tcPr>
            <w:tcW w:w="985" w:type="dxa"/>
            <w:tcBorders>
              <w:top w:val="single" w:sz="12" w:space="0" w:color="auto"/>
              <w:left w:val="nil"/>
              <w:bottom w:val="single" w:sz="12" w:space="0" w:color="auto"/>
              <w:right w:val="nil"/>
            </w:tcBorders>
            <w:shd w:val="clear" w:color="auto" w:fill="auto"/>
            <w:noWrap/>
            <w:vAlign w:val="bottom"/>
            <w:hideMark/>
          </w:tcPr>
          <w:p w14:paraId="3F27EB2E" w14:textId="77777777" w:rsidR="00CD00AB" w:rsidRPr="00720EF1" w:rsidRDefault="00CD00AB" w:rsidP="00CD00AB">
            <w:pPr>
              <w:widowControl/>
              <w:jc w:val="center"/>
              <w:rPr>
                <w:kern w:val="0"/>
                <w:sz w:val="20"/>
              </w:rPr>
            </w:pPr>
            <w:r w:rsidRPr="00720EF1">
              <w:rPr>
                <w:kern w:val="0"/>
                <w:sz w:val="20"/>
              </w:rPr>
              <w:t>系数</w:t>
            </w:r>
          </w:p>
        </w:tc>
        <w:tc>
          <w:tcPr>
            <w:tcW w:w="1071" w:type="dxa"/>
            <w:tcBorders>
              <w:top w:val="single" w:sz="12" w:space="0" w:color="auto"/>
              <w:left w:val="nil"/>
              <w:bottom w:val="single" w:sz="12" w:space="0" w:color="auto"/>
              <w:right w:val="nil"/>
            </w:tcBorders>
            <w:shd w:val="clear" w:color="auto" w:fill="auto"/>
            <w:noWrap/>
            <w:vAlign w:val="bottom"/>
            <w:hideMark/>
          </w:tcPr>
          <w:p w14:paraId="79762C88" w14:textId="77777777" w:rsidR="00CD00AB" w:rsidRPr="00720EF1" w:rsidRDefault="00CD00AB" w:rsidP="00CD00AB">
            <w:pPr>
              <w:widowControl/>
              <w:jc w:val="right"/>
              <w:rPr>
                <w:kern w:val="0"/>
                <w:sz w:val="20"/>
              </w:rPr>
            </w:pPr>
            <w:r w:rsidRPr="00720EF1">
              <w:rPr>
                <w:kern w:val="0"/>
                <w:sz w:val="20"/>
              </w:rPr>
              <w:t>标准差</w:t>
            </w:r>
          </w:p>
        </w:tc>
        <w:tc>
          <w:tcPr>
            <w:tcW w:w="985" w:type="dxa"/>
            <w:tcBorders>
              <w:top w:val="single" w:sz="12" w:space="0" w:color="auto"/>
              <w:left w:val="nil"/>
              <w:bottom w:val="single" w:sz="12" w:space="0" w:color="auto"/>
              <w:right w:val="nil"/>
            </w:tcBorders>
            <w:shd w:val="clear" w:color="auto" w:fill="auto"/>
            <w:noWrap/>
            <w:vAlign w:val="bottom"/>
            <w:hideMark/>
          </w:tcPr>
          <w:p w14:paraId="45976208" w14:textId="77777777" w:rsidR="00CD00AB" w:rsidRPr="00720EF1" w:rsidRDefault="00CD00AB" w:rsidP="00CD00AB">
            <w:pPr>
              <w:widowControl/>
              <w:jc w:val="right"/>
              <w:rPr>
                <w:kern w:val="0"/>
                <w:sz w:val="20"/>
              </w:rPr>
            </w:pPr>
            <w:r w:rsidRPr="00720EF1">
              <w:rPr>
                <w:kern w:val="0"/>
                <w:sz w:val="20"/>
              </w:rPr>
              <w:t>z</w:t>
            </w:r>
            <w:r w:rsidRPr="00720EF1">
              <w:rPr>
                <w:kern w:val="0"/>
                <w:sz w:val="20"/>
              </w:rPr>
              <w:t>值</w:t>
            </w:r>
          </w:p>
        </w:tc>
        <w:tc>
          <w:tcPr>
            <w:tcW w:w="985" w:type="dxa"/>
            <w:tcBorders>
              <w:top w:val="single" w:sz="12" w:space="0" w:color="auto"/>
              <w:left w:val="nil"/>
              <w:bottom w:val="single" w:sz="12" w:space="0" w:color="auto"/>
              <w:right w:val="nil"/>
            </w:tcBorders>
            <w:shd w:val="clear" w:color="auto" w:fill="auto"/>
            <w:noWrap/>
            <w:vAlign w:val="bottom"/>
            <w:hideMark/>
          </w:tcPr>
          <w:p w14:paraId="5B9893DD" w14:textId="77777777" w:rsidR="00CD00AB" w:rsidRPr="00720EF1" w:rsidRDefault="00CD00AB" w:rsidP="00CD00AB">
            <w:pPr>
              <w:widowControl/>
              <w:jc w:val="right"/>
              <w:rPr>
                <w:kern w:val="0"/>
                <w:sz w:val="20"/>
              </w:rPr>
            </w:pPr>
            <w:r w:rsidRPr="00720EF1">
              <w:rPr>
                <w:kern w:val="0"/>
                <w:sz w:val="20"/>
              </w:rPr>
              <w:t>P&gt;z</w:t>
            </w:r>
          </w:p>
        </w:tc>
        <w:tc>
          <w:tcPr>
            <w:tcW w:w="2574" w:type="dxa"/>
            <w:gridSpan w:val="2"/>
            <w:tcBorders>
              <w:top w:val="single" w:sz="12" w:space="0" w:color="auto"/>
              <w:left w:val="nil"/>
              <w:bottom w:val="single" w:sz="12" w:space="0" w:color="auto"/>
              <w:right w:val="nil"/>
            </w:tcBorders>
            <w:shd w:val="clear" w:color="auto" w:fill="auto"/>
            <w:noWrap/>
            <w:vAlign w:val="bottom"/>
            <w:hideMark/>
          </w:tcPr>
          <w:p w14:paraId="076D5FA7" w14:textId="77777777" w:rsidR="00CD00AB" w:rsidRPr="00720EF1" w:rsidRDefault="00CD00AB" w:rsidP="00CD00AB">
            <w:pPr>
              <w:widowControl/>
              <w:jc w:val="center"/>
              <w:rPr>
                <w:kern w:val="0"/>
                <w:sz w:val="20"/>
              </w:rPr>
            </w:pPr>
            <w:r w:rsidRPr="00720EF1">
              <w:rPr>
                <w:kern w:val="0"/>
                <w:sz w:val="20"/>
              </w:rPr>
              <w:t>95%</w:t>
            </w:r>
            <w:r w:rsidRPr="00720EF1">
              <w:rPr>
                <w:kern w:val="0"/>
                <w:sz w:val="20"/>
              </w:rPr>
              <w:t>置信区间</w:t>
            </w:r>
          </w:p>
        </w:tc>
      </w:tr>
      <w:tr w:rsidR="00CD00AB" w:rsidRPr="00720EF1" w14:paraId="55A50D5E" w14:textId="77777777" w:rsidTr="00CD00AB">
        <w:trPr>
          <w:trHeight w:val="267"/>
        </w:trPr>
        <w:tc>
          <w:tcPr>
            <w:tcW w:w="2036" w:type="dxa"/>
            <w:tcBorders>
              <w:top w:val="nil"/>
              <w:left w:val="nil"/>
              <w:bottom w:val="nil"/>
              <w:right w:val="nil"/>
            </w:tcBorders>
            <w:shd w:val="clear" w:color="auto" w:fill="auto"/>
            <w:noWrap/>
            <w:vAlign w:val="bottom"/>
            <w:hideMark/>
          </w:tcPr>
          <w:p w14:paraId="06BBC23D" w14:textId="77777777" w:rsidR="00CD00AB" w:rsidRPr="00720EF1" w:rsidRDefault="00CD00AB" w:rsidP="00CD00AB">
            <w:pPr>
              <w:widowControl/>
              <w:jc w:val="left"/>
              <w:rPr>
                <w:kern w:val="0"/>
                <w:sz w:val="20"/>
              </w:rPr>
            </w:pPr>
            <w:r w:rsidRPr="00720EF1">
              <w:rPr>
                <w:kern w:val="0"/>
                <w:sz w:val="20"/>
              </w:rPr>
              <w:t>非系统风险</w:t>
            </w:r>
          </w:p>
        </w:tc>
        <w:tc>
          <w:tcPr>
            <w:tcW w:w="985" w:type="dxa"/>
            <w:tcBorders>
              <w:top w:val="nil"/>
              <w:left w:val="nil"/>
              <w:bottom w:val="nil"/>
              <w:right w:val="nil"/>
            </w:tcBorders>
            <w:shd w:val="clear" w:color="auto" w:fill="auto"/>
            <w:noWrap/>
            <w:vAlign w:val="bottom"/>
            <w:hideMark/>
          </w:tcPr>
          <w:p w14:paraId="6C1748A4" w14:textId="77777777" w:rsidR="00CD00AB" w:rsidRPr="00720EF1" w:rsidRDefault="00CD00AB" w:rsidP="00CD00AB">
            <w:pPr>
              <w:widowControl/>
              <w:jc w:val="center"/>
              <w:rPr>
                <w:kern w:val="0"/>
                <w:sz w:val="20"/>
              </w:rPr>
            </w:pPr>
            <w:r w:rsidRPr="00720EF1">
              <w:rPr>
                <w:kern w:val="0"/>
                <w:sz w:val="20"/>
              </w:rPr>
              <w:t xml:space="preserve">   15.5919 </w:t>
            </w:r>
          </w:p>
        </w:tc>
        <w:tc>
          <w:tcPr>
            <w:tcW w:w="1071" w:type="dxa"/>
            <w:tcBorders>
              <w:top w:val="nil"/>
              <w:left w:val="nil"/>
              <w:bottom w:val="nil"/>
              <w:right w:val="nil"/>
            </w:tcBorders>
            <w:shd w:val="clear" w:color="auto" w:fill="auto"/>
            <w:noWrap/>
            <w:vAlign w:val="bottom"/>
            <w:hideMark/>
          </w:tcPr>
          <w:p w14:paraId="544ABB68" w14:textId="77777777" w:rsidR="00CD00AB" w:rsidRPr="00720EF1" w:rsidRDefault="00CD00AB" w:rsidP="00CD00AB">
            <w:pPr>
              <w:widowControl/>
              <w:jc w:val="right"/>
              <w:rPr>
                <w:kern w:val="0"/>
                <w:sz w:val="20"/>
              </w:rPr>
            </w:pPr>
            <w:r w:rsidRPr="00720EF1">
              <w:rPr>
                <w:kern w:val="0"/>
                <w:sz w:val="20"/>
              </w:rPr>
              <w:t xml:space="preserve">      5.0238 </w:t>
            </w:r>
          </w:p>
        </w:tc>
        <w:tc>
          <w:tcPr>
            <w:tcW w:w="985" w:type="dxa"/>
            <w:tcBorders>
              <w:top w:val="nil"/>
              <w:left w:val="nil"/>
              <w:bottom w:val="nil"/>
              <w:right w:val="nil"/>
            </w:tcBorders>
            <w:shd w:val="clear" w:color="auto" w:fill="auto"/>
            <w:noWrap/>
            <w:vAlign w:val="bottom"/>
            <w:hideMark/>
          </w:tcPr>
          <w:p w14:paraId="52045A20" w14:textId="77777777" w:rsidR="00CD00AB" w:rsidRPr="00720EF1" w:rsidRDefault="00CD00AB" w:rsidP="00CD00AB">
            <w:pPr>
              <w:widowControl/>
              <w:jc w:val="right"/>
              <w:rPr>
                <w:kern w:val="0"/>
                <w:sz w:val="20"/>
              </w:rPr>
            </w:pPr>
            <w:r w:rsidRPr="00720EF1">
              <w:rPr>
                <w:kern w:val="0"/>
                <w:sz w:val="20"/>
              </w:rPr>
              <w:t xml:space="preserve">     3.1000 </w:t>
            </w:r>
          </w:p>
        </w:tc>
        <w:tc>
          <w:tcPr>
            <w:tcW w:w="985" w:type="dxa"/>
            <w:tcBorders>
              <w:top w:val="nil"/>
              <w:left w:val="nil"/>
              <w:bottom w:val="nil"/>
              <w:right w:val="nil"/>
            </w:tcBorders>
            <w:shd w:val="clear" w:color="auto" w:fill="auto"/>
            <w:noWrap/>
            <w:vAlign w:val="bottom"/>
            <w:hideMark/>
          </w:tcPr>
          <w:p w14:paraId="0C025332" w14:textId="77777777" w:rsidR="00CD00AB" w:rsidRPr="00720EF1" w:rsidRDefault="00CD00AB" w:rsidP="00CD00AB">
            <w:pPr>
              <w:widowControl/>
              <w:jc w:val="right"/>
              <w:rPr>
                <w:kern w:val="0"/>
                <w:sz w:val="20"/>
              </w:rPr>
            </w:pPr>
            <w:r w:rsidRPr="00720EF1">
              <w:rPr>
                <w:kern w:val="0"/>
                <w:sz w:val="20"/>
              </w:rPr>
              <w:t xml:space="preserve">     0.0020 </w:t>
            </w:r>
          </w:p>
        </w:tc>
        <w:tc>
          <w:tcPr>
            <w:tcW w:w="1244" w:type="dxa"/>
            <w:tcBorders>
              <w:top w:val="nil"/>
              <w:left w:val="nil"/>
              <w:bottom w:val="nil"/>
              <w:right w:val="nil"/>
            </w:tcBorders>
            <w:shd w:val="clear" w:color="auto" w:fill="auto"/>
            <w:noWrap/>
            <w:vAlign w:val="bottom"/>
            <w:hideMark/>
          </w:tcPr>
          <w:p w14:paraId="503E6946" w14:textId="77777777" w:rsidR="00CD00AB" w:rsidRPr="00720EF1" w:rsidRDefault="00CD00AB" w:rsidP="00CD00AB">
            <w:pPr>
              <w:widowControl/>
              <w:jc w:val="right"/>
              <w:rPr>
                <w:kern w:val="0"/>
                <w:sz w:val="20"/>
              </w:rPr>
            </w:pPr>
            <w:r w:rsidRPr="00720EF1">
              <w:rPr>
                <w:kern w:val="0"/>
                <w:sz w:val="20"/>
              </w:rPr>
              <w:t xml:space="preserve">        5.6398 </w:t>
            </w:r>
          </w:p>
        </w:tc>
        <w:tc>
          <w:tcPr>
            <w:tcW w:w="1330" w:type="dxa"/>
            <w:tcBorders>
              <w:top w:val="nil"/>
              <w:left w:val="nil"/>
              <w:bottom w:val="nil"/>
              <w:right w:val="nil"/>
            </w:tcBorders>
            <w:shd w:val="clear" w:color="auto" w:fill="auto"/>
            <w:noWrap/>
            <w:vAlign w:val="bottom"/>
            <w:hideMark/>
          </w:tcPr>
          <w:p w14:paraId="0559808B" w14:textId="77777777" w:rsidR="00CD00AB" w:rsidRPr="00720EF1" w:rsidRDefault="00CD00AB" w:rsidP="00CD00AB">
            <w:pPr>
              <w:widowControl/>
              <w:jc w:val="right"/>
              <w:rPr>
                <w:kern w:val="0"/>
                <w:sz w:val="20"/>
              </w:rPr>
            </w:pPr>
            <w:r w:rsidRPr="00720EF1">
              <w:rPr>
                <w:kern w:val="0"/>
                <w:sz w:val="20"/>
              </w:rPr>
              <w:t xml:space="preserve">       25.5440 </w:t>
            </w:r>
          </w:p>
        </w:tc>
      </w:tr>
      <w:tr w:rsidR="00CD00AB" w:rsidRPr="00720EF1" w14:paraId="50408177" w14:textId="77777777" w:rsidTr="00CD00AB">
        <w:trPr>
          <w:trHeight w:val="253"/>
        </w:trPr>
        <w:tc>
          <w:tcPr>
            <w:tcW w:w="2036" w:type="dxa"/>
            <w:tcBorders>
              <w:top w:val="nil"/>
              <w:left w:val="nil"/>
              <w:bottom w:val="nil"/>
              <w:right w:val="nil"/>
            </w:tcBorders>
            <w:shd w:val="clear" w:color="auto" w:fill="auto"/>
            <w:noWrap/>
            <w:vAlign w:val="bottom"/>
            <w:hideMark/>
          </w:tcPr>
          <w:p w14:paraId="37FEA3D1" w14:textId="77777777" w:rsidR="00CD00AB" w:rsidRPr="00720EF1" w:rsidRDefault="00CD00AB" w:rsidP="00CD00AB">
            <w:pPr>
              <w:widowControl/>
              <w:jc w:val="left"/>
              <w:rPr>
                <w:kern w:val="0"/>
                <w:sz w:val="20"/>
              </w:rPr>
            </w:pPr>
            <w:r w:rsidRPr="00720EF1">
              <w:rPr>
                <w:kern w:val="0"/>
                <w:sz w:val="20"/>
              </w:rPr>
              <w:t>基金规模单位亿元</w:t>
            </w:r>
          </w:p>
        </w:tc>
        <w:tc>
          <w:tcPr>
            <w:tcW w:w="985" w:type="dxa"/>
            <w:tcBorders>
              <w:top w:val="nil"/>
              <w:left w:val="nil"/>
              <w:bottom w:val="nil"/>
              <w:right w:val="nil"/>
            </w:tcBorders>
            <w:shd w:val="clear" w:color="auto" w:fill="auto"/>
            <w:noWrap/>
            <w:vAlign w:val="bottom"/>
            <w:hideMark/>
          </w:tcPr>
          <w:p w14:paraId="3EDF6C82" w14:textId="77777777" w:rsidR="00CD00AB" w:rsidRPr="00720EF1" w:rsidRDefault="00CD00AB" w:rsidP="00CD00AB">
            <w:pPr>
              <w:widowControl/>
              <w:jc w:val="center"/>
              <w:rPr>
                <w:kern w:val="0"/>
                <w:sz w:val="20"/>
              </w:rPr>
            </w:pPr>
            <w:r w:rsidRPr="00720EF1">
              <w:rPr>
                <w:kern w:val="0"/>
                <w:sz w:val="20"/>
              </w:rPr>
              <w:t xml:space="preserve">     0.0004 </w:t>
            </w:r>
          </w:p>
        </w:tc>
        <w:tc>
          <w:tcPr>
            <w:tcW w:w="1071" w:type="dxa"/>
            <w:tcBorders>
              <w:top w:val="nil"/>
              <w:left w:val="nil"/>
              <w:bottom w:val="nil"/>
              <w:right w:val="nil"/>
            </w:tcBorders>
            <w:shd w:val="clear" w:color="auto" w:fill="auto"/>
            <w:noWrap/>
            <w:vAlign w:val="bottom"/>
            <w:hideMark/>
          </w:tcPr>
          <w:p w14:paraId="1C527A11" w14:textId="77777777" w:rsidR="00CD00AB" w:rsidRPr="00720EF1" w:rsidRDefault="00CD00AB" w:rsidP="00CD00AB">
            <w:pPr>
              <w:widowControl/>
              <w:jc w:val="right"/>
              <w:rPr>
                <w:kern w:val="0"/>
                <w:sz w:val="20"/>
              </w:rPr>
            </w:pPr>
            <w:r w:rsidRPr="00720EF1">
              <w:rPr>
                <w:kern w:val="0"/>
                <w:sz w:val="20"/>
              </w:rPr>
              <w:t xml:space="preserve">      0.0025 </w:t>
            </w:r>
          </w:p>
        </w:tc>
        <w:tc>
          <w:tcPr>
            <w:tcW w:w="985" w:type="dxa"/>
            <w:tcBorders>
              <w:top w:val="nil"/>
              <w:left w:val="nil"/>
              <w:bottom w:val="nil"/>
              <w:right w:val="nil"/>
            </w:tcBorders>
            <w:shd w:val="clear" w:color="auto" w:fill="auto"/>
            <w:noWrap/>
            <w:vAlign w:val="bottom"/>
            <w:hideMark/>
          </w:tcPr>
          <w:p w14:paraId="2321928E" w14:textId="77777777" w:rsidR="00CD00AB" w:rsidRPr="00720EF1" w:rsidRDefault="00CD00AB" w:rsidP="00CD00AB">
            <w:pPr>
              <w:widowControl/>
              <w:jc w:val="right"/>
              <w:rPr>
                <w:kern w:val="0"/>
                <w:sz w:val="20"/>
              </w:rPr>
            </w:pPr>
            <w:r w:rsidRPr="00720EF1">
              <w:rPr>
                <w:kern w:val="0"/>
                <w:sz w:val="20"/>
              </w:rPr>
              <w:t xml:space="preserve">     0.1500 </w:t>
            </w:r>
          </w:p>
        </w:tc>
        <w:tc>
          <w:tcPr>
            <w:tcW w:w="985" w:type="dxa"/>
            <w:tcBorders>
              <w:top w:val="nil"/>
              <w:left w:val="nil"/>
              <w:bottom w:val="nil"/>
              <w:right w:val="nil"/>
            </w:tcBorders>
            <w:shd w:val="clear" w:color="auto" w:fill="auto"/>
            <w:noWrap/>
            <w:vAlign w:val="bottom"/>
            <w:hideMark/>
          </w:tcPr>
          <w:p w14:paraId="5A0003C9" w14:textId="77777777" w:rsidR="00CD00AB" w:rsidRPr="00720EF1" w:rsidRDefault="00CD00AB" w:rsidP="00CD00AB">
            <w:pPr>
              <w:widowControl/>
              <w:jc w:val="right"/>
              <w:rPr>
                <w:kern w:val="0"/>
                <w:sz w:val="20"/>
              </w:rPr>
            </w:pPr>
            <w:r w:rsidRPr="00720EF1">
              <w:rPr>
                <w:kern w:val="0"/>
                <w:sz w:val="20"/>
              </w:rPr>
              <w:t xml:space="preserve">     0.8800 </w:t>
            </w:r>
          </w:p>
        </w:tc>
        <w:tc>
          <w:tcPr>
            <w:tcW w:w="1244" w:type="dxa"/>
            <w:tcBorders>
              <w:top w:val="nil"/>
              <w:left w:val="nil"/>
              <w:bottom w:val="nil"/>
              <w:right w:val="nil"/>
            </w:tcBorders>
            <w:shd w:val="clear" w:color="auto" w:fill="auto"/>
            <w:noWrap/>
            <w:vAlign w:val="bottom"/>
            <w:hideMark/>
          </w:tcPr>
          <w:p w14:paraId="4D9E2AAF" w14:textId="77777777" w:rsidR="00CD00AB" w:rsidRPr="00720EF1" w:rsidRDefault="00CD00AB" w:rsidP="00CD00AB">
            <w:pPr>
              <w:widowControl/>
              <w:jc w:val="right"/>
              <w:rPr>
                <w:kern w:val="0"/>
                <w:sz w:val="20"/>
              </w:rPr>
            </w:pPr>
            <w:r w:rsidRPr="00720EF1">
              <w:rPr>
                <w:kern w:val="0"/>
                <w:sz w:val="20"/>
              </w:rPr>
              <w:t xml:space="preserve">      -0.0045 </w:t>
            </w:r>
          </w:p>
        </w:tc>
        <w:tc>
          <w:tcPr>
            <w:tcW w:w="1330" w:type="dxa"/>
            <w:tcBorders>
              <w:top w:val="nil"/>
              <w:left w:val="nil"/>
              <w:bottom w:val="nil"/>
              <w:right w:val="nil"/>
            </w:tcBorders>
            <w:shd w:val="clear" w:color="auto" w:fill="auto"/>
            <w:noWrap/>
            <w:vAlign w:val="bottom"/>
            <w:hideMark/>
          </w:tcPr>
          <w:p w14:paraId="47D84E4B" w14:textId="77777777" w:rsidR="00CD00AB" w:rsidRPr="00720EF1" w:rsidRDefault="00CD00AB" w:rsidP="00CD00AB">
            <w:pPr>
              <w:widowControl/>
              <w:jc w:val="right"/>
              <w:rPr>
                <w:kern w:val="0"/>
                <w:sz w:val="20"/>
              </w:rPr>
            </w:pPr>
            <w:r w:rsidRPr="00720EF1">
              <w:rPr>
                <w:kern w:val="0"/>
                <w:sz w:val="20"/>
              </w:rPr>
              <w:t xml:space="preserve">         0.0052 </w:t>
            </w:r>
          </w:p>
        </w:tc>
      </w:tr>
      <w:tr w:rsidR="00CD00AB" w:rsidRPr="00720EF1" w14:paraId="3BF41845" w14:textId="77777777" w:rsidTr="00CD00AB">
        <w:trPr>
          <w:trHeight w:val="253"/>
        </w:trPr>
        <w:tc>
          <w:tcPr>
            <w:tcW w:w="2036" w:type="dxa"/>
            <w:tcBorders>
              <w:top w:val="nil"/>
              <w:left w:val="nil"/>
              <w:bottom w:val="nil"/>
              <w:right w:val="nil"/>
            </w:tcBorders>
            <w:shd w:val="clear" w:color="auto" w:fill="auto"/>
            <w:noWrap/>
            <w:vAlign w:val="bottom"/>
            <w:hideMark/>
          </w:tcPr>
          <w:p w14:paraId="55B3937D" w14:textId="77777777" w:rsidR="00CD00AB" w:rsidRPr="00720EF1" w:rsidRDefault="00CD00AB" w:rsidP="00CD00AB">
            <w:pPr>
              <w:widowControl/>
              <w:jc w:val="left"/>
              <w:rPr>
                <w:kern w:val="0"/>
                <w:sz w:val="20"/>
              </w:rPr>
            </w:pPr>
            <w:r w:rsidRPr="00720EF1">
              <w:rPr>
                <w:kern w:val="0"/>
                <w:sz w:val="20"/>
              </w:rPr>
              <w:t>成立年限</w:t>
            </w:r>
          </w:p>
        </w:tc>
        <w:tc>
          <w:tcPr>
            <w:tcW w:w="985" w:type="dxa"/>
            <w:tcBorders>
              <w:top w:val="nil"/>
              <w:left w:val="nil"/>
              <w:bottom w:val="nil"/>
              <w:right w:val="nil"/>
            </w:tcBorders>
            <w:shd w:val="clear" w:color="auto" w:fill="auto"/>
            <w:noWrap/>
            <w:vAlign w:val="bottom"/>
            <w:hideMark/>
          </w:tcPr>
          <w:p w14:paraId="652DF368" w14:textId="77777777" w:rsidR="00CD00AB" w:rsidRPr="00720EF1" w:rsidRDefault="00CD00AB" w:rsidP="00CD00AB">
            <w:pPr>
              <w:widowControl/>
              <w:jc w:val="center"/>
              <w:rPr>
                <w:kern w:val="0"/>
                <w:sz w:val="20"/>
              </w:rPr>
            </w:pPr>
            <w:r w:rsidRPr="00720EF1">
              <w:rPr>
                <w:kern w:val="0"/>
                <w:sz w:val="20"/>
              </w:rPr>
              <w:t xml:space="preserve">     0.1504 </w:t>
            </w:r>
          </w:p>
        </w:tc>
        <w:tc>
          <w:tcPr>
            <w:tcW w:w="1071" w:type="dxa"/>
            <w:tcBorders>
              <w:top w:val="nil"/>
              <w:left w:val="nil"/>
              <w:bottom w:val="nil"/>
              <w:right w:val="nil"/>
            </w:tcBorders>
            <w:shd w:val="clear" w:color="auto" w:fill="auto"/>
            <w:noWrap/>
            <w:vAlign w:val="bottom"/>
            <w:hideMark/>
          </w:tcPr>
          <w:p w14:paraId="2EDFC42F" w14:textId="77777777" w:rsidR="00CD00AB" w:rsidRPr="00720EF1" w:rsidRDefault="00CD00AB" w:rsidP="00CD00AB">
            <w:pPr>
              <w:widowControl/>
              <w:jc w:val="right"/>
              <w:rPr>
                <w:kern w:val="0"/>
                <w:sz w:val="20"/>
              </w:rPr>
            </w:pPr>
            <w:r w:rsidRPr="00720EF1">
              <w:rPr>
                <w:kern w:val="0"/>
                <w:sz w:val="20"/>
              </w:rPr>
              <w:t xml:space="preserve">      0.0488 </w:t>
            </w:r>
          </w:p>
        </w:tc>
        <w:tc>
          <w:tcPr>
            <w:tcW w:w="985" w:type="dxa"/>
            <w:tcBorders>
              <w:top w:val="nil"/>
              <w:left w:val="nil"/>
              <w:bottom w:val="nil"/>
              <w:right w:val="nil"/>
            </w:tcBorders>
            <w:shd w:val="clear" w:color="auto" w:fill="auto"/>
            <w:noWrap/>
            <w:vAlign w:val="bottom"/>
            <w:hideMark/>
          </w:tcPr>
          <w:p w14:paraId="59760C06" w14:textId="77777777" w:rsidR="00CD00AB" w:rsidRPr="00720EF1" w:rsidRDefault="00CD00AB" w:rsidP="00CD00AB">
            <w:pPr>
              <w:widowControl/>
              <w:jc w:val="right"/>
              <w:rPr>
                <w:kern w:val="0"/>
                <w:sz w:val="20"/>
              </w:rPr>
            </w:pPr>
            <w:r w:rsidRPr="00720EF1">
              <w:rPr>
                <w:kern w:val="0"/>
                <w:sz w:val="20"/>
              </w:rPr>
              <w:t xml:space="preserve">     3.0800 </w:t>
            </w:r>
          </w:p>
        </w:tc>
        <w:tc>
          <w:tcPr>
            <w:tcW w:w="985" w:type="dxa"/>
            <w:tcBorders>
              <w:top w:val="nil"/>
              <w:left w:val="nil"/>
              <w:bottom w:val="nil"/>
              <w:right w:val="nil"/>
            </w:tcBorders>
            <w:shd w:val="clear" w:color="auto" w:fill="auto"/>
            <w:noWrap/>
            <w:vAlign w:val="bottom"/>
            <w:hideMark/>
          </w:tcPr>
          <w:p w14:paraId="20B830ED" w14:textId="77777777" w:rsidR="00CD00AB" w:rsidRPr="00720EF1" w:rsidRDefault="00CD00AB" w:rsidP="00CD00AB">
            <w:pPr>
              <w:widowControl/>
              <w:jc w:val="right"/>
              <w:rPr>
                <w:kern w:val="0"/>
                <w:sz w:val="20"/>
              </w:rPr>
            </w:pPr>
            <w:r w:rsidRPr="00720EF1">
              <w:rPr>
                <w:kern w:val="0"/>
                <w:sz w:val="20"/>
              </w:rPr>
              <w:t xml:space="preserve">     0.0030 </w:t>
            </w:r>
          </w:p>
        </w:tc>
        <w:tc>
          <w:tcPr>
            <w:tcW w:w="1244" w:type="dxa"/>
            <w:tcBorders>
              <w:top w:val="nil"/>
              <w:left w:val="nil"/>
              <w:bottom w:val="nil"/>
              <w:right w:val="nil"/>
            </w:tcBorders>
            <w:shd w:val="clear" w:color="auto" w:fill="auto"/>
            <w:noWrap/>
            <w:vAlign w:val="bottom"/>
            <w:hideMark/>
          </w:tcPr>
          <w:p w14:paraId="5539B968" w14:textId="77777777" w:rsidR="00CD00AB" w:rsidRPr="00720EF1" w:rsidRDefault="00CD00AB" w:rsidP="00CD00AB">
            <w:pPr>
              <w:widowControl/>
              <w:jc w:val="right"/>
              <w:rPr>
                <w:kern w:val="0"/>
                <w:sz w:val="20"/>
              </w:rPr>
            </w:pPr>
            <w:r w:rsidRPr="00720EF1">
              <w:rPr>
                <w:kern w:val="0"/>
                <w:sz w:val="20"/>
              </w:rPr>
              <w:t xml:space="preserve">        0.0538 </w:t>
            </w:r>
          </w:p>
        </w:tc>
        <w:tc>
          <w:tcPr>
            <w:tcW w:w="1330" w:type="dxa"/>
            <w:tcBorders>
              <w:top w:val="nil"/>
              <w:left w:val="nil"/>
              <w:bottom w:val="nil"/>
              <w:right w:val="nil"/>
            </w:tcBorders>
            <w:shd w:val="clear" w:color="auto" w:fill="auto"/>
            <w:noWrap/>
            <w:vAlign w:val="bottom"/>
            <w:hideMark/>
          </w:tcPr>
          <w:p w14:paraId="228AA54C" w14:textId="77777777" w:rsidR="00CD00AB" w:rsidRPr="00720EF1" w:rsidRDefault="00CD00AB" w:rsidP="00CD00AB">
            <w:pPr>
              <w:widowControl/>
              <w:jc w:val="right"/>
              <w:rPr>
                <w:kern w:val="0"/>
                <w:sz w:val="20"/>
              </w:rPr>
            </w:pPr>
            <w:r w:rsidRPr="00720EF1">
              <w:rPr>
                <w:kern w:val="0"/>
                <w:sz w:val="20"/>
              </w:rPr>
              <w:t xml:space="preserve">         0.2470 </w:t>
            </w:r>
          </w:p>
        </w:tc>
      </w:tr>
      <w:tr w:rsidR="00CD00AB" w:rsidRPr="00720EF1" w14:paraId="6DEB225F" w14:textId="77777777" w:rsidTr="00CD00AB">
        <w:trPr>
          <w:trHeight w:val="253"/>
        </w:trPr>
        <w:tc>
          <w:tcPr>
            <w:tcW w:w="2036" w:type="dxa"/>
            <w:tcBorders>
              <w:top w:val="nil"/>
              <w:left w:val="nil"/>
              <w:bottom w:val="nil"/>
              <w:right w:val="nil"/>
            </w:tcBorders>
            <w:shd w:val="clear" w:color="auto" w:fill="auto"/>
            <w:noWrap/>
            <w:vAlign w:val="bottom"/>
            <w:hideMark/>
          </w:tcPr>
          <w:p w14:paraId="1E53E9BB" w14:textId="77777777" w:rsidR="00CD00AB" w:rsidRPr="00720EF1" w:rsidRDefault="00CD00AB" w:rsidP="00CD00AB">
            <w:pPr>
              <w:widowControl/>
              <w:jc w:val="left"/>
              <w:rPr>
                <w:kern w:val="0"/>
                <w:sz w:val="20"/>
              </w:rPr>
            </w:pPr>
            <w:r w:rsidRPr="00720EF1">
              <w:rPr>
                <w:kern w:val="0"/>
                <w:sz w:val="20"/>
              </w:rPr>
              <w:t>是否为碳中和</w:t>
            </w:r>
          </w:p>
        </w:tc>
        <w:tc>
          <w:tcPr>
            <w:tcW w:w="985" w:type="dxa"/>
            <w:tcBorders>
              <w:top w:val="nil"/>
              <w:left w:val="nil"/>
              <w:bottom w:val="nil"/>
              <w:right w:val="nil"/>
            </w:tcBorders>
            <w:shd w:val="clear" w:color="auto" w:fill="auto"/>
            <w:noWrap/>
            <w:vAlign w:val="bottom"/>
            <w:hideMark/>
          </w:tcPr>
          <w:p w14:paraId="143A7C89" w14:textId="77777777" w:rsidR="00CD00AB" w:rsidRPr="00720EF1" w:rsidRDefault="00CD00AB" w:rsidP="00CD00AB">
            <w:pPr>
              <w:widowControl/>
              <w:jc w:val="center"/>
              <w:rPr>
                <w:kern w:val="0"/>
                <w:sz w:val="20"/>
              </w:rPr>
            </w:pPr>
            <w:r w:rsidRPr="00720EF1">
              <w:rPr>
                <w:kern w:val="0"/>
                <w:sz w:val="20"/>
              </w:rPr>
              <w:t xml:space="preserve">     0.2405 </w:t>
            </w:r>
          </w:p>
        </w:tc>
        <w:tc>
          <w:tcPr>
            <w:tcW w:w="1071" w:type="dxa"/>
            <w:tcBorders>
              <w:top w:val="nil"/>
              <w:left w:val="nil"/>
              <w:bottom w:val="nil"/>
              <w:right w:val="nil"/>
            </w:tcBorders>
            <w:shd w:val="clear" w:color="auto" w:fill="auto"/>
            <w:noWrap/>
            <w:vAlign w:val="bottom"/>
            <w:hideMark/>
          </w:tcPr>
          <w:p w14:paraId="22C83FD4" w14:textId="77777777" w:rsidR="00CD00AB" w:rsidRPr="00720EF1" w:rsidRDefault="00CD00AB" w:rsidP="00CD00AB">
            <w:pPr>
              <w:widowControl/>
              <w:jc w:val="right"/>
              <w:rPr>
                <w:kern w:val="0"/>
                <w:sz w:val="20"/>
              </w:rPr>
            </w:pPr>
            <w:r w:rsidRPr="00720EF1">
              <w:rPr>
                <w:kern w:val="0"/>
                <w:sz w:val="20"/>
              </w:rPr>
              <w:t xml:space="preserve">      0.0842 </w:t>
            </w:r>
          </w:p>
        </w:tc>
        <w:tc>
          <w:tcPr>
            <w:tcW w:w="985" w:type="dxa"/>
            <w:tcBorders>
              <w:top w:val="nil"/>
              <w:left w:val="nil"/>
              <w:bottom w:val="nil"/>
              <w:right w:val="nil"/>
            </w:tcBorders>
            <w:shd w:val="clear" w:color="auto" w:fill="auto"/>
            <w:noWrap/>
            <w:vAlign w:val="bottom"/>
            <w:hideMark/>
          </w:tcPr>
          <w:p w14:paraId="77457A5C" w14:textId="77777777" w:rsidR="00CD00AB" w:rsidRPr="00720EF1" w:rsidRDefault="00CD00AB" w:rsidP="00CD00AB">
            <w:pPr>
              <w:widowControl/>
              <w:jc w:val="right"/>
              <w:rPr>
                <w:kern w:val="0"/>
                <w:sz w:val="20"/>
              </w:rPr>
            </w:pPr>
            <w:r w:rsidRPr="00720EF1">
              <w:rPr>
                <w:kern w:val="0"/>
                <w:sz w:val="20"/>
              </w:rPr>
              <w:t xml:space="preserve">     2.8600 </w:t>
            </w:r>
          </w:p>
        </w:tc>
        <w:tc>
          <w:tcPr>
            <w:tcW w:w="985" w:type="dxa"/>
            <w:tcBorders>
              <w:top w:val="nil"/>
              <w:left w:val="nil"/>
              <w:bottom w:val="nil"/>
              <w:right w:val="nil"/>
            </w:tcBorders>
            <w:shd w:val="clear" w:color="auto" w:fill="auto"/>
            <w:noWrap/>
            <w:vAlign w:val="bottom"/>
            <w:hideMark/>
          </w:tcPr>
          <w:p w14:paraId="3F740D2A" w14:textId="77777777" w:rsidR="00CD00AB" w:rsidRPr="00720EF1" w:rsidRDefault="00CD00AB" w:rsidP="00CD00AB">
            <w:pPr>
              <w:widowControl/>
              <w:jc w:val="right"/>
              <w:rPr>
                <w:kern w:val="0"/>
                <w:sz w:val="20"/>
              </w:rPr>
            </w:pPr>
            <w:r w:rsidRPr="00720EF1">
              <w:rPr>
                <w:kern w:val="0"/>
                <w:sz w:val="20"/>
              </w:rPr>
              <w:t xml:space="preserve">     0.0050 </w:t>
            </w:r>
          </w:p>
        </w:tc>
        <w:tc>
          <w:tcPr>
            <w:tcW w:w="1244" w:type="dxa"/>
            <w:tcBorders>
              <w:top w:val="nil"/>
              <w:left w:val="nil"/>
              <w:bottom w:val="nil"/>
              <w:right w:val="nil"/>
            </w:tcBorders>
            <w:shd w:val="clear" w:color="auto" w:fill="auto"/>
            <w:noWrap/>
            <w:vAlign w:val="bottom"/>
            <w:hideMark/>
          </w:tcPr>
          <w:p w14:paraId="6229D3E8" w14:textId="77777777" w:rsidR="00CD00AB" w:rsidRPr="00720EF1" w:rsidRDefault="00CD00AB" w:rsidP="00CD00AB">
            <w:pPr>
              <w:widowControl/>
              <w:jc w:val="right"/>
              <w:rPr>
                <w:kern w:val="0"/>
                <w:sz w:val="20"/>
              </w:rPr>
            </w:pPr>
            <w:r w:rsidRPr="00720EF1">
              <w:rPr>
                <w:kern w:val="0"/>
                <w:sz w:val="20"/>
              </w:rPr>
              <w:t xml:space="preserve">        0.0737 </w:t>
            </w:r>
          </w:p>
        </w:tc>
        <w:tc>
          <w:tcPr>
            <w:tcW w:w="1330" w:type="dxa"/>
            <w:tcBorders>
              <w:top w:val="nil"/>
              <w:left w:val="nil"/>
              <w:bottom w:val="nil"/>
              <w:right w:val="nil"/>
            </w:tcBorders>
            <w:shd w:val="clear" w:color="auto" w:fill="auto"/>
            <w:noWrap/>
            <w:vAlign w:val="bottom"/>
            <w:hideMark/>
          </w:tcPr>
          <w:p w14:paraId="79B34857" w14:textId="77777777" w:rsidR="00CD00AB" w:rsidRPr="00720EF1" w:rsidRDefault="00CD00AB" w:rsidP="00CD00AB">
            <w:pPr>
              <w:widowControl/>
              <w:jc w:val="right"/>
              <w:rPr>
                <w:kern w:val="0"/>
                <w:sz w:val="20"/>
              </w:rPr>
            </w:pPr>
            <w:r w:rsidRPr="00720EF1">
              <w:rPr>
                <w:kern w:val="0"/>
                <w:sz w:val="20"/>
              </w:rPr>
              <w:t xml:space="preserve">         0.4072 </w:t>
            </w:r>
          </w:p>
        </w:tc>
      </w:tr>
      <w:tr w:rsidR="00CD00AB" w:rsidRPr="00720EF1" w14:paraId="56C244FB" w14:textId="77777777" w:rsidTr="00CD00AB">
        <w:trPr>
          <w:trHeight w:val="253"/>
        </w:trPr>
        <w:tc>
          <w:tcPr>
            <w:tcW w:w="2036" w:type="dxa"/>
            <w:tcBorders>
              <w:top w:val="nil"/>
              <w:left w:val="nil"/>
              <w:bottom w:val="nil"/>
              <w:right w:val="nil"/>
            </w:tcBorders>
            <w:shd w:val="clear" w:color="auto" w:fill="auto"/>
            <w:noWrap/>
            <w:vAlign w:val="bottom"/>
            <w:hideMark/>
          </w:tcPr>
          <w:p w14:paraId="70927E96" w14:textId="77777777" w:rsidR="00CD00AB" w:rsidRPr="00720EF1" w:rsidRDefault="00CD00AB" w:rsidP="00CD00AB">
            <w:pPr>
              <w:widowControl/>
              <w:jc w:val="left"/>
              <w:rPr>
                <w:kern w:val="0"/>
                <w:sz w:val="20"/>
              </w:rPr>
            </w:pPr>
            <w:r w:rsidRPr="00720EF1">
              <w:rPr>
                <w:kern w:val="0"/>
                <w:sz w:val="20"/>
              </w:rPr>
              <w:t>重仓股票</w:t>
            </w:r>
            <w:r w:rsidRPr="00720EF1">
              <w:rPr>
                <w:kern w:val="0"/>
                <w:sz w:val="20"/>
              </w:rPr>
              <w:t>ESG</w:t>
            </w:r>
            <w:r w:rsidRPr="00720EF1">
              <w:rPr>
                <w:kern w:val="0"/>
                <w:sz w:val="20"/>
              </w:rPr>
              <w:t>评分</w:t>
            </w:r>
          </w:p>
        </w:tc>
        <w:tc>
          <w:tcPr>
            <w:tcW w:w="985" w:type="dxa"/>
            <w:tcBorders>
              <w:top w:val="nil"/>
              <w:left w:val="nil"/>
              <w:bottom w:val="nil"/>
              <w:right w:val="nil"/>
            </w:tcBorders>
            <w:shd w:val="clear" w:color="auto" w:fill="auto"/>
            <w:noWrap/>
            <w:vAlign w:val="bottom"/>
            <w:hideMark/>
          </w:tcPr>
          <w:p w14:paraId="3F0F25DF" w14:textId="77777777" w:rsidR="00CD00AB" w:rsidRPr="00720EF1" w:rsidRDefault="00CD00AB" w:rsidP="00CD00AB">
            <w:pPr>
              <w:widowControl/>
              <w:jc w:val="center"/>
              <w:rPr>
                <w:kern w:val="0"/>
                <w:sz w:val="20"/>
              </w:rPr>
            </w:pPr>
            <w:r w:rsidRPr="00720EF1">
              <w:rPr>
                <w:kern w:val="0"/>
                <w:sz w:val="20"/>
              </w:rPr>
              <w:t xml:space="preserve">     0.0307 </w:t>
            </w:r>
          </w:p>
        </w:tc>
        <w:tc>
          <w:tcPr>
            <w:tcW w:w="1071" w:type="dxa"/>
            <w:tcBorders>
              <w:top w:val="nil"/>
              <w:left w:val="nil"/>
              <w:bottom w:val="nil"/>
              <w:right w:val="nil"/>
            </w:tcBorders>
            <w:shd w:val="clear" w:color="auto" w:fill="auto"/>
            <w:noWrap/>
            <w:vAlign w:val="bottom"/>
            <w:hideMark/>
          </w:tcPr>
          <w:p w14:paraId="432CACB6" w14:textId="77777777" w:rsidR="00CD00AB" w:rsidRPr="00720EF1" w:rsidRDefault="00CD00AB" w:rsidP="00CD00AB">
            <w:pPr>
              <w:widowControl/>
              <w:jc w:val="right"/>
              <w:rPr>
                <w:kern w:val="0"/>
                <w:sz w:val="20"/>
              </w:rPr>
            </w:pPr>
            <w:r w:rsidRPr="00720EF1">
              <w:rPr>
                <w:kern w:val="0"/>
                <w:sz w:val="20"/>
              </w:rPr>
              <w:t xml:space="preserve">      0.0465 </w:t>
            </w:r>
          </w:p>
        </w:tc>
        <w:tc>
          <w:tcPr>
            <w:tcW w:w="985" w:type="dxa"/>
            <w:tcBorders>
              <w:top w:val="nil"/>
              <w:left w:val="nil"/>
              <w:bottom w:val="nil"/>
              <w:right w:val="nil"/>
            </w:tcBorders>
            <w:shd w:val="clear" w:color="auto" w:fill="auto"/>
            <w:noWrap/>
            <w:vAlign w:val="bottom"/>
            <w:hideMark/>
          </w:tcPr>
          <w:p w14:paraId="23EA8DA6" w14:textId="77777777" w:rsidR="00CD00AB" w:rsidRPr="00720EF1" w:rsidRDefault="00CD00AB" w:rsidP="00CD00AB">
            <w:pPr>
              <w:widowControl/>
              <w:jc w:val="right"/>
              <w:rPr>
                <w:kern w:val="0"/>
                <w:sz w:val="20"/>
              </w:rPr>
            </w:pPr>
            <w:r w:rsidRPr="00720EF1">
              <w:rPr>
                <w:kern w:val="0"/>
                <w:sz w:val="20"/>
              </w:rPr>
              <w:t xml:space="preserve">     0.6600 </w:t>
            </w:r>
          </w:p>
        </w:tc>
        <w:tc>
          <w:tcPr>
            <w:tcW w:w="985" w:type="dxa"/>
            <w:tcBorders>
              <w:top w:val="nil"/>
              <w:left w:val="nil"/>
              <w:bottom w:val="nil"/>
              <w:right w:val="nil"/>
            </w:tcBorders>
            <w:shd w:val="clear" w:color="auto" w:fill="auto"/>
            <w:noWrap/>
            <w:vAlign w:val="bottom"/>
            <w:hideMark/>
          </w:tcPr>
          <w:p w14:paraId="7848D060" w14:textId="77777777" w:rsidR="00CD00AB" w:rsidRPr="00720EF1" w:rsidRDefault="00CD00AB" w:rsidP="00CD00AB">
            <w:pPr>
              <w:widowControl/>
              <w:jc w:val="right"/>
              <w:rPr>
                <w:kern w:val="0"/>
                <w:sz w:val="20"/>
              </w:rPr>
            </w:pPr>
            <w:r w:rsidRPr="00720EF1">
              <w:rPr>
                <w:kern w:val="0"/>
                <w:sz w:val="20"/>
              </w:rPr>
              <w:t xml:space="preserve">     0.5110 </w:t>
            </w:r>
          </w:p>
        </w:tc>
        <w:tc>
          <w:tcPr>
            <w:tcW w:w="1244" w:type="dxa"/>
            <w:tcBorders>
              <w:top w:val="nil"/>
              <w:left w:val="nil"/>
              <w:bottom w:val="nil"/>
              <w:right w:val="nil"/>
            </w:tcBorders>
            <w:shd w:val="clear" w:color="auto" w:fill="auto"/>
            <w:noWrap/>
            <w:vAlign w:val="bottom"/>
            <w:hideMark/>
          </w:tcPr>
          <w:p w14:paraId="1C6EE01F" w14:textId="77777777" w:rsidR="00CD00AB" w:rsidRPr="00720EF1" w:rsidRDefault="00CD00AB" w:rsidP="00CD00AB">
            <w:pPr>
              <w:widowControl/>
              <w:jc w:val="right"/>
              <w:rPr>
                <w:kern w:val="0"/>
                <w:sz w:val="20"/>
              </w:rPr>
            </w:pPr>
            <w:r w:rsidRPr="00720EF1">
              <w:rPr>
                <w:kern w:val="0"/>
                <w:sz w:val="20"/>
              </w:rPr>
              <w:t xml:space="preserve">      -0.0615 </w:t>
            </w:r>
          </w:p>
        </w:tc>
        <w:tc>
          <w:tcPr>
            <w:tcW w:w="1330" w:type="dxa"/>
            <w:tcBorders>
              <w:top w:val="nil"/>
              <w:left w:val="nil"/>
              <w:bottom w:val="nil"/>
              <w:right w:val="nil"/>
            </w:tcBorders>
            <w:shd w:val="clear" w:color="auto" w:fill="auto"/>
            <w:noWrap/>
            <w:vAlign w:val="bottom"/>
            <w:hideMark/>
          </w:tcPr>
          <w:p w14:paraId="6498D8CE" w14:textId="77777777" w:rsidR="00CD00AB" w:rsidRPr="00720EF1" w:rsidRDefault="00CD00AB" w:rsidP="00CD00AB">
            <w:pPr>
              <w:widowControl/>
              <w:jc w:val="right"/>
              <w:rPr>
                <w:kern w:val="0"/>
                <w:sz w:val="20"/>
              </w:rPr>
            </w:pPr>
            <w:r w:rsidRPr="00720EF1">
              <w:rPr>
                <w:kern w:val="0"/>
                <w:sz w:val="20"/>
              </w:rPr>
              <w:t xml:space="preserve">         0.1229 </w:t>
            </w:r>
          </w:p>
        </w:tc>
      </w:tr>
      <w:tr w:rsidR="00CD00AB" w:rsidRPr="00720EF1" w14:paraId="0757FC96" w14:textId="77777777" w:rsidTr="00CD00AB">
        <w:trPr>
          <w:trHeight w:val="253"/>
        </w:trPr>
        <w:tc>
          <w:tcPr>
            <w:tcW w:w="2036" w:type="dxa"/>
            <w:tcBorders>
              <w:top w:val="nil"/>
              <w:left w:val="nil"/>
              <w:bottom w:val="nil"/>
              <w:right w:val="nil"/>
            </w:tcBorders>
            <w:shd w:val="clear" w:color="auto" w:fill="auto"/>
            <w:noWrap/>
            <w:vAlign w:val="bottom"/>
            <w:hideMark/>
          </w:tcPr>
          <w:p w14:paraId="75DD2B78" w14:textId="77777777" w:rsidR="00CD00AB" w:rsidRPr="00720EF1" w:rsidRDefault="00CD00AB" w:rsidP="00CD00AB">
            <w:pPr>
              <w:widowControl/>
              <w:jc w:val="left"/>
              <w:rPr>
                <w:kern w:val="0"/>
                <w:sz w:val="20"/>
              </w:rPr>
            </w:pPr>
            <w:r w:rsidRPr="00720EF1">
              <w:rPr>
                <w:kern w:val="0"/>
                <w:sz w:val="20"/>
              </w:rPr>
              <w:t>E</w:t>
            </w:r>
            <w:r w:rsidRPr="00720EF1">
              <w:rPr>
                <w:kern w:val="0"/>
                <w:sz w:val="20"/>
              </w:rPr>
              <w:t>评分</w:t>
            </w:r>
          </w:p>
        </w:tc>
        <w:tc>
          <w:tcPr>
            <w:tcW w:w="985" w:type="dxa"/>
            <w:tcBorders>
              <w:top w:val="nil"/>
              <w:left w:val="nil"/>
              <w:bottom w:val="nil"/>
              <w:right w:val="nil"/>
            </w:tcBorders>
            <w:shd w:val="clear" w:color="auto" w:fill="auto"/>
            <w:noWrap/>
            <w:vAlign w:val="bottom"/>
            <w:hideMark/>
          </w:tcPr>
          <w:p w14:paraId="40D99613" w14:textId="177D79C5" w:rsidR="00CD00AB" w:rsidRPr="00720EF1" w:rsidRDefault="00CD00AB" w:rsidP="00CD00AB">
            <w:pPr>
              <w:widowControl/>
              <w:jc w:val="center"/>
              <w:rPr>
                <w:kern w:val="0"/>
                <w:sz w:val="20"/>
              </w:rPr>
            </w:pPr>
            <w:r w:rsidRPr="00720EF1">
              <w:rPr>
                <w:kern w:val="0"/>
                <w:sz w:val="20"/>
              </w:rPr>
              <w:t xml:space="preserve">     0.</w:t>
            </w:r>
            <w:r w:rsidR="00E8591C" w:rsidRPr="00720EF1">
              <w:rPr>
                <w:kern w:val="0"/>
                <w:sz w:val="20"/>
              </w:rPr>
              <w:t>1</w:t>
            </w:r>
            <w:r w:rsidRPr="00720EF1">
              <w:rPr>
                <w:kern w:val="0"/>
                <w:sz w:val="20"/>
              </w:rPr>
              <w:t xml:space="preserve">093 </w:t>
            </w:r>
          </w:p>
        </w:tc>
        <w:tc>
          <w:tcPr>
            <w:tcW w:w="1071" w:type="dxa"/>
            <w:tcBorders>
              <w:top w:val="nil"/>
              <w:left w:val="nil"/>
              <w:bottom w:val="nil"/>
              <w:right w:val="nil"/>
            </w:tcBorders>
            <w:shd w:val="clear" w:color="auto" w:fill="auto"/>
            <w:noWrap/>
            <w:vAlign w:val="bottom"/>
            <w:hideMark/>
          </w:tcPr>
          <w:p w14:paraId="765F3DED" w14:textId="77777777" w:rsidR="00CD00AB" w:rsidRPr="00720EF1" w:rsidRDefault="00CD00AB" w:rsidP="00CD00AB">
            <w:pPr>
              <w:widowControl/>
              <w:jc w:val="right"/>
              <w:rPr>
                <w:kern w:val="0"/>
                <w:sz w:val="20"/>
              </w:rPr>
            </w:pPr>
            <w:r w:rsidRPr="00720EF1">
              <w:rPr>
                <w:kern w:val="0"/>
                <w:sz w:val="20"/>
              </w:rPr>
              <w:t xml:space="preserve">      0.0178 </w:t>
            </w:r>
          </w:p>
        </w:tc>
        <w:tc>
          <w:tcPr>
            <w:tcW w:w="985" w:type="dxa"/>
            <w:tcBorders>
              <w:top w:val="nil"/>
              <w:left w:val="nil"/>
              <w:bottom w:val="nil"/>
              <w:right w:val="nil"/>
            </w:tcBorders>
            <w:shd w:val="clear" w:color="auto" w:fill="auto"/>
            <w:noWrap/>
            <w:vAlign w:val="bottom"/>
            <w:hideMark/>
          </w:tcPr>
          <w:p w14:paraId="3ED7A3EF" w14:textId="77777777" w:rsidR="00CD00AB" w:rsidRPr="00720EF1" w:rsidRDefault="00CD00AB" w:rsidP="00CD00AB">
            <w:pPr>
              <w:widowControl/>
              <w:jc w:val="right"/>
              <w:rPr>
                <w:kern w:val="0"/>
                <w:sz w:val="20"/>
              </w:rPr>
            </w:pPr>
            <w:r w:rsidRPr="00720EF1">
              <w:rPr>
                <w:kern w:val="0"/>
                <w:sz w:val="20"/>
              </w:rPr>
              <w:t xml:space="preserve">     0.5200 </w:t>
            </w:r>
          </w:p>
        </w:tc>
        <w:tc>
          <w:tcPr>
            <w:tcW w:w="985" w:type="dxa"/>
            <w:tcBorders>
              <w:top w:val="nil"/>
              <w:left w:val="nil"/>
              <w:bottom w:val="nil"/>
              <w:right w:val="nil"/>
            </w:tcBorders>
            <w:shd w:val="clear" w:color="auto" w:fill="auto"/>
            <w:noWrap/>
            <w:vAlign w:val="bottom"/>
            <w:hideMark/>
          </w:tcPr>
          <w:p w14:paraId="71B8E4F5" w14:textId="77777777" w:rsidR="00CD00AB" w:rsidRPr="00720EF1" w:rsidRDefault="00CD00AB" w:rsidP="00CD00AB">
            <w:pPr>
              <w:widowControl/>
              <w:jc w:val="right"/>
              <w:rPr>
                <w:kern w:val="0"/>
                <w:sz w:val="20"/>
              </w:rPr>
            </w:pPr>
            <w:r w:rsidRPr="00720EF1">
              <w:rPr>
                <w:kern w:val="0"/>
                <w:sz w:val="20"/>
              </w:rPr>
              <w:t xml:space="preserve">     0.6010 </w:t>
            </w:r>
          </w:p>
        </w:tc>
        <w:tc>
          <w:tcPr>
            <w:tcW w:w="1244" w:type="dxa"/>
            <w:tcBorders>
              <w:top w:val="nil"/>
              <w:left w:val="nil"/>
              <w:bottom w:val="nil"/>
              <w:right w:val="nil"/>
            </w:tcBorders>
            <w:shd w:val="clear" w:color="auto" w:fill="auto"/>
            <w:noWrap/>
            <w:vAlign w:val="bottom"/>
            <w:hideMark/>
          </w:tcPr>
          <w:p w14:paraId="5D3482BD" w14:textId="77777777" w:rsidR="00CD00AB" w:rsidRPr="00720EF1" w:rsidRDefault="00CD00AB" w:rsidP="00CD00AB">
            <w:pPr>
              <w:widowControl/>
              <w:jc w:val="right"/>
              <w:rPr>
                <w:kern w:val="0"/>
                <w:sz w:val="20"/>
              </w:rPr>
            </w:pPr>
            <w:r w:rsidRPr="00720EF1">
              <w:rPr>
                <w:kern w:val="0"/>
                <w:sz w:val="20"/>
              </w:rPr>
              <w:t xml:space="preserve">      -0.0259 </w:t>
            </w:r>
          </w:p>
        </w:tc>
        <w:tc>
          <w:tcPr>
            <w:tcW w:w="1330" w:type="dxa"/>
            <w:tcBorders>
              <w:top w:val="nil"/>
              <w:left w:val="nil"/>
              <w:bottom w:val="nil"/>
              <w:right w:val="nil"/>
            </w:tcBorders>
            <w:shd w:val="clear" w:color="auto" w:fill="auto"/>
            <w:noWrap/>
            <w:vAlign w:val="bottom"/>
            <w:hideMark/>
          </w:tcPr>
          <w:p w14:paraId="428870B1" w14:textId="77777777" w:rsidR="00CD00AB" w:rsidRPr="00720EF1" w:rsidRDefault="00CD00AB" w:rsidP="00CD00AB">
            <w:pPr>
              <w:widowControl/>
              <w:jc w:val="right"/>
              <w:rPr>
                <w:kern w:val="0"/>
                <w:sz w:val="20"/>
              </w:rPr>
            </w:pPr>
            <w:r w:rsidRPr="00720EF1">
              <w:rPr>
                <w:kern w:val="0"/>
                <w:sz w:val="20"/>
              </w:rPr>
              <w:t xml:space="preserve">         0.0446 </w:t>
            </w:r>
          </w:p>
        </w:tc>
      </w:tr>
      <w:tr w:rsidR="00CD00AB" w:rsidRPr="00720EF1" w14:paraId="0279D934" w14:textId="77777777" w:rsidTr="00CD00AB">
        <w:trPr>
          <w:trHeight w:val="253"/>
        </w:trPr>
        <w:tc>
          <w:tcPr>
            <w:tcW w:w="2036" w:type="dxa"/>
            <w:tcBorders>
              <w:top w:val="nil"/>
              <w:left w:val="nil"/>
              <w:bottom w:val="nil"/>
              <w:right w:val="nil"/>
            </w:tcBorders>
            <w:shd w:val="clear" w:color="auto" w:fill="auto"/>
            <w:noWrap/>
            <w:vAlign w:val="bottom"/>
            <w:hideMark/>
          </w:tcPr>
          <w:p w14:paraId="5581C881" w14:textId="77777777" w:rsidR="00CD00AB" w:rsidRPr="00720EF1" w:rsidRDefault="00CD00AB" w:rsidP="00CD00AB">
            <w:pPr>
              <w:widowControl/>
              <w:jc w:val="left"/>
              <w:rPr>
                <w:kern w:val="0"/>
                <w:sz w:val="20"/>
              </w:rPr>
            </w:pPr>
            <w:r w:rsidRPr="00720EF1">
              <w:rPr>
                <w:kern w:val="0"/>
                <w:sz w:val="20"/>
              </w:rPr>
              <w:t>S</w:t>
            </w:r>
            <w:r w:rsidRPr="00720EF1">
              <w:rPr>
                <w:kern w:val="0"/>
                <w:sz w:val="20"/>
              </w:rPr>
              <w:t>评分</w:t>
            </w:r>
          </w:p>
        </w:tc>
        <w:tc>
          <w:tcPr>
            <w:tcW w:w="985" w:type="dxa"/>
            <w:tcBorders>
              <w:top w:val="nil"/>
              <w:left w:val="nil"/>
              <w:bottom w:val="nil"/>
              <w:right w:val="nil"/>
            </w:tcBorders>
            <w:shd w:val="clear" w:color="auto" w:fill="auto"/>
            <w:noWrap/>
            <w:vAlign w:val="bottom"/>
            <w:hideMark/>
          </w:tcPr>
          <w:p w14:paraId="6EF5D7AD" w14:textId="77777777" w:rsidR="00CD00AB" w:rsidRPr="00720EF1" w:rsidRDefault="00CD00AB" w:rsidP="00CD00AB">
            <w:pPr>
              <w:widowControl/>
              <w:jc w:val="center"/>
              <w:rPr>
                <w:kern w:val="0"/>
                <w:sz w:val="20"/>
              </w:rPr>
            </w:pPr>
            <w:r w:rsidRPr="00720EF1">
              <w:rPr>
                <w:kern w:val="0"/>
                <w:sz w:val="20"/>
              </w:rPr>
              <w:t xml:space="preserve">     0.0129 </w:t>
            </w:r>
          </w:p>
        </w:tc>
        <w:tc>
          <w:tcPr>
            <w:tcW w:w="1071" w:type="dxa"/>
            <w:tcBorders>
              <w:top w:val="nil"/>
              <w:left w:val="nil"/>
              <w:bottom w:val="nil"/>
              <w:right w:val="nil"/>
            </w:tcBorders>
            <w:shd w:val="clear" w:color="auto" w:fill="auto"/>
            <w:noWrap/>
            <w:vAlign w:val="bottom"/>
            <w:hideMark/>
          </w:tcPr>
          <w:p w14:paraId="685FE761" w14:textId="77777777" w:rsidR="00CD00AB" w:rsidRPr="00720EF1" w:rsidRDefault="00CD00AB" w:rsidP="00CD00AB">
            <w:pPr>
              <w:widowControl/>
              <w:jc w:val="right"/>
              <w:rPr>
                <w:kern w:val="0"/>
                <w:sz w:val="20"/>
              </w:rPr>
            </w:pPr>
            <w:r w:rsidRPr="00720EF1">
              <w:rPr>
                <w:kern w:val="0"/>
                <w:sz w:val="20"/>
              </w:rPr>
              <w:t xml:space="preserve">      0.0185 </w:t>
            </w:r>
          </w:p>
        </w:tc>
        <w:tc>
          <w:tcPr>
            <w:tcW w:w="985" w:type="dxa"/>
            <w:tcBorders>
              <w:top w:val="nil"/>
              <w:left w:val="nil"/>
              <w:bottom w:val="nil"/>
              <w:right w:val="nil"/>
            </w:tcBorders>
            <w:shd w:val="clear" w:color="auto" w:fill="auto"/>
            <w:noWrap/>
            <w:vAlign w:val="bottom"/>
            <w:hideMark/>
          </w:tcPr>
          <w:p w14:paraId="423C64DB" w14:textId="77777777" w:rsidR="00CD00AB" w:rsidRPr="00720EF1" w:rsidRDefault="00CD00AB" w:rsidP="00CD00AB">
            <w:pPr>
              <w:widowControl/>
              <w:jc w:val="right"/>
              <w:rPr>
                <w:kern w:val="0"/>
                <w:sz w:val="20"/>
              </w:rPr>
            </w:pPr>
            <w:r w:rsidRPr="00720EF1">
              <w:rPr>
                <w:kern w:val="0"/>
                <w:sz w:val="20"/>
              </w:rPr>
              <w:t xml:space="preserve">     0.7000 </w:t>
            </w:r>
          </w:p>
        </w:tc>
        <w:tc>
          <w:tcPr>
            <w:tcW w:w="985" w:type="dxa"/>
            <w:tcBorders>
              <w:top w:val="nil"/>
              <w:left w:val="nil"/>
              <w:bottom w:val="nil"/>
              <w:right w:val="nil"/>
            </w:tcBorders>
            <w:shd w:val="clear" w:color="auto" w:fill="auto"/>
            <w:noWrap/>
            <w:vAlign w:val="bottom"/>
            <w:hideMark/>
          </w:tcPr>
          <w:p w14:paraId="21F5FFA0" w14:textId="77777777" w:rsidR="00CD00AB" w:rsidRPr="00720EF1" w:rsidRDefault="00CD00AB" w:rsidP="00CD00AB">
            <w:pPr>
              <w:widowControl/>
              <w:jc w:val="right"/>
              <w:rPr>
                <w:kern w:val="0"/>
                <w:sz w:val="20"/>
              </w:rPr>
            </w:pPr>
            <w:r w:rsidRPr="00720EF1">
              <w:rPr>
                <w:kern w:val="0"/>
                <w:sz w:val="20"/>
              </w:rPr>
              <w:t xml:space="preserve">     0.4870 </w:t>
            </w:r>
          </w:p>
        </w:tc>
        <w:tc>
          <w:tcPr>
            <w:tcW w:w="1244" w:type="dxa"/>
            <w:tcBorders>
              <w:top w:val="nil"/>
              <w:left w:val="nil"/>
              <w:bottom w:val="nil"/>
              <w:right w:val="nil"/>
            </w:tcBorders>
            <w:shd w:val="clear" w:color="auto" w:fill="auto"/>
            <w:noWrap/>
            <w:vAlign w:val="bottom"/>
            <w:hideMark/>
          </w:tcPr>
          <w:p w14:paraId="755C5D56" w14:textId="77777777" w:rsidR="00CD00AB" w:rsidRPr="00720EF1" w:rsidRDefault="00CD00AB" w:rsidP="00CD00AB">
            <w:pPr>
              <w:widowControl/>
              <w:jc w:val="right"/>
              <w:rPr>
                <w:kern w:val="0"/>
                <w:sz w:val="20"/>
              </w:rPr>
            </w:pPr>
            <w:r w:rsidRPr="00720EF1">
              <w:rPr>
                <w:kern w:val="0"/>
                <w:sz w:val="20"/>
              </w:rPr>
              <w:t xml:space="preserve">      -0.0237 </w:t>
            </w:r>
          </w:p>
        </w:tc>
        <w:tc>
          <w:tcPr>
            <w:tcW w:w="1330" w:type="dxa"/>
            <w:tcBorders>
              <w:top w:val="nil"/>
              <w:left w:val="nil"/>
              <w:bottom w:val="nil"/>
              <w:right w:val="nil"/>
            </w:tcBorders>
            <w:shd w:val="clear" w:color="auto" w:fill="auto"/>
            <w:noWrap/>
            <w:vAlign w:val="bottom"/>
            <w:hideMark/>
          </w:tcPr>
          <w:p w14:paraId="73759FA1" w14:textId="77777777" w:rsidR="00CD00AB" w:rsidRPr="00720EF1" w:rsidRDefault="00CD00AB" w:rsidP="00CD00AB">
            <w:pPr>
              <w:widowControl/>
              <w:jc w:val="right"/>
              <w:rPr>
                <w:kern w:val="0"/>
                <w:sz w:val="20"/>
              </w:rPr>
            </w:pPr>
            <w:r w:rsidRPr="00720EF1">
              <w:rPr>
                <w:kern w:val="0"/>
                <w:sz w:val="20"/>
              </w:rPr>
              <w:t xml:space="preserve">         0.0495 </w:t>
            </w:r>
          </w:p>
        </w:tc>
      </w:tr>
      <w:tr w:rsidR="00CD00AB" w:rsidRPr="00720EF1" w14:paraId="13CA6008" w14:textId="77777777" w:rsidTr="00CD00AB">
        <w:trPr>
          <w:trHeight w:val="253"/>
        </w:trPr>
        <w:tc>
          <w:tcPr>
            <w:tcW w:w="2036" w:type="dxa"/>
            <w:tcBorders>
              <w:top w:val="nil"/>
              <w:left w:val="nil"/>
              <w:bottom w:val="nil"/>
              <w:right w:val="nil"/>
            </w:tcBorders>
            <w:shd w:val="clear" w:color="auto" w:fill="auto"/>
            <w:noWrap/>
            <w:vAlign w:val="bottom"/>
            <w:hideMark/>
          </w:tcPr>
          <w:p w14:paraId="178E6128" w14:textId="77777777" w:rsidR="00CD00AB" w:rsidRPr="00720EF1" w:rsidRDefault="00CD00AB" w:rsidP="00CD00AB">
            <w:pPr>
              <w:widowControl/>
              <w:jc w:val="left"/>
              <w:rPr>
                <w:kern w:val="0"/>
                <w:sz w:val="20"/>
              </w:rPr>
            </w:pPr>
            <w:r w:rsidRPr="00720EF1">
              <w:rPr>
                <w:kern w:val="0"/>
                <w:sz w:val="20"/>
              </w:rPr>
              <w:t>G</w:t>
            </w:r>
            <w:r w:rsidRPr="00720EF1">
              <w:rPr>
                <w:kern w:val="0"/>
                <w:sz w:val="20"/>
              </w:rPr>
              <w:t>评分</w:t>
            </w:r>
          </w:p>
        </w:tc>
        <w:tc>
          <w:tcPr>
            <w:tcW w:w="985" w:type="dxa"/>
            <w:tcBorders>
              <w:top w:val="nil"/>
              <w:left w:val="nil"/>
              <w:bottom w:val="nil"/>
              <w:right w:val="nil"/>
            </w:tcBorders>
            <w:shd w:val="clear" w:color="auto" w:fill="auto"/>
            <w:noWrap/>
            <w:vAlign w:val="bottom"/>
            <w:hideMark/>
          </w:tcPr>
          <w:p w14:paraId="4C31F707" w14:textId="77777777" w:rsidR="00CD00AB" w:rsidRPr="00720EF1" w:rsidRDefault="00CD00AB" w:rsidP="00CD00AB">
            <w:pPr>
              <w:widowControl/>
              <w:jc w:val="center"/>
              <w:rPr>
                <w:kern w:val="0"/>
                <w:sz w:val="20"/>
              </w:rPr>
            </w:pPr>
            <w:r w:rsidRPr="00720EF1">
              <w:rPr>
                <w:kern w:val="0"/>
                <w:sz w:val="20"/>
              </w:rPr>
              <w:t xml:space="preserve">   -0.0329 </w:t>
            </w:r>
          </w:p>
        </w:tc>
        <w:tc>
          <w:tcPr>
            <w:tcW w:w="1071" w:type="dxa"/>
            <w:tcBorders>
              <w:top w:val="nil"/>
              <w:left w:val="nil"/>
              <w:bottom w:val="nil"/>
              <w:right w:val="nil"/>
            </w:tcBorders>
            <w:shd w:val="clear" w:color="auto" w:fill="auto"/>
            <w:noWrap/>
            <w:vAlign w:val="bottom"/>
            <w:hideMark/>
          </w:tcPr>
          <w:p w14:paraId="33DE9A91" w14:textId="77777777" w:rsidR="00CD00AB" w:rsidRPr="00720EF1" w:rsidRDefault="00CD00AB" w:rsidP="00CD00AB">
            <w:pPr>
              <w:widowControl/>
              <w:jc w:val="right"/>
              <w:rPr>
                <w:kern w:val="0"/>
                <w:sz w:val="20"/>
              </w:rPr>
            </w:pPr>
            <w:r w:rsidRPr="00720EF1">
              <w:rPr>
                <w:kern w:val="0"/>
                <w:sz w:val="20"/>
              </w:rPr>
              <w:t xml:space="preserve">      0.0243 </w:t>
            </w:r>
          </w:p>
        </w:tc>
        <w:tc>
          <w:tcPr>
            <w:tcW w:w="985" w:type="dxa"/>
            <w:tcBorders>
              <w:top w:val="nil"/>
              <w:left w:val="nil"/>
              <w:bottom w:val="nil"/>
              <w:right w:val="nil"/>
            </w:tcBorders>
            <w:shd w:val="clear" w:color="auto" w:fill="auto"/>
            <w:noWrap/>
            <w:vAlign w:val="bottom"/>
            <w:hideMark/>
          </w:tcPr>
          <w:p w14:paraId="7DDC6A0A" w14:textId="77777777" w:rsidR="00CD00AB" w:rsidRPr="00720EF1" w:rsidRDefault="00CD00AB" w:rsidP="00CD00AB">
            <w:pPr>
              <w:widowControl/>
              <w:jc w:val="right"/>
              <w:rPr>
                <w:kern w:val="0"/>
                <w:sz w:val="20"/>
              </w:rPr>
            </w:pPr>
            <w:r w:rsidRPr="00720EF1">
              <w:rPr>
                <w:kern w:val="0"/>
                <w:sz w:val="20"/>
              </w:rPr>
              <w:t xml:space="preserve">   -1.3600 </w:t>
            </w:r>
          </w:p>
        </w:tc>
        <w:tc>
          <w:tcPr>
            <w:tcW w:w="985" w:type="dxa"/>
            <w:tcBorders>
              <w:top w:val="nil"/>
              <w:left w:val="nil"/>
              <w:bottom w:val="nil"/>
              <w:right w:val="nil"/>
            </w:tcBorders>
            <w:shd w:val="clear" w:color="auto" w:fill="auto"/>
            <w:noWrap/>
            <w:vAlign w:val="bottom"/>
            <w:hideMark/>
          </w:tcPr>
          <w:p w14:paraId="0BDCF8C6" w14:textId="77777777" w:rsidR="00CD00AB" w:rsidRPr="00720EF1" w:rsidRDefault="00CD00AB" w:rsidP="00CD00AB">
            <w:pPr>
              <w:widowControl/>
              <w:jc w:val="right"/>
              <w:rPr>
                <w:kern w:val="0"/>
                <w:sz w:val="20"/>
              </w:rPr>
            </w:pPr>
            <w:r w:rsidRPr="00720EF1">
              <w:rPr>
                <w:kern w:val="0"/>
                <w:sz w:val="20"/>
              </w:rPr>
              <w:t xml:space="preserve">     0.1780 </w:t>
            </w:r>
          </w:p>
        </w:tc>
        <w:tc>
          <w:tcPr>
            <w:tcW w:w="1244" w:type="dxa"/>
            <w:tcBorders>
              <w:top w:val="nil"/>
              <w:left w:val="nil"/>
              <w:bottom w:val="nil"/>
              <w:right w:val="nil"/>
            </w:tcBorders>
            <w:shd w:val="clear" w:color="auto" w:fill="auto"/>
            <w:noWrap/>
            <w:vAlign w:val="bottom"/>
            <w:hideMark/>
          </w:tcPr>
          <w:p w14:paraId="37407037" w14:textId="77777777" w:rsidR="00CD00AB" w:rsidRPr="00720EF1" w:rsidRDefault="00CD00AB" w:rsidP="00CD00AB">
            <w:pPr>
              <w:widowControl/>
              <w:jc w:val="right"/>
              <w:rPr>
                <w:kern w:val="0"/>
                <w:sz w:val="20"/>
              </w:rPr>
            </w:pPr>
            <w:r w:rsidRPr="00720EF1">
              <w:rPr>
                <w:kern w:val="0"/>
                <w:sz w:val="20"/>
              </w:rPr>
              <w:t xml:space="preserve">      -0.0809 </w:t>
            </w:r>
          </w:p>
        </w:tc>
        <w:tc>
          <w:tcPr>
            <w:tcW w:w="1330" w:type="dxa"/>
            <w:tcBorders>
              <w:top w:val="nil"/>
              <w:left w:val="nil"/>
              <w:bottom w:val="nil"/>
              <w:right w:val="nil"/>
            </w:tcBorders>
            <w:shd w:val="clear" w:color="auto" w:fill="auto"/>
            <w:noWrap/>
            <w:vAlign w:val="bottom"/>
            <w:hideMark/>
          </w:tcPr>
          <w:p w14:paraId="3E1DAEDE" w14:textId="77777777" w:rsidR="00CD00AB" w:rsidRPr="00720EF1" w:rsidRDefault="00CD00AB" w:rsidP="00CD00AB">
            <w:pPr>
              <w:widowControl/>
              <w:jc w:val="right"/>
              <w:rPr>
                <w:kern w:val="0"/>
                <w:sz w:val="20"/>
              </w:rPr>
            </w:pPr>
            <w:r w:rsidRPr="00720EF1">
              <w:rPr>
                <w:kern w:val="0"/>
                <w:sz w:val="20"/>
              </w:rPr>
              <w:t xml:space="preserve">         0.0151 </w:t>
            </w:r>
          </w:p>
        </w:tc>
      </w:tr>
      <w:tr w:rsidR="00CD00AB" w:rsidRPr="00720EF1" w14:paraId="41ED7BC6" w14:textId="77777777" w:rsidTr="00CD00AB">
        <w:trPr>
          <w:trHeight w:val="267"/>
        </w:trPr>
        <w:tc>
          <w:tcPr>
            <w:tcW w:w="2036" w:type="dxa"/>
            <w:tcBorders>
              <w:top w:val="nil"/>
              <w:left w:val="nil"/>
              <w:bottom w:val="single" w:sz="12" w:space="0" w:color="auto"/>
              <w:right w:val="nil"/>
            </w:tcBorders>
            <w:shd w:val="clear" w:color="auto" w:fill="auto"/>
            <w:noWrap/>
            <w:vAlign w:val="bottom"/>
            <w:hideMark/>
          </w:tcPr>
          <w:p w14:paraId="55D2BD2A" w14:textId="77777777" w:rsidR="00CD00AB" w:rsidRPr="00720EF1" w:rsidRDefault="00CD00AB" w:rsidP="00CD00AB">
            <w:pPr>
              <w:widowControl/>
              <w:jc w:val="left"/>
              <w:rPr>
                <w:kern w:val="0"/>
                <w:sz w:val="20"/>
              </w:rPr>
            </w:pPr>
            <w:r w:rsidRPr="00720EF1">
              <w:rPr>
                <w:kern w:val="0"/>
                <w:sz w:val="20"/>
              </w:rPr>
              <w:t>常数</w:t>
            </w:r>
          </w:p>
        </w:tc>
        <w:tc>
          <w:tcPr>
            <w:tcW w:w="985" w:type="dxa"/>
            <w:tcBorders>
              <w:top w:val="nil"/>
              <w:left w:val="nil"/>
              <w:bottom w:val="single" w:sz="12" w:space="0" w:color="auto"/>
              <w:right w:val="nil"/>
            </w:tcBorders>
            <w:shd w:val="clear" w:color="auto" w:fill="auto"/>
            <w:noWrap/>
            <w:vAlign w:val="bottom"/>
            <w:hideMark/>
          </w:tcPr>
          <w:p w14:paraId="10AFDF2F" w14:textId="77777777" w:rsidR="00CD00AB" w:rsidRPr="00720EF1" w:rsidRDefault="00CD00AB" w:rsidP="00CD00AB">
            <w:pPr>
              <w:widowControl/>
              <w:jc w:val="center"/>
              <w:rPr>
                <w:kern w:val="0"/>
                <w:sz w:val="20"/>
              </w:rPr>
            </w:pPr>
            <w:r w:rsidRPr="00720EF1">
              <w:rPr>
                <w:kern w:val="0"/>
                <w:sz w:val="20"/>
              </w:rPr>
              <w:t xml:space="preserve">     0.4456 </w:t>
            </w:r>
          </w:p>
        </w:tc>
        <w:tc>
          <w:tcPr>
            <w:tcW w:w="1071" w:type="dxa"/>
            <w:tcBorders>
              <w:top w:val="nil"/>
              <w:left w:val="nil"/>
              <w:bottom w:val="single" w:sz="12" w:space="0" w:color="auto"/>
              <w:right w:val="nil"/>
            </w:tcBorders>
            <w:shd w:val="clear" w:color="auto" w:fill="auto"/>
            <w:noWrap/>
            <w:vAlign w:val="bottom"/>
            <w:hideMark/>
          </w:tcPr>
          <w:p w14:paraId="4611C944" w14:textId="77777777" w:rsidR="00CD00AB" w:rsidRPr="00720EF1" w:rsidRDefault="00CD00AB" w:rsidP="00CD00AB">
            <w:pPr>
              <w:widowControl/>
              <w:jc w:val="right"/>
              <w:rPr>
                <w:kern w:val="0"/>
                <w:sz w:val="20"/>
              </w:rPr>
            </w:pPr>
            <w:r w:rsidRPr="00720EF1">
              <w:rPr>
                <w:kern w:val="0"/>
                <w:sz w:val="20"/>
              </w:rPr>
              <w:t xml:space="preserve">      2.2474 </w:t>
            </w:r>
          </w:p>
        </w:tc>
        <w:tc>
          <w:tcPr>
            <w:tcW w:w="985" w:type="dxa"/>
            <w:tcBorders>
              <w:top w:val="nil"/>
              <w:left w:val="nil"/>
              <w:bottom w:val="single" w:sz="12" w:space="0" w:color="auto"/>
              <w:right w:val="nil"/>
            </w:tcBorders>
            <w:shd w:val="clear" w:color="auto" w:fill="auto"/>
            <w:noWrap/>
            <w:vAlign w:val="bottom"/>
            <w:hideMark/>
          </w:tcPr>
          <w:p w14:paraId="33632293" w14:textId="77777777" w:rsidR="00CD00AB" w:rsidRPr="00720EF1" w:rsidRDefault="00CD00AB" w:rsidP="00CD00AB">
            <w:pPr>
              <w:widowControl/>
              <w:jc w:val="right"/>
              <w:rPr>
                <w:kern w:val="0"/>
                <w:sz w:val="20"/>
              </w:rPr>
            </w:pPr>
            <w:r w:rsidRPr="00720EF1">
              <w:rPr>
                <w:kern w:val="0"/>
                <w:sz w:val="20"/>
              </w:rPr>
              <w:t xml:space="preserve">     0.2000 </w:t>
            </w:r>
          </w:p>
        </w:tc>
        <w:tc>
          <w:tcPr>
            <w:tcW w:w="985" w:type="dxa"/>
            <w:tcBorders>
              <w:top w:val="nil"/>
              <w:left w:val="nil"/>
              <w:bottom w:val="single" w:sz="12" w:space="0" w:color="auto"/>
              <w:right w:val="nil"/>
            </w:tcBorders>
            <w:shd w:val="clear" w:color="auto" w:fill="auto"/>
            <w:noWrap/>
            <w:vAlign w:val="bottom"/>
            <w:hideMark/>
          </w:tcPr>
          <w:p w14:paraId="7D323851" w14:textId="77777777" w:rsidR="00CD00AB" w:rsidRPr="00720EF1" w:rsidRDefault="00CD00AB" w:rsidP="00CD00AB">
            <w:pPr>
              <w:widowControl/>
              <w:jc w:val="right"/>
              <w:rPr>
                <w:kern w:val="0"/>
                <w:sz w:val="20"/>
              </w:rPr>
            </w:pPr>
            <w:r w:rsidRPr="00720EF1">
              <w:rPr>
                <w:kern w:val="0"/>
                <w:sz w:val="20"/>
              </w:rPr>
              <w:t xml:space="preserve">     0.8430 </w:t>
            </w:r>
          </w:p>
        </w:tc>
        <w:tc>
          <w:tcPr>
            <w:tcW w:w="1244" w:type="dxa"/>
            <w:tcBorders>
              <w:top w:val="nil"/>
              <w:left w:val="nil"/>
              <w:bottom w:val="single" w:sz="12" w:space="0" w:color="auto"/>
              <w:right w:val="nil"/>
            </w:tcBorders>
            <w:shd w:val="clear" w:color="auto" w:fill="auto"/>
            <w:noWrap/>
            <w:vAlign w:val="bottom"/>
            <w:hideMark/>
          </w:tcPr>
          <w:p w14:paraId="0AA7703E" w14:textId="77777777" w:rsidR="00CD00AB" w:rsidRPr="00720EF1" w:rsidRDefault="00CD00AB" w:rsidP="00CD00AB">
            <w:pPr>
              <w:widowControl/>
              <w:jc w:val="right"/>
              <w:rPr>
                <w:kern w:val="0"/>
                <w:sz w:val="20"/>
              </w:rPr>
            </w:pPr>
            <w:r w:rsidRPr="00720EF1">
              <w:rPr>
                <w:kern w:val="0"/>
                <w:sz w:val="20"/>
              </w:rPr>
              <w:t xml:space="preserve">      -4.0066 </w:t>
            </w:r>
          </w:p>
        </w:tc>
        <w:tc>
          <w:tcPr>
            <w:tcW w:w="1330" w:type="dxa"/>
            <w:tcBorders>
              <w:top w:val="nil"/>
              <w:left w:val="nil"/>
              <w:bottom w:val="single" w:sz="12" w:space="0" w:color="auto"/>
              <w:right w:val="nil"/>
            </w:tcBorders>
            <w:shd w:val="clear" w:color="auto" w:fill="auto"/>
            <w:noWrap/>
            <w:vAlign w:val="bottom"/>
            <w:hideMark/>
          </w:tcPr>
          <w:p w14:paraId="5489B4E4" w14:textId="77777777" w:rsidR="00CD00AB" w:rsidRPr="00720EF1" w:rsidRDefault="00CD00AB" w:rsidP="00CD00AB">
            <w:pPr>
              <w:widowControl/>
              <w:jc w:val="right"/>
              <w:rPr>
                <w:kern w:val="0"/>
                <w:sz w:val="20"/>
              </w:rPr>
            </w:pPr>
            <w:r w:rsidRPr="00720EF1">
              <w:rPr>
                <w:kern w:val="0"/>
                <w:sz w:val="20"/>
              </w:rPr>
              <w:t xml:space="preserve">         4.8978 </w:t>
            </w:r>
          </w:p>
        </w:tc>
      </w:tr>
    </w:tbl>
    <w:p w14:paraId="302FFF52" w14:textId="46E6C698" w:rsidR="00E93D9B" w:rsidRPr="00E93D9B" w:rsidRDefault="00E93D9B" w:rsidP="00E93D9B">
      <w:pPr>
        <w:spacing w:line="360" w:lineRule="auto"/>
        <w:ind w:firstLineChars="200" w:firstLine="480"/>
        <w:rPr>
          <w:rFonts w:ascii="宋体" w:hAnsi="宋体"/>
          <w:sz w:val="24"/>
          <w:szCs w:val="24"/>
        </w:rPr>
      </w:pPr>
      <w:r>
        <w:rPr>
          <w:rFonts w:ascii="宋体" w:hAnsi="宋体" w:hint="eastAsia"/>
          <w:sz w:val="24"/>
          <w:szCs w:val="24"/>
        </w:rPr>
        <w:t>回归结果模型P值为0</w:t>
      </w:r>
      <w:r>
        <w:rPr>
          <w:rFonts w:ascii="宋体" w:hAnsi="宋体"/>
          <w:sz w:val="24"/>
          <w:szCs w:val="24"/>
        </w:rPr>
        <w:t>.000</w:t>
      </w:r>
      <w:r>
        <w:rPr>
          <w:rFonts w:ascii="宋体" w:hAnsi="宋体" w:hint="eastAsia"/>
          <w:sz w:val="24"/>
          <w:szCs w:val="24"/>
        </w:rPr>
        <w:t>，说明模型在显著性水平下是显著的。</w:t>
      </w:r>
    </w:p>
    <w:p w14:paraId="799B0B63" w14:textId="77777777" w:rsidR="007D055E" w:rsidRDefault="00E8591C" w:rsidP="00E93D9B">
      <w:pPr>
        <w:spacing w:line="360" w:lineRule="auto"/>
        <w:ind w:firstLineChars="200" w:firstLine="480"/>
        <w:rPr>
          <w:rFonts w:ascii="宋体" w:hAnsi="宋体"/>
          <w:sz w:val="24"/>
          <w:szCs w:val="24"/>
        </w:rPr>
      </w:pPr>
      <w:r>
        <w:rPr>
          <w:rFonts w:ascii="宋体" w:hAnsi="宋体" w:hint="eastAsia"/>
          <w:sz w:val="24"/>
          <w:szCs w:val="24"/>
        </w:rPr>
        <w:t>在样本线性回归结果中，显著的变量为</w:t>
      </w:r>
      <w:r w:rsidRPr="00E8591C">
        <w:rPr>
          <w:rFonts w:ascii="宋体" w:hAnsi="宋体" w:hint="eastAsia"/>
          <w:sz w:val="24"/>
          <w:szCs w:val="24"/>
        </w:rPr>
        <w:t>非系统风险、成立年限与是否为碳中和</w:t>
      </w:r>
      <w:r>
        <w:rPr>
          <w:rFonts w:ascii="宋体" w:hAnsi="宋体" w:hint="eastAsia"/>
          <w:sz w:val="24"/>
          <w:szCs w:val="24"/>
        </w:rPr>
        <w:t>。与Logit回归显著变量一致。</w:t>
      </w:r>
      <w:r w:rsidR="007D055E">
        <w:rPr>
          <w:rFonts w:ascii="宋体" w:hAnsi="宋体" w:hint="eastAsia"/>
          <w:sz w:val="24"/>
          <w:szCs w:val="24"/>
        </w:rPr>
        <w:t>从变量系数讨论，系数最大的任然为非系统风险，其次是是否为碳中和变量。</w:t>
      </w:r>
      <w:r w:rsidR="007D055E" w:rsidRPr="007D055E">
        <w:rPr>
          <w:rFonts w:ascii="宋体" w:hAnsi="宋体" w:hint="eastAsia"/>
          <w:sz w:val="24"/>
          <w:szCs w:val="24"/>
        </w:rPr>
        <w:t>基金E环境评分、基金S社会评分、基金G治理评分</w:t>
      </w:r>
      <w:r w:rsidR="007D055E">
        <w:rPr>
          <w:rFonts w:ascii="宋体" w:hAnsi="宋体" w:hint="eastAsia"/>
          <w:sz w:val="24"/>
          <w:szCs w:val="24"/>
        </w:rPr>
        <w:t>三个变量的影响程度也与Logit回归结果基本一致。</w:t>
      </w:r>
    </w:p>
    <w:p w14:paraId="7606AE41" w14:textId="16B15190" w:rsidR="00E048D9" w:rsidRDefault="003A4E94" w:rsidP="00E93D9B">
      <w:pPr>
        <w:spacing w:line="360" w:lineRule="auto"/>
        <w:ind w:firstLineChars="200" w:firstLine="480"/>
        <w:rPr>
          <w:rFonts w:ascii="宋体" w:hAnsi="宋体"/>
          <w:sz w:val="24"/>
          <w:szCs w:val="24"/>
        </w:rPr>
      </w:pPr>
      <w:r>
        <w:rPr>
          <w:rFonts w:ascii="宋体" w:hAnsi="宋体" w:hint="eastAsia"/>
          <w:sz w:val="24"/>
          <w:szCs w:val="24"/>
        </w:rPr>
        <w:t>通过Logit回归与线性回归的对比，观察到</w:t>
      </w:r>
      <w:r w:rsidR="00E93D9B">
        <w:rPr>
          <w:rFonts w:ascii="宋体" w:hAnsi="宋体" w:hint="eastAsia"/>
          <w:sz w:val="24"/>
          <w:szCs w:val="24"/>
        </w:rPr>
        <w:t>同一样本的解释变量与被解释变量进行线性回归，其回归结果从变量系数、模型显著程度、变量显著程度</w:t>
      </w:r>
      <w:r>
        <w:rPr>
          <w:rFonts w:ascii="宋体" w:hAnsi="宋体" w:hint="eastAsia"/>
          <w:sz w:val="24"/>
          <w:szCs w:val="24"/>
        </w:rPr>
        <w:t>三个维度与Logit回归</w:t>
      </w:r>
      <w:r w:rsidR="00E93D9B">
        <w:rPr>
          <w:rFonts w:ascii="宋体" w:hAnsi="宋体" w:hint="eastAsia"/>
          <w:sz w:val="24"/>
          <w:szCs w:val="24"/>
        </w:rPr>
        <w:t>是</w:t>
      </w:r>
      <w:r w:rsidR="00FB48B9">
        <w:rPr>
          <w:rFonts w:ascii="宋体" w:hAnsi="宋体" w:hint="eastAsia"/>
          <w:sz w:val="24"/>
          <w:szCs w:val="24"/>
        </w:rPr>
        <w:t>一致</w:t>
      </w:r>
      <w:r w:rsidR="00E93D9B">
        <w:rPr>
          <w:rFonts w:ascii="宋体" w:hAnsi="宋体" w:hint="eastAsia"/>
          <w:sz w:val="24"/>
          <w:szCs w:val="24"/>
        </w:rPr>
        <w:t>的，</w:t>
      </w:r>
      <w:r>
        <w:rPr>
          <w:rFonts w:ascii="宋体" w:hAnsi="宋体" w:hint="eastAsia"/>
          <w:sz w:val="24"/>
          <w:szCs w:val="24"/>
        </w:rPr>
        <w:t>得到结论Logit</w:t>
      </w:r>
      <w:r w:rsidR="00E93D9B">
        <w:rPr>
          <w:rFonts w:ascii="宋体" w:hAnsi="宋体" w:hint="eastAsia"/>
          <w:sz w:val="24"/>
          <w:szCs w:val="24"/>
        </w:rPr>
        <w:t>回归的模型是稳健的。</w:t>
      </w:r>
    </w:p>
    <w:p w14:paraId="19C13579" w14:textId="2746C654" w:rsidR="003A4E94" w:rsidRPr="00E048D9" w:rsidRDefault="003A4E94" w:rsidP="003A4E94">
      <w:pPr>
        <w:pStyle w:val="4"/>
      </w:pPr>
      <w:bookmarkStart w:id="74" w:name="_Toc105023921"/>
      <w:r w:rsidRPr="00E048D9">
        <w:rPr>
          <w:rFonts w:hint="eastAsia"/>
        </w:rPr>
        <w:t>4</w:t>
      </w:r>
      <w:r w:rsidRPr="00E048D9">
        <w:t>.2.</w:t>
      </w:r>
      <w:r>
        <w:t>2</w:t>
      </w:r>
      <w:bookmarkStart w:id="75" w:name="_Hlk103645960"/>
      <w:r>
        <w:rPr>
          <w:rFonts w:hint="eastAsia"/>
        </w:rPr>
        <w:t>替换变量</w:t>
      </w:r>
      <w:bookmarkEnd w:id="74"/>
      <w:bookmarkEnd w:id="75"/>
    </w:p>
    <w:p w14:paraId="61CE282C" w14:textId="3528A9A7" w:rsidR="003A4E94" w:rsidRDefault="003A4E94" w:rsidP="003A4E94">
      <w:pPr>
        <w:spacing w:line="360" w:lineRule="auto"/>
        <w:ind w:firstLineChars="200" w:firstLine="480"/>
        <w:rPr>
          <w:rFonts w:ascii="宋体" w:hAnsi="宋体"/>
          <w:sz w:val="24"/>
          <w:szCs w:val="24"/>
        </w:rPr>
      </w:pPr>
      <w:r>
        <w:rPr>
          <w:rFonts w:ascii="宋体" w:hAnsi="宋体" w:hint="eastAsia"/>
          <w:sz w:val="24"/>
          <w:szCs w:val="24"/>
        </w:rPr>
        <w:t>使用原始指标数据</w:t>
      </w:r>
      <w:r w:rsidR="004765EF">
        <w:rPr>
          <w:rFonts w:ascii="宋体" w:hAnsi="宋体" w:hint="eastAsia"/>
          <w:sz w:val="24"/>
          <w:szCs w:val="24"/>
        </w:rPr>
        <w:t>和第三章主因子回归所得综合得分</w:t>
      </w:r>
      <w:r>
        <w:rPr>
          <w:rFonts w:ascii="宋体" w:hAnsi="宋体" w:hint="eastAsia"/>
          <w:sz w:val="24"/>
          <w:szCs w:val="24"/>
        </w:rPr>
        <w:t>进行线性回归来进行稳健性检验。</w:t>
      </w:r>
      <w:r w:rsidRPr="00CD00AB">
        <w:rPr>
          <w:rFonts w:ascii="宋体" w:hAnsi="宋体" w:hint="eastAsia"/>
          <w:sz w:val="24"/>
          <w:szCs w:val="24"/>
        </w:rPr>
        <w:t>选取非系统风险、基金规模、基金成立年限、碳中和指标、基金E环境评分、基金S社会评分、基金G治理评分、重仓股票ESG评分等客观因素作为解释变量</w:t>
      </w:r>
      <w:r>
        <w:rPr>
          <w:rFonts w:ascii="宋体" w:hAnsi="宋体" w:hint="eastAsia"/>
          <w:sz w:val="24"/>
          <w:szCs w:val="24"/>
        </w:rPr>
        <w:t>，</w:t>
      </w:r>
      <w:r w:rsidR="004765EF">
        <w:rPr>
          <w:rFonts w:ascii="宋体" w:hAnsi="宋体" w:hint="eastAsia"/>
          <w:sz w:val="24"/>
          <w:szCs w:val="24"/>
        </w:rPr>
        <w:t>综合得分</w:t>
      </w:r>
      <w:r>
        <w:rPr>
          <w:rFonts w:ascii="宋体" w:hAnsi="宋体" w:hint="eastAsia"/>
          <w:sz w:val="24"/>
          <w:szCs w:val="24"/>
        </w:rPr>
        <w:t>作为被解释变量。</w:t>
      </w:r>
    </w:p>
    <w:p w14:paraId="73FBFD32" w14:textId="150E90A2" w:rsidR="006D72F5" w:rsidRPr="006D72F5" w:rsidRDefault="004765EF" w:rsidP="00481BEA">
      <w:pPr>
        <w:spacing w:line="360" w:lineRule="auto"/>
        <w:ind w:firstLineChars="200" w:firstLine="480"/>
        <w:rPr>
          <w:rFonts w:ascii="宋体" w:hAnsi="宋体"/>
          <w:sz w:val="24"/>
          <w:szCs w:val="24"/>
        </w:rPr>
      </w:pPr>
      <w:r w:rsidRPr="00CD00AB">
        <w:rPr>
          <w:rFonts w:ascii="宋体" w:hAnsi="宋体" w:hint="eastAsia"/>
          <w:sz w:val="24"/>
          <w:szCs w:val="24"/>
        </w:rPr>
        <w:lastRenderedPageBreak/>
        <w:t>将样本数据导入stata，进行</w:t>
      </w:r>
      <w:r>
        <w:rPr>
          <w:rFonts w:ascii="宋体" w:hAnsi="宋体" w:hint="eastAsia"/>
          <w:sz w:val="24"/>
          <w:szCs w:val="24"/>
        </w:rPr>
        <w:t>线性</w:t>
      </w:r>
      <w:r w:rsidRPr="00CD00AB">
        <w:rPr>
          <w:rFonts w:ascii="宋体" w:hAnsi="宋体" w:hint="eastAsia"/>
          <w:sz w:val="24"/>
          <w:szCs w:val="24"/>
        </w:rPr>
        <w:t>回归结果如下：</w:t>
      </w:r>
    </w:p>
    <w:p w14:paraId="6EFE515D" w14:textId="4EE68686" w:rsidR="00E4492C" w:rsidRPr="00811855" w:rsidRDefault="00811855" w:rsidP="00811855">
      <w:pPr>
        <w:spacing w:line="360" w:lineRule="auto"/>
        <w:ind w:firstLineChars="200" w:firstLine="420"/>
        <w:jc w:val="center"/>
        <w:rPr>
          <w:rFonts w:ascii="宋体" w:hAnsi="宋体"/>
          <w:szCs w:val="21"/>
        </w:rPr>
      </w:pPr>
      <w:r w:rsidRPr="00811855">
        <w:rPr>
          <w:rFonts w:ascii="宋体" w:hAnsi="宋体" w:hint="eastAsia"/>
          <w:szCs w:val="21"/>
        </w:rPr>
        <w:t>表</w:t>
      </w:r>
      <w:r w:rsidR="008F5CC1">
        <w:rPr>
          <w:rFonts w:ascii="宋体" w:hAnsi="宋体"/>
          <w:szCs w:val="21"/>
        </w:rPr>
        <w:t>4-3</w:t>
      </w:r>
      <w:r w:rsidRPr="00811855">
        <w:rPr>
          <w:rFonts w:ascii="宋体" w:hAnsi="宋体" w:hint="eastAsia"/>
          <w:szCs w:val="21"/>
        </w:rPr>
        <w:t>：稳健性检验2</w:t>
      </w:r>
    </w:p>
    <w:tbl>
      <w:tblPr>
        <w:tblW w:w="8710" w:type="dxa"/>
        <w:tblLook w:val="04A0" w:firstRow="1" w:lastRow="0" w:firstColumn="1" w:lastColumn="0" w:noHBand="0" w:noVBand="1"/>
      </w:tblPr>
      <w:tblGrid>
        <w:gridCol w:w="1981"/>
        <w:gridCol w:w="1051"/>
        <w:gridCol w:w="1042"/>
        <w:gridCol w:w="958"/>
        <w:gridCol w:w="1173"/>
        <w:gridCol w:w="1210"/>
        <w:gridCol w:w="1295"/>
      </w:tblGrid>
      <w:tr w:rsidR="00E4492C" w:rsidRPr="00720EF1" w14:paraId="34DB10EE" w14:textId="77777777" w:rsidTr="00E4492C">
        <w:trPr>
          <w:trHeight w:val="270"/>
        </w:trPr>
        <w:tc>
          <w:tcPr>
            <w:tcW w:w="1981" w:type="dxa"/>
            <w:tcBorders>
              <w:top w:val="single" w:sz="12" w:space="0" w:color="auto"/>
              <w:left w:val="nil"/>
              <w:bottom w:val="single" w:sz="12" w:space="0" w:color="auto"/>
              <w:right w:val="nil"/>
            </w:tcBorders>
            <w:shd w:val="clear" w:color="auto" w:fill="auto"/>
            <w:noWrap/>
            <w:vAlign w:val="bottom"/>
            <w:hideMark/>
          </w:tcPr>
          <w:p w14:paraId="45AAD593" w14:textId="3BBF125C" w:rsidR="00E4492C" w:rsidRPr="00720EF1" w:rsidRDefault="00E4492C" w:rsidP="00E4492C">
            <w:pPr>
              <w:widowControl/>
              <w:jc w:val="left"/>
              <w:rPr>
                <w:kern w:val="0"/>
                <w:sz w:val="20"/>
              </w:rPr>
            </w:pPr>
            <w:r w:rsidRPr="00720EF1">
              <w:rPr>
                <w:kern w:val="0"/>
                <w:sz w:val="20"/>
              </w:rPr>
              <w:t>综合得分</w:t>
            </w:r>
          </w:p>
        </w:tc>
        <w:tc>
          <w:tcPr>
            <w:tcW w:w="1051" w:type="dxa"/>
            <w:tcBorders>
              <w:top w:val="single" w:sz="12" w:space="0" w:color="auto"/>
              <w:left w:val="nil"/>
              <w:bottom w:val="single" w:sz="12" w:space="0" w:color="auto"/>
              <w:right w:val="nil"/>
            </w:tcBorders>
            <w:shd w:val="clear" w:color="auto" w:fill="auto"/>
            <w:noWrap/>
            <w:vAlign w:val="bottom"/>
            <w:hideMark/>
          </w:tcPr>
          <w:p w14:paraId="45D03368" w14:textId="77777777" w:rsidR="00E4492C" w:rsidRPr="00720EF1" w:rsidRDefault="00E4492C" w:rsidP="00E4492C">
            <w:pPr>
              <w:widowControl/>
              <w:jc w:val="center"/>
              <w:rPr>
                <w:kern w:val="0"/>
                <w:sz w:val="20"/>
              </w:rPr>
            </w:pPr>
            <w:r w:rsidRPr="00720EF1">
              <w:rPr>
                <w:kern w:val="0"/>
                <w:sz w:val="20"/>
              </w:rPr>
              <w:t>系数</w:t>
            </w:r>
          </w:p>
        </w:tc>
        <w:tc>
          <w:tcPr>
            <w:tcW w:w="1042" w:type="dxa"/>
            <w:tcBorders>
              <w:top w:val="single" w:sz="12" w:space="0" w:color="auto"/>
              <w:left w:val="nil"/>
              <w:bottom w:val="single" w:sz="12" w:space="0" w:color="auto"/>
              <w:right w:val="nil"/>
            </w:tcBorders>
            <w:shd w:val="clear" w:color="auto" w:fill="auto"/>
            <w:noWrap/>
            <w:vAlign w:val="bottom"/>
            <w:hideMark/>
          </w:tcPr>
          <w:p w14:paraId="5F50EFCD" w14:textId="77777777" w:rsidR="00E4492C" w:rsidRPr="00720EF1" w:rsidRDefault="00E4492C" w:rsidP="00E4492C">
            <w:pPr>
              <w:widowControl/>
              <w:jc w:val="right"/>
              <w:rPr>
                <w:kern w:val="0"/>
                <w:sz w:val="20"/>
              </w:rPr>
            </w:pPr>
            <w:r w:rsidRPr="00720EF1">
              <w:rPr>
                <w:kern w:val="0"/>
                <w:sz w:val="20"/>
              </w:rPr>
              <w:t>标准差</w:t>
            </w:r>
          </w:p>
        </w:tc>
        <w:tc>
          <w:tcPr>
            <w:tcW w:w="958" w:type="dxa"/>
            <w:tcBorders>
              <w:top w:val="single" w:sz="12" w:space="0" w:color="auto"/>
              <w:left w:val="nil"/>
              <w:bottom w:val="single" w:sz="12" w:space="0" w:color="auto"/>
              <w:right w:val="nil"/>
            </w:tcBorders>
            <w:shd w:val="clear" w:color="auto" w:fill="auto"/>
            <w:noWrap/>
            <w:vAlign w:val="bottom"/>
            <w:hideMark/>
          </w:tcPr>
          <w:p w14:paraId="3F0C6F34" w14:textId="77777777" w:rsidR="00E4492C" w:rsidRPr="00720EF1" w:rsidRDefault="00E4492C" w:rsidP="00E4492C">
            <w:pPr>
              <w:widowControl/>
              <w:jc w:val="right"/>
              <w:rPr>
                <w:kern w:val="0"/>
                <w:sz w:val="20"/>
              </w:rPr>
            </w:pPr>
            <w:r w:rsidRPr="00720EF1">
              <w:rPr>
                <w:kern w:val="0"/>
                <w:sz w:val="20"/>
              </w:rPr>
              <w:t>z</w:t>
            </w:r>
            <w:r w:rsidRPr="00720EF1">
              <w:rPr>
                <w:kern w:val="0"/>
                <w:sz w:val="20"/>
              </w:rPr>
              <w:t>值</w:t>
            </w:r>
          </w:p>
        </w:tc>
        <w:tc>
          <w:tcPr>
            <w:tcW w:w="1173" w:type="dxa"/>
            <w:tcBorders>
              <w:top w:val="single" w:sz="12" w:space="0" w:color="auto"/>
              <w:left w:val="nil"/>
              <w:bottom w:val="single" w:sz="12" w:space="0" w:color="auto"/>
              <w:right w:val="nil"/>
            </w:tcBorders>
            <w:shd w:val="clear" w:color="auto" w:fill="auto"/>
            <w:noWrap/>
            <w:vAlign w:val="bottom"/>
            <w:hideMark/>
          </w:tcPr>
          <w:p w14:paraId="5B12EEA9" w14:textId="77777777" w:rsidR="00E4492C" w:rsidRPr="00720EF1" w:rsidRDefault="00E4492C" w:rsidP="00E4492C">
            <w:pPr>
              <w:widowControl/>
              <w:jc w:val="right"/>
              <w:rPr>
                <w:kern w:val="0"/>
                <w:sz w:val="20"/>
              </w:rPr>
            </w:pPr>
            <w:r w:rsidRPr="00720EF1">
              <w:rPr>
                <w:kern w:val="0"/>
                <w:sz w:val="20"/>
              </w:rPr>
              <w:t>P&gt;z</w:t>
            </w:r>
          </w:p>
        </w:tc>
        <w:tc>
          <w:tcPr>
            <w:tcW w:w="2505" w:type="dxa"/>
            <w:gridSpan w:val="2"/>
            <w:tcBorders>
              <w:top w:val="single" w:sz="12" w:space="0" w:color="auto"/>
              <w:left w:val="nil"/>
              <w:bottom w:val="single" w:sz="12" w:space="0" w:color="auto"/>
              <w:right w:val="nil"/>
            </w:tcBorders>
            <w:shd w:val="clear" w:color="auto" w:fill="auto"/>
            <w:noWrap/>
            <w:vAlign w:val="bottom"/>
            <w:hideMark/>
          </w:tcPr>
          <w:p w14:paraId="005AC242" w14:textId="77777777" w:rsidR="00E4492C" w:rsidRPr="00720EF1" w:rsidRDefault="00E4492C" w:rsidP="00E4492C">
            <w:pPr>
              <w:widowControl/>
              <w:jc w:val="center"/>
              <w:rPr>
                <w:kern w:val="0"/>
                <w:sz w:val="20"/>
              </w:rPr>
            </w:pPr>
            <w:r w:rsidRPr="00720EF1">
              <w:rPr>
                <w:kern w:val="0"/>
                <w:sz w:val="20"/>
              </w:rPr>
              <w:t>95%</w:t>
            </w:r>
            <w:r w:rsidRPr="00720EF1">
              <w:rPr>
                <w:kern w:val="0"/>
                <w:sz w:val="20"/>
              </w:rPr>
              <w:t>置信区间</w:t>
            </w:r>
          </w:p>
        </w:tc>
      </w:tr>
      <w:tr w:rsidR="00E4492C" w:rsidRPr="00720EF1" w14:paraId="44EA3344" w14:textId="77777777" w:rsidTr="00E4492C">
        <w:trPr>
          <w:trHeight w:val="257"/>
        </w:trPr>
        <w:tc>
          <w:tcPr>
            <w:tcW w:w="1981" w:type="dxa"/>
            <w:tcBorders>
              <w:top w:val="nil"/>
              <w:left w:val="nil"/>
              <w:bottom w:val="nil"/>
              <w:right w:val="nil"/>
            </w:tcBorders>
            <w:shd w:val="clear" w:color="auto" w:fill="auto"/>
            <w:noWrap/>
            <w:vAlign w:val="bottom"/>
            <w:hideMark/>
          </w:tcPr>
          <w:p w14:paraId="532541B8" w14:textId="77777777" w:rsidR="00E4492C" w:rsidRPr="00720EF1" w:rsidRDefault="00E4492C" w:rsidP="00E4492C">
            <w:pPr>
              <w:widowControl/>
              <w:jc w:val="left"/>
              <w:rPr>
                <w:kern w:val="0"/>
                <w:sz w:val="20"/>
              </w:rPr>
            </w:pPr>
            <w:r w:rsidRPr="00720EF1">
              <w:rPr>
                <w:kern w:val="0"/>
                <w:sz w:val="20"/>
              </w:rPr>
              <w:t>非系统风险</w:t>
            </w:r>
          </w:p>
        </w:tc>
        <w:tc>
          <w:tcPr>
            <w:tcW w:w="1051" w:type="dxa"/>
            <w:tcBorders>
              <w:top w:val="nil"/>
              <w:left w:val="nil"/>
              <w:bottom w:val="nil"/>
              <w:right w:val="nil"/>
            </w:tcBorders>
            <w:shd w:val="clear" w:color="auto" w:fill="auto"/>
            <w:noWrap/>
            <w:vAlign w:val="bottom"/>
            <w:hideMark/>
          </w:tcPr>
          <w:p w14:paraId="57570E1A" w14:textId="77777777" w:rsidR="00E4492C" w:rsidRPr="00720EF1" w:rsidRDefault="00E4492C" w:rsidP="00E4492C">
            <w:pPr>
              <w:widowControl/>
              <w:jc w:val="center"/>
              <w:rPr>
                <w:kern w:val="0"/>
                <w:sz w:val="20"/>
              </w:rPr>
            </w:pPr>
            <w:r w:rsidRPr="00720EF1">
              <w:rPr>
                <w:kern w:val="0"/>
                <w:sz w:val="20"/>
              </w:rPr>
              <w:t xml:space="preserve"> 654.5457 </w:t>
            </w:r>
          </w:p>
        </w:tc>
        <w:tc>
          <w:tcPr>
            <w:tcW w:w="1042" w:type="dxa"/>
            <w:tcBorders>
              <w:top w:val="nil"/>
              <w:left w:val="nil"/>
              <w:bottom w:val="nil"/>
              <w:right w:val="nil"/>
            </w:tcBorders>
            <w:shd w:val="clear" w:color="auto" w:fill="auto"/>
            <w:noWrap/>
            <w:vAlign w:val="bottom"/>
            <w:hideMark/>
          </w:tcPr>
          <w:p w14:paraId="41C4E89E" w14:textId="77777777" w:rsidR="00E4492C" w:rsidRPr="00720EF1" w:rsidRDefault="00E4492C" w:rsidP="00E4492C">
            <w:pPr>
              <w:widowControl/>
              <w:jc w:val="right"/>
              <w:rPr>
                <w:kern w:val="0"/>
                <w:sz w:val="20"/>
              </w:rPr>
            </w:pPr>
            <w:r w:rsidRPr="00720EF1">
              <w:rPr>
                <w:kern w:val="0"/>
                <w:sz w:val="20"/>
              </w:rPr>
              <w:t xml:space="preserve">    65.2513 </w:t>
            </w:r>
          </w:p>
        </w:tc>
        <w:tc>
          <w:tcPr>
            <w:tcW w:w="958" w:type="dxa"/>
            <w:tcBorders>
              <w:top w:val="nil"/>
              <w:left w:val="nil"/>
              <w:bottom w:val="nil"/>
              <w:right w:val="nil"/>
            </w:tcBorders>
            <w:shd w:val="clear" w:color="auto" w:fill="auto"/>
            <w:noWrap/>
            <w:vAlign w:val="bottom"/>
            <w:hideMark/>
          </w:tcPr>
          <w:p w14:paraId="3A1CC1D3" w14:textId="77777777" w:rsidR="00E4492C" w:rsidRPr="00720EF1" w:rsidRDefault="00E4492C" w:rsidP="00E4492C">
            <w:pPr>
              <w:widowControl/>
              <w:jc w:val="right"/>
              <w:rPr>
                <w:kern w:val="0"/>
                <w:sz w:val="20"/>
              </w:rPr>
            </w:pPr>
            <w:r w:rsidRPr="00720EF1">
              <w:rPr>
                <w:kern w:val="0"/>
                <w:sz w:val="20"/>
              </w:rPr>
              <w:t xml:space="preserve">   10.0300 </w:t>
            </w:r>
          </w:p>
        </w:tc>
        <w:tc>
          <w:tcPr>
            <w:tcW w:w="1173" w:type="dxa"/>
            <w:tcBorders>
              <w:top w:val="nil"/>
              <w:left w:val="nil"/>
              <w:bottom w:val="nil"/>
              <w:right w:val="nil"/>
            </w:tcBorders>
            <w:shd w:val="clear" w:color="auto" w:fill="auto"/>
            <w:noWrap/>
            <w:vAlign w:val="bottom"/>
            <w:hideMark/>
          </w:tcPr>
          <w:p w14:paraId="7C449FFA" w14:textId="47913FDB" w:rsidR="00E4492C" w:rsidRPr="00720EF1" w:rsidRDefault="00E4492C" w:rsidP="00E4492C">
            <w:pPr>
              <w:widowControl/>
              <w:jc w:val="right"/>
              <w:rPr>
                <w:kern w:val="0"/>
                <w:sz w:val="20"/>
              </w:rPr>
            </w:pPr>
            <w:r w:rsidRPr="00720EF1">
              <w:rPr>
                <w:kern w:val="0"/>
                <w:sz w:val="20"/>
              </w:rPr>
              <w:t xml:space="preserve">             </w:t>
            </w:r>
            <w:r w:rsidR="00720EF1">
              <w:rPr>
                <w:kern w:val="0"/>
                <w:sz w:val="20"/>
              </w:rPr>
              <w:t>0.0000</w:t>
            </w:r>
            <w:r w:rsidRPr="00720EF1">
              <w:rPr>
                <w:kern w:val="0"/>
                <w:sz w:val="20"/>
              </w:rPr>
              <w:t xml:space="preserve">   </w:t>
            </w:r>
          </w:p>
        </w:tc>
        <w:tc>
          <w:tcPr>
            <w:tcW w:w="1210" w:type="dxa"/>
            <w:tcBorders>
              <w:top w:val="nil"/>
              <w:left w:val="nil"/>
              <w:bottom w:val="nil"/>
              <w:right w:val="nil"/>
            </w:tcBorders>
            <w:shd w:val="clear" w:color="auto" w:fill="auto"/>
            <w:noWrap/>
            <w:vAlign w:val="bottom"/>
            <w:hideMark/>
          </w:tcPr>
          <w:p w14:paraId="6FBA4256" w14:textId="77777777" w:rsidR="00E4492C" w:rsidRPr="00720EF1" w:rsidRDefault="00E4492C" w:rsidP="00E4492C">
            <w:pPr>
              <w:widowControl/>
              <w:jc w:val="right"/>
              <w:rPr>
                <w:kern w:val="0"/>
                <w:sz w:val="20"/>
              </w:rPr>
            </w:pPr>
            <w:r w:rsidRPr="00720EF1">
              <w:rPr>
                <w:kern w:val="0"/>
                <w:sz w:val="20"/>
              </w:rPr>
              <w:t xml:space="preserve">    525.2834 </w:t>
            </w:r>
          </w:p>
        </w:tc>
        <w:tc>
          <w:tcPr>
            <w:tcW w:w="1295" w:type="dxa"/>
            <w:tcBorders>
              <w:top w:val="nil"/>
              <w:left w:val="nil"/>
              <w:bottom w:val="nil"/>
              <w:right w:val="nil"/>
            </w:tcBorders>
            <w:shd w:val="clear" w:color="auto" w:fill="auto"/>
            <w:noWrap/>
            <w:vAlign w:val="bottom"/>
            <w:hideMark/>
          </w:tcPr>
          <w:p w14:paraId="578FDBA5" w14:textId="77777777" w:rsidR="00E4492C" w:rsidRPr="00720EF1" w:rsidRDefault="00E4492C" w:rsidP="00E4492C">
            <w:pPr>
              <w:widowControl/>
              <w:jc w:val="right"/>
              <w:rPr>
                <w:kern w:val="0"/>
                <w:sz w:val="20"/>
              </w:rPr>
            </w:pPr>
            <w:r w:rsidRPr="00720EF1">
              <w:rPr>
                <w:kern w:val="0"/>
                <w:sz w:val="20"/>
              </w:rPr>
              <w:t xml:space="preserve">     783.8081 </w:t>
            </w:r>
          </w:p>
        </w:tc>
      </w:tr>
      <w:tr w:rsidR="00E4492C" w:rsidRPr="00720EF1" w14:paraId="154D2FEF" w14:textId="77777777" w:rsidTr="00E4492C">
        <w:trPr>
          <w:trHeight w:val="244"/>
        </w:trPr>
        <w:tc>
          <w:tcPr>
            <w:tcW w:w="1981" w:type="dxa"/>
            <w:tcBorders>
              <w:top w:val="nil"/>
              <w:left w:val="nil"/>
              <w:bottom w:val="nil"/>
              <w:right w:val="nil"/>
            </w:tcBorders>
            <w:shd w:val="clear" w:color="auto" w:fill="auto"/>
            <w:noWrap/>
            <w:vAlign w:val="bottom"/>
            <w:hideMark/>
          </w:tcPr>
          <w:p w14:paraId="67BD87E0" w14:textId="77777777" w:rsidR="00E4492C" w:rsidRPr="00720EF1" w:rsidRDefault="00E4492C" w:rsidP="00E4492C">
            <w:pPr>
              <w:widowControl/>
              <w:jc w:val="left"/>
              <w:rPr>
                <w:kern w:val="0"/>
                <w:sz w:val="20"/>
              </w:rPr>
            </w:pPr>
            <w:r w:rsidRPr="00720EF1">
              <w:rPr>
                <w:kern w:val="0"/>
                <w:sz w:val="20"/>
              </w:rPr>
              <w:t>基金规模单位亿元</w:t>
            </w:r>
          </w:p>
        </w:tc>
        <w:tc>
          <w:tcPr>
            <w:tcW w:w="1051" w:type="dxa"/>
            <w:tcBorders>
              <w:top w:val="nil"/>
              <w:left w:val="nil"/>
              <w:bottom w:val="nil"/>
              <w:right w:val="nil"/>
            </w:tcBorders>
            <w:shd w:val="clear" w:color="auto" w:fill="auto"/>
            <w:noWrap/>
            <w:vAlign w:val="bottom"/>
            <w:hideMark/>
          </w:tcPr>
          <w:p w14:paraId="6D1283D9" w14:textId="77777777" w:rsidR="00E4492C" w:rsidRPr="00720EF1" w:rsidRDefault="00E4492C" w:rsidP="00E4492C">
            <w:pPr>
              <w:widowControl/>
              <w:jc w:val="center"/>
              <w:rPr>
                <w:kern w:val="0"/>
                <w:sz w:val="20"/>
              </w:rPr>
            </w:pPr>
            <w:r w:rsidRPr="00720EF1">
              <w:rPr>
                <w:kern w:val="0"/>
                <w:sz w:val="20"/>
              </w:rPr>
              <w:t xml:space="preserve">     0.1053 </w:t>
            </w:r>
          </w:p>
        </w:tc>
        <w:tc>
          <w:tcPr>
            <w:tcW w:w="1042" w:type="dxa"/>
            <w:tcBorders>
              <w:top w:val="nil"/>
              <w:left w:val="nil"/>
              <w:bottom w:val="nil"/>
              <w:right w:val="nil"/>
            </w:tcBorders>
            <w:shd w:val="clear" w:color="auto" w:fill="auto"/>
            <w:noWrap/>
            <w:vAlign w:val="bottom"/>
            <w:hideMark/>
          </w:tcPr>
          <w:p w14:paraId="7A59161D" w14:textId="77777777" w:rsidR="00E4492C" w:rsidRPr="00720EF1" w:rsidRDefault="00E4492C" w:rsidP="00E4492C">
            <w:pPr>
              <w:widowControl/>
              <w:jc w:val="right"/>
              <w:rPr>
                <w:kern w:val="0"/>
                <w:sz w:val="20"/>
              </w:rPr>
            </w:pPr>
            <w:r w:rsidRPr="00720EF1">
              <w:rPr>
                <w:kern w:val="0"/>
                <w:sz w:val="20"/>
              </w:rPr>
              <w:t xml:space="preserve">      0.0319 </w:t>
            </w:r>
          </w:p>
        </w:tc>
        <w:tc>
          <w:tcPr>
            <w:tcW w:w="958" w:type="dxa"/>
            <w:tcBorders>
              <w:top w:val="nil"/>
              <w:left w:val="nil"/>
              <w:bottom w:val="nil"/>
              <w:right w:val="nil"/>
            </w:tcBorders>
            <w:shd w:val="clear" w:color="auto" w:fill="auto"/>
            <w:noWrap/>
            <w:vAlign w:val="bottom"/>
            <w:hideMark/>
          </w:tcPr>
          <w:p w14:paraId="46B24128" w14:textId="77777777" w:rsidR="00E4492C" w:rsidRPr="00720EF1" w:rsidRDefault="00E4492C" w:rsidP="00E4492C">
            <w:pPr>
              <w:widowControl/>
              <w:jc w:val="right"/>
              <w:rPr>
                <w:kern w:val="0"/>
                <w:sz w:val="20"/>
              </w:rPr>
            </w:pPr>
            <w:r w:rsidRPr="00720EF1">
              <w:rPr>
                <w:kern w:val="0"/>
                <w:sz w:val="20"/>
              </w:rPr>
              <w:t xml:space="preserve">     3.3100 </w:t>
            </w:r>
          </w:p>
        </w:tc>
        <w:tc>
          <w:tcPr>
            <w:tcW w:w="1173" w:type="dxa"/>
            <w:tcBorders>
              <w:top w:val="nil"/>
              <w:left w:val="nil"/>
              <w:bottom w:val="nil"/>
              <w:right w:val="nil"/>
            </w:tcBorders>
            <w:shd w:val="clear" w:color="auto" w:fill="auto"/>
            <w:noWrap/>
            <w:vAlign w:val="bottom"/>
            <w:hideMark/>
          </w:tcPr>
          <w:p w14:paraId="3F7A87A7" w14:textId="77777777" w:rsidR="00E4492C" w:rsidRPr="00720EF1" w:rsidRDefault="00E4492C" w:rsidP="00E4492C">
            <w:pPr>
              <w:widowControl/>
              <w:jc w:val="right"/>
              <w:rPr>
                <w:kern w:val="0"/>
                <w:sz w:val="20"/>
              </w:rPr>
            </w:pPr>
            <w:r w:rsidRPr="00720EF1">
              <w:rPr>
                <w:kern w:val="0"/>
                <w:sz w:val="20"/>
              </w:rPr>
              <w:t xml:space="preserve">     0.0010 </w:t>
            </w:r>
          </w:p>
        </w:tc>
        <w:tc>
          <w:tcPr>
            <w:tcW w:w="1210" w:type="dxa"/>
            <w:tcBorders>
              <w:top w:val="nil"/>
              <w:left w:val="nil"/>
              <w:bottom w:val="nil"/>
              <w:right w:val="nil"/>
            </w:tcBorders>
            <w:shd w:val="clear" w:color="auto" w:fill="auto"/>
            <w:noWrap/>
            <w:vAlign w:val="bottom"/>
            <w:hideMark/>
          </w:tcPr>
          <w:p w14:paraId="5AB2EFA0" w14:textId="77777777" w:rsidR="00E4492C" w:rsidRPr="00720EF1" w:rsidRDefault="00E4492C" w:rsidP="00E4492C">
            <w:pPr>
              <w:widowControl/>
              <w:jc w:val="right"/>
              <w:rPr>
                <w:kern w:val="0"/>
                <w:sz w:val="20"/>
              </w:rPr>
            </w:pPr>
            <w:r w:rsidRPr="00720EF1">
              <w:rPr>
                <w:kern w:val="0"/>
                <w:sz w:val="20"/>
              </w:rPr>
              <w:t xml:space="preserve">        0.0422 </w:t>
            </w:r>
          </w:p>
        </w:tc>
        <w:tc>
          <w:tcPr>
            <w:tcW w:w="1295" w:type="dxa"/>
            <w:tcBorders>
              <w:top w:val="nil"/>
              <w:left w:val="nil"/>
              <w:bottom w:val="nil"/>
              <w:right w:val="nil"/>
            </w:tcBorders>
            <w:shd w:val="clear" w:color="auto" w:fill="auto"/>
            <w:noWrap/>
            <w:vAlign w:val="bottom"/>
            <w:hideMark/>
          </w:tcPr>
          <w:p w14:paraId="1D9FC4CA" w14:textId="77777777" w:rsidR="00E4492C" w:rsidRPr="00720EF1" w:rsidRDefault="00E4492C" w:rsidP="00E4492C">
            <w:pPr>
              <w:widowControl/>
              <w:jc w:val="right"/>
              <w:rPr>
                <w:kern w:val="0"/>
                <w:sz w:val="20"/>
              </w:rPr>
            </w:pPr>
            <w:r w:rsidRPr="00720EF1">
              <w:rPr>
                <w:kern w:val="0"/>
                <w:sz w:val="20"/>
              </w:rPr>
              <w:t xml:space="preserve">         0.1684 </w:t>
            </w:r>
          </w:p>
        </w:tc>
      </w:tr>
      <w:tr w:rsidR="00E4492C" w:rsidRPr="00720EF1" w14:paraId="1B6B3FDE" w14:textId="77777777" w:rsidTr="00E4492C">
        <w:trPr>
          <w:trHeight w:val="244"/>
        </w:trPr>
        <w:tc>
          <w:tcPr>
            <w:tcW w:w="1981" w:type="dxa"/>
            <w:tcBorders>
              <w:top w:val="nil"/>
              <w:left w:val="nil"/>
              <w:bottom w:val="nil"/>
              <w:right w:val="nil"/>
            </w:tcBorders>
            <w:shd w:val="clear" w:color="auto" w:fill="auto"/>
            <w:noWrap/>
            <w:vAlign w:val="bottom"/>
            <w:hideMark/>
          </w:tcPr>
          <w:p w14:paraId="4D34A04A" w14:textId="77777777" w:rsidR="00E4492C" w:rsidRPr="00720EF1" w:rsidRDefault="00E4492C" w:rsidP="00E4492C">
            <w:pPr>
              <w:widowControl/>
              <w:jc w:val="left"/>
              <w:rPr>
                <w:kern w:val="0"/>
                <w:sz w:val="20"/>
              </w:rPr>
            </w:pPr>
            <w:r w:rsidRPr="00720EF1">
              <w:rPr>
                <w:kern w:val="0"/>
                <w:sz w:val="20"/>
              </w:rPr>
              <w:t>成立年限</w:t>
            </w:r>
          </w:p>
        </w:tc>
        <w:tc>
          <w:tcPr>
            <w:tcW w:w="1051" w:type="dxa"/>
            <w:tcBorders>
              <w:top w:val="nil"/>
              <w:left w:val="nil"/>
              <w:bottom w:val="nil"/>
              <w:right w:val="nil"/>
            </w:tcBorders>
            <w:shd w:val="clear" w:color="auto" w:fill="auto"/>
            <w:noWrap/>
            <w:vAlign w:val="bottom"/>
            <w:hideMark/>
          </w:tcPr>
          <w:p w14:paraId="76F6271F" w14:textId="77777777" w:rsidR="00E4492C" w:rsidRPr="00720EF1" w:rsidRDefault="00E4492C" w:rsidP="00E4492C">
            <w:pPr>
              <w:widowControl/>
              <w:jc w:val="center"/>
              <w:rPr>
                <w:kern w:val="0"/>
                <w:sz w:val="20"/>
              </w:rPr>
            </w:pPr>
            <w:r w:rsidRPr="00720EF1">
              <w:rPr>
                <w:kern w:val="0"/>
                <w:sz w:val="20"/>
              </w:rPr>
              <w:t xml:space="preserve">     2.7109 </w:t>
            </w:r>
          </w:p>
        </w:tc>
        <w:tc>
          <w:tcPr>
            <w:tcW w:w="1042" w:type="dxa"/>
            <w:tcBorders>
              <w:top w:val="nil"/>
              <w:left w:val="nil"/>
              <w:bottom w:val="nil"/>
              <w:right w:val="nil"/>
            </w:tcBorders>
            <w:shd w:val="clear" w:color="auto" w:fill="auto"/>
            <w:noWrap/>
            <w:vAlign w:val="bottom"/>
            <w:hideMark/>
          </w:tcPr>
          <w:p w14:paraId="5C47D436" w14:textId="77777777" w:rsidR="00E4492C" w:rsidRPr="00720EF1" w:rsidRDefault="00E4492C" w:rsidP="00E4492C">
            <w:pPr>
              <w:widowControl/>
              <w:jc w:val="right"/>
              <w:rPr>
                <w:kern w:val="0"/>
                <w:sz w:val="20"/>
              </w:rPr>
            </w:pPr>
            <w:r w:rsidRPr="00720EF1">
              <w:rPr>
                <w:kern w:val="0"/>
                <w:sz w:val="20"/>
              </w:rPr>
              <w:t xml:space="preserve">      0.6333 </w:t>
            </w:r>
          </w:p>
        </w:tc>
        <w:tc>
          <w:tcPr>
            <w:tcW w:w="958" w:type="dxa"/>
            <w:tcBorders>
              <w:top w:val="nil"/>
              <w:left w:val="nil"/>
              <w:bottom w:val="nil"/>
              <w:right w:val="nil"/>
            </w:tcBorders>
            <w:shd w:val="clear" w:color="auto" w:fill="auto"/>
            <w:noWrap/>
            <w:vAlign w:val="bottom"/>
            <w:hideMark/>
          </w:tcPr>
          <w:p w14:paraId="4AA4F083" w14:textId="77777777" w:rsidR="00E4492C" w:rsidRPr="00720EF1" w:rsidRDefault="00E4492C" w:rsidP="00E4492C">
            <w:pPr>
              <w:widowControl/>
              <w:jc w:val="right"/>
              <w:rPr>
                <w:kern w:val="0"/>
                <w:sz w:val="20"/>
              </w:rPr>
            </w:pPr>
            <w:r w:rsidRPr="00720EF1">
              <w:rPr>
                <w:kern w:val="0"/>
                <w:sz w:val="20"/>
              </w:rPr>
              <w:t xml:space="preserve">     4.2800 </w:t>
            </w:r>
          </w:p>
        </w:tc>
        <w:tc>
          <w:tcPr>
            <w:tcW w:w="1173" w:type="dxa"/>
            <w:tcBorders>
              <w:top w:val="nil"/>
              <w:left w:val="nil"/>
              <w:bottom w:val="nil"/>
              <w:right w:val="nil"/>
            </w:tcBorders>
            <w:shd w:val="clear" w:color="auto" w:fill="auto"/>
            <w:noWrap/>
            <w:vAlign w:val="bottom"/>
            <w:hideMark/>
          </w:tcPr>
          <w:p w14:paraId="34ABA3B6" w14:textId="7959AFBE" w:rsidR="00E4492C" w:rsidRPr="00720EF1" w:rsidRDefault="00E4492C" w:rsidP="00E4492C">
            <w:pPr>
              <w:widowControl/>
              <w:jc w:val="right"/>
              <w:rPr>
                <w:kern w:val="0"/>
                <w:sz w:val="20"/>
              </w:rPr>
            </w:pPr>
            <w:r w:rsidRPr="00720EF1">
              <w:rPr>
                <w:kern w:val="0"/>
                <w:sz w:val="20"/>
              </w:rPr>
              <w:t xml:space="preserve">             </w:t>
            </w:r>
            <w:r w:rsidR="00720EF1">
              <w:rPr>
                <w:kern w:val="0"/>
                <w:sz w:val="20"/>
              </w:rPr>
              <w:t>0.0000</w:t>
            </w:r>
            <w:r w:rsidRPr="00720EF1">
              <w:rPr>
                <w:kern w:val="0"/>
                <w:sz w:val="20"/>
              </w:rPr>
              <w:t xml:space="preserve">   </w:t>
            </w:r>
          </w:p>
        </w:tc>
        <w:tc>
          <w:tcPr>
            <w:tcW w:w="1210" w:type="dxa"/>
            <w:tcBorders>
              <w:top w:val="nil"/>
              <w:left w:val="nil"/>
              <w:bottom w:val="nil"/>
              <w:right w:val="nil"/>
            </w:tcBorders>
            <w:shd w:val="clear" w:color="auto" w:fill="auto"/>
            <w:noWrap/>
            <w:vAlign w:val="bottom"/>
            <w:hideMark/>
          </w:tcPr>
          <w:p w14:paraId="37B459F4" w14:textId="77777777" w:rsidR="00E4492C" w:rsidRPr="00720EF1" w:rsidRDefault="00E4492C" w:rsidP="00E4492C">
            <w:pPr>
              <w:widowControl/>
              <w:jc w:val="right"/>
              <w:rPr>
                <w:kern w:val="0"/>
                <w:sz w:val="20"/>
              </w:rPr>
            </w:pPr>
            <w:r w:rsidRPr="00720EF1">
              <w:rPr>
                <w:kern w:val="0"/>
                <w:sz w:val="20"/>
              </w:rPr>
              <w:t xml:space="preserve">        1.4563 </w:t>
            </w:r>
          </w:p>
        </w:tc>
        <w:tc>
          <w:tcPr>
            <w:tcW w:w="1295" w:type="dxa"/>
            <w:tcBorders>
              <w:top w:val="nil"/>
              <w:left w:val="nil"/>
              <w:bottom w:val="nil"/>
              <w:right w:val="nil"/>
            </w:tcBorders>
            <w:shd w:val="clear" w:color="auto" w:fill="auto"/>
            <w:noWrap/>
            <w:vAlign w:val="bottom"/>
            <w:hideMark/>
          </w:tcPr>
          <w:p w14:paraId="1CEBC181" w14:textId="77777777" w:rsidR="00E4492C" w:rsidRPr="00720EF1" w:rsidRDefault="00E4492C" w:rsidP="00E4492C">
            <w:pPr>
              <w:widowControl/>
              <w:jc w:val="right"/>
              <w:rPr>
                <w:kern w:val="0"/>
                <w:sz w:val="20"/>
              </w:rPr>
            </w:pPr>
            <w:r w:rsidRPr="00720EF1">
              <w:rPr>
                <w:kern w:val="0"/>
                <w:sz w:val="20"/>
              </w:rPr>
              <w:t xml:space="preserve">         3.9655 </w:t>
            </w:r>
          </w:p>
        </w:tc>
      </w:tr>
      <w:tr w:rsidR="00E4492C" w:rsidRPr="00720EF1" w14:paraId="17A80FA0" w14:textId="77777777" w:rsidTr="00E4492C">
        <w:trPr>
          <w:trHeight w:val="244"/>
        </w:trPr>
        <w:tc>
          <w:tcPr>
            <w:tcW w:w="1981" w:type="dxa"/>
            <w:tcBorders>
              <w:top w:val="nil"/>
              <w:left w:val="nil"/>
              <w:bottom w:val="nil"/>
              <w:right w:val="nil"/>
            </w:tcBorders>
            <w:shd w:val="clear" w:color="auto" w:fill="auto"/>
            <w:noWrap/>
            <w:vAlign w:val="bottom"/>
            <w:hideMark/>
          </w:tcPr>
          <w:p w14:paraId="7C7DDE7E" w14:textId="77777777" w:rsidR="00E4492C" w:rsidRPr="00720EF1" w:rsidRDefault="00E4492C" w:rsidP="00E4492C">
            <w:pPr>
              <w:widowControl/>
              <w:jc w:val="left"/>
              <w:rPr>
                <w:kern w:val="0"/>
                <w:sz w:val="20"/>
              </w:rPr>
            </w:pPr>
            <w:r w:rsidRPr="00720EF1">
              <w:rPr>
                <w:kern w:val="0"/>
                <w:sz w:val="20"/>
              </w:rPr>
              <w:t>是否为碳中和</w:t>
            </w:r>
          </w:p>
        </w:tc>
        <w:tc>
          <w:tcPr>
            <w:tcW w:w="1051" w:type="dxa"/>
            <w:tcBorders>
              <w:top w:val="nil"/>
              <w:left w:val="nil"/>
              <w:bottom w:val="nil"/>
              <w:right w:val="nil"/>
            </w:tcBorders>
            <w:shd w:val="clear" w:color="auto" w:fill="auto"/>
            <w:noWrap/>
            <w:vAlign w:val="bottom"/>
            <w:hideMark/>
          </w:tcPr>
          <w:p w14:paraId="03CD867B" w14:textId="77777777" w:rsidR="00E4492C" w:rsidRPr="00720EF1" w:rsidRDefault="00E4492C" w:rsidP="00E4492C">
            <w:pPr>
              <w:widowControl/>
              <w:jc w:val="center"/>
              <w:rPr>
                <w:kern w:val="0"/>
                <w:sz w:val="20"/>
              </w:rPr>
            </w:pPr>
            <w:r w:rsidRPr="00720EF1">
              <w:rPr>
                <w:kern w:val="0"/>
                <w:sz w:val="20"/>
              </w:rPr>
              <w:t xml:space="preserve">     2.2286 </w:t>
            </w:r>
          </w:p>
        </w:tc>
        <w:tc>
          <w:tcPr>
            <w:tcW w:w="1042" w:type="dxa"/>
            <w:tcBorders>
              <w:top w:val="nil"/>
              <w:left w:val="nil"/>
              <w:bottom w:val="nil"/>
              <w:right w:val="nil"/>
            </w:tcBorders>
            <w:shd w:val="clear" w:color="auto" w:fill="auto"/>
            <w:noWrap/>
            <w:vAlign w:val="bottom"/>
            <w:hideMark/>
          </w:tcPr>
          <w:p w14:paraId="7EACD626" w14:textId="77777777" w:rsidR="00E4492C" w:rsidRPr="00720EF1" w:rsidRDefault="00E4492C" w:rsidP="00E4492C">
            <w:pPr>
              <w:widowControl/>
              <w:jc w:val="right"/>
              <w:rPr>
                <w:kern w:val="0"/>
                <w:sz w:val="20"/>
              </w:rPr>
            </w:pPr>
            <w:r w:rsidRPr="00720EF1">
              <w:rPr>
                <w:kern w:val="0"/>
                <w:sz w:val="20"/>
              </w:rPr>
              <w:t xml:space="preserve">      1.0934 </w:t>
            </w:r>
          </w:p>
        </w:tc>
        <w:tc>
          <w:tcPr>
            <w:tcW w:w="958" w:type="dxa"/>
            <w:tcBorders>
              <w:top w:val="nil"/>
              <w:left w:val="nil"/>
              <w:bottom w:val="nil"/>
              <w:right w:val="nil"/>
            </w:tcBorders>
            <w:shd w:val="clear" w:color="auto" w:fill="auto"/>
            <w:noWrap/>
            <w:vAlign w:val="bottom"/>
            <w:hideMark/>
          </w:tcPr>
          <w:p w14:paraId="47A07C38" w14:textId="77777777" w:rsidR="00E4492C" w:rsidRPr="00720EF1" w:rsidRDefault="00E4492C" w:rsidP="00E4492C">
            <w:pPr>
              <w:widowControl/>
              <w:jc w:val="right"/>
              <w:rPr>
                <w:kern w:val="0"/>
                <w:sz w:val="20"/>
              </w:rPr>
            </w:pPr>
            <w:r w:rsidRPr="00720EF1">
              <w:rPr>
                <w:kern w:val="0"/>
                <w:sz w:val="20"/>
              </w:rPr>
              <w:t xml:space="preserve">     2.0400 </w:t>
            </w:r>
          </w:p>
        </w:tc>
        <w:tc>
          <w:tcPr>
            <w:tcW w:w="1173" w:type="dxa"/>
            <w:tcBorders>
              <w:top w:val="nil"/>
              <w:left w:val="nil"/>
              <w:bottom w:val="nil"/>
              <w:right w:val="nil"/>
            </w:tcBorders>
            <w:shd w:val="clear" w:color="auto" w:fill="auto"/>
            <w:noWrap/>
            <w:vAlign w:val="bottom"/>
            <w:hideMark/>
          </w:tcPr>
          <w:p w14:paraId="72CA5977" w14:textId="77777777" w:rsidR="00E4492C" w:rsidRPr="00720EF1" w:rsidRDefault="00E4492C" w:rsidP="00E4492C">
            <w:pPr>
              <w:widowControl/>
              <w:jc w:val="right"/>
              <w:rPr>
                <w:kern w:val="0"/>
                <w:sz w:val="20"/>
              </w:rPr>
            </w:pPr>
            <w:r w:rsidRPr="00720EF1">
              <w:rPr>
                <w:kern w:val="0"/>
                <w:sz w:val="20"/>
              </w:rPr>
              <w:t xml:space="preserve">     0.0440 </w:t>
            </w:r>
          </w:p>
        </w:tc>
        <w:tc>
          <w:tcPr>
            <w:tcW w:w="1210" w:type="dxa"/>
            <w:tcBorders>
              <w:top w:val="nil"/>
              <w:left w:val="nil"/>
              <w:bottom w:val="nil"/>
              <w:right w:val="nil"/>
            </w:tcBorders>
            <w:shd w:val="clear" w:color="auto" w:fill="auto"/>
            <w:noWrap/>
            <w:vAlign w:val="bottom"/>
            <w:hideMark/>
          </w:tcPr>
          <w:p w14:paraId="57D7245D" w14:textId="77777777" w:rsidR="00E4492C" w:rsidRPr="00720EF1" w:rsidRDefault="00E4492C" w:rsidP="00E4492C">
            <w:pPr>
              <w:widowControl/>
              <w:jc w:val="right"/>
              <w:rPr>
                <w:kern w:val="0"/>
                <w:sz w:val="20"/>
              </w:rPr>
            </w:pPr>
            <w:r w:rsidRPr="00720EF1">
              <w:rPr>
                <w:kern w:val="0"/>
                <w:sz w:val="20"/>
              </w:rPr>
              <w:t xml:space="preserve">        0.0627 </w:t>
            </w:r>
          </w:p>
        </w:tc>
        <w:tc>
          <w:tcPr>
            <w:tcW w:w="1295" w:type="dxa"/>
            <w:tcBorders>
              <w:top w:val="nil"/>
              <w:left w:val="nil"/>
              <w:bottom w:val="nil"/>
              <w:right w:val="nil"/>
            </w:tcBorders>
            <w:shd w:val="clear" w:color="auto" w:fill="auto"/>
            <w:noWrap/>
            <w:vAlign w:val="bottom"/>
            <w:hideMark/>
          </w:tcPr>
          <w:p w14:paraId="739AE09E" w14:textId="77777777" w:rsidR="00E4492C" w:rsidRPr="00720EF1" w:rsidRDefault="00E4492C" w:rsidP="00E4492C">
            <w:pPr>
              <w:widowControl/>
              <w:jc w:val="right"/>
              <w:rPr>
                <w:kern w:val="0"/>
                <w:sz w:val="20"/>
              </w:rPr>
            </w:pPr>
            <w:r w:rsidRPr="00720EF1">
              <w:rPr>
                <w:kern w:val="0"/>
                <w:sz w:val="20"/>
              </w:rPr>
              <w:t xml:space="preserve">         4.3946 </w:t>
            </w:r>
          </w:p>
        </w:tc>
      </w:tr>
      <w:tr w:rsidR="00E4492C" w:rsidRPr="00720EF1" w14:paraId="22AAD8AA" w14:textId="77777777" w:rsidTr="00E4492C">
        <w:trPr>
          <w:trHeight w:val="244"/>
        </w:trPr>
        <w:tc>
          <w:tcPr>
            <w:tcW w:w="1981" w:type="dxa"/>
            <w:tcBorders>
              <w:top w:val="nil"/>
              <w:left w:val="nil"/>
              <w:bottom w:val="nil"/>
              <w:right w:val="nil"/>
            </w:tcBorders>
            <w:shd w:val="clear" w:color="auto" w:fill="auto"/>
            <w:noWrap/>
            <w:vAlign w:val="bottom"/>
            <w:hideMark/>
          </w:tcPr>
          <w:p w14:paraId="256C3B47" w14:textId="77777777" w:rsidR="00E4492C" w:rsidRPr="00720EF1" w:rsidRDefault="00E4492C" w:rsidP="00E4492C">
            <w:pPr>
              <w:widowControl/>
              <w:jc w:val="left"/>
              <w:rPr>
                <w:kern w:val="0"/>
                <w:sz w:val="20"/>
              </w:rPr>
            </w:pPr>
            <w:r w:rsidRPr="00720EF1">
              <w:rPr>
                <w:kern w:val="0"/>
                <w:sz w:val="20"/>
              </w:rPr>
              <w:t>重仓股票</w:t>
            </w:r>
            <w:r w:rsidRPr="00720EF1">
              <w:rPr>
                <w:kern w:val="0"/>
                <w:sz w:val="20"/>
              </w:rPr>
              <w:t>ESG</w:t>
            </w:r>
            <w:r w:rsidRPr="00720EF1">
              <w:rPr>
                <w:kern w:val="0"/>
                <w:sz w:val="20"/>
              </w:rPr>
              <w:t>评分</w:t>
            </w:r>
          </w:p>
        </w:tc>
        <w:tc>
          <w:tcPr>
            <w:tcW w:w="1051" w:type="dxa"/>
            <w:tcBorders>
              <w:top w:val="nil"/>
              <w:left w:val="nil"/>
              <w:bottom w:val="nil"/>
              <w:right w:val="nil"/>
            </w:tcBorders>
            <w:shd w:val="clear" w:color="auto" w:fill="auto"/>
            <w:noWrap/>
            <w:vAlign w:val="bottom"/>
            <w:hideMark/>
          </w:tcPr>
          <w:p w14:paraId="442AD794" w14:textId="77777777" w:rsidR="00E4492C" w:rsidRPr="00720EF1" w:rsidRDefault="00E4492C" w:rsidP="00E4492C">
            <w:pPr>
              <w:widowControl/>
              <w:jc w:val="center"/>
              <w:rPr>
                <w:kern w:val="0"/>
                <w:sz w:val="20"/>
              </w:rPr>
            </w:pPr>
            <w:r w:rsidRPr="00720EF1">
              <w:rPr>
                <w:kern w:val="0"/>
                <w:sz w:val="20"/>
              </w:rPr>
              <w:t xml:space="preserve">     0.1481 </w:t>
            </w:r>
          </w:p>
        </w:tc>
        <w:tc>
          <w:tcPr>
            <w:tcW w:w="1042" w:type="dxa"/>
            <w:tcBorders>
              <w:top w:val="nil"/>
              <w:left w:val="nil"/>
              <w:bottom w:val="nil"/>
              <w:right w:val="nil"/>
            </w:tcBorders>
            <w:shd w:val="clear" w:color="auto" w:fill="auto"/>
            <w:noWrap/>
            <w:vAlign w:val="bottom"/>
            <w:hideMark/>
          </w:tcPr>
          <w:p w14:paraId="3A9D18DD" w14:textId="77777777" w:rsidR="00E4492C" w:rsidRPr="00720EF1" w:rsidRDefault="00E4492C" w:rsidP="00E4492C">
            <w:pPr>
              <w:widowControl/>
              <w:jc w:val="right"/>
              <w:rPr>
                <w:kern w:val="0"/>
                <w:sz w:val="20"/>
              </w:rPr>
            </w:pPr>
            <w:r w:rsidRPr="00720EF1">
              <w:rPr>
                <w:kern w:val="0"/>
                <w:sz w:val="20"/>
              </w:rPr>
              <w:t xml:space="preserve">      0.6045 </w:t>
            </w:r>
          </w:p>
        </w:tc>
        <w:tc>
          <w:tcPr>
            <w:tcW w:w="958" w:type="dxa"/>
            <w:tcBorders>
              <w:top w:val="nil"/>
              <w:left w:val="nil"/>
              <w:bottom w:val="nil"/>
              <w:right w:val="nil"/>
            </w:tcBorders>
            <w:shd w:val="clear" w:color="auto" w:fill="auto"/>
            <w:noWrap/>
            <w:vAlign w:val="bottom"/>
            <w:hideMark/>
          </w:tcPr>
          <w:p w14:paraId="37CFB6CB" w14:textId="77777777" w:rsidR="00E4492C" w:rsidRPr="00720EF1" w:rsidRDefault="00E4492C" w:rsidP="00E4492C">
            <w:pPr>
              <w:widowControl/>
              <w:jc w:val="right"/>
              <w:rPr>
                <w:kern w:val="0"/>
                <w:sz w:val="20"/>
              </w:rPr>
            </w:pPr>
            <w:r w:rsidRPr="00720EF1">
              <w:rPr>
                <w:kern w:val="0"/>
                <w:sz w:val="20"/>
              </w:rPr>
              <w:t xml:space="preserve">     0.2400 </w:t>
            </w:r>
          </w:p>
        </w:tc>
        <w:tc>
          <w:tcPr>
            <w:tcW w:w="1173" w:type="dxa"/>
            <w:tcBorders>
              <w:top w:val="nil"/>
              <w:left w:val="nil"/>
              <w:bottom w:val="nil"/>
              <w:right w:val="nil"/>
            </w:tcBorders>
            <w:shd w:val="clear" w:color="auto" w:fill="auto"/>
            <w:noWrap/>
            <w:vAlign w:val="bottom"/>
            <w:hideMark/>
          </w:tcPr>
          <w:p w14:paraId="36A461CA" w14:textId="77777777" w:rsidR="00E4492C" w:rsidRPr="00720EF1" w:rsidRDefault="00E4492C" w:rsidP="00E4492C">
            <w:pPr>
              <w:widowControl/>
              <w:jc w:val="right"/>
              <w:rPr>
                <w:kern w:val="0"/>
                <w:sz w:val="20"/>
              </w:rPr>
            </w:pPr>
            <w:r w:rsidRPr="00720EF1">
              <w:rPr>
                <w:kern w:val="0"/>
                <w:sz w:val="20"/>
              </w:rPr>
              <w:t xml:space="preserve">     0.8070 </w:t>
            </w:r>
          </w:p>
        </w:tc>
        <w:tc>
          <w:tcPr>
            <w:tcW w:w="1210" w:type="dxa"/>
            <w:tcBorders>
              <w:top w:val="nil"/>
              <w:left w:val="nil"/>
              <w:bottom w:val="nil"/>
              <w:right w:val="nil"/>
            </w:tcBorders>
            <w:shd w:val="clear" w:color="auto" w:fill="auto"/>
            <w:noWrap/>
            <w:vAlign w:val="bottom"/>
            <w:hideMark/>
          </w:tcPr>
          <w:p w14:paraId="5B484644" w14:textId="77777777" w:rsidR="00E4492C" w:rsidRPr="00720EF1" w:rsidRDefault="00E4492C" w:rsidP="00E4492C">
            <w:pPr>
              <w:widowControl/>
              <w:jc w:val="right"/>
              <w:rPr>
                <w:kern w:val="0"/>
                <w:sz w:val="20"/>
              </w:rPr>
            </w:pPr>
            <w:r w:rsidRPr="00720EF1">
              <w:rPr>
                <w:kern w:val="0"/>
                <w:sz w:val="20"/>
              </w:rPr>
              <w:t xml:space="preserve">      -1.0495 </w:t>
            </w:r>
          </w:p>
        </w:tc>
        <w:tc>
          <w:tcPr>
            <w:tcW w:w="1295" w:type="dxa"/>
            <w:tcBorders>
              <w:top w:val="nil"/>
              <w:left w:val="nil"/>
              <w:bottom w:val="nil"/>
              <w:right w:val="nil"/>
            </w:tcBorders>
            <w:shd w:val="clear" w:color="auto" w:fill="auto"/>
            <w:noWrap/>
            <w:vAlign w:val="bottom"/>
            <w:hideMark/>
          </w:tcPr>
          <w:p w14:paraId="7EBC8E45" w14:textId="77777777" w:rsidR="00E4492C" w:rsidRPr="00720EF1" w:rsidRDefault="00E4492C" w:rsidP="00E4492C">
            <w:pPr>
              <w:widowControl/>
              <w:jc w:val="right"/>
              <w:rPr>
                <w:kern w:val="0"/>
                <w:sz w:val="20"/>
              </w:rPr>
            </w:pPr>
            <w:r w:rsidRPr="00720EF1">
              <w:rPr>
                <w:kern w:val="0"/>
                <w:sz w:val="20"/>
              </w:rPr>
              <w:t xml:space="preserve">         1.3456 </w:t>
            </w:r>
          </w:p>
        </w:tc>
      </w:tr>
      <w:tr w:rsidR="00E4492C" w:rsidRPr="00720EF1" w14:paraId="1FF41A3C" w14:textId="77777777" w:rsidTr="00E4492C">
        <w:trPr>
          <w:trHeight w:val="244"/>
        </w:trPr>
        <w:tc>
          <w:tcPr>
            <w:tcW w:w="1981" w:type="dxa"/>
            <w:tcBorders>
              <w:top w:val="nil"/>
              <w:left w:val="nil"/>
              <w:bottom w:val="nil"/>
              <w:right w:val="nil"/>
            </w:tcBorders>
            <w:shd w:val="clear" w:color="auto" w:fill="auto"/>
            <w:noWrap/>
            <w:vAlign w:val="bottom"/>
            <w:hideMark/>
          </w:tcPr>
          <w:p w14:paraId="0F46C54E" w14:textId="77777777" w:rsidR="00E4492C" w:rsidRPr="00720EF1" w:rsidRDefault="00E4492C" w:rsidP="00E4492C">
            <w:pPr>
              <w:widowControl/>
              <w:jc w:val="left"/>
              <w:rPr>
                <w:kern w:val="0"/>
                <w:sz w:val="20"/>
              </w:rPr>
            </w:pPr>
            <w:r w:rsidRPr="00720EF1">
              <w:rPr>
                <w:kern w:val="0"/>
                <w:sz w:val="20"/>
              </w:rPr>
              <w:t>E</w:t>
            </w:r>
            <w:r w:rsidRPr="00720EF1">
              <w:rPr>
                <w:kern w:val="0"/>
                <w:sz w:val="20"/>
              </w:rPr>
              <w:t>评分</w:t>
            </w:r>
          </w:p>
        </w:tc>
        <w:tc>
          <w:tcPr>
            <w:tcW w:w="1051" w:type="dxa"/>
            <w:tcBorders>
              <w:top w:val="nil"/>
              <w:left w:val="nil"/>
              <w:bottom w:val="nil"/>
              <w:right w:val="nil"/>
            </w:tcBorders>
            <w:shd w:val="clear" w:color="auto" w:fill="auto"/>
            <w:noWrap/>
            <w:vAlign w:val="bottom"/>
            <w:hideMark/>
          </w:tcPr>
          <w:p w14:paraId="290C091E" w14:textId="77777777" w:rsidR="00E4492C" w:rsidRPr="00720EF1" w:rsidRDefault="00E4492C" w:rsidP="00E4492C">
            <w:pPr>
              <w:widowControl/>
              <w:jc w:val="center"/>
              <w:rPr>
                <w:kern w:val="0"/>
                <w:sz w:val="20"/>
              </w:rPr>
            </w:pPr>
            <w:r w:rsidRPr="00720EF1">
              <w:rPr>
                <w:kern w:val="0"/>
                <w:sz w:val="20"/>
              </w:rPr>
              <w:t xml:space="preserve">     0.5346 </w:t>
            </w:r>
          </w:p>
        </w:tc>
        <w:tc>
          <w:tcPr>
            <w:tcW w:w="1042" w:type="dxa"/>
            <w:tcBorders>
              <w:top w:val="nil"/>
              <w:left w:val="nil"/>
              <w:bottom w:val="nil"/>
              <w:right w:val="nil"/>
            </w:tcBorders>
            <w:shd w:val="clear" w:color="auto" w:fill="auto"/>
            <w:noWrap/>
            <w:vAlign w:val="bottom"/>
            <w:hideMark/>
          </w:tcPr>
          <w:p w14:paraId="4DC69E30" w14:textId="77777777" w:rsidR="00E4492C" w:rsidRPr="00720EF1" w:rsidRDefault="00E4492C" w:rsidP="00E4492C">
            <w:pPr>
              <w:widowControl/>
              <w:jc w:val="right"/>
              <w:rPr>
                <w:kern w:val="0"/>
                <w:sz w:val="20"/>
              </w:rPr>
            </w:pPr>
            <w:r w:rsidRPr="00720EF1">
              <w:rPr>
                <w:kern w:val="0"/>
                <w:sz w:val="20"/>
              </w:rPr>
              <w:t xml:space="preserve">      0.2312 </w:t>
            </w:r>
          </w:p>
        </w:tc>
        <w:tc>
          <w:tcPr>
            <w:tcW w:w="958" w:type="dxa"/>
            <w:tcBorders>
              <w:top w:val="nil"/>
              <w:left w:val="nil"/>
              <w:bottom w:val="nil"/>
              <w:right w:val="nil"/>
            </w:tcBorders>
            <w:shd w:val="clear" w:color="auto" w:fill="auto"/>
            <w:noWrap/>
            <w:vAlign w:val="bottom"/>
            <w:hideMark/>
          </w:tcPr>
          <w:p w14:paraId="57AF6C8E" w14:textId="77777777" w:rsidR="00E4492C" w:rsidRPr="00720EF1" w:rsidRDefault="00E4492C" w:rsidP="00E4492C">
            <w:pPr>
              <w:widowControl/>
              <w:jc w:val="right"/>
              <w:rPr>
                <w:kern w:val="0"/>
                <w:sz w:val="20"/>
              </w:rPr>
            </w:pPr>
            <w:r w:rsidRPr="00720EF1">
              <w:rPr>
                <w:kern w:val="0"/>
                <w:sz w:val="20"/>
              </w:rPr>
              <w:t xml:space="preserve">     2.3100 </w:t>
            </w:r>
          </w:p>
        </w:tc>
        <w:tc>
          <w:tcPr>
            <w:tcW w:w="1173" w:type="dxa"/>
            <w:tcBorders>
              <w:top w:val="nil"/>
              <w:left w:val="nil"/>
              <w:bottom w:val="nil"/>
              <w:right w:val="nil"/>
            </w:tcBorders>
            <w:shd w:val="clear" w:color="auto" w:fill="auto"/>
            <w:noWrap/>
            <w:vAlign w:val="bottom"/>
            <w:hideMark/>
          </w:tcPr>
          <w:p w14:paraId="7FE46A9C" w14:textId="77777777" w:rsidR="00E4492C" w:rsidRPr="00720EF1" w:rsidRDefault="00E4492C" w:rsidP="00E4492C">
            <w:pPr>
              <w:widowControl/>
              <w:jc w:val="right"/>
              <w:rPr>
                <w:kern w:val="0"/>
                <w:sz w:val="20"/>
              </w:rPr>
            </w:pPr>
            <w:r w:rsidRPr="00720EF1">
              <w:rPr>
                <w:kern w:val="0"/>
                <w:sz w:val="20"/>
              </w:rPr>
              <w:t xml:space="preserve">     0.0230 </w:t>
            </w:r>
          </w:p>
        </w:tc>
        <w:tc>
          <w:tcPr>
            <w:tcW w:w="1210" w:type="dxa"/>
            <w:tcBorders>
              <w:top w:val="nil"/>
              <w:left w:val="nil"/>
              <w:bottom w:val="nil"/>
              <w:right w:val="nil"/>
            </w:tcBorders>
            <w:shd w:val="clear" w:color="auto" w:fill="auto"/>
            <w:noWrap/>
            <w:vAlign w:val="bottom"/>
            <w:hideMark/>
          </w:tcPr>
          <w:p w14:paraId="78DAD981" w14:textId="77777777" w:rsidR="00E4492C" w:rsidRPr="00720EF1" w:rsidRDefault="00E4492C" w:rsidP="00E4492C">
            <w:pPr>
              <w:widowControl/>
              <w:jc w:val="right"/>
              <w:rPr>
                <w:kern w:val="0"/>
                <w:sz w:val="20"/>
              </w:rPr>
            </w:pPr>
            <w:r w:rsidRPr="00720EF1">
              <w:rPr>
                <w:kern w:val="0"/>
                <w:sz w:val="20"/>
              </w:rPr>
              <w:t xml:space="preserve">        0.0766 </w:t>
            </w:r>
          </w:p>
        </w:tc>
        <w:tc>
          <w:tcPr>
            <w:tcW w:w="1295" w:type="dxa"/>
            <w:tcBorders>
              <w:top w:val="nil"/>
              <w:left w:val="nil"/>
              <w:bottom w:val="nil"/>
              <w:right w:val="nil"/>
            </w:tcBorders>
            <w:shd w:val="clear" w:color="auto" w:fill="auto"/>
            <w:noWrap/>
            <w:vAlign w:val="bottom"/>
            <w:hideMark/>
          </w:tcPr>
          <w:p w14:paraId="7ED72D5C" w14:textId="77777777" w:rsidR="00E4492C" w:rsidRPr="00720EF1" w:rsidRDefault="00E4492C" w:rsidP="00E4492C">
            <w:pPr>
              <w:widowControl/>
              <w:jc w:val="right"/>
              <w:rPr>
                <w:kern w:val="0"/>
                <w:sz w:val="20"/>
              </w:rPr>
            </w:pPr>
            <w:r w:rsidRPr="00720EF1">
              <w:rPr>
                <w:kern w:val="0"/>
                <w:sz w:val="20"/>
              </w:rPr>
              <w:t xml:space="preserve">         0.9925 </w:t>
            </w:r>
          </w:p>
        </w:tc>
      </w:tr>
      <w:tr w:rsidR="00E4492C" w:rsidRPr="00720EF1" w14:paraId="20A3346E" w14:textId="77777777" w:rsidTr="00E4492C">
        <w:trPr>
          <w:trHeight w:val="244"/>
        </w:trPr>
        <w:tc>
          <w:tcPr>
            <w:tcW w:w="1981" w:type="dxa"/>
            <w:tcBorders>
              <w:top w:val="nil"/>
              <w:left w:val="nil"/>
              <w:bottom w:val="nil"/>
              <w:right w:val="nil"/>
            </w:tcBorders>
            <w:shd w:val="clear" w:color="auto" w:fill="auto"/>
            <w:noWrap/>
            <w:vAlign w:val="bottom"/>
            <w:hideMark/>
          </w:tcPr>
          <w:p w14:paraId="729F345A" w14:textId="77777777" w:rsidR="00E4492C" w:rsidRPr="00720EF1" w:rsidRDefault="00E4492C" w:rsidP="00E4492C">
            <w:pPr>
              <w:widowControl/>
              <w:jc w:val="left"/>
              <w:rPr>
                <w:kern w:val="0"/>
                <w:sz w:val="20"/>
              </w:rPr>
            </w:pPr>
            <w:r w:rsidRPr="00720EF1">
              <w:rPr>
                <w:kern w:val="0"/>
                <w:sz w:val="20"/>
              </w:rPr>
              <w:t>S</w:t>
            </w:r>
            <w:r w:rsidRPr="00720EF1">
              <w:rPr>
                <w:kern w:val="0"/>
                <w:sz w:val="20"/>
              </w:rPr>
              <w:t>评分</w:t>
            </w:r>
          </w:p>
        </w:tc>
        <w:tc>
          <w:tcPr>
            <w:tcW w:w="1051" w:type="dxa"/>
            <w:tcBorders>
              <w:top w:val="nil"/>
              <w:left w:val="nil"/>
              <w:bottom w:val="nil"/>
              <w:right w:val="nil"/>
            </w:tcBorders>
            <w:shd w:val="clear" w:color="auto" w:fill="auto"/>
            <w:noWrap/>
            <w:vAlign w:val="bottom"/>
            <w:hideMark/>
          </w:tcPr>
          <w:p w14:paraId="60A8689D" w14:textId="77777777" w:rsidR="00E4492C" w:rsidRPr="00720EF1" w:rsidRDefault="00E4492C" w:rsidP="00E4492C">
            <w:pPr>
              <w:widowControl/>
              <w:jc w:val="center"/>
              <w:rPr>
                <w:kern w:val="0"/>
                <w:sz w:val="20"/>
              </w:rPr>
            </w:pPr>
            <w:r w:rsidRPr="00720EF1">
              <w:rPr>
                <w:kern w:val="0"/>
                <w:sz w:val="20"/>
              </w:rPr>
              <w:t xml:space="preserve">     0.0995 </w:t>
            </w:r>
          </w:p>
        </w:tc>
        <w:tc>
          <w:tcPr>
            <w:tcW w:w="1042" w:type="dxa"/>
            <w:tcBorders>
              <w:top w:val="nil"/>
              <w:left w:val="nil"/>
              <w:bottom w:val="nil"/>
              <w:right w:val="nil"/>
            </w:tcBorders>
            <w:shd w:val="clear" w:color="auto" w:fill="auto"/>
            <w:noWrap/>
            <w:vAlign w:val="bottom"/>
            <w:hideMark/>
          </w:tcPr>
          <w:p w14:paraId="37C23C0F" w14:textId="77777777" w:rsidR="00E4492C" w:rsidRPr="00720EF1" w:rsidRDefault="00E4492C" w:rsidP="00E4492C">
            <w:pPr>
              <w:widowControl/>
              <w:jc w:val="right"/>
              <w:rPr>
                <w:kern w:val="0"/>
                <w:sz w:val="20"/>
              </w:rPr>
            </w:pPr>
            <w:r w:rsidRPr="00720EF1">
              <w:rPr>
                <w:kern w:val="0"/>
                <w:sz w:val="20"/>
              </w:rPr>
              <w:t xml:space="preserve">      0.2398 </w:t>
            </w:r>
          </w:p>
        </w:tc>
        <w:tc>
          <w:tcPr>
            <w:tcW w:w="958" w:type="dxa"/>
            <w:tcBorders>
              <w:top w:val="nil"/>
              <w:left w:val="nil"/>
              <w:bottom w:val="nil"/>
              <w:right w:val="nil"/>
            </w:tcBorders>
            <w:shd w:val="clear" w:color="auto" w:fill="auto"/>
            <w:noWrap/>
            <w:vAlign w:val="bottom"/>
            <w:hideMark/>
          </w:tcPr>
          <w:p w14:paraId="3186C9F1" w14:textId="77777777" w:rsidR="00E4492C" w:rsidRPr="00720EF1" w:rsidRDefault="00E4492C" w:rsidP="00E4492C">
            <w:pPr>
              <w:widowControl/>
              <w:jc w:val="right"/>
              <w:rPr>
                <w:kern w:val="0"/>
                <w:sz w:val="20"/>
              </w:rPr>
            </w:pPr>
            <w:r w:rsidRPr="00720EF1">
              <w:rPr>
                <w:kern w:val="0"/>
                <w:sz w:val="20"/>
              </w:rPr>
              <w:t xml:space="preserve">     0.4100 </w:t>
            </w:r>
          </w:p>
        </w:tc>
        <w:tc>
          <w:tcPr>
            <w:tcW w:w="1173" w:type="dxa"/>
            <w:tcBorders>
              <w:top w:val="nil"/>
              <w:left w:val="nil"/>
              <w:bottom w:val="nil"/>
              <w:right w:val="nil"/>
            </w:tcBorders>
            <w:shd w:val="clear" w:color="auto" w:fill="auto"/>
            <w:noWrap/>
            <w:vAlign w:val="bottom"/>
            <w:hideMark/>
          </w:tcPr>
          <w:p w14:paraId="1AFDE8C3" w14:textId="77777777" w:rsidR="00E4492C" w:rsidRPr="00720EF1" w:rsidRDefault="00E4492C" w:rsidP="00E4492C">
            <w:pPr>
              <w:widowControl/>
              <w:jc w:val="right"/>
              <w:rPr>
                <w:kern w:val="0"/>
                <w:sz w:val="20"/>
              </w:rPr>
            </w:pPr>
            <w:r w:rsidRPr="00720EF1">
              <w:rPr>
                <w:kern w:val="0"/>
                <w:sz w:val="20"/>
              </w:rPr>
              <w:t xml:space="preserve">     0.6790 </w:t>
            </w:r>
          </w:p>
        </w:tc>
        <w:tc>
          <w:tcPr>
            <w:tcW w:w="1210" w:type="dxa"/>
            <w:tcBorders>
              <w:top w:val="nil"/>
              <w:left w:val="nil"/>
              <w:bottom w:val="nil"/>
              <w:right w:val="nil"/>
            </w:tcBorders>
            <w:shd w:val="clear" w:color="auto" w:fill="auto"/>
            <w:noWrap/>
            <w:vAlign w:val="bottom"/>
            <w:hideMark/>
          </w:tcPr>
          <w:p w14:paraId="19D73BE3" w14:textId="77777777" w:rsidR="00E4492C" w:rsidRPr="00720EF1" w:rsidRDefault="00E4492C" w:rsidP="00E4492C">
            <w:pPr>
              <w:widowControl/>
              <w:jc w:val="right"/>
              <w:rPr>
                <w:kern w:val="0"/>
                <w:sz w:val="20"/>
              </w:rPr>
            </w:pPr>
            <w:r w:rsidRPr="00720EF1">
              <w:rPr>
                <w:kern w:val="0"/>
                <w:sz w:val="20"/>
              </w:rPr>
              <w:t xml:space="preserve">      -0.3756 </w:t>
            </w:r>
          </w:p>
        </w:tc>
        <w:tc>
          <w:tcPr>
            <w:tcW w:w="1295" w:type="dxa"/>
            <w:tcBorders>
              <w:top w:val="nil"/>
              <w:left w:val="nil"/>
              <w:bottom w:val="nil"/>
              <w:right w:val="nil"/>
            </w:tcBorders>
            <w:shd w:val="clear" w:color="auto" w:fill="auto"/>
            <w:noWrap/>
            <w:vAlign w:val="bottom"/>
            <w:hideMark/>
          </w:tcPr>
          <w:p w14:paraId="71212C08" w14:textId="77777777" w:rsidR="00E4492C" w:rsidRPr="00720EF1" w:rsidRDefault="00E4492C" w:rsidP="00E4492C">
            <w:pPr>
              <w:widowControl/>
              <w:jc w:val="right"/>
              <w:rPr>
                <w:kern w:val="0"/>
                <w:sz w:val="20"/>
              </w:rPr>
            </w:pPr>
            <w:r w:rsidRPr="00720EF1">
              <w:rPr>
                <w:kern w:val="0"/>
                <w:sz w:val="20"/>
              </w:rPr>
              <w:t xml:space="preserve">         0.5745 </w:t>
            </w:r>
          </w:p>
        </w:tc>
      </w:tr>
      <w:tr w:rsidR="00E4492C" w:rsidRPr="00720EF1" w14:paraId="410A1A9A" w14:textId="77777777" w:rsidTr="00E4492C">
        <w:trPr>
          <w:trHeight w:val="244"/>
        </w:trPr>
        <w:tc>
          <w:tcPr>
            <w:tcW w:w="1981" w:type="dxa"/>
            <w:tcBorders>
              <w:top w:val="nil"/>
              <w:left w:val="nil"/>
              <w:bottom w:val="nil"/>
              <w:right w:val="nil"/>
            </w:tcBorders>
            <w:shd w:val="clear" w:color="auto" w:fill="auto"/>
            <w:noWrap/>
            <w:vAlign w:val="bottom"/>
            <w:hideMark/>
          </w:tcPr>
          <w:p w14:paraId="301F2DD0" w14:textId="77777777" w:rsidR="00E4492C" w:rsidRPr="00720EF1" w:rsidRDefault="00E4492C" w:rsidP="00E4492C">
            <w:pPr>
              <w:widowControl/>
              <w:jc w:val="left"/>
              <w:rPr>
                <w:kern w:val="0"/>
                <w:sz w:val="20"/>
              </w:rPr>
            </w:pPr>
            <w:r w:rsidRPr="00720EF1">
              <w:rPr>
                <w:kern w:val="0"/>
                <w:sz w:val="20"/>
              </w:rPr>
              <w:t>G</w:t>
            </w:r>
            <w:r w:rsidRPr="00720EF1">
              <w:rPr>
                <w:kern w:val="0"/>
                <w:sz w:val="20"/>
              </w:rPr>
              <w:t>评分</w:t>
            </w:r>
          </w:p>
        </w:tc>
        <w:tc>
          <w:tcPr>
            <w:tcW w:w="1051" w:type="dxa"/>
            <w:tcBorders>
              <w:top w:val="nil"/>
              <w:left w:val="nil"/>
              <w:bottom w:val="nil"/>
              <w:right w:val="nil"/>
            </w:tcBorders>
            <w:shd w:val="clear" w:color="auto" w:fill="auto"/>
            <w:noWrap/>
            <w:vAlign w:val="bottom"/>
            <w:hideMark/>
          </w:tcPr>
          <w:p w14:paraId="372D53D6" w14:textId="77777777" w:rsidR="00E4492C" w:rsidRPr="00720EF1" w:rsidRDefault="00E4492C" w:rsidP="00E4492C">
            <w:pPr>
              <w:widowControl/>
              <w:jc w:val="center"/>
              <w:rPr>
                <w:kern w:val="0"/>
                <w:sz w:val="20"/>
              </w:rPr>
            </w:pPr>
            <w:r w:rsidRPr="00720EF1">
              <w:rPr>
                <w:kern w:val="0"/>
                <w:sz w:val="20"/>
              </w:rPr>
              <w:t xml:space="preserve">   -0.3189 </w:t>
            </w:r>
          </w:p>
        </w:tc>
        <w:tc>
          <w:tcPr>
            <w:tcW w:w="1042" w:type="dxa"/>
            <w:tcBorders>
              <w:top w:val="nil"/>
              <w:left w:val="nil"/>
              <w:bottom w:val="nil"/>
              <w:right w:val="nil"/>
            </w:tcBorders>
            <w:shd w:val="clear" w:color="auto" w:fill="auto"/>
            <w:noWrap/>
            <w:vAlign w:val="bottom"/>
            <w:hideMark/>
          </w:tcPr>
          <w:p w14:paraId="60F61953" w14:textId="77777777" w:rsidR="00E4492C" w:rsidRPr="00720EF1" w:rsidRDefault="00E4492C" w:rsidP="00E4492C">
            <w:pPr>
              <w:widowControl/>
              <w:jc w:val="right"/>
              <w:rPr>
                <w:kern w:val="0"/>
                <w:sz w:val="20"/>
              </w:rPr>
            </w:pPr>
            <w:r w:rsidRPr="00720EF1">
              <w:rPr>
                <w:kern w:val="0"/>
                <w:sz w:val="20"/>
              </w:rPr>
              <w:t xml:space="preserve">      0.3150 </w:t>
            </w:r>
          </w:p>
        </w:tc>
        <w:tc>
          <w:tcPr>
            <w:tcW w:w="958" w:type="dxa"/>
            <w:tcBorders>
              <w:top w:val="nil"/>
              <w:left w:val="nil"/>
              <w:bottom w:val="nil"/>
              <w:right w:val="nil"/>
            </w:tcBorders>
            <w:shd w:val="clear" w:color="auto" w:fill="auto"/>
            <w:noWrap/>
            <w:vAlign w:val="bottom"/>
            <w:hideMark/>
          </w:tcPr>
          <w:p w14:paraId="5C366429" w14:textId="77777777" w:rsidR="00E4492C" w:rsidRPr="00720EF1" w:rsidRDefault="00E4492C" w:rsidP="00E4492C">
            <w:pPr>
              <w:widowControl/>
              <w:jc w:val="right"/>
              <w:rPr>
                <w:kern w:val="0"/>
                <w:sz w:val="20"/>
              </w:rPr>
            </w:pPr>
            <w:r w:rsidRPr="00720EF1">
              <w:rPr>
                <w:kern w:val="0"/>
                <w:sz w:val="20"/>
              </w:rPr>
              <w:t xml:space="preserve">   -1.0100 </w:t>
            </w:r>
          </w:p>
        </w:tc>
        <w:tc>
          <w:tcPr>
            <w:tcW w:w="1173" w:type="dxa"/>
            <w:tcBorders>
              <w:top w:val="nil"/>
              <w:left w:val="nil"/>
              <w:bottom w:val="nil"/>
              <w:right w:val="nil"/>
            </w:tcBorders>
            <w:shd w:val="clear" w:color="auto" w:fill="auto"/>
            <w:noWrap/>
            <w:vAlign w:val="bottom"/>
            <w:hideMark/>
          </w:tcPr>
          <w:p w14:paraId="2DAD5F06" w14:textId="77777777" w:rsidR="00E4492C" w:rsidRPr="00720EF1" w:rsidRDefault="00E4492C" w:rsidP="00E4492C">
            <w:pPr>
              <w:widowControl/>
              <w:jc w:val="right"/>
              <w:rPr>
                <w:kern w:val="0"/>
                <w:sz w:val="20"/>
              </w:rPr>
            </w:pPr>
            <w:r w:rsidRPr="00720EF1">
              <w:rPr>
                <w:kern w:val="0"/>
                <w:sz w:val="20"/>
              </w:rPr>
              <w:t xml:space="preserve">     0.3130 </w:t>
            </w:r>
          </w:p>
        </w:tc>
        <w:tc>
          <w:tcPr>
            <w:tcW w:w="1210" w:type="dxa"/>
            <w:tcBorders>
              <w:top w:val="nil"/>
              <w:left w:val="nil"/>
              <w:bottom w:val="nil"/>
              <w:right w:val="nil"/>
            </w:tcBorders>
            <w:shd w:val="clear" w:color="auto" w:fill="auto"/>
            <w:noWrap/>
            <w:vAlign w:val="bottom"/>
            <w:hideMark/>
          </w:tcPr>
          <w:p w14:paraId="6F2332C2" w14:textId="77777777" w:rsidR="00E4492C" w:rsidRPr="00720EF1" w:rsidRDefault="00E4492C" w:rsidP="00E4492C">
            <w:pPr>
              <w:widowControl/>
              <w:jc w:val="right"/>
              <w:rPr>
                <w:kern w:val="0"/>
                <w:sz w:val="20"/>
              </w:rPr>
            </w:pPr>
            <w:r w:rsidRPr="00720EF1">
              <w:rPr>
                <w:kern w:val="0"/>
                <w:sz w:val="20"/>
              </w:rPr>
              <w:t xml:space="preserve">      -0.9430 </w:t>
            </w:r>
          </w:p>
        </w:tc>
        <w:tc>
          <w:tcPr>
            <w:tcW w:w="1295" w:type="dxa"/>
            <w:tcBorders>
              <w:top w:val="nil"/>
              <w:left w:val="nil"/>
              <w:bottom w:val="nil"/>
              <w:right w:val="nil"/>
            </w:tcBorders>
            <w:shd w:val="clear" w:color="auto" w:fill="auto"/>
            <w:noWrap/>
            <w:vAlign w:val="bottom"/>
            <w:hideMark/>
          </w:tcPr>
          <w:p w14:paraId="345F248E" w14:textId="77777777" w:rsidR="00E4492C" w:rsidRPr="00720EF1" w:rsidRDefault="00E4492C" w:rsidP="00E4492C">
            <w:pPr>
              <w:widowControl/>
              <w:jc w:val="right"/>
              <w:rPr>
                <w:kern w:val="0"/>
                <w:sz w:val="20"/>
              </w:rPr>
            </w:pPr>
            <w:r w:rsidRPr="00720EF1">
              <w:rPr>
                <w:kern w:val="0"/>
                <w:sz w:val="20"/>
              </w:rPr>
              <w:t xml:space="preserve">         0.3051 </w:t>
            </w:r>
          </w:p>
        </w:tc>
      </w:tr>
      <w:tr w:rsidR="00E4492C" w:rsidRPr="00720EF1" w14:paraId="2685FA5B" w14:textId="77777777" w:rsidTr="00E4492C">
        <w:trPr>
          <w:trHeight w:val="257"/>
        </w:trPr>
        <w:tc>
          <w:tcPr>
            <w:tcW w:w="1981" w:type="dxa"/>
            <w:tcBorders>
              <w:top w:val="nil"/>
              <w:left w:val="nil"/>
              <w:bottom w:val="single" w:sz="12" w:space="0" w:color="auto"/>
              <w:right w:val="nil"/>
            </w:tcBorders>
            <w:shd w:val="clear" w:color="auto" w:fill="auto"/>
            <w:noWrap/>
            <w:vAlign w:val="bottom"/>
            <w:hideMark/>
          </w:tcPr>
          <w:p w14:paraId="3BAB5692" w14:textId="77777777" w:rsidR="00E4492C" w:rsidRPr="00720EF1" w:rsidRDefault="00E4492C" w:rsidP="00E4492C">
            <w:pPr>
              <w:widowControl/>
              <w:jc w:val="left"/>
              <w:rPr>
                <w:kern w:val="0"/>
                <w:sz w:val="20"/>
              </w:rPr>
            </w:pPr>
            <w:r w:rsidRPr="00720EF1">
              <w:rPr>
                <w:kern w:val="0"/>
                <w:sz w:val="20"/>
              </w:rPr>
              <w:t>常数</w:t>
            </w:r>
          </w:p>
        </w:tc>
        <w:tc>
          <w:tcPr>
            <w:tcW w:w="1051" w:type="dxa"/>
            <w:tcBorders>
              <w:top w:val="nil"/>
              <w:left w:val="nil"/>
              <w:bottom w:val="single" w:sz="12" w:space="0" w:color="auto"/>
              <w:right w:val="nil"/>
            </w:tcBorders>
            <w:shd w:val="clear" w:color="auto" w:fill="auto"/>
            <w:noWrap/>
            <w:vAlign w:val="bottom"/>
            <w:hideMark/>
          </w:tcPr>
          <w:p w14:paraId="3724E399" w14:textId="77777777" w:rsidR="00E4492C" w:rsidRPr="00720EF1" w:rsidRDefault="00E4492C" w:rsidP="00E4492C">
            <w:pPr>
              <w:widowControl/>
              <w:jc w:val="center"/>
              <w:rPr>
                <w:kern w:val="0"/>
                <w:sz w:val="20"/>
              </w:rPr>
            </w:pPr>
            <w:r w:rsidRPr="00720EF1">
              <w:rPr>
                <w:kern w:val="0"/>
                <w:sz w:val="20"/>
              </w:rPr>
              <w:t xml:space="preserve"> -25.4039 </w:t>
            </w:r>
          </w:p>
        </w:tc>
        <w:tc>
          <w:tcPr>
            <w:tcW w:w="1042" w:type="dxa"/>
            <w:tcBorders>
              <w:top w:val="nil"/>
              <w:left w:val="nil"/>
              <w:bottom w:val="single" w:sz="12" w:space="0" w:color="auto"/>
              <w:right w:val="nil"/>
            </w:tcBorders>
            <w:shd w:val="clear" w:color="auto" w:fill="auto"/>
            <w:noWrap/>
            <w:vAlign w:val="bottom"/>
            <w:hideMark/>
          </w:tcPr>
          <w:p w14:paraId="1D3C4624" w14:textId="77777777" w:rsidR="00E4492C" w:rsidRPr="00720EF1" w:rsidRDefault="00E4492C" w:rsidP="00E4492C">
            <w:pPr>
              <w:widowControl/>
              <w:jc w:val="right"/>
              <w:rPr>
                <w:kern w:val="0"/>
                <w:sz w:val="20"/>
              </w:rPr>
            </w:pPr>
            <w:r w:rsidRPr="00720EF1">
              <w:rPr>
                <w:kern w:val="0"/>
                <w:sz w:val="20"/>
              </w:rPr>
              <w:t xml:space="preserve">    29.1908 </w:t>
            </w:r>
          </w:p>
        </w:tc>
        <w:tc>
          <w:tcPr>
            <w:tcW w:w="958" w:type="dxa"/>
            <w:tcBorders>
              <w:top w:val="nil"/>
              <w:left w:val="nil"/>
              <w:bottom w:val="single" w:sz="12" w:space="0" w:color="auto"/>
              <w:right w:val="nil"/>
            </w:tcBorders>
            <w:shd w:val="clear" w:color="auto" w:fill="auto"/>
            <w:noWrap/>
            <w:vAlign w:val="bottom"/>
            <w:hideMark/>
          </w:tcPr>
          <w:p w14:paraId="2C5B9996" w14:textId="77777777" w:rsidR="00E4492C" w:rsidRPr="00720EF1" w:rsidRDefault="00E4492C" w:rsidP="00E4492C">
            <w:pPr>
              <w:widowControl/>
              <w:jc w:val="right"/>
              <w:rPr>
                <w:kern w:val="0"/>
                <w:sz w:val="20"/>
              </w:rPr>
            </w:pPr>
            <w:r w:rsidRPr="00720EF1">
              <w:rPr>
                <w:kern w:val="0"/>
                <w:sz w:val="20"/>
              </w:rPr>
              <w:t xml:space="preserve">   -0.8700 </w:t>
            </w:r>
          </w:p>
        </w:tc>
        <w:tc>
          <w:tcPr>
            <w:tcW w:w="1173" w:type="dxa"/>
            <w:tcBorders>
              <w:top w:val="nil"/>
              <w:left w:val="nil"/>
              <w:bottom w:val="single" w:sz="12" w:space="0" w:color="auto"/>
              <w:right w:val="nil"/>
            </w:tcBorders>
            <w:shd w:val="clear" w:color="auto" w:fill="auto"/>
            <w:noWrap/>
            <w:vAlign w:val="bottom"/>
            <w:hideMark/>
          </w:tcPr>
          <w:p w14:paraId="511FE669" w14:textId="77777777" w:rsidR="00E4492C" w:rsidRPr="00720EF1" w:rsidRDefault="00E4492C" w:rsidP="00E4492C">
            <w:pPr>
              <w:widowControl/>
              <w:jc w:val="right"/>
              <w:rPr>
                <w:kern w:val="0"/>
                <w:sz w:val="20"/>
              </w:rPr>
            </w:pPr>
            <w:r w:rsidRPr="00720EF1">
              <w:rPr>
                <w:kern w:val="0"/>
                <w:sz w:val="20"/>
              </w:rPr>
              <w:t xml:space="preserve">     0.3860 </w:t>
            </w:r>
          </w:p>
        </w:tc>
        <w:tc>
          <w:tcPr>
            <w:tcW w:w="1210" w:type="dxa"/>
            <w:tcBorders>
              <w:top w:val="nil"/>
              <w:left w:val="nil"/>
              <w:bottom w:val="single" w:sz="12" w:space="0" w:color="auto"/>
              <w:right w:val="nil"/>
            </w:tcBorders>
            <w:shd w:val="clear" w:color="auto" w:fill="auto"/>
            <w:noWrap/>
            <w:vAlign w:val="bottom"/>
            <w:hideMark/>
          </w:tcPr>
          <w:p w14:paraId="4FD71898" w14:textId="77777777" w:rsidR="00E4492C" w:rsidRPr="00720EF1" w:rsidRDefault="00E4492C" w:rsidP="00E4492C">
            <w:pPr>
              <w:widowControl/>
              <w:jc w:val="right"/>
              <w:rPr>
                <w:kern w:val="0"/>
                <w:sz w:val="20"/>
              </w:rPr>
            </w:pPr>
            <w:r w:rsidRPr="00720EF1">
              <w:rPr>
                <w:kern w:val="0"/>
                <w:sz w:val="20"/>
              </w:rPr>
              <w:t xml:space="preserve">    -83.2306 </w:t>
            </w:r>
          </w:p>
        </w:tc>
        <w:tc>
          <w:tcPr>
            <w:tcW w:w="1295" w:type="dxa"/>
            <w:tcBorders>
              <w:top w:val="nil"/>
              <w:left w:val="nil"/>
              <w:bottom w:val="single" w:sz="12" w:space="0" w:color="auto"/>
              <w:right w:val="nil"/>
            </w:tcBorders>
            <w:shd w:val="clear" w:color="auto" w:fill="auto"/>
            <w:noWrap/>
            <w:vAlign w:val="bottom"/>
            <w:hideMark/>
          </w:tcPr>
          <w:p w14:paraId="09D75FE1" w14:textId="77777777" w:rsidR="00E4492C" w:rsidRPr="00720EF1" w:rsidRDefault="00E4492C" w:rsidP="00E4492C">
            <w:pPr>
              <w:widowControl/>
              <w:jc w:val="right"/>
              <w:rPr>
                <w:kern w:val="0"/>
                <w:sz w:val="20"/>
              </w:rPr>
            </w:pPr>
            <w:r w:rsidRPr="00720EF1">
              <w:rPr>
                <w:kern w:val="0"/>
                <w:sz w:val="20"/>
              </w:rPr>
              <w:t xml:space="preserve">       32.4228 </w:t>
            </w:r>
          </w:p>
        </w:tc>
      </w:tr>
    </w:tbl>
    <w:p w14:paraId="690E8A61" w14:textId="77777777" w:rsidR="00E4492C" w:rsidRPr="00E93D9B" w:rsidRDefault="00E4492C" w:rsidP="00E4492C">
      <w:pPr>
        <w:spacing w:line="360" w:lineRule="auto"/>
        <w:ind w:firstLineChars="200" w:firstLine="480"/>
        <w:rPr>
          <w:rFonts w:ascii="宋体" w:hAnsi="宋体"/>
          <w:sz w:val="24"/>
          <w:szCs w:val="24"/>
        </w:rPr>
      </w:pPr>
      <w:r>
        <w:rPr>
          <w:rFonts w:ascii="宋体" w:hAnsi="宋体" w:hint="eastAsia"/>
          <w:sz w:val="24"/>
          <w:szCs w:val="24"/>
        </w:rPr>
        <w:t>回归结果模型P值为0</w:t>
      </w:r>
      <w:r>
        <w:rPr>
          <w:rFonts w:ascii="宋体" w:hAnsi="宋体"/>
          <w:sz w:val="24"/>
          <w:szCs w:val="24"/>
        </w:rPr>
        <w:t>.000</w:t>
      </w:r>
      <w:r>
        <w:rPr>
          <w:rFonts w:ascii="宋体" w:hAnsi="宋体" w:hint="eastAsia"/>
          <w:sz w:val="24"/>
          <w:szCs w:val="24"/>
        </w:rPr>
        <w:t>，说明模型在显著性水平下是显著的。</w:t>
      </w:r>
    </w:p>
    <w:p w14:paraId="6DDFA3A5" w14:textId="79AC2C2A" w:rsidR="00E4492C" w:rsidRDefault="00E4492C" w:rsidP="00E4492C">
      <w:pPr>
        <w:spacing w:line="360" w:lineRule="auto"/>
        <w:ind w:firstLineChars="200" w:firstLine="480"/>
        <w:rPr>
          <w:rFonts w:ascii="宋体" w:hAnsi="宋体"/>
          <w:sz w:val="24"/>
          <w:szCs w:val="24"/>
        </w:rPr>
      </w:pPr>
      <w:r>
        <w:rPr>
          <w:rFonts w:ascii="宋体" w:hAnsi="宋体" w:hint="eastAsia"/>
          <w:sz w:val="24"/>
          <w:szCs w:val="24"/>
        </w:rPr>
        <w:t>在样本线性回归结果中，显著的变量为</w:t>
      </w:r>
      <w:r w:rsidRPr="00E8591C">
        <w:rPr>
          <w:rFonts w:ascii="宋体" w:hAnsi="宋体" w:hint="eastAsia"/>
          <w:sz w:val="24"/>
          <w:szCs w:val="24"/>
        </w:rPr>
        <w:t>非系统风险、</w:t>
      </w:r>
      <w:r>
        <w:rPr>
          <w:rFonts w:ascii="宋体" w:hAnsi="宋体" w:hint="eastAsia"/>
          <w:sz w:val="24"/>
          <w:szCs w:val="24"/>
        </w:rPr>
        <w:t>基金规模、</w:t>
      </w:r>
      <w:r w:rsidRPr="00E8591C">
        <w:rPr>
          <w:rFonts w:ascii="宋体" w:hAnsi="宋体" w:hint="eastAsia"/>
          <w:sz w:val="24"/>
          <w:szCs w:val="24"/>
        </w:rPr>
        <w:t>成立年限</w:t>
      </w:r>
      <w:r>
        <w:rPr>
          <w:rFonts w:ascii="宋体" w:hAnsi="宋体" w:hint="eastAsia"/>
          <w:sz w:val="24"/>
          <w:szCs w:val="24"/>
        </w:rPr>
        <w:t>、</w:t>
      </w:r>
      <w:r w:rsidRPr="00E8591C">
        <w:rPr>
          <w:rFonts w:ascii="宋体" w:hAnsi="宋体" w:hint="eastAsia"/>
          <w:sz w:val="24"/>
          <w:szCs w:val="24"/>
        </w:rPr>
        <w:t>是否为碳中和</w:t>
      </w:r>
      <w:r>
        <w:rPr>
          <w:rFonts w:ascii="宋体" w:hAnsi="宋体" w:hint="eastAsia"/>
          <w:sz w:val="24"/>
          <w:szCs w:val="24"/>
        </w:rPr>
        <w:t>、基金E评分与基金G评分。从变量系数讨论，系数最大的任然为非系统风险，其次是</w:t>
      </w:r>
      <w:r w:rsidR="00FB48B9">
        <w:rPr>
          <w:rFonts w:ascii="宋体" w:hAnsi="宋体" w:hint="eastAsia"/>
          <w:sz w:val="24"/>
          <w:szCs w:val="24"/>
        </w:rPr>
        <w:t>成立年限与</w:t>
      </w:r>
      <w:r>
        <w:rPr>
          <w:rFonts w:ascii="宋体" w:hAnsi="宋体" w:hint="eastAsia"/>
          <w:sz w:val="24"/>
          <w:szCs w:val="24"/>
        </w:rPr>
        <w:t>是否为碳中和变量。</w:t>
      </w:r>
      <w:r w:rsidRPr="007D055E">
        <w:rPr>
          <w:rFonts w:ascii="宋体" w:hAnsi="宋体" w:hint="eastAsia"/>
          <w:sz w:val="24"/>
          <w:szCs w:val="24"/>
        </w:rPr>
        <w:t>基金E环境评分、基金S社会评分、基金G治理评分</w:t>
      </w:r>
      <w:r>
        <w:rPr>
          <w:rFonts w:ascii="宋体" w:hAnsi="宋体" w:hint="eastAsia"/>
          <w:sz w:val="24"/>
          <w:szCs w:val="24"/>
        </w:rPr>
        <w:t>三个变量的影响程度也与Logit回归结果基本一致。</w:t>
      </w:r>
    </w:p>
    <w:p w14:paraId="3795ED2C" w14:textId="557021A7" w:rsidR="00E4492C" w:rsidRDefault="00E4492C" w:rsidP="00E4492C">
      <w:pPr>
        <w:spacing w:line="360" w:lineRule="auto"/>
        <w:ind w:firstLineChars="200" w:firstLine="480"/>
        <w:rPr>
          <w:rFonts w:ascii="宋体" w:hAnsi="宋体"/>
          <w:sz w:val="24"/>
          <w:szCs w:val="24"/>
        </w:rPr>
      </w:pPr>
      <w:bookmarkStart w:id="76" w:name="_Hlk103671518"/>
      <w:r>
        <w:rPr>
          <w:rFonts w:ascii="宋体" w:hAnsi="宋体" w:hint="eastAsia"/>
          <w:sz w:val="24"/>
          <w:szCs w:val="24"/>
        </w:rPr>
        <w:t>通过</w:t>
      </w:r>
      <w:r w:rsidR="00FB48B9" w:rsidRPr="00FB48B9">
        <w:rPr>
          <w:rFonts w:ascii="宋体" w:hAnsi="宋体" w:hint="eastAsia"/>
          <w:sz w:val="24"/>
          <w:szCs w:val="24"/>
        </w:rPr>
        <w:t>改变模型与替换变量的</w:t>
      </w:r>
      <w:r w:rsidR="00FB48B9">
        <w:rPr>
          <w:rFonts w:ascii="宋体" w:hAnsi="宋体" w:hint="eastAsia"/>
          <w:sz w:val="24"/>
          <w:szCs w:val="24"/>
        </w:rPr>
        <w:t>线性回归进行</w:t>
      </w:r>
      <w:r w:rsidR="00FB48B9" w:rsidRPr="00FB48B9">
        <w:rPr>
          <w:rFonts w:ascii="宋体" w:hAnsi="宋体" w:hint="eastAsia"/>
          <w:sz w:val="24"/>
          <w:szCs w:val="24"/>
        </w:rPr>
        <w:t>稳健性检验</w:t>
      </w:r>
      <w:r>
        <w:rPr>
          <w:rFonts w:ascii="宋体" w:hAnsi="宋体" w:hint="eastAsia"/>
          <w:sz w:val="24"/>
          <w:szCs w:val="24"/>
        </w:rPr>
        <w:t>，其回归结果从变量系数、模型显著程度</w:t>
      </w:r>
      <w:r w:rsidR="00FB48B9">
        <w:rPr>
          <w:rFonts w:ascii="宋体" w:hAnsi="宋体" w:hint="eastAsia"/>
          <w:sz w:val="24"/>
          <w:szCs w:val="24"/>
        </w:rPr>
        <w:t>两</w:t>
      </w:r>
      <w:r>
        <w:rPr>
          <w:rFonts w:ascii="宋体" w:hAnsi="宋体" w:hint="eastAsia"/>
          <w:sz w:val="24"/>
          <w:szCs w:val="24"/>
        </w:rPr>
        <w:t>个维度与Logit回归是</w:t>
      </w:r>
      <w:r w:rsidR="00FB48B9">
        <w:rPr>
          <w:rFonts w:ascii="宋体" w:hAnsi="宋体" w:hint="eastAsia"/>
          <w:sz w:val="24"/>
          <w:szCs w:val="24"/>
        </w:rPr>
        <w:t>一致</w:t>
      </w:r>
      <w:r>
        <w:rPr>
          <w:rFonts w:ascii="宋体" w:hAnsi="宋体" w:hint="eastAsia"/>
          <w:sz w:val="24"/>
          <w:szCs w:val="24"/>
        </w:rPr>
        <w:t>的，得到结论Logit回归的模型是稳健的。</w:t>
      </w:r>
    </w:p>
    <w:bookmarkEnd w:id="76"/>
    <w:p w14:paraId="3B06CF25" w14:textId="0802A8B3" w:rsidR="00E048D9" w:rsidRPr="00E4492C" w:rsidRDefault="00E048D9" w:rsidP="003A4E94">
      <w:pPr>
        <w:spacing w:line="360" w:lineRule="auto"/>
        <w:rPr>
          <w:rFonts w:ascii="宋体" w:hAnsi="宋体"/>
          <w:sz w:val="24"/>
          <w:szCs w:val="24"/>
        </w:rPr>
      </w:pPr>
    </w:p>
    <w:p w14:paraId="78DC3743" w14:textId="3A859B99" w:rsidR="00E048D9" w:rsidRDefault="00E048D9" w:rsidP="00E048D9">
      <w:pPr>
        <w:spacing w:line="360" w:lineRule="auto"/>
        <w:ind w:firstLineChars="200" w:firstLine="480"/>
        <w:rPr>
          <w:rFonts w:ascii="宋体" w:hAnsi="宋体"/>
          <w:sz w:val="24"/>
          <w:szCs w:val="24"/>
        </w:rPr>
      </w:pPr>
    </w:p>
    <w:p w14:paraId="32AF1440" w14:textId="77777777" w:rsidR="00E4492C" w:rsidRDefault="00E4492C" w:rsidP="00E048D9">
      <w:pPr>
        <w:spacing w:line="360" w:lineRule="auto"/>
        <w:ind w:firstLineChars="200" w:firstLine="480"/>
        <w:rPr>
          <w:rFonts w:ascii="宋体" w:hAnsi="宋体"/>
          <w:sz w:val="24"/>
          <w:szCs w:val="24"/>
        </w:rPr>
      </w:pPr>
    </w:p>
    <w:p w14:paraId="5D2B9D86" w14:textId="6D46F63E" w:rsidR="00E048D9" w:rsidRDefault="00E048D9" w:rsidP="00E048D9">
      <w:pPr>
        <w:spacing w:line="360" w:lineRule="auto"/>
        <w:ind w:firstLineChars="200" w:firstLine="480"/>
        <w:rPr>
          <w:rFonts w:ascii="宋体" w:hAnsi="宋体"/>
          <w:sz w:val="24"/>
          <w:szCs w:val="24"/>
        </w:rPr>
      </w:pPr>
    </w:p>
    <w:p w14:paraId="56619D30" w14:textId="79D80D3B" w:rsidR="00E048D9" w:rsidRDefault="00E048D9" w:rsidP="00E048D9">
      <w:pPr>
        <w:spacing w:line="360" w:lineRule="auto"/>
        <w:ind w:firstLineChars="200" w:firstLine="480"/>
        <w:rPr>
          <w:rFonts w:ascii="宋体" w:hAnsi="宋体"/>
          <w:sz w:val="24"/>
          <w:szCs w:val="24"/>
        </w:rPr>
      </w:pPr>
    </w:p>
    <w:p w14:paraId="7080859E" w14:textId="0D9301E7" w:rsidR="00E048D9" w:rsidRDefault="00E048D9" w:rsidP="00E048D9">
      <w:pPr>
        <w:spacing w:line="360" w:lineRule="auto"/>
        <w:ind w:firstLineChars="200" w:firstLine="480"/>
        <w:rPr>
          <w:rFonts w:ascii="宋体" w:hAnsi="宋体"/>
          <w:sz w:val="24"/>
          <w:szCs w:val="24"/>
        </w:rPr>
      </w:pPr>
    </w:p>
    <w:p w14:paraId="29238DF7" w14:textId="2E6BDA85" w:rsidR="00EF39B7" w:rsidRDefault="00EF39B7">
      <w:pPr>
        <w:spacing w:line="360" w:lineRule="auto"/>
        <w:rPr>
          <w:sz w:val="24"/>
        </w:rPr>
      </w:pPr>
    </w:p>
    <w:p w14:paraId="76C8691B" w14:textId="24DF8023" w:rsidR="00E4371B" w:rsidRDefault="00E048D9" w:rsidP="00E4371B">
      <w:pPr>
        <w:pStyle w:val="11"/>
      </w:pPr>
      <w:bookmarkStart w:id="77" w:name="_Toc105023922"/>
      <w:r>
        <w:rPr>
          <w:rFonts w:hint="eastAsia"/>
        </w:rPr>
        <w:lastRenderedPageBreak/>
        <w:t>5</w:t>
      </w:r>
      <w:r>
        <w:t>.</w:t>
      </w:r>
      <w:r>
        <w:rPr>
          <w:rFonts w:hint="eastAsia"/>
        </w:rPr>
        <w:t>研究结论及建议</w:t>
      </w:r>
      <w:bookmarkEnd w:id="77"/>
      <w:r w:rsidR="00E4371B">
        <w:rPr>
          <w:rFonts w:hint="eastAsia"/>
        </w:rPr>
        <w:t xml:space="preserve"> </w:t>
      </w:r>
    </w:p>
    <w:p w14:paraId="61DC176D" w14:textId="5B084261" w:rsidR="00E4371B" w:rsidRPr="00E4371B" w:rsidRDefault="00E4371B" w:rsidP="00E4371B">
      <w:pPr>
        <w:spacing w:line="360" w:lineRule="auto"/>
        <w:ind w:firstLineChars="200" w:firstLine="480"/>
        <w:rPr>
          <w:rFonts w:ascii="宋体" w:hAnsi="宋体"/>
          <w:sz w:val="24"/>
          <w:szCs w:val="24"/>
        </w:rPr>
      </w:pPr>
      <w:r w:rsidRPr="00E4371B">
        <w:rPr>
          <w:rFonts w:ascii="宋体" w:hAnsi="宋体" w:hint="eastAsia"/>
          <w:sz w:val="24"/>
          <w:szCs w:val="24"/>
        </w:rPr>
        <w:t>本章根据前文进行的理论和实证分析，总结了前文得出的结论，并根据结论针对投资者、基金公司、监管部门提出了相应的建议，以期基金市场能够更加稳健长远地发展</w:t>
      </w:r>
      <w:r w:rsidR="00085DBF">
        <w:rPr>
          <w:rFonts w:ascii="宋体" w:hAnsi="宋体" w:hint="eastAsia"/>
          <w:sz w:val="24"/>
          <w:szCs w:val="24"/>
        </w:rPr>
        <w:t>，</w:t>
      </w:r>
      <w:r w:rsidR="00085DBF" w:rsidRPr="00085DBF">
        <w:rPr>
          <w:rFonts w:ascii="宋体" w:hAnsi="宋体" w:hint="eastAsia"/>
          <w:sz w:val="24"/>
          <w:szCs w:val="24"/>
        </w:rPr>
        <w:t>推进我国积极倡导实现</w:t>
      </w:r>
      <w:bookmarkStart w:id="78" w:name="_Hlk103676415"/>
      <w:r w:rsidR="00085DBF" w:rsidRPr="00085DBF">
        <w:rPr>
          <w:rFonts w:ascii="宋体" w:hAnsi="宋体" w:hint="eastAsia"/>
          <w:sz w:val="24"/>
          <w:szCs w:val="24"/>
        </w:rPr>
        <w:t>碳中和以及建立将经济社会各种问题融入到资本市场的投资决策框架</w:t>
      </w:r>
      <w:r w:rsidR="00085DBF">
        <w:rPr>
          <w:rFonts w:ascii="宋体" w:hAnsi="宋体" w:hint="eastAsia"/>
          <w:sz w:val="24"/>
          <w:szCs w:val="24"/>
        </w:rPr>
        <w:t>。</w:t>
      </w:r>
    </w:p>
    <w:p w14:paraId="13DF4BDF" w14:textId="5C90CA4E" w:rsidR="00E93D9B" w:rsidRDefault="00E93D9B" w:rsidP="00F55470">
      <w:pPr>
        <w:pStyle w:val="21"/>
        <w:rPr>
          <w:rFonts w:ascii="黑体" w:hAnsi="黑体"/>
        </w:rPr>
      </w:pPr>
      <w:bookmarkStart w:id="79" w:name="_Toc105023923"/>
      <w:bookmarkEnd w:id="78"/>
      <w:r w:rsidRPr="00F55470">
        <w:rPr>
          <w:rFonts w:ascii="黑体" w:hAnsi="黑体"/>
        </w:rPr>
        <w:t>5.1</w:t>
      </w:r>
      <w:r w:rsidR="00F55470">
        <w:rPr>
          <w:rFonts w:ascii="黑体" w:hAnsi="黑体" w:hint="eastAsia"/>
        </w:rPr>
        <w:t>研究结论</w:t>
      </w:r>
      <w:bookmarkEnd w:id="79"/>
    </w:p>
    <w:p w14:paraId="04EFA753" w14:textId="0585077B" w:rsidR="00E4371B" w:rsidRDefault="00085DBF" w:rsidP="00E4371B">
      <w:pPr>
        <w:spacing w:line="360" w:lineRule="auto"/>
        <w:ind w:firstLineChars="200" w:firstLine="480"/>
        <w:rPr>
          <w:rFonts w:ascii="宋体" w:hAnsi="宋体"/>
          <w:sz w:val="24"/>
          <w:szCs w:val="24"/>
        </w:rPr>
      </w:pPr>
      <w:r>
        <w:rPr>
          <w:rFonts w:ascii="宋体" w:hAnsi="宋体" w:hint="eastAsia"/>
          <w:sz w:val="24"/>
          <w:szCs w:val="24"/>
        </w:rPr>
        <w:t>本文遵循文献分析法与实证分析法结合的逻辑思路，首先梳理了基金绩效评价传统评价方法和理论模型，然后针对本文所研究的碳中和背景创新性地建立了包含ESG指标的基金绩效综合评价体系。最后通过</w:t>
      </w:r>
      <w:r w:rsidR="00DF0FF0">
        <w:rPr>
          <w:rFonts w:ascii="宋体" w:hAnsi="宋体" w:hint="eastAsia"/>
          <w:sz w:val="24"/>
          <w:szCs w:val="24"/>
        </w:rPr>
        <w:t>Logit</w:t>
      </w:r>
      <w:r>
        <w:rPr>
          <w:rFonts w:ascii="宋体" w:hAnsi="宋体" w:hint="eastAsia"/>
          <w:sz w:val="24"/>
          <w:szCs w:val="24"/>
        </w:rPr>
        <w:t>回归、线性回归等回溯了影响基金</w:t>
      </w:r>
      <w:r w:rsidR="00B27DAD">
        <w:rPr>
          <w:rFonts w:ascii="宋体" w:hAnsi="宋体" w:hint="eastAsia"/>
          <w:sz w:val="24"/>
          <w:szCs w:val="24"/>
        </w:rPr>
        <w:t>收益</w:t>
      </w:r>
      <w:r>
        <w:rPr>
          <w:rFonts w:ascii="宋体" w:hAnsi="宋体" w:hint="eastAsia"/>
          <w:sz w:val="24"/>
          <w:szCs w:val="24"/>
        </w:rPr>
        <w:t>的根本因素。</w:t>
      </w:r>
    </w:p>
    <w:p w14:paraId="5B9574D6" w14:textId="28AE09E0" w:rsidR="00DF0FF0" w:rsidRDefault="00DF0FF0" w:rsidP="00E4371B">
      <w:pPr>
        <w:spacing w:line="360" w:lineRule="auto"/>
        <w:ind w:firstLineChars="200" w:firstLine="480"/>
        <w:rPr>
          <w:rFonts w:ascii="宋体" w:hAnsi="宋体"/>
          <w:sz w:val="24"/>
          <w:szCs w:val="24"/>
        </w:rPr>
      </w:pPr>
      <w:r w:rsidRPr="00DF0FF0">
        <w:rPr>
          <w:rFonts w:ascii="宋体" w:hAnsi="宋体" w:hint="eastAsia"/>
          <w:sz w:val="24"/>
          <w:szCs w:val="24"/>
        </w:rPr>
        <w:t>本章</w:t>
      </w:r>
      <w:r w:rsidR="00B27DAD">
        <w:rPr>
          <w:rFonts w:ascii="宋体" w:hAnsi="宋体" w:hint="eastAsia"/>
          <w:sz w:val="24"/>
          <w:szCs w:val="24"/>
        </w:rPr>
        <w:t>首先</w:t>
      </w:r>
      <w:r w:rsidRPr="00DF0FF0">
        <w:rPr>
          <w:rFonts w:ascii="宋体" w:hAnsi="宋体" w:hint="eastAsia"/>
          <w:sz w:val="24"/>
          <w:szCs w:val="24"/>
        </w:rPr>
        <w:t>选取了传统基金综合绩效评价体系中常见的收益标准差、年化波动率、非系统风险、最大回撤、选股能力、跟踪误差、信息比率、成立年限、基金规模等9个指标，其次根据本文特点选取了碳中和指标、基金E环境评分、基金S社会评分、基金G治理评分、重仓股票占基金市值比例、重仓股票ESG评分等6个指标。将以上15个指标作为原始数据进行主成分因子分析</w:t>
      </w:r>
      <w:r>
        <w:rPr>
          <w:rFonts w:ascii="宋体" w:hAnsi="宋体" w:hint="eastAsia"/>
          <w:sz w:val="24"/>
          <w:szCs w:val="24"/>
        </w:rPr>
        <w:t>，提取</w:t>
      </w:r>
      <w:r w:rsidRPr="00DF0FF0">
        <w:rPr>
          <w:rFonts w:ascii="宋体" w:hAnsi="宋体" w:hint="eastAsia"/>
          <w:sz w:val="24"/>
          <w:szCs w:val="24"/>
        </w:rPr>
        <w:t>因子载荷为权重依据进行绩效综合得分分析。</w:t>
      </w:r>
    </w:p>
    <w:p w14:paraId="2EE2CC1B" w14:textId="5A861739" w:rsidR="00DF0FF0" w:rsidRDefault="00DF0FF0" w:rsidP="00E4371B">
      <w:pPr>
        <w:spacing w:line="360" w:lineRule="auto"/>
        <w:ind w:firstLineChars="200" w:firstLine="480"/>
        <w:rPr>
          <w:rFonts w:ascii="宋体" w:hAnsi="宋体"/>
          <w:sz w:val="24"/>
          <w:szCs w:val="24"/>
        </w:rPr>
      </w:pPr>
      <w:r>
        <w:rPr>
          <w:rFonts w:ascii="宋体" w:hAnsi="宋体" w:hint="eastAsia"/>
          <w:sz w:val="24"/>
          <w:szCs w:val="24"/>
        </w:rPr>
        <w:t>然后通过Logit回归探究</w:t>
      </w:r>
      <w:r w:rsidRPr="00DF0FF0">
        <w:rPr>
          <w:rFonts w:ascii="宋体" w:hAnsi="宋体" w:hint="eastAsia"/>
          <w:sz w:val="24"/>
          <w:szCs w:val="24"/>
        </w:rPr>
        <w:t>非系统风险、基金规模、基金成立年限、碳中和指标、重仓股票ESG评分、基金E环境评分、基金S社会评分、基金G治理评分、重仓股票ESG评分等客观因素</w:t>
      </w:r>
      <w:r w:rsidR="00B27DAD">
        <w:rPr>
          <w:rFonts w:ascii="宋体" w:hAnsi="宋体" w:hint="eastAsia"/>
          <w:sz w:val="24"/>
          <w:szCs w:val="24"/>
        </w:rPr>
        <w:t>对基金获得超额收益的影响，通过改变模型和替换变量</w:t>
      </w:r>
      <w:r w:rsidR="008E1445">
        <w:rPr>
          <w:rFonts w:ascii="宋体" w:hAnsi="宋体" w:hint="eastAsia"/>
          <w:sz w:val="24"/>
          <w:szCs w:val="24"/>
        </w:rPr>
        <w:t>对Logit回归进行了稳健性检验。由此得到了以下结论：</w:t>
      </w:r>
    </w:p>
    <w:p w14:paraId="6535C472" w14:textId="5E49DBE0" w:rsidR="008E1445" w:rsidRDefault="008E1445" w:rsidP="00E4371B">
      <w:pPr>
        <w:spacing w:line="360" w:lineRule="auto"/>
        <w:ind w:firstLineChars="200" w:firstLine="480"/>
        <w:rPr>
          <w:rFonts w:ascii="宋体" w:hAnsi="宋体"/>
          <w:sz w:val="24"/>
          <w:szCs w:val="24"/>
        </w:rPr>
      </w:pPr>
      <w:r>
        <w:rPr>
          <w:rFonts w:ascii="宋体" w:hAnsi="宋体" w:hint="eastAsia"/>
          <w:sz w:val="24"/>
          <w:szCs w:val="24"/>
        </w:rPr>
        <w:t>第一，</w:t>
      </w:r>
      <w:r w:rsidR="00C04C9D">
        <w:rPr>
          <w:rFonts w:ascii="宋体" w:hAnsi="宋体" w:hint="eastAsia"/>
          <w:sz w:val="24"/>
          <w:szCs w:val="24"/>
        </w:rPr>
        <w:t>在基金综合绩效得分体系中，通过主成分分析，可以看出对基金综合绩效影响</w:t>
      </w:r>
      <w:r w:rsidR="00FE07C4">
        <w:rPr>
          <w:rFonts w:ascii="宋体" w:hAnsi="宋体" w:hint="eastAsia"/>
          <w:sz w:val="24"/>
          <w:szCs w:val="24"/>
        </w:rPr>
        <w:t>最大的主因子是风险因子，此因子中载荷较高的原始指标为</w:t>
      </w:r>
      <w:r w:rsidR="00FE07C4" w:rsidRPr="00FE07C4">
        <w:rPr>
          <w:rFonts w:ascii="宋体" w:hAnsi="宋体" w:hint="eastAsia"/>
          <w:sz w:val="24"/>
          <w:szCs w:val="24"/>
        </w:rPr>
        <w:t>收益标准差、年化波动率、非系统风险、跟踪误差</w:t>
      </w:r>
      <w:r w:rsidR="003850FD">
        <w:rPr>
          <w:rFonts w:ascii="宋体" w:hAnsi="宋体" w:hint="eastAsia"/>
          <w:sz w:val="24"/>
          <w:szCs w:val="24"/>
        </w:rPr>
        <w:t>。ESG主因子对基金综合绩效影响程度居中，但从此因子内部系数比较，</w:t>
      </w:r>
      <w:r w:rsidR="006116DF" w:rsidRPr="006116DF">
        <w:rPr>
          <w:rFonts w:ascii="宋体" w:hAnsi="宋体" w:hint="eastAsia"/>
          <w:sz w:val="24"/>
          <w:szCs w:val="24"/>
        </w:rPr>
        <w:t>基金E环境评分指标对基金综合绩效正向影响程度大于</w:t>
      </w:r>
      <w:bookmarkStart w:id="80" w:name="_Hlk103676057"/>
      <w:r w:rsidR="006116DF" w:rsidRPr="006116DF">
        <w:rPr>
          <w:rFonts w:ascii="宋体" w:hAnsi="宋体" w:hint="eastAsia"/>
          <w:sz w:val="24"/>
          <w:szCs w:val="24"/>
        </w:rPr>
        <w:t>基金S社会评分指标与基金G治理评分指标</w:t>
      </w:r>
      <w:bookmarkEnd w:id="80"/>
      <w:r w:rsidR="006116DF" w:rsidRPr="006116DF">
        <w:rPr>
          <w:rFonts w:ascii="宋体" w:hAnsi="宋体" w:hint="eastAsia"/>
          <w:sz w:val="24"/>
          <w:szCs w:val="24"/>
        </w:rPr>
        <w:t>。</w:t>
      </w:r>
      <w:r w:rsidR="006116DF">
        <w:rPr>
          <w:rFonts w:ascii="宋体" w:hAnsi="宋体" w:hint="eastAsia"/>
          <w:sz w:val="24"/>
          <w:szCs w:val="24"/>
        </w:rPr>
        <w:t>说明基金除了关注收益率、波动率、非系统风险等重要指标外，从ESG角度，需要重点关注环境指标，</w:t>
      </w:r>
      <w:r w:rsidR="006116DF" w:rsidRPr="006116DF">
        <w:rPr>
          <w:rFonts w:ascii="宋体" w:hAnsi="宋体" w:hint="eastAsia"/>
          <w:sz w:val="24"/>
          <w:szCs w:val="24"/>
        </w:rPr>
        <w:t>基金选股</w:t>
      </w:r>
      <w:r w:rsidR="006116DF">
        <w:rPr>
          <w:rFonts w:ascii="宋体" w:hAnsi="宋体" w:hint="eastAsia"/>
          <w:sz w:val="24"/>
          <w:szCs w:val="24"/>
        </w:rPr>
        <w:t>可以从</w:t>
      </w:r>
      <w:r w:rsidR="006116DF" w:rsidRPr="006116DF">
        <w:rPr>
          <w:rFonts w:ascii="宋体" w:hAnsi="宋体" w:hint="eastAsia"/>
          <w:sz w:val="24"/>
          <w:szCs w:val="24"/>
        </w:rPr>
        <w:t>环境管理、能源与气候变化、水资源、原材料与废弃物、废气、废水、生物多样性、</w:t>
      </w:r>
      <w:r w:rsidR="006116DF" w:rsidRPr="006116DF">
        <w:rPr>
          <w:rFonts w:ascii="宋体" w:hAnsi="宋体" w:hint="eastAsia"/>
          <w:sz w:val="24"/>
          <w:szCs w:val="24"/>
        </w:rPr>
        <w:lastRenderedPageBreak/>
        <w:t>绿色建筑、绿色金融等方面考察持仓股票公司</w:t>
      </w:r>
      <w:r w:rsidR="006116DF">
        <w:rPr>
          <w:rFonts w:ascii="宋体" w:hAnsi="宋体" w:hint="eastAsia"/>
          <w:sz w:val="24"/>
          <w:szCs w:val="24"/>
        </w:rPr>
        <w:t>。</w:t>
      </w:r>
      <w:r w:rsidR="006116DF" w:rsidRPr="006116DF">
        <w:rPr>
          <w:rFonts w:ascii="宋体" w:hAnsi="宋体" w:hint="eastAsia"/>
          <w:sz w:val="24"/>
          <w:szCs w:val="24"/>
        </w:rPr>
        <w:t>基金S社会评分指标与基金G治理评分指标</w:t>
      </w:r>
      <w:r w:rsidR="006116DF">
        <w:rPr>
          <w:rFonts w:ascii="宋体" w:hAnsi="宋体" w:hint="eastAsia"/>
          <w:sz w:val="24"/>
          <w:szCs w:val="24"/>
        </w:rPr>
        <w:t>影响程度低于基金E环境指标，但基金公司仍可从</w:t>
      </w:r>
      <w:r w:rsidR="003B4F84">
        <w:rPr>
          <w:rFonts w:ascii="宋体" w:hAnsi="宋体" w:hint="eastAsia"/>
          <w:sz w:val="24"/>
          <w:szCs w:val="24"/>
        </w:rPr>
        <w:t>社会责任角度考察持仓公司的雇佣情况、职业健康与安全生产、研发与创新、供应链、可持续产品、客户等方面，从公司治理角度考察持仓公司的ESG治理、董监高、审计、披露、反垄断与公平竞争等方面。</w:t>
      </w:r>
    </w:p>
    <w:p w14:paraId="5285059A" w14:textId="0E33B86A" w:rsidR="003B4F84" w:rsidRDefault="003B4F84" w:rsidP="00E4371B">
      <w:pPr>
        <w:spacing w:line="360" w:lineRule="auto"/>
        <w:ind w:firstLineChars="200" w:firstLine="480"/>
        <w:rPr>
          <w:rFonts w:ascii="宋体" w:hAnsi="宋体"/>
          <w:sz w:val="24"/>
          <w:szCs w:val="24"/>
        </w:rPr>
      </w:pPr>
      <w:r>
        <w:rPr>
          <w:rFonts w:ascii="宋体" w:hAnsi="宋体" w:hint="eastAsia"/>
          <w:sz w:val="24"/>
          <w:szCs w:val="24"/>
        </w:rPr>
        <w:t>第二，从基金综合得分结果看，碳中和概念基金的综合得分整体高于非碳中和概念基金。说明在碳中和的背景下，基金持仓涉及碳中和相关行业，可以获得更高的收益。这促使基金持仓管理者</w:t>
      </w:r>
      <w:r w:rsidR="00A34103">
        <w:rPr>
          <w:rFonts w:ascii="宋体" w:hAnsi="宋体" w:hint="eastAsia"/>
          <w:sz w:val="24"/>
          <w:szCs w:val="24"/>
        </w:rPr>
        <w:t>将</w:t>
      </w:r>
      <w:r w:rsidR="00A34103" w:rsidRPr="00A34103">
        <w:rPr>
          <w:rFonts w:ascii="宋体" w:hAnsi="宋体" w:hint="eastAsia"/>
          <w:sz w:val="24"/>
          <w:szCs w:val="24"/>
        </w:rPr>
        <w:t>碳中和以及经济社会问题融入到资本市场的投资决策框架。</w:t>
      </w:r>
    </w:p>
    <w:p w14:paraId="7136642A" w14:textId="27E91FD7" w:rsidR="00A34103" w:rsidRPr="00A34103" w:rsidRDefault="00A34103" w:rsidP="00A34103">
      <w:pPr>
        <w:spacing w:line="360" w:lineRule="auto"/>
        <w:ind w:firstLineChars="200" w:firstLine="480"/>
        <w:rPr>
          <w:rFonts w:ascii="宋体" w:hAnsi="宋体"/>
          <w:sz w:val="24"/>
          <w:szCs w:val="24"/>
        </w:rPr>
      </w:pPr>
      <w:r>
        <w:rPr>
          <w:rFonts w:ascii="宋体" w:hAnsi="宋体" w:hint="eastAsia"/>
          <w:sz w:val="24"/>
          <w:szCs w:val="24"/>
        </w:rPr>
        <w:t>第三，Logit回归结果验证了主成分分析因子载荷。Logit回归结果表明</w:t>
      </w:r>
      <w:r w:rsidRPr="00A34103">
        <w:rPr>
          <w:rFonts w:ascii="宋体" w:hAnsi="宋体" w:hint="eastAsia"/>
          <w:sz w:val="24"/>
          <w:szCs w:val="24"/>
        </w:rPr>
        <w:t>非系统风险对基金获得超额收益影响较大，基金获得超额收益是因为其承担了较大的非系统风险，符合风险收益匹配关系</w:t>
      </w:r>
      <w:r>
        <w:rPr>
          <w:rFonts w:ascii="宋体" w:hAnsi="宋体" w:hint="eastAsia"/>
          <w:sz w:val="24"/>
          <w:szCs w:val="24"/>
        </w:rPr>
        <w:t>；</w:t>
      </w:r>
      <w:r w:rsidRPr="00A34103">
        <w:rPr>
          <w:rFonts w:ascii="宋体" w:hAnsi="宋体" w:hint="eastAsia"/>
          <w:sz w:val="24"/>
          <w:szCs w:val="24"/>
        </w:rPr>
        <w:t>基金是否为碳中和也显著影响了基金获得超额收益的程度</w:t>
      </w:r>
      <w:r>
        <w:rPr>
          <w:rFonts w:ascii="宋体" w:hAnsi="宋体" w:hint="eastAsia"/>
          <w:sz w:val="24"/>
          <w:szCs w:val="24"/>
        </w:rPr>
        <w:t>，</w:t>
      </w:r>
      <w:r w:rsidRPr="00A34103">
        <w:rPr>
          <w:rFonts w:ascii="宋体" w:hAnsi="宋体" w:hint="eastAsia"/>
          <w:sz w:val="24"/>
          <w:szCs w:val="24"/>
        </w:rPr>
        <w:t>若基金为碳中和概念基金，其年化收益率超过沪深300的可能性比非碳中和概念基金增加。最后，对比基金规模与基金成立年限两个基金结构指标，基金成立年限对基金获得超额收益的正向影响大于基金规模。从基金E环境评分、基金S社会评分、基金G治理评分三个维度考察对基金获得超额收益影响程度，结论为</w:t>
      </w:r>
      <w:bookmarkStart w:id="81" w:name="_Hlk104133303"/>
      <w:r w:rsidRPr="00A34103">
        <w:rPr>
          <w:rFonts w:ascii="宋体" w:hAnsi="宋体" w:hint="eastAsia"/>
          <w:sz w:val="24"/>
          <w:szCs w:val="24"/>
        </w:rPr>
        <w:t>基金E环境评分指标对基金综合绩效正向影响程度最大</w:t>
      </w:r>
      <w:bookmarkEnd w:id="81"/>
      <w:r w:rsidRPr="00A34103">
        <w:rPr>
          <w:rFonts w:ascii="宋体" w:hAnsi="宋体" w:hint="eastAsia"/>
          <w:sz w:val="24"/>
          <w:szCs w:val="24"/>
        </w:rPr>
        <w:t>，基金S社会评分</w:t>
      </w:r>
      <w:bookmarkStart w:id="82" w:name="_Hlk103676800"/>
      <w:r w:rsidRPr="00A34103">
        <w:rPr>
          <w:rFonts w:ascii="宋体" w:hAnsi="宋体" w:hint="eastAsia"/>
          <w:sz w:val="24"/>
          <w:szCs w:val="24"/>
        </w:rPr>
        <w:t>指标与基金G治理评分指标对基金获得超额收益影响为正但相差不大。Logit回归结果与主成分分析结果一致。</w:t>
      </w:r>
      <w:bookmarkEnd w:id="82"/>
    </w:p>
    <w:p w14:paraId="10076381" w14:textId="7A8772C9" w:rsidR="00F55470" w:rsidRPr="00F55470" w:rsidRDefault="00F55470" w:rsidP="00F55470">
      <w:pPr>
        <w:pStyle w:val="21"/>
        <w:rPr>
          <w:rFonts w:ascii="黑体" w:hAnsi="黑体"/>
        </w:rPr>
      </w:pPr>
      <w:bookmarkStart w:id="83" w:name="_Toc105023924"/>
      <w:r>
        <w:rPr>
          <w:rFonts w:ascii="黑体" w:hAnsi="黑体" w:hint="eastAsia"/>
        </w:rPr>
        <w:t>5</w:t>
      </w:r>
      <w:r>
        <w:rPr>
          <w:rFonts w:ascii="黑体" w:hAnsi="黑体"/>
        </w:rPr>
        <w:t>.2</w:t>
      </w:r>
      <w:r>
        <w:rPr>
          <w:rFonts w:ascii="黑体" w:hAnsi="黑体" w:hint="eastAsia"/>
        </w:rPr>
        <w:t>研究建议</w:t>
      </w:r>
      <w:bookmarkEnd w:id="83"/>
    </w:p>
    <w:p w14:paraId="69B88BF4" w14:textId="1E277059" w:rsidR="00D27077" w:rsidRDefault="00D27077" w:rsidP="00683F93">
      <w:pPr>
        <w:spacing w:beforeLines="50" w:before="156" w:afterLines="50" w:after="156" w:line="360" w:lineRule="auto"/>
        <w:ind w:firstLineChars="200" w:firstLine="480"/>
        <w:rPr>
          <w:rFonts w:ascii="宋体" w:hAnsi="宋体"/>
          <w:sz w:val="24"/>
          <w:szCs w:val="24"/>
        </w:rPr>
      </w:pPr>
      <w:r>
        <w:rPr>
          <w:rFonts w:ascii="宋体" w:hAnsi="宋体" w:hint="eastAsia"/>
          <w:sz w:val="24"/>
          <w:szCs w:val="24"/>
        </w:rPr>
        <w:t>目</w:t>
      </w:r>
      <w:r w:rsidRPr="00D27077">
        <w:rPr>
          <w:rFonts w:ascii="宋体" w:hAnsi="宋体" w:hint="eastAsia"/>
          <w:sz w:val="24"/>
          <w:szCs w:val="24"/>
        </w:rPr>
        <w:t>前基金市场的发展日益壮大，在证券市场中所扮演的角色越来越重要，制度指标建设也在不断地改进完善，结合前文的分析，以下本文从投资者、基金公司、监管部门三个方面的维度进行考虑</w:t>
      </w:r>
      <w:r w:rsidR="0022682A">
        <w:rPr>
          <w:rFonts w:ascii="宋体" w:hAnsi="宋体" w:hint="eastAsia"/>
          <w:sz w:val="24"/>
          <w:szCs w:val="24"/>
        </w:rPr>
        <w:t>。</w:t>
      </w:r>
    </w:p>
    <w:p w14:paraId="569BA825" w14:textId="24F06715" w:rsidR="0022682A" w:rsidRDefault="0022682A" w:rsidP="00683F93">
      <w:pPr>
        <w:spacing w:beforeLines="50" w:before="156" w:afterLines="50" w:after="156" w:line="360" w:lineRule="auto"/>
        <w:ind w:firstLineChars="200" w:firstLine="480"/>
        <w:rPr>
          <w:rFonts w:ascii="宋体" w:hAnsi="宋体"/>
          <w:sz w:val="24"/>
          <w:szCs w:val="24"/>
        </w:rPr>
      </w:pPr>
      <w:r>
        <w:rPr>
          <w:rFonts w:ascii="宋体" w:hAnsi="宋体" w:hint="eastAsia"/>
          <w:sz w:val="24"/>
          <w:szCs w:val="24"/>
        </w:rPr>
        <w:t>对于个人投资者与基金公司，在进行投资活动时，可以考察碳中和相关产业布局公司，同时从环境角度考察</w:t>
      </w:r>
      <w:r w:rsidRPr="0022682A">
        <w:rPr>
          <w:rFonts w:ascii="宋体" w:hAnsi="宋体" w:hint="eastAsia"/>
          <w:sz w:val="24"/>
          <w:szCs w:val="24"/>
        </w:rPr>
        <w:t>环境管理、能源与气候变化、水资源、原材料与废弃物、废气、废水、生物多样性、绿色建筑、绿色金融等方面</w:t>
      </w:r>
      <w:r>
        <w:rPr>
          <w:rFonts w:ascii="宋体" w:hAnsi="宋体" w:hint="eastAsia"/>
          <w:sz w:val="24"/>
          <w:szCs w:val="24"/>
        </w:rPr>
        <w:t>；从社会责任角度考察雇佣、职业健康与安全生产、发展与培训、研发与创新、供应链、产品质量、可持续产品、客户、隐私保护、社区等方面</w:t>
      </w:r>
      <w:r w:rsidR="00941543">
        <w:rPr>
          <w:rFonts w:ascii="宋体" w:hAnsi="宋体" w:hint="eastAsia"/>
          <w:sz w:val="24"/>
          <w:szCs w:val="24"/>
        </w:rPr>
        <w:t>；从公司治理方面考察E</w:t>
      </w:r>
      <w:r w:rsidR="00941543">
        <w:rPr>
          <w:rFonts w:ascii="宋体" w:hAnsi="宋体"/>
          <w:sz w:val="24"/>
          <w:szCs w:val="24"/>
        </w:rPr>
        <w:t>SG</w:t>
      </w:r>
      <w:r w:rsidR="00941543">
        <w:rPr>
          <w:rFonts w:ascii="宋体" w:hAnsi="宋体" w:hint="eastAsia"/>
          <w:sz w:val="24"/>
          <w:szCs w:val="24"/>
        </w:rPr>
        <w:t>治理、董监高、</w:t>
      </w:r>
      <w:r w:rsidR="00941543">
        <w:rPr>
          <w:rFonts w:ascii="宋体" w:hAnsi="宋体" w:hint="eastAsia"/>
          <w:sz w:val="24"/>
          <w:szCs w:val="24"/>
        </w:rPr>
        <w:lastRenderedPageBreak/>
        <w:t>股权及股东、审计、业务连续性管理、贪污腐败、反垄断与公平竞争等方面。</w:t>
      </w:r>
    </w:p>
    <w:p w14:paraId="35AF5617" w14:textId="0B1C7CD6" w:rsidR="00941543" w:rsidRPr="0022682A" w:rsidRDefault="00941543" w:rsidP="00683F93">
      <w:pPr>
        <w:spacing w:beforeLines="50" w:before="156" w:afterLines="50" w:after="156" w:line="360" w:lineRule="auto"/>
        <w:ind w:firstLineChars="200" w:firstLine="480"/>
        <w:rPr>
          <w:rFonts w:ascii="宋体" w:hAnsi="宋体"/>
          <w:sz w:val="24"/>
          <w:szCs w:val="24"/>
        </w:rPr>
      </w:pPr>
      <w:r>
        <w:rPr>
          <w:rFonts w:ascii="宋体" w:hAnsi="宋体" w:hint="eastAsia"/>
          <w:sz w:val="24"/>
          <w:szCs w:val="24"/>
        </w:rPr>
        <w:t>对于监管部门，应当逐步将ESG环境、社会责任、公司治理纳入监管框架，</w:t>
      </w:r>
      <w:r w:rsidR="00683F93">
        <w:rPr>
          <w:rFonts w:ascii="宋体" w:hAnsi="宋体" w:hint="eastAsia"/>
          <w:sz w:val="24"/>
          <w:szCs w:val="24"/>
        </w:rPr>
        <w:t>完善相关方面的法律法规，这</w:t>
      </w:r>
      <w:r w:rsidRPr="00941543">
        <w:rPr>
          <w:rFonts w:ascii="宋体" w:hAnsi="宋体" w:hint="eastAsia"/>
          <w:sz w:val="24"/>
          <w:szCs w:val="24"/>
        </w:rPr>
        <w:t>对资本市场的正向循环与健康流动具有重要意义</w:t>
      </w:r>
      <w:r w:rsidR="00683F93">
        <w:rPr>
          <w:rFonts w:ascii="宋体" w:hAnsi="宋体" w:hint="eastAsia"/>
          <w:sz w:val="24"/>
          <w:szCs w:val="24"/>
        </w:rPr>
        <w:t>。</w:t>
      </w:r>
    </w:p>
    <w:p w14:paraId="3A4B3D20" w14:textId="572A30E3" w:rsidR="0022682A" w:rsidRDefault="0022682A" w:rsidP="00683F93">
      <w:pPr>
        <w:spacing w:beforeLines="50" w:before="156" w:afterLines="50" w:after="156" w:line="360" w:lineRule="auto"/>
        <w:ind w:firstLineChars="200" w:firstLine="480"/>
        <w:rPr>
          <w:rFonts w:ascii="宋体" w:hAnsi="宋体"/>
          <w:sz w:val="24"/>
          <w:szCs w:val="24"/>
        </w:rPr>
      </w:pPr>
      <w:r>
        <w:rPr>
          <w:rFonts w:ascii="宋体" w:hAnsi="宋体" w:hint="eastAsia"/>
          <w:sz w:val="24"/>
          <w:szCs w:val="24"/>
        </w:rPr>
        <w:t>建立包含ESG指标的基金绩效评价体系，</w:t>
      </w:r>
      <w:r w:rsidRPr="00E94BA7">
        <w:rPr>
          <w:rFonts w:ascii="宋体" w:hAnsi="宋体" w:hint="eastAsia"/>
          <w:sz w:val="24"/>
          <w:szCs w:val="24"/>
        </w:rPr>
        <w:t>对于</w:t>
      </w:r>
      <w:r>
        <w:rPr>
          <w:rFonts w:ascii="宋体" w:hAnsi="宋体" w:hint="eastAsia"/>
          <w:sz w:val="24"/>
          <w:szCs w:val="24"/>
        </w:rPr>
        <w:t>个人</w:t>
      </w:r>
      <w:r w:rsidRPr="00E94BA7">
        <w:rPr>
          <w:rFonts w:ascii="宋体" w:hAnsi="宋体" w:hint="eastAsia"/>
          <w:sz w:val="24"/>
          <w:szCs w:val="24"/>
        </w:rPr>
        <w:t>投资者</w:t>
      </w:r>
      <w:r>
        <w:rPr>
          <w:rFonts w:ascii="宋体" w:hAnsi="宋体" w:hint="eastAsia"/>
          <w:sz w:val="24"/>
          <w:szCs w:val="24"/>
        </w:rPr>
        <w:t>和基金公司</w:t>
      </w:r>
      <w:r w:rsidRPr="00E94BA7">
        <w:rPr>
          <w:rFonts w:ascii="宋体" w:hAnsi="宋体" w:hint="eastAsia"/>
          <w:sz w:val="24"/>
          <w:szCs w:val="24"/>
        </w:rPr>
        <w:t>而言可以提供一定价值参考</w:t>
      </w:r>
      <w:r>
        <w:rPr>
          <w:rFonts w:ascii="宋体" w:hAnsi="宋体" w:hint="eastAsia"/>
          <w:sz w:val="24"/>
          <w:szCs w:val="24"/>
        </w:rPr>
        <w:t>，将基金持仓社会责任纳入投资决策框架有利于个人投资与资本市场正向流动；同时</w:t>
      </w:r>
      <w:r w:rsidRPr="00D27077">
        <w:rPr>
          <w:rFonts w:ascii="宋体" w:hAnsi="宋体" w:hint="eastAsia"/>
          <w:sz w:val="24"/>
          <w:szCs w:val="24"/>
        </w:rPr>
        <w:t>有利于推进我国积极倡导实现碳中和以及建立将经济社会各种问题融入到资本市场的投资决策框架，资本市场的责任投资发展速度也将进一步提升</w:t>
      </w:r>
      <w:r>
        <w:rPr>
          <w:rFonts w:ascii="宋体" w:hAnsi="宋体" w:hint="eastAsia"/>
          <w:sz w:val="24"/>
          <w:szCs w:val="24"/>
        </w:rPr>
        <w:t>。</w:t>
      </w:r>
    </w:p>
    <w:p w14:paraId="12F2050D" w14:textId="1F54CE36" w:rsidR="00D27077" w:rsidRPr="0022682A" w:rsidRDefault="00D27077" w:rsidP="00D27077">
      <w:pPr>
        <w:spacing w:beforeLines="50" w:before="156" w:afterLines="50" w:after="156" w:line="360" w:lineRule="auto"/>
        <w:rPr>
          <w:rFonts w:ascii="宋体" w:hAnsi="宋体"/>
          <w:sz w:val="24"/>
          <w:szCs w:val="24"/>
        </w:rPr>
      </w:pPr>
    </w:p>
    <w:p w14:paraId="26533408" w14:textId="6E4BF40B" w:rsidR="00F55470" w:rsidRPr="00F55470" w:rsidRDefault="00F55470" w:rsidP="00F55470">
      <w:pPr>
        <w:spacing w:beforeLines="50" w:before="156" w:afterLines="50" w:after="156"/>
        <w:rPr>
          <w:rFonts w:ascii="宋体" w:hAnsi="宋体"/>
          <w:bCs/>
          <w:sz w:val="24"/>
          <w:szCs w:val="24"/>
        </w:rPr>
      </w:pPr>
    </w:p>
    <w:p w14:paraId="1D524A26" w14:textId="77777777" w:rsidR="00E048D9" w:rsidRDefault="00E048D9">
      <w:pPr>
        <w:spacing w:beforeLines="50" w:before="156" w:afterLines="50" w:after="156"/>
        <w:jc w:val="center"/>
        <w:rPr>
          <w:rFonts w:ascii="黑体" w:eastAsia="黑体"/>
          <w:b/>
          <w:sz w:val="36"/>
          <w:szCs w:val="36"/>
        </w:rPr>
      </w:pPr>
    </w:p>
    <w:p w14:paraId="287B2166" w14:textId="77777777" w:rsidR="00E048D9" w:rsidRDefault="00E048D9">
      <w:pPr>
        <w:spacing w:beforeLines="50" w:before="156" w:afterLines="50" w:after="156"/>
        <w:jc w:val="center"/>
        <w:rPr>
          <w:rFonts w:ascii="黑体" w:eastAsia="黑体"/>
          <w:b/>
          <w:sz w:val="36"/>
          <w:szCs w:val="36"/>
        </w:rPr>
      </w:pPr>
    </w:p>
    <w:p w14:paraId="6D7B0885" w14:textId="77777777" w:rsidR="00E048D9" w:rsidRDefault="00E048D9">
      <w:pPr>
        <w:spacing w:beforeLines="50" w:before="156" w:afterLines="50" w:after="156"/>
        <w:jc w:val="center"/>
        <w:rPr>
          <w:rFonts w:ascii="黑体" w:eastAsia="黑体"/>
          <w:b/>
          <w:sz w:val="36"/>
          <w:szCs w:val="36"/>
        </w:rPr>
      </w:pPr>
    </w:p>
    <w:p w14:paraId="1AA4CCCF" w14:textId="77777777" w:rsidR="00E048D9" w:rsidRDefault="00E048D9">
      <w:pPr>
        <w:spacing w:beforeLines="50" w:before="156" w:afterLines="50" w:after="156"/>
        <w:jc w:val="center"/>
        <w:rPr>
          <w:rFonts w:ascii="黑体" w:eastAsia="黑体"/>
          <w:b/>
          <w:sz w:val="36"/>
          <w:szCs w:val="36"/>
        </w:rPr>
      </w:pPr>
    </w:p>
    <w:p w14:paraId="43BD06F9" w14:textId="77777777" w:rsidR="00E048D9" w:rsidRDefault="00E048D9">
      <w:pPr>
        <w:spacing w:beforeLines="50" w:before="156" w:afterLines="50" w:after="156"/>
        <w:jc w:val="center"/>
        <w:rPr>
          <w:rFonts w:ascii="黑体" w:eastAsia="黑体"/>
          <w:b/>
          <w:sz w:val="36"/>
          <w:szCs w:val="36"/>
        </w:rPr>
      </w:pPr>
    </w:p>
    <w:p w14:paraId="2603462C" w14:textId="77777777" w:rsidR="00E048D9" w:rsidRDefault="00E048D9">
      <w:pPr>
        <w:spacing w:beforeLines="50" w:before="156" w:afterLines="50" w:after="156"/>
        <w:jc w:val="center"/>
        <w:rPr>
          <w:rFonts w:ascii="黑体" w:eastAsia="黑体"/>
          <w:b/>
          <w:sz w:val="36"/>
          <w:szCs w:val="36"/>
        </w:rPr>
      </w:pPr>
    </w:p>
    <w:p w14:paraId="4BF8903C" w14:textId="77777777" w:rsidR="00E048D9" w:rsidRDefault="00E048D9">
      <w:pPr>
        <w:spacing w:beforeLines="50" w:before="156" w:afterLines="50" w:after="156"/>
        <w:jc w:val="center"/>
        <w:rPr>
          <w:rFonts w:ascii="黑体" w:eastAsia="黑体"/>
          <w:b/>
          <w:sz w:val="36"/>
          <w:szCs w:val="36"/>
        </w:rPr>
      </w:pPr>
    </w:p>
    <w:p w14:paraId="4BD2E338" w14:textId="77777777" w:rsidR="00E048D9" w:rsidRDefault="00E048D9">
      <w:pPr>
        <w:spacing w:beforeLines="50" w:before="156" w:afterLines="50" w:after="156"/>
        <w:jc w:val="center"/>
        <w:rPr>
          <w:rFonts w:ascii="黑体" w:eastAsia="黑体"/>
          <w:b/>
          <w:sz w:val="36"/>
          <w:szCs w:val="36"/>
        </w:rPr>
      </w:pPr>
    </w:p>
    <w:p w14:paraId="2F6A066A" w14:textId="663A479B" w:rsidR="00E048D9" w:rsidRDefault="00E048D9">
      <w:pPr>
        <w:spacing w:beforeLines="50" w:before="156" w:afterLines="50" w:after="156"/>
        <w:jc w:val="center"/>
        <w:rPr>
          <w:rFonts w:ascii="黑体" w:eastAsia="黑体"/>
          <w:b/>
          <w:sz w:val="36"/>
          <w:szCs w:val="36"/>
        </w:rPr>
      </w:pPr>
    </w:p>
    <w:p w14:paraId="64D9E271" w14:textId="77777777" w:rsidR="00B23C4A" w:rsidRDefault="00B23C4A">
      <w:pPr>
        <w:spacing w:beforeLines="50" w:before="156" w:afterLines="50" w:after="156"/>
        <w:jc w:val="center"/>
        <w:rPr>
          <w:rFonts w:ascii="黑体" w:eastAsia="黑体"/>
          <w:b/>
          <w:sz w:val="36"/>
          <w:szCs w:val="36"/>
        </w:rPr>
      </w:pPr>
    </w:p>
    <w:p w14:paraId="54EEAA6C" w14:textId="127535B7" w:rsidR="00B23C4A" w:rsidRDefault="00B23C4A" w:rsidP="00B23C4A">
      <w:pPr>
        <w:pStyle w:val="11"/>
        <w:rPr>
          <w:rFonts w:ascii="楷体_GB2312" w:eastAsia="楷体_GB2312" w:hAnsi="宋体"/>
          <w:szCs w:val="21"/>
        </w:rPr>
      </w:pPr>
      <w:bookmarkStart w:id="84" w:name="_Toc105023925"/>
      <w:r>
        <w:rPr>
          <w:rFonts w:hint="eastAsia"/>
        </w:rPr>
        <w:lastRenderedPageBreak/>
        <w:t>致谢</w:t>
      </w:r>
      <w:bookmarkEnd w:id="84"/>
    </w:p>
    <w:p w14:paraId="2E735FCE" w14:textId="5A92ECC0" w:rsidR="00E048D9" w:rsidRDefault="00AD032F" w:rsidP="00AD032F">
      <w:pPr>
        <w:tabs>
          <w:tab w:val="left" w:pos="5013"/>
        </w:tabs>
        <w:spacing w:beforeLines="50" w:before="156" w:afterLines="50" w:after="156" w:line="360" w:lineRule="auto"/>
        <w:ind w:firstLineChars="200" w:firstLine="480"/>
        <w:jc w:val="left"/>
        <w:rPr>
          <w:rFonts w:ascii="宋体" w:hAnsi="宋体"/>
          <w:bCs/>
          <w:sz w:val="24"/>
          <w:szCs w:val="24"/>
        </w:rPr>
      </w:pPr>
      <w:r>
        <w:rPr>
          <w:rFonts w:ascii="宋体" w:hAnsi="宋体" w:hint="eastAsia"/>
          <w:bCs/>
          <w:sz w:val="24"/>
          <w:szCs w:val="24"/>
        </w:rPr>
        <w:t>喻</w:t>
      </w:r>
      <w:r w:rsidRPr="00AD032F">
        <w:rPr>
          <w:rFonts w:ascii="宋体" w:hAnsi="宋体" w:hint="eastAsia"/>
          <w:bCs/>
          <w:sz w:val="24"/>
          <w:szCs w:val="24"/>
        </w:rPr>
        <w:t>家山</w:t>
      </w:r>
      <w:r>
        <w:rPr>
          <w:rFonts w:ascii="宋体" w:hAnsi="宋体" w:hint="eastAsia"/>
          <w:bCs/>
          <w:sz w:val="24"/>
          <w:szCs w:val="24"/>
        </w:rPr>
        <w:t>下，求学四载。</w:t>
      </w:r>
    </w:p>
    <w:p w14:paraId="51915897" w14:textId="6BD54D9A" w:rsidR="00AD032F" w:rsidRDefault="00AD032F" w:rsidP="00AD032F">
      <w:pPr>
        <w:tabs>
          <w:tab w:val="left" w:pos="5013"/>
        </w:tabs>
        <w:spacing w:beforeLines="50" w:before="156" w:afterLines="50" w:after="156" w:line="360" w:lineRule="auto"/>
        <w:ind w:firstLineChars="200" w:firstLine="480"/>
        <w:jc w:val="left"/>
        <w:rPr>
          <w:rFonts w:ascii="宋体" w:hAnsi="宋体"/>
          <w:bCs/>
          <w:sz w:val="24"/>
          <w:szCs w:val="24"/>
        </w:rPr>
      </w:pPr>
      <w:r>
        <w:rPr>
          <w:rFonts w:ascii="宋体" w:hAnsi="宋体" w:hint="eastAsia"/>
          <w:bCs/>
          <w:sz w:val="24"/>
          <w:szCs w:val="24"/>
        </w:rPr>
        <w:t>如今，本科生涯已然接近尾声。毕业在即，回顾四年时光，有欢乐，有留恋，有不舍，也有不尽的感激。</w:t>
      </w:r>
    </w:p>
    <w:p w14:paraId="710F0F51" w14:textId="1EEE6131" w:rsidR="00AD032F" w:rsidRDefault="00AD032F" w:rsidP="00AD032F">
      <w:pPr>
        <w:tabs>
          <w:tab w:val="left" w:pos="5013"/>
        </w:tabs>
        <w:spacing w:beforeLines="50" w:before="156" w:afterLines="50" w:after="156" w:line="360" w:lineRule="auto"/>
        <w:ind w:firstLineChars="200" w:firstLine="480"/>
        <w:jc w:val="left"/>
        <w:rPr>
          <w:rFonts w:ascii="宋体" w:hAnsi="宋体"/>
          <w:bCs/>
          <w:sz w:val="24"/>
          <w:szCs w:val="24"/>
        </w:rPr>
      </w:pPr>
      <w:r>
        <w:rPr>
          <w:rFonts w:ascii="宋体" w:hAnsi="宋体" w:hint="eastAsia"/>
          <w:bCs/>
          <w:sz w:val="24"/>
          <w:szCs w:val="24"/>
        </w:rPr>
        <w:t>感谢我可爱的室友们，大学四年一直有你们陪伴。我们共度了学习生活中快乐和煎熬时刻</w:t>
      </w:r>
      <w:r w:rsidR="005148FF">
        <w:rPr>
          <w:rFonts w:ascii="宋体" w:hAnsi="宋体" w:hint="eastAsia"/>
          <w:bCs/>
          <w:sz w:val="24"/>
          <w:szCs w:val="24"/>
        </w:rPr>
        <w:t>，在课余也是共享兴趣、相互支持的伙伴。祝我的朋友们本科毕业顺利、前途光明！</w:t>
      </w:r>
    </w:p>
    <w:p w14:paraId="511AD446" w14:textId="14C275B8" w:rsidR="005148FF" w:rsidRDefault="005148FF" w:rsidP="00AD032F">
      <w:pPr>
        <w:tabs>
          <w:tab w:val="left" w:pos="5013"/>
        </w:tabs>
        <w:spacing w:beforeLines="50" w:before="156" w:afterLines="50" w:after="156" w:line="360" w:lineRule="auto"/>
        <w:ind w:firstLineChars="200" w:firstLine="480"/>
        <w:jc w:val="left"/>
        <w:rPr>
          <w:rFonts w:ascii="宋体" w:hAnsi="宋体"/>
          <w:bCs/>
          <w:sz w:val="24"/>
          <w:szCs w:val="24"/>
        </w:rPr>
      </w:pPr>
      <w:r>
        <w:rPr>
          <w:rFonts w:ascii="宋体" w:hAnsi="宋体" w:hint="eastAsia"/>
          <w:bCs/>
          <w:sz w:val="24"/>
          <w:szCs w:val="24"/>
        </w:rPr>
        <w:t>感谢在大学四年中认识的朋友</w:t>
      </w:r>
      <w:r w:rsidR="00152AB4">
        <w:rPr>
          <w:rFonts w:ascii="宋体" w:hAnsi="宋体" w:hint="eastAsia"/>
          <w:bCs/>
          <w:sz w:val="24"/>
          <w:szCs w:val="24"/>
        </w:rPr>
        <w:t>、老师们</w:t>
      </w:r>
      <w:r>
        <w:rPr>
          <w:rFonts w:ascii="宋体" w:hAnsi="宋体" w:hint="eastAsia"/>
          <w:bCs/>
          <w:sz w:val="24"/>
          <w:szCs w:val="24"/>
        </w:rPr>
        <w:t>和从高中起一直保持交流的</w:t>
      </w:r>
      <w:r w:rsidR="00152AB4">
        <w:rPr>
          <w:rFonts w:ascii="宋体" w:hAnsi="宋体" w:hint="eastAsia"/>
          <w:bCs/>
          <w:sz w:val="24"/>
          <w:szCs w:val="24"/>
        </w:rPr>
        <w:t>同学</w:t>
      </w:r>
      <w:r>
        <w:rPr>
          <w:rFonts w:ascii="宋体" w:hAnsi="宋体" w:hint="eastAsia"/>
          <w:bCs/>
          <w:sz w:val="24"/>
          <w:szCs w:val="24"/>
        </w:rPr>
        <w:t>们，</w:t>
      </w:r>
      <w:r w:rsidR="00152AB4">
        <w:rPr>
          <w:rFonts w:ascii="宋体" w:hAnsi="宋体" w:hint="eastAsia"/>
          <w:bCs/>
          <w:sz w:val="24"/>
          <w:szCs w:val="24"/>
        </w:rPr>
        <w:t>从大家身上学习到了许多东西，</w:t>
      </w:r>
      <w:r>
        <w:rPr>
          <w:rFonts w:ascii="宋体" w:hAnsi="宋体" w:hint="eastAsia"/>
          <w:bCs/>
          <w:sz w:val="24"/>
          <w:szCs w:val="24"/>
        </w:rPr>
        <w:t>有了你们，我的大学生活更加精彩。</w:t>
      </w:r>
    </w:p>
    <w:p w14:paraId="77E619A9" w14:textId="29C11706" w:rsidR="005148FF" w:rsidRDefault="005148FF" w:rsidP="00AD032F">
      <w:pPr>
        <w:tabs>
          <w:tab w:val="left" w:pos="5013"/>
        </w:tabs>
        <w:spacing w:beforeLines="50" w:before="156" w:afterLines="50" w:after="156" w:line="360" w:lineRule="auto"/>
        <w:ind w:firstLineChars="200" w:firstLine="480"/>
        <w:jc w:val="left"/>
        <w:rPr>
          <w:rFonts w:ascii="宋体" w:hAnsi="宋体"/>
          <w:bCs/>
          <w:sz w:val="24"/>
          <w:szCs w:val="24"/>
        </w:rPr>
      </w:pPr>
      <w:r>
        <w:rPr>
          <w:rFonts w:ascii="宋体" w:hAnsi="宋体" w:hint="eastAsia"/>
          <w:bCs/>
          <w:sz w:val="24"/>
          <w:szCs w:val="24"/>
        </w:rPr>
        <w:t>感谢李安泰老师，在论文写作方面给出了许多指导，对学生也十分亲切与宽容</w:t>
      </w:r>
      <w:r w:rsidR="00152AB4">
        <w:rPr>
          <w:rFonts w:ascii="宋体" w:hAnsi="宋体" w:hint="eastAsia"/>
          <w:bCs/>
          <w:sz w:val="24"/>
          <w:szCs w:val="24"/>
        </w:rPr>
        <w:t>。祝老师身体健康、工作顺利、学术成果又多又好！</w:t>
      </w:r>
    </w:p>
    <w:p w14:paraId="6F9D159F" w14:textId="56F7859E" w:rsidR="00152AB4" w:rsidRDefault="00152AB4" w:rsidP="00AD032F">
      <w:pPr>
        <w:tabs>
          <w:tab w:val="left" w:pos="5013"/>
        </w:tabs>
        <w:spacing w:beforeLines="50" w:before="156" w:afterLines="50" w:after="156" w:line="360" w:lineRule="auto"/>
        <w:ind w:firstLineChars="200" w:firstLine="480"/>
        <w:jc w:val="left"/>
        <w:rPr>
          <w:rFonts w:ascii="宋体" w:hAnsi="宋体"/>
          <w:bCs/>
          <w:sz w:val="24"/>
          <w:szCs w:val="24"/>
        </w:rPr>
      </w:pPr>
      <w:r>
        <w:rPr>
          <w:rFonts w:ascii="宋体" w:hAnsi="宋体" w:hint="eastAsia"/>
          <w:bCs/>
          <w:sz w:val="24"/>
          <w:szCs w:val="24"/>
        </w:rPr>
        <w:t>感谢我的父母和家人，以及家里的小狗可乐。在大学四年</w:t>
      </w:r>
      <w:r w:rsidR="00412C44">
        <w:rPr>
          <w:rFonts w:ascii="宋体" w:hAnsi="宋体" w:hint="eastAsia"/>
          <w:bCs/>
          <w:sz w:val="24"/>
          <w:szCs w:val="24"/>
        </w:rPr>
        <w:t>予</w:t>
      </w:r>
      <w:r>
        <w:rPr>
          <w:rFonts w:ascii="宋体" w:hAnsi="宋体" w:hint="eastAsia"/>
          <w:bCs/>
          <w:sz w:val="24"/>
          <w:szCs w:val="24"/>
        </w:rPr>
        <w:t>我无尽的陪伴和支持</w:t>
      </w:r>
      <w:r w:rsidR="00412C44">
        <w:rPr>
          <w:rFonts w:ascii="宋体" w:hAnsi="宋体" w:hint="eastAsia"/>
          <w:bCs/>
          <w:sz w:val="24"/>
          <w:szCs w:val="24"/>
        </w:rPr>
        <w:t>，给予了我无尽的欢乐和动力。</w:t>
      </w:r>
      <w:r w:rsidR="00412C44" w:rsidRPr="005148FF">
        <w:rPr>
          <w:rFonts w:ascii="宋体" w:hAnsi="宋体" w:hint="eastAsia"/>
          <w:bCs/>
          <w:sz w:val="24"/>
          <w:szCs w:val="24"/>
        </w:rPr>
        <w:t xml:space="preserve"> </w:t>
      </w:r>
      <w:r w:rsidR="00412C44">
        <w:rPr>
          <w:rFonts w:ascii="宋体" w:hAnsi="宋体" w:hint="eastAsia"/>
          <w:bCs/>
          <w:sz w:val="24"/>
          <w:szCs w:val="24"/>
        </w:rPr>
        <w:t>希望我的家人永远健康，永远快乐</w:t>
      </w:r>
      <w:r w:rsidR="003426EB">
        <w:rPr>
          <w:rFonts w:ascii="宋体" w:hAnsi="宋体" w:hint="eastAsia"/>
          <w:bCs/>
          <w:sz w:val="24"/>
          <w:szCs w:val="24"/>
        </w:rPr>
        <w:t>！</w:t>
      </w:r>
    </w:p>
    <w:p w14:paraId="2D30D000" w14:textId="77777777" w:rsidR="0066536D" w:rsidRDefault="00412C44" w:rsidP="00AD032F">
      <w:pPr>
        <w:tabs>
          <w:tab w:val="left" w:pos="5013"/>
        </w:tabs>
        <w:spacing w:beforeLines="50" w:before="156" w:afterLines="50" w:after="156" w:line="360" w:lineRule="auto"/>
        <w:ind w:firstLineChars="200" w:firstLine="480"/>
        <w:jc w:val="left"/>
        <w:rPr>
          <w:rFonts w:ascii="宋体" w:hAnsi="宋体"/>
          <w:bCs/>
          <w:sz w:val="24"/>
          <w:szCs w:val="24"/>
        </w:rPr>
      </w:pPr>
      <w:r>
        <w:rPr>
          <w:rFonts w:ascii="宋体" w:hAnsi="宋体" w:hint="eastAsia"/>
          <w:bCs/>
          <w:sz w:val="24"/>
          <w:szCs w:val="24"/>
        </w:rPr>
        <w:t>在这四年里，我成长了很多</w:t>
      </w:r>
      <w:r w:rsidR="00CA539B">
        <w:rPr>
          <w:rFonts w:ascii="宋体" w:hAnsi="宋体" w:hint="eastAsia"/>
          <w:bCs/>
          <w:sz w:val="24"/>
          <w:szCs w:val="24"/>
        </w:rPr>
        <w:t>。虽然确信人生唯一确定的是不确定的未来，但大学四年的教育与大家的支持，让我勇敢而乐观地面对未知的明天。</w:t>
      </w:r>
    </w:p>
    <w:p w14:paraId="61BFE58F" w14:textId="67538C5A" w:rsidR="00412C44" w:rsidRPr="005148FF" w:rsidRDefault="001577B7" w:rsidP="00AD032F">
      <w:pPr>
        <w:tabs>
          <w:tab w:val="left" w:pos="5013"/>
        </w:tabs>
        <w:spacing w:beforeLines="50" w:before="156" w:afterLines="50" w:after="156" w:line="360" w:lineRule="auto"/>
        <w:ind w:firstLineChars="200" w:firstLine="480"/>
        <w:jc w:val="left"/>
        <w:rPr>
          <w:rFonts w:ascii="宋体" w:hAnsi="宋体"/>
          <w:bCs/>
          <w:sz w:val="24"/>
          <w:szCs w:val="24"/>
        </w:rPr>
      </w:pPr>
      <w:r w:rsidRPr="001577B7">
        <w:rPr>
          <w:rFonts w:ascii="宋体" w:hAnsi="宋体" w:hint="eastAsia"/>
          <w:bCs/>
          <w:sz w:val="24"/>
          <w:szCs w:val="24"/>
        </w:rPr>
        <w:t>前路漫漫亦灿灿</w:t>
      </w:r>
      <w:r w:rsidR="00CA539B">
        <w:rPr>
          <w:rFonts w:ascii="宋体" w:hAnsi="宋体" w:hint="eastAsia"/>
          <w:bCs/>
          <w:sz w:val="24"/>
          <w:szCs w:val="24"/>
        </w:rPr>
        <w:t>，</w:t>
      </w:r>
      <w:r w:rsidR="0066536D">
        <w:rPr>
          <w:rFonts w:ascii="宋体" w:hAnsi="宋体" w:hint="eastAsia"/>
          <w:bCs/>
          <w:sz w:val="24"/>
          <w:szCs w:val="24"/>
        </w:rPr>
        <w:t>感谢所有相遇</w:t>
      </w:r>
      <w:r>
        <w:rPr>
          <w:rFonts w:ascii="宋体" w:hAnsi="宋体" w:hint="eastAsia"/>
          <w:bCs/>
          <w:sz w:val="24"/>
          <w:szCs w:val="24"/>
        </w:rPr>
        <w:t>，</w:t>
      </w:r>
      <w:r w:rsidR="00CD5D91" w:rsidRPr="00CD5D91">
        <w:rPr>
          <w:rFonts w:ascii="宋体" w:hAnsi="宋体" w:hint="eastAsia"/>
          <w:bCs/>
          <w:sz w:val="24"/>
          <w:szCs w:val="24"/>
        </w:rPr>
        <w:t>流年笑掷</w:t>
      </w:r>
      <w:r w:rsidR="00CD5D91">
        <w:rPr>
          <w:rFonts w:ascii="宋体" w:hAnsi="宋体" w:hint="eastAsia"/>
          <w:bCs/>
          <w:sz w:val="24"/>
          <w:szCs w:val="24"/>
        </w:rPr>
        <w:t>，</w:t>
      </w:r>
      <w:r w:rsidR="00CD5D91" w:rsidRPr="00CD5D91">
        <w:rPr>
          <w:rFonts w:ascii="宋体" w:hAnsi="宋体" w:hint="eastAsia"/>
          <w:bCs/>
          <w:sz w:val="24"/>
          <w:szCs w:val="24"/>
        </w:rPr>
        <w:t>未来可期</w:t>
      </w:r>
      <w:r>
        <w:rPr>
          <w:rFonts w:ascii="宋体" w:hAnsi="宋体" w:hint="eastAsia"/>
          <w:bCs/>
          <w:sz w:val="24"/>
          <w:szCs w:val="24"/>
        </w:rPr>
        <w:t>。</w:t>
      </w:r>
    </w:p>
    <w:p w14:paraId="35BF9C6F" w14:textId="12E111C3" w:rsidR="00B23C4A" w:rsidRDefault="00B23C4A" w:rsidP="00AD032F">
      <w:pPr>
        <w:tabs>
          <w:tab w:val="left" w:pos="5013"/>
        </w:tabs>
        <w:spacing w:beforeLines="50" w:before="156" w:afterLines="50" w:after="156" w:line="360" w:lineRule="auto"/>
        <w:jc w:val="left"/>
        <w:rPr>
          <w:rFonts w:ascii="宋体" w:hAnsi="宋体"/>
          <w:b/>
          <w:sz w:val="24"/>
          <w:szCs w:val="24"/>
        </w:rPr>
      </w:pPr>
    </w:p>
    <w:p w14:paraId="5F732B99" w14:textId="605C6A8A" w:rsidR="00B23C4A" w:rsidRDefault="00B23C4A" w:rsidP="00AD032F">
      <w:pPr>
        <w:tabs>
          <w:tab w:val="left" w:pos="5013"/>
        </w:tabs>
        <w:spacing w:beforeLines="50" w:before="156" w:afterLines="50" w:after="156" w:line="360" w:lineRule="auto"/>
        <w:jc w:val="left"/>
        <w:rPr>
          <w:rFonts w:ascii="宋体" w:hAnsi="宋体"/>
          <w:b/>
          <w:sz w:val="24"/>
          <w:szCs w:val="24"/>
        </w:rPr>
      </w:pPr>
    </w:p>
    <w:p w14:paraId="547027CB" w14:textId="6DB373A8" w:rsidR="00B23C4A" w:rsidRDefault="00B23C4A" w:rsidP="00AD032F">
      <w:pPr>
        <w:tabs>
          <w:tab w:val="left" w:pos="5013"/>
        </w:tabs>
        <w:spacing w:beforeLines="50" w:before="156" w:afterLines="50" w:after="156" w:line="360" w:lineRule="auto"/>
        <w:jc w:val="left"/>
        <w:rPr>
          <w:rFonts w:ascii="宋体" w:hAnsi="宋体"/>
          <w:b/>
          <w:sz w:val="24"/>
          <w:szCs w:val="24"/>
        </w:rPr>
      </w:pPr>
    </w:p>
    <w:p w14:paraId="1868D6DD" w14:textId="0907A63E" w:rsidR="00B23C4A" w:rsidRDefault="00B23C4A" w:rsidP="00AD032F">
      <w:pPr>
        <w:tabs>
          <w:tab w:val="left" w:pos="5013"/>
        </w:tabs>
        <w:spacing w:beforeLines="50" w:before="156" w:afterLines="50" w:after="156" w:line="360" w:lineRule="auto"/>
        <w:jc w:val="left"/>
        <w:rPr>
          <w:rFonts w:ascii="宋体" w:hAnsi="宋体"/>
          <w:b/>
          <w:sz w:val="24"/>
          <w:szCs w:val="24"/>
        </w:rPr>
      </w:pPr>
    </w:p>
    <w:p w14:paraId="058156B8" w14:textId="4DE87B2D" w:rsidR="00B23C4A" w:rsidRDefault="00B23C4A" w:rsidP="00AD032F">
      <w:pPr>
        <w:tabs>
          <w:tab w:val="left" w:pos="5013"/>
        </w:tabs>
        <w:spacing w:beforeLines="50" w:before="156" w:afterLines="50" w:after="156" w:line="360" w:lineRule="auto"/>
        <w:jc w:val="left"/>
        <w:rPr>
          <w:rFonts w:ascii="宋体" w:hAnsi="宋体"/>
          <w:b/>
          <w:sz w:val="24"/>
          <w:szCs w:val="24"/>
        </w:rPr>
      </w:pPr>
    </w:p>
    <w:p w14:paraId="6ACA5F3D" w14:textId="70B48498" w:rsidR="00B23C4A" w:rsidRDefault="00B23C4A" w:rsidP="00AD032F">
      <w:pPr>
        <w:tabs>
          <w:tab w:val="left" w:pos="5013"/>
        </w:tabs>
        <w:spacing w:beforeLines="50" w:before="156" w:afterLines="50" w:after="156" w:line="360" w:lineRule="auto"/>
        <w:jc w:val="left"/>
        <w:rPr>
          <w:rFonts w:ascii="宋体" w:hAnsi="宋体"/>
          <w:b/>
          <w:sz w:val="24"/>
          <w:szCs w:val="24"/>
        </w:rPr>
      </w:pPr>
    </w:p>
    <w:p w14:paraId="22317B17" w14:textId="77777777" w:rsidR="00B23C4A" w:rsidRDefault="00B23C4A" w:rsidP="00830575">
      <w:pPr>
        <w:spacing w:beforeLines="50" w:before="156" w:afterLines="50" w:after="156"/>
        <w:rPr>
          <w:rFonts w:ascii="黑体" w:eastAsia="黑体"/>
          <w:b/>
          <w:sz w:val="36"/>
          <w:szCs w:val="36"/>
        </w:rPr>
      </w:pPr>
    </w:p>
    <w:p w14:paraId="488D6DF9" w14:textId="12A38139" w:rsidR="004912D7" w:rsidRDefault="004912D7" w:rsidP="001B02B5">
      <w:pPr>
        <w:pStyle w:val="11"/>
        <w:rPr>
          <w:rFonts w:ascii="楷体_GB2312" w:eastAsia="楷体_GB2312" w:hAnsi="宋体"/>
          <w:szCs w:val="21"/>
        </w:rPr>
      </w:pPr>
      <w:bookmarkStart w:id="85" w:name="_Toc105023926"/>
      <w:r>
        <w:rPr>
          <w:rFonts w:hint="eastAsia"/>
        </w:rPr>
        <w:lastRenderedPageBreak/>
        <w:t>参考文献</w:t>
      </w:r>
      <w:bookmarkEnd w:id="85"/>
    </w:p>
    <w:p w14:paraId="3515BFB6" w14:textId="77777777" w:rsidR="008E6D09" w:rsidRDefault="008E6D09" w:rsidP="008E6D09">
      <w:pPr>
        <w:wordWrap w:val="0"/>
        <w:spacing w:line="360" w:lineRule="auto"/>
        <w:rPr>
          <w:rFonts w:ascii="宋体" w:hAnsi="宋体"/>
          <w:sz w:val="24"/>
        </w:rPr>
      </w:pPr>
      <w:bookmarkStart w:id="86" w:name="_Hlk104144031"/>
      <w:r w:rsidRPr="00751406">
        <w:rPr>
          <w:rFonts w:ascii="宋体" w:hAnsi="宋体"/>
          <w:sz w:val="24"/>
        </w:rPr>
        <w:t>[</w:t>
      </w:r>
      <w:r>
        <w:rPr>
          <w:rFonts w:ascii="宋体" w:hAnsi="宋体"/>
          <w:sz w:val="24"/>
        </w:rPr>
        <w:t>1</w:t>
      </w:r>
      <w:r w:rsidRPr="00751406">
        <w:rPr>
          <w:rFonts w:ascii="宋体" w:hAnsi="宋体"/>
          <w:sz w:val="24"/>
        </w:rPr>
        <w:t>]Baker,M.,Compers,P.An</w:t>
      </w:r>
      <w:r>
        <w:rPr>
          <w:rFonts w:ascii="宋体" w:hAnsi="宋体"/>
          <w:sz w:val="24"/>
        </w:rPr>
        <w:t xml:space="preserve"> </w:t>
      </w:r>
      <w:r w:rsidRPr="00751406">
        <w:rPr>
          <w:rFonts w:ascii="宋体" w:hAnsi="宋体"/>
          <w:sz w:val="24"/>
        </w:rPr>
        <w:t>Analysis</w:t>
      </w:r>
      <w:r>
        <w:rPr>
          <w:rFonts w:ascii="宋体" w:hAnsi="宋体"/>
          <w:sz w:val="24"/>
        </w:rPr>
        <w:t xml:space="preserve"> </w:t>
      </w:r>
      <w:r w:rsidRPr="00751406">
        <w:rPr>
          <w:rFonts w:ascii="宋体" w:hAnsi="宋体"/>
          <w:sz w:val="24"/>
        </w:rPr>
        <w:t>of</w:t>
      </w:r>
      <w:r>
        <w:rPr>
          <w:rFonts w:ascii="宋体" w:hAnsi="宋体"/>
          <w:sz w:val="24"/>
        </w:rPr>
        <w:t xml:space="preserve"> </w:t>
      </w:r>
      <w:r w:rsidRPr="00751406">
        <w:rPr>
          <w:rFonts w:ascii="宋体" w:hAnsi="宋体"/>
          <w:sz w:val="24"/>
        </w:rPr>
        <w:t>Executive</w:t>
      </w:r>
      <w:r>
        <w:rPr>
          <w:rFonts w:ascii="宋体" w:hAnsi="宋体"/>
          <w:sz w:val="24"/>
        </w:rPr>
        <w:t xml:space="preserve"> </w:t>
      </w:r>
      <w:r w:rsidRPr="00751406">
        <w:rPr>
          <w:rFonts w:ascii="宋体" w:hAnsi="宋体"/>
          <w:sz w:val="24"/>
        </w:rPr>
        <w:t>Compensation,</w:t>
      </w:r>
      <w:r>
        <w:rPr>
          <w:rFonts w:ascii="宋体" w:hAnsi="宋体"/>
          <w:sz w:val="24"/>
        </w:rPr>
        <w:t xml:space="preserve"> </w:t>
      </w:r>
      <w:r w:rsidRPr="00751406">
        <w:rPr>
          <w:rFonts w:ascii="宋体" w:hAnsi="宋体"/>
          <w:sz w:val="24"/>
        </w:rPr>
        <w:t>Ownership,</w:t>
      </w:r>
      <w:r>
        <w:rPr>
          <w:rFonts w:ascii="宋体" w:hAnsi="宋体"/>
          <w:sz w:val="24"/>
        </w:rPr>
        <w:t xml:space="preserve"> </w:t>
      </w:r>
      <w:r w:rsidRPr="00751406">
        <w:rPr>
          <w:rFonts w:ascii="宋体" w:hAnsi="宋体"/>
          <w:sz w:val="24"/>
        </w:rPr>
        <w:t>and</w:t>
      </w:r>
      <w:r>
        <w:rPr>
          <w:rFonts w:ascii="宋体" w:hAnsi="宋体"/>
          <w:sz w:val="24"/>
        </w:rPr>
        <w:t xml:space="preserve"> </w:t>
      </w:r>
      <w:r w:rsidRPr="00751406">
        <w:rPr>
          <w:rFonts w:ascii="宋体" w:hAnsi="宋体"/>
          <w:sz w:val="24"/>
        </w:rPr>
        <w:t>Control</w:t>
      </w:r>
      <w:r>
        <w:rPr>
          <w:rFonts w:ascii="宋体" w:hAnsi="宋体"/>
          <w:sz w:val="24"/>
        </w:rPr>
        <w:t xml:space="preserve"> </w:t>
      </w:r>
      <w:r w:rsidRPr="00751406">
        <w:rPr>
          <w:rFonts w:ascii="宋体" w:hAnsi="宋体"/>
          <w:sz w:val="24"/>
        </w:rPr>
        <w:t>in</w:t>
      </w:r>
      <w:r>
        <w:rPr>
          <w:rFonts w:ascii="宋体" w:hAnsi="宋体"/>
          <w:sz w:val="24"/>
        </w:rPr>
        <w:t xml:space="preserve"> </w:t>
      </w:r>
      <w:r w:rsidRPr="00751406">
        <w:rPr>
          <w:rFonts w:ascii="宋体" w:hAnsi="宋体"/>
          <w:sz w:val="24"/>
        </w:rPr>
        <w:t>Entrepreneurial</w:t>
      </w:r>
      <w:r>
        <w:rPr>
          <w:rFonts w:ascii="宋体" w:hAnsi="宋体"/>
          <w:sz w:val="24"/>
        </w:rPr>
        <w:t xml:space="preserve"> </w:t>
      </w:r>
      <w:r w:rsidRPr="00751406">
        <w:rPr>
          <w:rFonts w:ascii="宋体" w:hAnsi="宋体"/>
          <w:sz w:val="24"/>
        </w:rPr>
        <w:t>Firms</w:t>
      </w:r>
      <w:r>
        <w:rPr>
          <w:rFonts w:ascii="宋体" w:hAnsi="宋体"/>
          <w:sz w:val="24"/>
        </w:rPr>
        <w:t xml:space="preserve"> </w:t>
      </w:r>
      <w:r w:rsidRPr="00751406">
        <w:rPr>
          <w:rFonts w:ascii="宋体" w:hAnsi="宋体"/>
          <w:sz w:val="24"/>
        </w:rPr>
        <w:t>[C].Harvard</w:t>
      </w:r>
      <w:r>
        <w:rPr>
          <w:rFonts w:ascii="宋体" w:hAnsi="宋体"/>
          <w:sz w:val="24"/>
        </w:rPr>
        <w:t xml:space="preserve"> </w:t>
      </w:r>
      <w:r w:rsidRPr="00751406">
        <w:rPr>
          <w:rFonts w:ascii="宋体" w:hAnsi="宋体"/>
          <w:sz w:val="24"/>
        </w:rPr>
        <w:t>University</w:t>
      </w:r>
      <w:r>
        <w:rPr>
          <w:rFonts w:ascii="宋体" w:hAnsi="宋体"/>
          <w:sz w:val="24"/>
        </w:rPr>
        <w:t xml:space="preserve"> </w:t>
      </w:r>
      <w:r w:rsidRPr="00751406">
        <w:rPr>
          <w:rFonts w:ascii="宋体" w:hAnsi="宋体"/>
          <w:sz w:val="24"/>
        </w:rPr>
        <w:t>Working</w:t>
      </w:r>
      <w:r>
        <w:rPr>
          <w:rFonts w:ascii="宋体" w:hAnsi="宋体"/>
          <w:sz w:val="24"/>
        </w:rPr>
        <w:t xml:space="preserve"> </w:t>
      </w:r>
      <w:r w:rsidRPr="00751406">
        <w:rPr>
          <w:rFonts w:ascii="宋体" w:hAnsi="宋体"/>
          <w:sz w:val="24"/>
        </w:rPr>
        <w:t>Paper,2004,12(2):61-71.</w:t>
      </w:r>
    </w:p>
    <w:p w14:paraId="1E68752C" w14:textId="77777777" w:rsidR="008E6D09" w:rsidRDefault="008E6D09" w:rsidP="008E6D09">
      <w:pPr>
        <w:spacing w:line="360" w:lineRule="auto"/>
        <w:rPr>
          <w:rFonts w:ascii="楷体_GB2312" w:eastAsia="楷体_GB2312" w:hAnsi="宋体"/>
          <w:color w:val="FF0000"/>
        </w:rPr>
      </w:pPr>
      <w:r>
        <w:rPr>
          <w:rFonts w:ascii="宋体" w:hAnsi="宋体" w:hint="eastAsia"/>
          <w:sz w:val="24"/>
        </w:rPr>
        <w:t>[</w:t>
      </w:r>
      <w:r>
        <w:rPr>
          <w:rFonts w:ascii="宋体" w:hAnsi="宋体"/>
          <w:sz w:val="24"/>
        </w:rPr>
        <w:t>2</w:t>
      </w:r>
      <w:r>
        <w:rPr>
          <w:rFonts w:ascii="宋体" w:hAnsi="宋体" w:hint="eastAsia"/>
          <w:sz w:val="24"/>
        </w:rPr>
        <w:t>]</w:t>
      </w:r>
      <w:r w:rsidRPr="00B67485">
        <w:rPr>
          <w:rFonts w:ascii="宋体" w:hAnsi="宋体"/>
          <w:sz w:val="24"/>
        </w:rPr>
        <w:t>Freeman,R.E.</w:t>
      </w:r>
      <w:r>
        <w:rPr>
          <w:rFonts w:ascii="宋体" w:hAnsi="宋体"/>
          <w:sz w:val="24"/>
        </w:rPr>
        <w:t xml:space="preserve"> </w:t>
      </w:r>
      <w:r w:rsidRPr="00B67485">
        <w:rPr>
          <w:rFonts w:ascii="宋体" w:hAnsi="宋体"/>
          <w:sz w:val="24"/>
        </w:rPr>
        <w:t>Strategic Manage</w:t>
      </w:r>
      <w:r>
        <w:rPr>
          <w:rFonts w:ascii="宋体" w:hAnsi="宋体"/>
          <w:sz w:val="24"/>
        </w:rPr>
        <w:t>m</w:t>
      </w:r>
      <w:r w:rsidRPr="00B67485">
        <w:rPr>
          <w:rFonts w:ascii="宋体" w:hAnsi="宋体"/>
          <w:sz w:val="24"/>
        </w:rPr>
        <w:t>ent: A stakeholder approach[M]. Boston: Pitman, 1984.</w:t>
      </w:r>
      <w:r>
        <w:rPr>
          <w:rFonts w:ascii="楷体_GB2312" w:eastAsia="楷体_GB2312" w:hAnsi="宋体" w:hint="eastAsia"/>
          <w:color w:val="FF0000"/>
        </w:rPr>
        <w:t xml:space="preserve"> </w:t>
      </w:r>
    </w:p>
    <w:p w14:paraId="2863DA79" w14:textId="77777777" w:rsidR="008E6D09" w:rsidRPr="00B91611" w:rsidRDefault="008E6D09" w:rsidP="008E6D09">
      <w:pPr>
        <w:spacing w:line="360" w:lineRule="auto"/>
        <w:rPr>
          <w:rFonts w:ascii="宋体" w:hAnsi="宋体"/>
          <w:sz w:val="24"/>
        </w:rPr>
      </w:pPr>
      <w:r w:rsidRPr="00751406">
        <w:rPr>
          <w:rFonts w:ascii="宋体" w:hAnsi="宋体" w:hint="eastAsia"/>
          <w:sz w:val="24"/>
        </w:rPr>
        <w:t>[</w:t>
      </w:r>
      <w:r>
        <w:rPr>
          <w:rFonts w:ascii="宋体" w:hAnsi="宋体"/>
          <w:sz w:val="24"/>
        </w:rPr>
        <w:t>3</w:t>
      </w:r>
      <w:r w:rsidRPr="00751406">
        <w:rPr>
          <w:rFonts w:ascii="宋体" w:hAnsi="宋体" w:hint="eastAsia"/>
          <w:sz w:val="24"/>
        </w:rPr>
        <w:t>]</w:t>
      </w:r>
      <w:r w:rsidRPr="00B7219A">
        <w:t xml:space="preserve"> </w:t>
      </w:r>
      <w:r w:rsidRPr="00B7219A">
        <w:rPr>
          <w:rFonts w:ascii="宋体" w:hAnsi="宋体"/>
          <w:sz w:val="24"/>
        </w:rPr>
        <w:t>Hong-Mei Zhang,Ya-Zhong Chen,Zhe Wang. Research on the performance evaluation of government venture capital fund based on factor analysis and DEA model[J]. Journal of Risk Analysis and Crisis Response (JRACR),2016,6(1).</w:t>
      </w:r>
    </w:p>
    <w:p w14:paraId="19C1245C" w14:textId="77777777" w:rsidR="008E6D09" w:rsidRPr="00B91611" w:rsidRDefault="008E6D09" w:rsidP="008E6D09">
      <w:pPr>
        <w:spacing w:line="360" w:lineRule="auto"/>
        <w:rPr>
          <w:rFonts w:ascii="宋体" w:hAnsi="宋体"/>
          <w:sz w:val="24"/>
        </w:rPr>
      </w:pPr>
      <w:r>
        <w:rPr>
          <w:rFonts w:ascii="宋体" w:hAnsi="宋体" w:hint="eastAsia"/>
          <w:sz w:val="24"/>
        </w:rPr>
        <w:t>[</w:t>
      </w:r>
      <w:r>
        <w:rPr>
          <w:rFonts w:ascii="宋体" w:hAnsi="宋体"/>
          <w:sz w:val="24"/>
        </w:rPr>
        <w:t>4</w:t>
      </w:r>
      <w:r>
        <w:rPr>
          <w:rFonts w:ascii="宋体" w:hAnsi="宋体" w:hint="eastAsia"/>
          <w:sz w:val="24"/>
        </w:rPr>
        <w:t>]</w:t>
      </w:r>
      <w:r w:rsidRPr="00B67485">
        <w:rPr>
          <w:rFonts w:ascii="宋体" w:hAnsi="宋体"/>
          <w:sz w:val="24"/>
        </w:rPr>
        <w:t>Jo,Hental</w:t>
      </w:r>
      <w:r>
        <w:rPr>
          <w:rFonts w:ascii="宋体" w:hAnsi="宋体"/>
          <w:sz w:val="24"/>
        </w:rPr>
        <w:t xml:space="preserve"> </w:t>
      </w:r>
      <w:r w:rsidRPr="00B67485">
        <w:rPr>
          <w:rFonts w:ascii="宋体" w:hAnsi="宋体"/>
          <w:sz w:val="24"/>
        </w:rPr>
        <w:t>Responsibility</w:t>
      </w:r>
      <w:r>
        <w:rPr>
          <w:rFonts w:ascii="宋体" w:hAnsi="宋体"/>
          <w:sz w:val="24"/>
        </w:rPr>
        <w:t xml:space="preserve"> </w:t>
      </w:r>
      <w:r w:rsidRPr="00B67485">
        <w:rPr>
          <w:rFonts w:ascii="宋体" w:hAnsi="宋体"/>
          <w:sz w:val="24"/>
        </w:rPr>
        <w:t>and</w:t>
      </w:r>
      <w:r>
        <w:rPr>
          <w:rFonts w:ascii="宋体" w:hAnsi="宋体"/>
          <w:sz w:val="24"/>
        </w:rPr>
        <w:t xml:space="preserve"> </w:t>
      </w:r>
      <w:r w:rsidRPr="00B67485">
        <w:rPr>
          <w:rFonts w:ascii="宋体" w:hAnsi="宋体"/>
          <w:sz w:val="24"/>
        </w:rPr>
        <w:t>Firm</w:t>
      </w:r>
      <w:r>
        <w:rPr>
          <w:rFonts w:ascii="宋体" w:hAnsi="宋体"/>
          <w:sz w:val="24"/>
        </w:rPr>
        <w:t xml:space="preserve"> </w:t>
      </w:r>
      <w:r w:rsidRPr="00B67485">
        <w:rPr>
          <w:rFonts w:ascii="宋体" w:hAnsi="宋体"/>
          <w:sz w:val="24"/>
        </w:rPr>
        <w:t>Performance</w:t>
      </w:r>
      <w:r>
        <w:rPr>
          <w:rFonts w:ascii="宋体" w:hAnsi="宋体"/>
          <w:sz w:val="24"/>
        </w:rPr>
        <w:t xml:space="preserve"> </w:t>
      </w:r>
      <w:r w:rsidRPr="00B67485">
        <w:rPr>
          <w:rFonts w:ascii="宋体" w:hAnsi="宋体"/>
          <w:sz w:val="24"/>
        </w:rPr>
        <w:t>in</w:t>
      </w:r>
      <w:r>
        <w:rPr>
          <w:rFonts w:ascii="宋体" w:hAnsi="宋体"/>
          <w:sz w:val="24"/>
        </w:rPr>
        <w:t xml:space="preserve"> </w:t>
      </w:r>
      <w:r w:rsidRPr="00B67485">
        <w:rPr>
          <w:rFonts w:ascii="宋体" w:hAnsi="宋体"/>
          <w:sz w:val="24"/>
        </w:rPr>
        <w:t>the</w:t>
      </w:r>
      <w:r>
        <w:rPr>
          <w:rFonts w:ascii="宋体" w:hAnsi="宋体"/>
          <w:sz w:val="24"/>
        </w:rPr>
        <w:t xml:space="preserve"> </w:t>
      </w:r>
      <w:r w:rsidRPr="00B67485">
        <w:rPr>
          <w:rFonts w:ascii="宋体" w:hAnsi="宋体"/>
          <w:sz w:val="24"/>
        </w:rPr>
        <w:t>Financial</w:t>
      </w:r>
      <w:r>
        <w:rPr>
          <w:rFonts w:ascii="宋体" w:hAnsi="宋体"/>
          <w:sz w:val="24"/>
        </w:rPr>
        <w:t xml:space="preserve"> </w:t>
      </w:r>
      <w:r w:rsidRPr="00B67485">
        <w:rPr>
          <w:rFonts w:ascii="宋体" w:hAnsi="宋体"/>
          <w:sz w:val="24"/>
        </w:rPr>
        <w:t>Services</w:t>
      </w:r>
      <w:r>
        <w:rPr>
          <w:rFonts w:ascii="宋体" w:hAnsi="宋体"/>
          <w:sz w:val="24"/>
        </w:rPr>
        <w:t xml:space="preserve"> </w:t>
      </w:r>
      <w:r w:rsidRPr="00B67485">
        <w:rPr>
          <w:rFonts w:ascii="宋体" w:hAnsi="宋体"/>
          <w:sz w:val="24"/>
        </w:rPr>
        <w:t>Sector[J].Journal</w:t>
      </w:r>
      <w:r>
        <w:rPr>
          <w:rFonts w:ascii="宋体" w:hAnsi="宋体"/>
          <w:sz w:val="24"/>
        </w:rPr>
        <w:t xml:space="preserve"> </w:t>
      </w:r>
      <w:r w:rsidRPr="00B67485">
        <w:rPr>
          <w:rFonts w:ascii="宋体" w:hAnsi="宋体"/>
          <w:sz w:val="24"/>
        </w:rPr>
        <w:t>of</w:t>
      </w:r>
      <w:r>
        <w:rPr>
          <w:rFonts w:ascii="宋体" w:hAnsi="宋体"/>
          <w:sz w:val="24"/>
        </w:rPr>
        <w:t xml:space="preserve"> </w:t>
      </w:r>
      <w:r w:rsidRPr="00B67485">
        <w:rPr>
          <w:rFonts w:ascii="宋体" w:hAnsi="宋体"/>
          <w:sz w:val="24"/>
        </w:rPr>
        <w:t>Business</w:t>
      </w:r>
      <w:r>
        <w:rPr>
          <w:rFonts w:ascii="宋体" w:hAnsi="宋体"/>
          <w:sz w:val="24"/>
        </w:rPr>
        <w:t xml:space="preserve"> </w:t>
      </w:r>
      <w:r w:rsidRPr="00B67485">
        <w:rPr>
          <w:rFonts w:ascii="宋体" w:hAnsi="宋体"/>
          <w:sz w:val="24"/>
        </w:rPr>
        <w:t>Ethics,2015,131(2):257-284.</w:t>
      </w:r>
    </w:p>
    <w:p w14:paraId="219C8D14" w14:textId="77777777" w:rsidR="008E6D09" w:rsidRDefault="008E6D09" w:rsidP="008E6D09">
      <w:pPr>
        <w:spacing w:line="360" w:lineRule="auto"/>
        <w:rPr>
          <w:rFonts w:ascii="宋体" w:hAnsi="宋体"/>
          <w:sz w:val="24"/>
        </w:rPr>
      </w:pPr>
      <w:r w:rsidRPr="00751406">
        <w:rPr>
          <w:rFonts w:ascii="宋体" w:hAnsi="宋体" w:hint="eastAsia"/>
          <w:sz w:val="24"/>
        </w:rPr>
        <w:t>[</w:t>
      </w:r>
      <w:r>
        <w:rPr>
          <w:rFonts w:ascii="宋体" w:hAnsi="宋体"/>
          <w:sz w:val="24"/>
        </w:rPr>
        <w:t>5</w:t>
      </w:r>
      <w:r w:rsidRPr="00751406">
        <w:rPr>
          <w:rFonts w:ascii="宋体" w:hAnsi="宋体" w:hint="eastAsia"/>
          <w:sz w:val="24"/>
        </w:rPr>
        <w:t>]</w:t>
      </w:r>
      <w:r w:rsidRPr="00C60B98">
        <w:rPr>
          <w:rFonts w:ascii="宋体" w:hAnsi="宋体"/>
          <w:sz w:val="24"/>
        </w:rPr>
        <w:t>Jun Gao,Niall O’Sullivan,</w:t>
      </w:r>
      <w:r>
        <w:rPr>
          <w:rFonts w:ascii="宋体" w:hAnsi="宋体"/>
          <w:sz w:val="24"/>
        </w:rPr>
        <w:t xml:space="preserve"> </w:t>
      </w:r>
      <w:r w:rsidRPr="00C60B98">
        <w:rPr>
          <w:rFonts w:ascii="宋体" w:hAnsi="宋体"/>
          <w:sz w:val="24"/>
        </w:rPr>
        <w:t>Meadhbh Sherman. An evaluation of Chinese securities investment fund performance[J]. Quarterly Review of Economics and Finance,2020,76.</w:t>
      </w:r>
    </w:p>
    <w:p w14:paraId="0DDCFFD3" w14:textId="77777777" w:rsidR="008E6D09" w:rsidRDefault="008E6D09" w:rsidP="008E6D09">
      <w:pPr>
        <w:wordWrap w:val="0"/>
        <w:spacing w:line="360" w:lineRule="auto"/>
        <w:rPr>
          <w:rFonts w:ascii="宋体" w:hAnsi="宋体"/>
          <w:sz w:val="24"/>
        </w:rPr>
      </w:pPr>
      <w:r w:rsidRPr="00751406">
        <w:rPr>
          <w:rFonts w:ascii="宋体" w:hAnsi="宋体"/>
          <w:sz w:val="24"/>
        </w:rPr>
        <w:t>[</w:t>
      </w:r>
      <w:r>
        <w:rPr>
          <w:rFonts w:ascii="宋体" w:hAnsi="宋体"/>
          <w:sz w:val="24"/>
        </w:rPr>
        <w:t>6</w:t>
      </w:r>
      <w:r w:rsidRPr="00751406">
        <w:rPr>
          <w:rFonts w:ascii="宋体" w:hAnsi="宋体"/>
          <w:sz w:val="24"/>
        </w:rPr>
        <w:t>]Martin,P.R.,Moser,D.V.</w:t>
      </w:r>
      <w:r>
        <w:rPr>
          <w:rFonts w:ascii="宋体" w:hAnsi="宋体"/>
          <w:sz w:val="24"/>
        </w:rPr>
        <w:t xml:space="preserve"> </w:t>
      </w:r>
      <w:r w:rsidRPr="00751406">
        <w:rPr>
          <w:rFonts w:ascii="宋体" w:hAnsi="宋体"/>
          <w:sz w:val="24"/>
        </w:rPr>
        <w:t>Managers’Green</w:t>
      </w:r>
      <w:r>
        <w:rPr>
          <w:rFonts w:ascii="宋体" w:hAnsi="宋体"/>
          <w:sz w:val="24"/>
        </w:rPr>
        <w:t xml:space="preserve"> </w:t>
      </w:r>
      <w:r w:rsidRPr="00751406">
        <w:rPr>
          <w:rFonts w:ascii="宋体" w:hAnsi="宋体"/>
          <w:sz w:val="24"/>
        </w:rPr>
        <w:t>Investment</w:t>
      </w:r>
      <w:r>
        <w:rPr>
          <w:rFonts w:ascii="宋体" w:hAnsi="宋体"/>
          <w:sz w:val="24"/>
        </w:rPr>
        <w:t xml:space="preserve"> </w:t>
      </w:r>
      <w:r w:rsidRPr="00751406">
        <w:rPr>
          <w:rFonts w:ascii="宋体" w:hAnsi="宋体"/>
          <w:sz w:val="24"/>
        </w:rPr>
        <w:t>Disclosures</w:t>
      </w:r>
      <w:r>
        <w:rPr>
          <w:rFonts w:ascii="宋体" w:hAnsi="宋体"/>
          <w:sz w:val="24"/>
        </w:rPr>
        <w:t xml:space="preserve"> </w:t>
      </w:r>
      <w:r w:rsidRPr="00751406">
        <w:rPr>
          <w:rFonts w:ascii="宋体" w:hAnsi="宋体"/>
          <w:sz w:val="24"/>
        </w:rPr>
        <w:t>and</w:t>
      </w:r>
      <w:r>
        <w:rPr>
          <w:rFonts w:ascii="宋体" w:hAnsi="宋体"/>
          <w:sz w:val="24"/>
        </w:rPr>
        <w:t xml:space="preserve"> </w:t>
      </w:r>
      <w:r w:rsidRPr="00751406">
        <w:rPr>
          <w:rFonts w:ascii="宋体" w:hAnsi="宋体"/>
          <w:sz w:val="24"/>
        </w:rPr>
        <w:t>Investors</w:t>
      </w:r>
      <w:r>
        <w:rPr>
          <w:rFonts w:ascii="宋体" w:hAnsi="宋体"/>
          <w:sz w:val="24"/>
        </w:rPr>
        <w:t xml:space="preserve"> </w:t>
      </w:r>
      <w:r w:rsidRPr="00751406">
        <w:rPr>
          <w:rFonts w:ascii="宋体" w:hAnsi="宋体"/>
          <w:sz w:val="24"/>
        </w:rPr>
        <w:t>Reaction[J].Journal</w:t>
      </w:r>
      <w:r>
        <w:rPr>
          <w:rFonts w:ascii="宋体" w:hAnsi="宋体"/>
          <w:sz w:val="24"/>
        </w:rPr>
        <w:t xml:space="preserve"> </w:t>
      </w:r>
      <w:r w:rsidRPr="00751406">
        <w:rPr>
          <w:rFonts w:ascii="宋体" w:hAnsi="宋体"/>
          <w:sz w:val="24"/>
        </w:rPr>
        <w:t>of</w:t>
      </w:r>
      <w:r>
        <w:rPr>
          <w:rFonts w:ascii="宋体" w:hAnsi="宋体"/>
          <w:sz w:val="24"/>
        </w:rPr>
        <w:t xml:space="preserve"> </w:t>
      </w:r>
      <w:r w:rsidRPr="00751406">
        <w:rPr>
          <w:rFonts w:ascii="宋体" w:hAnsi="宋体"/>
          <w:sz w:val="24"/>
        </w:rPr>
        <w:t>Accounting</w:t>
      </w:r>
      <w:r>
        <w:rPr>
          <w:rFonts w:ascii="宋体" w:hAnsi="宋体"/>
          <w:sz w:val="24"/>
        </w:rPr>
        <w:t xml:space="preserve"> </w:t>
      </w:r>
      <w:r w:rsidRPr="00751406">
        <w:rPr>
          <w:rFonts w:ascii="宋体" w:hAnsi="宋体"/>
          <w:sz w:val="24"/>
        </w:rPr>
        <w:t>and</w:t>
      </w:r>
      <w:r>
        <w:rPr>
          <w:rFonts w:ascii="宋体" w:hAnsi="宋体"/>
          <w:sz w:val="24"/>
        </w:rPr>
        <w:t xml:space="preserve"> </w:t>
      </w:r>
      <w:r w:rsidRPr="00751406">
        <w:rPr>
          <w:rFonts w:ascii="宋体" w:hAnsi="宋体"/>
          <w:sz w:val="24"/>
        </w:rPr>
        <w:t>Economics,2017,161(2):239-254.</w:t>
      </w:r>
    </w:p>
    <w:p w14:paraId="724F0708" w14:textId="77777777" w:rsidR="008E6D09" w:rsidRPr="00B64274" w:rsidRDefault="008E6D09" w:rsidP="008E6D09">
      <w:pPr>
        <w:wordWrap w:val="0"/>
        <w:spacing w:line="360" w:lineRule="auto"/>
        <w:rPr>
          <w:rFonts w:ascii="宋体" w:hAnsi="宋体"/>
          <w:sz w:val="24"/>
        </w:rPr>
      </w:pPr>
      <w:r w:rsidRPr="00751406">
        <w:rPr>
          <w:rFonts w:ascii="宋体" w:hAnsi="宋体"/>
          <w:sz w:val="24"/>
        </w:rPr>
        <w:t>[</w:t>
      </w:r>
      <w:r>
        <w:rPr>
          <w:rFonts w:ascii="宋体" w:hAnsi="宋体"/>
          <w:sz w:val="24"/>
        </w:rPr>
        <w:t>7</w:t>
      </w:r>
      <w:r w:rsidRPr="00751406">
        <w:rPr>
          <w:rFonts w:ascii="宋体" w:hAnsi="宋体"/>
          <w:sz w:val="24"/>
        </w:rPr>
        <w:t>]Saunila,M.,Ukko,J.,Rantala,T.</w:t>
      </w:r>
      <w:r>
        <w:rPr>
          <w:rFonts w:ascii="宋体" w:hAnsi="宋体"/>
          <w:sz w:val="24"/>
        </w:rPr>
        <w:t xml:space="preserve"> </w:t>
      </w:r>
      <w:r w:rsidRPr="00751406">
        <w:rPr>
          <w:rFonts w:ascii="宋体" w:hAnsi="宋体"/>
          <w:sz w:val="24"/>
        </w:rPr>
        <w:t>Sustainability</w:t>
      </w:r>
      <w:r>
        <w:rPr>
          <w:rFonts w:ascii="宋体" w:hAnsi="宋体"/>
          <w:sz w:val="24"/>
        </w:rPr>
        <w:t xml:space="preserve"> </w:t>
      </w:r>
      <w:r w:rsidRPr="00751406">
        <w:rPr>
          <w:rFonts w:ascii="宋体" w:hAnsi="宋体"/>
          <w:sz w:val="24"/>
        </w:rPr>
        <w:t>as</w:t>
      </w:r>
      <w:r>
        <w:rPr>
          <w:rFonts w:ascii="宋体" w:hAnsi="宋体"/>
          <w:sz w:val="24"/>
        </w:rPr>
        <w:t xml:space="preserve"> </w:t>
      </w:r>
      <w:r w:rsidRPr="00751406">
        <w:rPr>
          <w:rFonts w:ascii="宋体" w:hAnsi="宋体"/>
          <w:sz w:val="24"/>
        </w:rPr>
        <w:t>a</w:t>
      </w:r>
      <w:r>
        <w:rPr>
          <w:rFonts w:ascii="宋体" w:hAnsi="宋体"/>
          <w:sz w:val="24"/>
        </w:rPr>
        <w:t xml:space="preserve"> </w:t>
      </w:r>
      <w:r w:rsidRPr="00751406">
        <w:rPr>
          <w:rFonts w:ascii="宋体" w:hAnsi="宋体"/>
          <w:sz w:val="24"/>
        </w:rPr>
        <w:t>Driver</w:t>
      </w:r>
      <w:r>
        <w:rPr>
          <w:rFonts w:ascii="宋体" w:hAnsi="宋体"/>
          <w:sz w:val="24"/>
        </w:rPr>
        <w:t xml:space="preserve"> </w:t>
      </w:r>
      <w:r w:rsidRPr="00751406">
        <w:rPr>
          <w:rFonts w:ascii="宋体" w:hAnsi="宋体"/>
          <w:sz w:val="24"/>
        </w:rPr>
        <w:t>of</w:t>
      </w:r>
      <w:r>
        <w:rPr>
          <w:rFonts w:ascii="宋体" w:hAnsi="宋体"/>
          <w:sz w:val="24"/>
        </w:rPr>
        <w:t xml:space="preserve"> </w:t>
      </w:r>
      <w:r w:rsidRPr="00751406">
        <w:rPr>
          <w:rFonts w:ascii="宋体" w:hAnsi="宋体"/>
          <w:sz w:val="24"/>
        </w:rPr>
        <w:t>Green</w:t>
      </w:r>
      <w:r>
        <w:rPr>
          <w:rFonts w:ascii="宋体" w:hAnsi="宋体"/>
          <w:sz w:val="24"/>
        </w:rPr>
        <w:t xml:space="preserve"> </w:t>
      </w:r>
      <w:r w:rsidRPr="00751406">
        <w:rPr>
          <w:rFonts w:ascii="宋体" w:hAnsi="宋体"/>
          <w:sz w:val="24"/>
        </w:rPr>
        <w:t>Innovation</w:t>
      </w:r>
      <w:r>
        <w:rPr>
          <w:rFonts w:ascii="宋体" w:hAnsi="宋体"/>
          <w:sz w:val="24"/>
        </w:rPr>
        <w:t xml:space="preserve"> </w:t>
      </w:r>
      <w:r w:rsidRPr="00751406">
        <w:rPr>
          <w:rFonts w:ascii="宋体" w:hAnsi="宋体"/>
          <w:sz w:val="24"/>
        </w:rPr>
        <w:t>Investment</w:t>
      </w:r>
      <w:r>
        <w:rPr>
          <w:rFonts w:ascii="宋体" w:hAnsi="宋体"/>
          <w:sz w:val="24"/>
        </w:rPr>
        <w:t xml:space="preserve"> </w:t>
      </w:r>
      <w:r w:rsidRPr="00751406">
        <w:rPr>
          <w:rFonts w:ascii="宋体" w:hAnsi="宋体"/>
          <w:sz w:val="24"/>
        </w:rPr>
        <w:t>and</w:t>
      </w:r>
      <w:r>
        <w:rPr>
          <w:rFonts w:ascii="宋体" w:hAnsi="宋体"/>
          <w:sz w:val="24"/>
        </w:rPr>
        <w:t xml:space="preserve"> </w:t>
      </w:r>
      <w:r w:rsidRPr="00751406">
        <w:rPr>
          <w:rFonts w:ascii="宋体" w:hAnsi="宋体"/>
          <w:sz w:val="24"/>
        </w:rPr>
        <w:t>Exploitation[J].Journal</w:t>
      </w:r>
      <w:r>
        <w:rPr>
          <w:rFonts w:ascii="宋体" w:hAnsi="宋体"/>
          <w:sz w:val="24"/>
        </w:rPr>
        <w:t xml:space="preserve"> </w:t>
      </w:r>
      <w:r w:rsidRPr="00751406">
        <w:rPr>
          <w:rFonts w:ascii="宋体" w:hAnsi="宋体"/>
          <w:sz w:val="24"/>
        </w:rPr>
        <w:t>of</w:t>
      </w:r>
      <w:r>
        <w:rPr>
          <w:rFonts w:ascii="宋体" w:hAnsi="宋体"/>
          <w:sz w:val="24"/>
        </w:rPr>
        <w:t xml:space="preserve"> </w:t>
      </w:r>
      <w:r w:rsidRPr="00751406">
        <w:rPr>
          <w:rFonts w:ascii="宋体" w:hAnsi="宋体"/>
          <w:sz w:val="24"/>
        </w:rPr>
        <w:t>Cleaner</w:t>
      </w:r>
      <w:r>
        <w:rPr>
          <w:rFonts w:ascii="宋体" w:hAnsi="宋体"/>
          <w:sz w:val="24"/>
        </w:rPr>
        <w:t xml:space="preserve"> </w:t>
      </w:r>
      <w:r w:rsidRPr="00751406">
        <w:rPr>
          <w:rFonts w:ascii="宋体" w:hAnsi="宋体"/>
          <w:sz w:val="24"/>
        </w:rPr>
        <w:t>Production,2018,179(2):631-641.</w:t>
      </w:r>
    </w:p>
    <w:p w14:paraId="5CCDC5C0" w14:textId="77777777" w:rsidR="008E6D09" w:rsidRPr="00751406" w:rsidRDefault="008E6D09" w:rsidP="008E6D09">
      <w:pPr>
        <w:wordWrap w:val="0"/>
        <w:spacing w:line="360" w:lineRule="auto"/>
        <w:rPr>
          <w:rFonts w:ascii="宋体" w:hAnsi="宋体"/>
          <w:sz w:val="24"/>
        </w:rPr>
      </w:pPr>
      <w:r w:rsidRPr="00751406">
        <w:rPr>
          <w:rFonts w:ascii="宋体" w:hAnsi="宋体"/>
          <w:sz w:val="24"/>
        </w:rPr>
        <w:t>[</w:t>
      </w:r>
      <w:r>
        <w:rPr>
          <w:rFonts w:ascii="宋体" w:hAnsi="宋体"/>
          <w:sz w:val="24"/>
        </w:rPr>
        <w:t>8</w:t>
      </w:r>
      <w:r w:rsidRPr="00751406">
        <w:rPr>
          <w:rFonts w:ascii="宋体" w:hAnsi="宋体"/>
          <w:sz w:val="24"/>
        </w:rPr>
        <w:t>]Theyel,G.</w:t>
      </w:r>
      <w:r>
        <w:rPr>
          <w:rFonts w:ascii="宋体" w:hAnsi="宋体"/>
          <w:sz w:val="24"/>
        </w:rPr>
        <w:t xml:space="preserve"> </w:t>
      </w:r>
      <w:r w:rsidRPr="00751406">
        <w:rPr>
          <w:rFonts w:ascii="宋体" w:hAnsi="宋体"/>
          <w:sz w:val="24"/>
        </w:rPr>
        <w:t>Management</w:t>
      </w:r>
      <w:r>
        <w:rPr>
          <w:rFonts w:ascii="宋体" w:hAnsi="宋体"/>
          <w:sz w:val="24"/>
        </w:rPr>
        <w:t xml:space="preserve"> </w:t>
      </w:r>
      <w:r w:rsidRPr="00751406">
        <w:rPr>
          <w:rFonts w:ascii="宋体" w:hAnsi="宋体"/>
          <w:sz w:val="24"/>
        </w:rPr>
        <w:t>Practices</w:t>
      </w:r>
      <w:r>
        <w:rPr>
          <w:rFonts w:ascii="宋体" w:hAnsi="宋体"/>
          <w:sz w:val="24"/>
        </w:rPr>
        <w:t xml:space="preserve"> </w:t>
      </w:r>
      <w:r w:rsidRPr="00751406">
        <w:rPr>
          <w:rFonts w:ascii="宋体" w:hAnsi="宋体"/>
          <w:sz w:val="24"/>
        </w:rPr>
        <w:t>for</w:t>
      </w:r>
      <w:r>
        <w:rPr>
          <w:rFonts w:ascii="宋体" w:hAnsi="宋体"/>
          <w:sz w:val="24"/>
        </w:rPr>
        <w:t xml:space="preserve"> </w:t>
      </w:r>
      <w:r w:rsidRPr="00751406">
        <w:rPr>
          <w:rFonts w:ascii="宋体" w:hAnsi="宋体"/>
          <w:sz w:val="24"/>
        </w:rPr>
        <w:t>Environmental</w:t>
      </w:r>
      <w:r>
        <w:rPr>
          <w:rFonts w:ascii="宋体" w:hAnsi="宋体"/>
          <w:sz w:val="24"/>
        </w:rPr>
        <w:t xml:space="preserve"> </w:t>
      </w:r>
      <w:r w:rsidRPr="00751406">
        <w:rPr>
          <w:rFonts w:ascii="宋体" w:hAnsi="宋体"/>
          <w:sz w:val="24"/>
        </w:rPr>
        <w:t>Innovation</w:t>
      </w:r>
      <w:r>
        <w:rPr>
          <w:rFonts w:ascii="宋体" w:hAnsi="宋体"/>
          <w:sz w:val="24"/>
        </w:rPr>
        <w:t xml:space="preserve"> </w:t>
      </w:r>
      <w:r w:rsidRPr="00751406">
        <w:rPr>
          <w:rFonts w:ascii="宋体" w:hAnsi="宋体"/>
          <w:sz w:val="24"/>
        </w:rPr>
        <w:t>and</w:t>
      </w:r>
      <w:r>
        <w:rPr>
          <w:rFonts w:ascii="宋体" w:hAnsi="宋体"/>
          <w:sz w:val="24"/>
        </w:rPr>
        <w:t xml:space="preserve"> </w:t>
      </w:r>
      <w:r w:rsidRPr="00751406">
        <w:rPr>
          <w:rFonts w:ascii="宋体" w:hAnsi="宋体"/>
          <w:sz w:val="24"/>
        </w:rPr>
        <w:t>Performance[J].International</w:t>
      </w:r>
      <w:r>
        <w:rPr>
          <w:rFonts w:ascii="宋体" w:hAnsi="宋体"/>
          <w:sz w:val="24"/>
        </w:rPr>
        <w:t xml:space="preserve"> </w:t>
      </w:r>
      <w:r w:rsidRPr="00751406">
        <w:rPr>
          <w:rFonts w:ascii="宋体" w:hAnsi="宋体"/>
          <w:sz w:val="24"/>
        </w:rPr>
        <w:t>Journal</w:t>
      </w:r>
      <w:r>
        <w:rPr>
          <w:rFonts w:ascii="宋体" w:hAnsi="宋体"/>
          <w:sz w:val="24"/>
        </w:rPr>
        <w:t xml:space="preserve"> </w:t>
      </w:r>
      <w:r w:rsidRPr="00751406">
        <w:rPr>
          <w:rFonts w:ascii="宋体" w:hAnsi="宋体"/>
          <w:sz w:val="24"/>
        </w:rPr>
        <w:t>of</w:t>
      </w:r>
      <w:r>
        <w:rPr>
          <w:rFonts w:ascii="宋体" w:hAnsi="宋体"/>
          <w:sz w:val="24"/>
        </w:rPr>
        <w:t xml:space="preserve"> </w:t>
      </w:r>
      <w:r w:rsidRPr="00751406">
        <w:rPr>
          <w:rFonts w:ascii="宋体" w:hAnsi="宋体"/>
          <w:sz w:val="24"/>
        </w:rPr>
        <w:t>Operations</w:t>
      </w:r>
      <w:r>
        <w:rPr>
          <w:rFonts w:ascii="宋体" w:hAnsi="宋体"/>
          <w:sz w:val="24"/>
        </w:rPr>
        <w:t xml:space="preserve"> </w:t>
      </w:r>
      <w:r w:rsidRPr="00751406">
        <w:rPr>
          <w:rFonts w:ascii="宋体" w:hAnsi="宋体"/>
          <w:sz w:val="24"/>
        </w:rPr>
        <w:t>and</w:t>
      </w:r>
      <w:r>
        <w:rPr>
          <w:rFonts w:ascii="宋体" w:hAnsi="宋体"/>
          <w:sz w:val="24"/>
        </w:rPr>
        <w:t xml:space="preserve"> </w:t>
      </w:r>
      <w:r w:rsidRPr="00751406">
        <w:rPr>
          <w:rFonts w:ascii="宋体" w:hAnsi="宋体"/>
          <w:sz w:val="24"/>
        </w:rPr>
        <w:t>Production</w:t>
      </w:r>
      <w:r>
        <w:rPr>
          <w:rFonts w:ascii="宋体" w:hAnsi="宋体"/>
          <w:sz w:val="24"/>
        </w:rPr>
        <w:t xml:space="preserve"> </w:t>
      </w:r>
      <w:r w:rsidRPr="00751406">
        <w:rPr>
          <w:rFonts w:ascii="宋体" w:hAnsi="宋体"/>
          <w:sz w:val="24"/>
        </w:rPr>
        <w:t>Management,2010,20(2):249-266.</w:t>
      </w:r>
    </w:p>
    <w:p w14:paraId="48DFEA5E" w14:textId="77777777" w:rsidR="008E6D09" w:rsidRDefault="008E6D09" w:rsidP="008E6D09">
      <w:pPr>
        <w:wordWrap w:val="0"/>
        <w:spacing w:line="360" w:lineRule="auto"/>
        <w:rPr>
          <w:rFonts w:ascii="宋体" w:hAnsi="宋体"/>
          <w:sz w:val="24"/>
        </w:rPr>
      </w:pPr>
      <w:r w:rsidRPr="00751406">
        <w:rPr>
          <w:rFonts w:ascii="宋体" w:hAnsi="宋体" w:hint="eastAsia"/>
          <w:sz w:val="24"/>
        </w:rPr>
        <w:t>[</w:t>
      </w:r>
      <w:r>
        <w:rPr>
          <w:rFonts w:ascii="宋体" w:hAnsi="宋体"/>
          <w:sz w:val="24"/>
        </w:rPr>
        <w:t>9</w:t>
      </w:r>
      <w:r w:rsidRPr="00751406">
        <w:rPr>
          <w:rFonts w:ascii="宋体" w:hAnsi="宋体" w:hint="eastAsia"/>
          <w:sz w:val="24"/>
        </w:rPr>
        <w:t>]白重恩,刘俏,陆洲等.中国上市公司治理结构的实证研究[J].经济研究,</w:t>
      </w:r>
      <w:r w:rsidRPr="00751406">
        <w:rPr>
          <w:rFonts w:ascii="宋体" w:hAnsi="宋体"/>
          <w:sz w:val="24"/>
        </w:rPr>
        <w:t>2005(2):81-91.</w:t>
      </w:r>
    </w:p>
    <w:p w14:paraId="512EE240" w14:textId="77777777" w:rsidR="008E6D09" w:rsidRPr="00B673E6" w:rsidRDefault="008E6D09" w:rsidP="008E6D09">
      <w:pPr>
        <w:spacing w:line="360" w:lineRule="auto"/>
        <w:rPr>
          <w:rFonts w:ascii="宋体" w:hAnsi="宋体"/>
          <w:sz w:val="24"/>
        </w:rPr>
      </w:pPr>
      <w:r>
        <w:rPr>
          <w:rFonts w:ascii="宋体" w:hAnsi="宋体" w:hint="eastAsia"/>
          <w:sz w:val="24"/>
        </w:rPr>
        <w:t>[</w:t>
      </w:r>
      <w:r>
        <w:rPr>
          <w:rFonts w:ascii="宋体" w:hAnsi="宋体"/>
          <w:sz w:val="24"/>
        </w:rPr>
        <w:t>10</w:t>
      </w:r>
      <w:r>
        <w:rPr>
          <w:rFonts w:ascii="宋体" w:hAnsi="宋体" w:hint="eastAsia"/>
          <w:sz w:val="24"/>
        </w:rPr>
        <w:t>]</w:t>
      </w:r>
      <w:r w:rsidRPr="00DC35E9">
        <w:rPr>
          <w:rFonts w:hint="eastAsia"/>
        </w:rPr>
        <w:t xml:space="preserve"> </w:t>
      </w:r>
      <w:r w:rsidRPr="00DC35E9">
        <w:rPr>
          <w:rFonts w:ascii="宋体" w:hAnsi="宋体" w:hint="eastAsia"/>
          <w:sz w:val="24"/>
        </w:rPr>
        <w:t xml:space="preserve">陈明星,程嘉梵,周园,丁子津,马海涛.碳中和的缘起、实现路径与关键科学问题：气候变化与可持续城市化[J].自然资源学报,2022,37(05):1233-1246 </w:t>
      </w:r>
    </w:p>
    <w:p w14:paraId="0EAAA3BE" w14:textId="77777777" w:rsidR="008E6D09" w:rsidRPr="00B673E6" w:rsidRDefault="008E6D09" w:rsidP="008E6D09">
      <w:pPr>
        <w:wordWrap w:val="0"/>
        <w:spacing w:line="360" w:lineRule="auto"/>
        <w:rPr>
          <w:rFonts w:ascii="宋体" w:hAnsi="宋体"/>
          <w:sz w:val="24"/>
        </w:rPr>
      </w:pPr>
      <w:r w:rsidRPr="00751406">
        <w:rPr>
          <w:rFonts w:ascii="宋体" w:hAnsi="宋体" w:hint="eastAsia"/>
          <w:sz w:val="24"/>
        </w:rPr>
        <w:lastRenderedPageBreak/>
        <w:t>[1</w:t>
      </w:r>
      <w:r>
        <w:rPr>
          <w:rFonts w:ascii="宋体" w:hAnsi="宋体"/>
          <w:sz w:val="24"/>
        </w:rPr>
        <w:t>1</w:t>
      </w:r>
      <w:r w:rsidRPr="00751406">
        <w:rPr>
          <w:rFonts w:ascii="宋体" w:hAnsi="宋体" w:hint="eastAsia"/>
          <w:sz w:val="24"/>
        </w:rPr>
        <w:t>]李伟.中小板上市公司技术创新对企业绩效影响的实证研究-基于公司治理调节效应的视角[D].南京:南京工业大学,2014.</w:t>
      </w:r>
    </w:p>
    <w:p w14:paraId="4358787B" w14:textId="77777777" w:rsidR="008E6D09" w:rsidRDefault="008E6D09" w:rsidP="008E6D09">
      <w:pPr>
        <w:wordWrap w:val="0"/>
        <w:spacing w:line="360" w:lineRule="auto"/>
        <w:rPr>
          <w:rFonts w:ascii="宋体" w:hAnsi="宋体"/>
          <w:sz w:val="24"/>
        </w:rPr>
      </w:pPr>
      <w:r w:rsidRPr="00751406">
        <w:rPr>
          <w:rFonts w:ascii="宋体" w:hAnsi="宋体" w:hint="eastAsia"/>
          <w:sz w:val="24"/>
        </w:rPr>
        <w:t>[</w:t>
      </w:r>
      <w:r>
        <w:rPr>
          <w:rFonts w:ascii="宋体" w:hAnsi="宋体"/>
          <w:sz w:val="24"/>
        </w:rPr>
        <w:t>12</w:t>
      </w:r>
      <w:r w:rsidRPr="00751406">
        <w:rPr>
          <w:rFonts w:ascii="宋体" w:hAnsi="宋体" w:hint="eastAsia"/>
          <w:sz w:val="24"/>
        </w:rPr>
        <w:t>]黎文靖,路晓燕.机构投资者关注企业的环境绩效吗?——来自我国重污染行业上市公司的经验证据[J].金融研究,2015,426(12):97-112.</w:t>
      </w:r>
    </w:p>
    <w:p w14:paraId="3412D2F6" w14:textId="77777777" w:rsidR="008E6D09" w:rsidRPr="00B673E6" w:rsidRDefault="008E6D09" w:rsidP="008E6D09">
      <w:pPr>
        <w:wordWrap w:val="0"/>
        <w:spacing w:line="360" w:lineRule="auto"/>
        <w:rPr>
          <w:rFonts w:ascii="宋体" w:hAnsi="宋体"/>
          <w:sz w:val="24"/>
        </w:rPr>
      </w:pPr>
      <w:r w:rsidRPr="00751406">
        <w:rPr>
          <w:rFonts w:ascii="宋体" w:hAnsi="宋体" w:hint="eastAsia"/>
          <w:sz w:val="24"/>
        </w:rPr>
        <w:t>[1</w:t>
      </w:r>
      <w:r>
        <w:rPr>
          <w:rFonts w:ascii="宋体" w:hAnsi="宋体"/>
          <w:sz w:val="24"/>
        </w:rPr>
        <w:t>3</w:t>
      </w:r>
      <w:r w:rsidRPr="00751406">
        <w:rPr>
          <w:rFonts w:ascii="宋体" w:hAnsi="宋体" w:hint="eastAsia"/>
          <w:sz w:val="24"/>
        </w:rPr>
        <w:t>]靳玲.中小板上市公司股权结构与企业绩效关系实证研究[D].石家庄:河北地质大学,2016.</w:t>
      </w:r>
    </w:p>
    <w:p w14:paraId="5133FDC2" w14:textId="2B7373A0" w:rsidR="008E6D09" w:rsidRDefault="008E6D09" w:rsidP="008E6D09">
      <w:pPr>
        <w:spacing w:line="360" w:lineRule="auto"/>
        <w:rPr>
          <w:rFonts w:ascii="宋体" w:hAnsi="宋体"/>
          <w:sz w:val="24"/>
        </w:rPr>
      </w:pPr>
      <w:r>
        <w:rPr>
          <w:rFonts w:ascii="宋体" w:hAnsi="宋体" w:hint="eastAsia"/>
          <w:sz w:val="24"/>
        </w:rPr>
        <w:t>[1</w:t>
      </w:r>
      <w:r>
        <w:rPr>
          <w:rFonts w:ascii="宋体" w:hAnsi="宋体"/>
          <w:sz w:val="24"/>
        </w:rPr>
        <w:t>4</w:t>
      </w:r>
      <w:r>
        <w:rPr>
          <w:rFonts w:ascii="宋体" w:hAnsi="宋体" w:hint="eastAsia"/>
          <w:sz w:val="24"/>
        </w:rPr>
        <w:t>]</w:t>
      </w:r>
      <w:r w:rsidRPr="00DC35E9">
        <w:rPr>
          <w:rFonts w:ascii="宋体" w:hAnsi="宋体" w:hint="eastAsia"/>
          <w:sz w:val="24"/>
        </w:rPr>
        <w:t xml:space="preserve">刘仁厚.从四个方面认识和把握碳达峰碳中和战略[J].科技中国,2022(04):4. </w:t>
      </w:r>
    </w:p>
    <w:p w14:paraId="529AE5E0" w14:textId="77777777" w:rsidR="008E6D09" w:rsidRPr="00B673E6" w:rsidRDefault="008E6D09" w:rsidP="008E6D09">
      <w:pPr>
        <w:spacing w:line="360" w:lineRule="auto"/>
        <w:rPr>
          <w:rFonts w:ascii="宋体" w:hAnsi="宋体"/>
          <w:sz w:val="24"/>
        </w:rPr>
      </w:pPr>
      <w:r w:rsidRPr="00751406">
        <w:rPr>
          <w:rFonts w:ascii="宋体" w:hAnsi="宋体" w:hint="eastAsia"/>
          <w:sz w:val="24"/>
        </w:rPr>
        <w:t>[</w:t>
      </w:r>
      <w:r>
        <w:rPr>
          <w:rFonts w:ascii="宋体" w:hAnsi="宋体"/>
          <w:sz w:val="24"/>
        </w:rPr>
        <w:t>15</w:t>
      </w:r>
      <w:r>
        <w:rPr>
          <w:rFonts w:ascii="宋体" w:hAnsi="宋体" w:hint="eastAsia"/>
          <w:sz w:val="24"/>
        </w:rPr>
        <w:t>]</w:t>
      </w:r>
      <w:r w:rsidRPr="00FE4DFE">
        <w:rPr>
          <w:rFonts w:ascii="宋体" w:hAnsi="宋体" w:hint="eastAsia"/>
          <w:sz w:val="24"/>
        </w:rPr>
        <w:t>罗春风.我国证券投资基金总体绩效的实证分析——基于总业绩评价理论[J].财经科学，2012(03):19-26.</w:t>
      </w:r>
    </w:p>
    <w:p w14:paraId="701B404E" w14:textId="29B689D1" w:rsidR="008E6D09" w:rsidRPr="00B673E6" w:rsidRDefault="008E6D09" w:rsidP="008E6D09">
      <w:pPr>
        <w:spacing w:line="460" w:lineRule="exact"/>
        <w:rPr>
          <w:rFonts w:ascii="宋体" w:hAnsi="宋体"/>
          <w:sz w:val="24"/>
        </w:rPr>
      </w:pPr>
      <w:r w:rsidRPr="00751406">
        <w:rPr>
          <w:rFonts w:ascii="宋体" w:hAnsi="宋体" w:hint="eastAsia"/>
          <w:sz w:val="24"/>
        </w:rPr>
        <w:t>[</w:t>
      </w:r>
      <w:r>
        <w:rPr>
          <w:rFonts w:ascii="宋体" w:hAnsi="宋体"/>
          <w:sz w:val="24"/>
        </w:rPr>
        <w:t>1</w:t>
      </w:r>
      <w:r w:rsidR="00850830">
        <w:rPr>
          <w:rFonts w:ascii="宋体" w:hAnsi="宋体"/>
          <w:sz w:val="24"/>
        </w:rPr>
        <w:t>6</w:t>
      </w:r>
      <w:r>
        <w:rPr>
          <w:rFonts w:ascii="宋体" w:hAnsi="宋体" w:hint="eastAsia"/>
          <w:sz w:val="24"/>
        </w:rPr>
        <w:t>]</w:t>
      </w:r>
      <w:r w:rsidRPr="008C26CE">
        <w:rPr>
          <w:rFonts w:ascii="宋体" w:hAnsi="宋体" w:hint="eastAsia"/>
          <w:sz w:val="24"/>
        </w:rPr>
        <w:t>宋贺,房严,常维.我国开放式基金绩效及选股和择时能力研究[J].财务与金融,2020(01):70-79.</w:t>
      </w:r>
    </w:p>
    <w:p w14:paraId="607EEAFE" w14:textId="43255FD7" w:rsidR="008E6D09" w:rsidRPr="00B673E6" w:rsidRDefault="008E6D09" w:rsidP="008E6D09">
      <w:pPr>
        <w:spacing w:line="460" w:lineRule="exact"/>
        <w:rPr>
          <w:rFonts w:ascii="宋体" w:hAnsi="宋体"/>
          <w:sz w:val="24"/>
        </w:rPr>
      </w:pPr>
      <w:r w:rsidRPr="00751406">
        <w:rPr>
          <w:rFonts w:ascii="宋体" w:hAnsi="宋体" w:hint="eastAsia"/>
          <w:sz w:val="24"/>
        </w:rPr>
        <w:t>[</w:t>
      </w:r>
      <w:r>
        <w:rPr>
          <w:rFonts w:ascii="宋体" w:hAnsi="宋体"/>
          <w:sz w:val="24"/>
        </w:rPr>
        <w:t>1</w:t>
      </w:r>
      <w:r w:rsidR="00850830">
        <w:rPr>
          <w:rFonts w:ascii="宋体" w:hAnsi="宋体"/>
          <w:sz w:val="24"/>
        </w:rPr>
        <w:t>7</w:t>
      </w:r>
      <w:r>
        <w:rPr>
          <w:rFonts w:ascii="宋体" w:hAnsi="宋体" w:hint="eastAsia"/>
          <w:sz w:val="24"/>
        </w:rPr>
        <w:t>]</w:t>
      </w:r>
      <w:r w:rsidRPr="006174EE">
        <w:rPr>
          <w:rFonts w:ascii="宋体" w:hAnsi="宋体" w:hint="eastAsia"/>
          <w:sz w:val="24"/>
        </w:rPr>
        <w:t>韦璐.基金投资选择与运营的思考——开放式股票型和债券型基金绩效影响因素研究[J].广东经济，2019(04):77-88.</w:t>
      </w:r>
    </w:p>
    <w:p w14:paraId="0009F974" w14:textId="5C4E910D" w:rsidR="008E6D09" w:rsidRDefault="008E6D09" w:rsidP="008E6D09">
      <w:pPr>
        <w:wordWrap w:val="0"/>
        <w:spacing w:line="360" w:lineRule="auto"/>
        <w:rPr>
          <w:rFonts w:ascii="宋体" w:hAnsi="宋体"/>
          <w:sz w:val="24"/>
        </w:rPr>
      </w:pPr>
      <w:r w:rsidRPr="00751406">
        <w:rPr>
          <w:rFonts w:ascii="宋体" w:hAnsi="宋体" w:hint="eastAsia"/>
          <w:sz w:val="24"/>
        </w:rPr>
        <w:t>[</w:t>
      </w:r>
      <w:r>
        <w:rPr>
          <w:rFonts w:ascii="宋体" w:hAnsi="宋体"/>
          <w:sz w:val="24"/>
        </w:rPr>
        <w:t>1</w:t>
      </w:r>
      <w:r w:rsidR="00850830">
        <w:rPr>
          <w:rFonts w:ascii="宋体" w:hAnsi="宋体"/>
          <w:sz w:val="24"/>
        </w:rPr>
        <w:t>8</w:t>
      </w:r>
      <w:r w:rsidRPr="00751406">
        <w:rPr>
          <w:rFonts w:ascii="宋体" w:hAnsi="宋体" w:hint="eastAsia"/>
          <w:sz w:val="24"/>
        </w:rPr>
        <w:t>]王怀明,宋涛.我国上市公司社会责任与企业绩效的实证研究-来自上证180指数的经验证据[J].南京师大学报,2013(2):58-62.</w:t>
      </w:r>
    </w:p>
    <w:p w14:paraId="19B38F31" w14:textId="3C6CCC9F" w:rsidR="008E6D09" w:rsidRPr="00B673E6" w:rsidRDefault="008E6D09" w:rsidP="008E6D09">
      <w:pPr>
        <w:spacing w:line="460" w:lineRule="exact"/>
        <w:rPr>
          <w:rFonts w:ascii="宋体" w:hAnsi="宋体"/>
          <w:sz w:val="24"/>
        </w:rPr>
      </w:pPr>
      <w:r w:rsidRPr="00751406">
        <w:rPr>
          <w:rFonts w:ascii="宋体" w:hAnsi="宋体" w:hint="eastAsia"/>
          <w:sz w:val="24"/>
        </w:rPr>
        <w:t>[</w:t>
      </w:r>
      <w:r w:rsidR="00850830">
        <w:rPr>
          <w:rFonts w:ascii="宋体" w:hAnsi="宋体"/>
          <w:sz w:val="24"/>
        </w:rPr>
        <w:t>19</w:t>
      </w:r>
      <w:r>
        <w:rPr>
          <w:rFonts w:ascii="宋体" w:hAnsi="宋体" w:hint="eastAsia"/>
          <w:sz w:val="24"/>
        </w:rPr>
        <w:t>]</w:t>
      </w:r>
      <w:r w:rsidRPr="00FE4DFE">
        <w:rPr>
          <w:rFonts w:ascii="宋体" w:hAnsi="宋体" w:hint="eastAsia"/>
          <w:sz w:val="24"/>
        </w:rPr>
        <w:t>王进搏,田卫民.我国开放式股票型基金绩效评价[J].金融教学与研究,2015(04):50-56.</w:t>
      </w:r>
    </w:p>
    <w:p w14:paraId="1888F92F" w14:textId="6243BE12" w:rsidR="008E6D09" w:rsidRDefault="008E6D09" w:rsidP="008E6D09">
      <w:pPr>
        <w:spacing w:line="360" w:lineRule="auto"/>
        <w:rPr>
          <w:rFonts w:ascii="宋体" w:hAnsi="宋体"/>
          <w:sz w:val="24"/>
        </w:rPr>
      </w:pPr>
      <w:r>
        <w:rPr>
          <w:rFonts w:ascii="宋体" w:hAnsi="宋体" w:hint="eastAsia"/>
          <w:sz w:val="24"/>
        </w:rPr>
        <w:t>[</w:t>
      </w:r>
      <w:r>
        <w:rPr>
          <w:rFonts w:ascii="宋体" w:hAnsi="宋体"/>
          <w:sz w:val="24"/>
        </w:rPr>
        <w:t>2</w:t>
      </w:r>
      <w:r w:rsidR="00850830">
        <w:rPr>
          <w:rFonts w:ascii="宋体" w:hAnsi="宋体"/>
          <w:sz w:val="24"/>
        </w:rPr>
        <w:t>0</w:t>
      </w:r>
      <w:r>
        <w:rPr>
          <w:rFonts w:ascii="宋体" w:hAnsi="宋体" w:hint="eastAsia"/>
          <w:sz w:val="24"/>
        </w:rPr>
        <w:t>]</w:t>
      </w:r>
      <w:r w:rsidRPr="0093225D">
        <w:rPr>
          <w:rFonts w:hint="eastAsia"/>
        </w:rPr>
        <w:t xml:space="preserve"> </w:t>
      </w:r>
      <w:r w:rsidRPr="0093225D">
        <w:rPr>
          <w:rFonts w:ascii="宋体" w:hAnsi="宋体" w:hint="eastAsia"/>
          <w:sz w:val="24"/>
        </w:rPr>
        <w:t xml:space="preserve">徐枫,王帅斌,汪亚楠.财政金融协同视角下的碳中和目标实现：内涵属性、内在机理与路径选择[J/OL].国际经济评论:1-24[2022-05-16]. </w:t>
      </w:r>
    </w:p>
    <w:p w14:paraId="59CC51EA" w14:textId="2E43DF47" w:rsidR="008E6D09" w:rsidRPr="00751406" w:rsidRDefault="008E6D09" w:rsidP="008E6D09">
      <w:pPr>
        <w:wordWrap w:val="0"/>
        <w:spacing w:line="360" w:lineRule="auto"/>
        <w:rPr>
          <w:rFonts w:ascii="宋体" w:hAnsi="宋体"/>
          <w:sz w:val="24"/>
        </w:rPr>
      </w:pPr>
      <w:r w:rsidRPr="00751406">
        <w:rPr>
          <w:rFonts w:ascii="宋体" w:hAnsi="宋体" w:hint="eastAsia"/>
          <w:sz w:val="24"/>
        </w:rPr>
        <w:t>[</w:t>
      </w:r>
      <w:r>
        <w:rPr>
          <w:rFonts w:ascii="宋体" w:hAnsi="宋体"/>
          <w:sz w:val="24"/>
        </w:rPr>
        <w:t>2</w:t>
      </w:r>
      <w:r w:rsidR="00850830">
        <w:rPr>
          <w:rFonts w:ascii="宋体" w:hAnsi="宋体"/>
          <w:sz w:val="24"/>
        </w:rPr>
        <w:t>1</w:t>
      </w:r>
      <w:r w:rsidRPr="00751406">
        <w:rPr>
          <w:rFonts w:ascii="宋体" w:hAnsi="宋体" w:hint="eastAsia"/>
          <w:sz w:val="24"/>
        </w:rPr>
        <w:t>]张洪波.基于企业价值的企业社会责任实证研究[J].财会通讯,2011(9):61-63.</w:t>
      </w:r>
    </w:p>
    <w:p w14:paraId="0E6F5D7D" w14:textId="3D990A80" w:rsidR="008E6D09" w:rsidRPr="00751406" w:rsidRDefault="008E6D09" w:rsidP="008E6D09">
      <w:pPr>
        <w:wordWrap w:val="0"/>
        <w:spacing w:line="360" w:lineRule="auto"/>
        <w:rPr>
          <w:rFonts w:ascii="宋体" w:hAnsi="宋体"/>
          <w:sz w:val="24"/>
        </w:rPr>
      </w:pPr>
      <w:r w:rsidRPr="00751406">
        <w:rPr>
          <w:rFonts w:ascii="宋体" w:hAnsi="宋体" w:hint="eastAsia"/>
          <w:sz w:val="24"/>
        </w:rPr>
        <w:t>[</w:t>
      </w:r>
      <w:r>
        <w:rPr>
          <w:rFonts w:ascii="宋体" w:hAnsi="宋体"/>
          <w:sz w:val="24"/>
        </w:rPr>
        <w:t>2</w:t>
      </w:r>
      <w:r w:rsidR="00850830">
        <w:rPr>
          <w:rFonts w:ascii="宋体" w:hAnsi="宋体"/>
          <w:sz w:val="24"/>
        </w:rPr>
        <w:t>2</w:t>
      </w:r>
      <w:r w:rsidRPr="00751406">
        <w:rPr>
          <w:rFonts w:ascii="宋体" w:hAnsi="宋体" w:hint="eastAsia"/>
          <w:sz w:val="24"/>
        </w:rPr>
        <w:t>]朱金凤.企业社会责任影响企业价值的实证分析[J].管理科学,2010,24(2):</w:t>
      </w:r>
      <w:r w:rsidRPr="00751406">
        <w:rPr>
          <w:rFonts w:ascii="宋体" w:hAnsi="宋体"/>
          <w:sz w:val="24"/>
        </w:rPr>
        <w:t>84-87.</w:t>
      </w:r>
    </w:p>
    <w:bookmarkEnd w:id="86"/>
    <w:p w14:paraId="0F7F9D31" w14:textId="3334A758" w:rsidR="004912D7" w:rsidRDefault="004912D7">
      <w:pPr>
        <w:spacing w:line="360" w:lineRule="auto"/>
        <w:jc w:val="center"/>
        <w:rPr>
          <w:sz w:val="24"/>
        </w:rPr>
      </w:pPr>
    </w:p>
    <w:p w14:paraId="0604A274" w14:textId="7AD8FA8D" w:rsidR="00850830" w:rsidRDefault="00850830">
      <w:pPr>
        <w:spacing w:line="360" w:lineRule="auto"/>
        <w:jc w:val="center"/>
        <w:rPr>
          <w:sz w:val="24"/>
        </w:rPr>
      </w:pPr>
    </w:p>
    <w:p w14:paraId="7110FF30" w14:textId="77777777" w:rsidR="00850830" w:rsidRPr="00850830" w:rsidRDefault="00850830">
      <w:pPr>
        <w:spacing w:line="360" w:lineRule="auto"/>
        <w:jc w:val="center"/>
        <w:rPr>
          <w:sz w:val="24"/>
        </w:rPr>
      </w:pPr>
    </w:p>
    <w:p w14:paraId="6806CB89" w14:textId="77777777" w:rsidR="004912D7" w:rsidRDefault="004912D7"/>
    <w:p w14:paraId="67BB41BA" w14:textId="73BAF19E" w:rsidR="004912D7" w:rsidRDefault="004912D7" w:rsidP="000F5BAD">
      <w:pPr>
        <w:pStyle w:val="11"/>
      </w:pPr>
      <w:bookmarkStart w:id="87" w:name="_Toc105023927"/>
      <w:r>
        <w:rPr>
          <w:rFonts w:hint="eastAsia"/>
        </w:rPr>
        <w:lastRenderedPageBreak/>
        <w:t>附录</w:t>
      </w:r>
      <w:bookmarkEnd w:id="87"/>
    </w:p>
    <w:p w14:paraId="65D4247F" w14:textId="2CD48E9C" w:rsidR="000F5BAD" w:rsidRPr="000F5BAD" w:rsidRDefault="000F5BAD" w:rsidP="000F5BAD">
      <w:pPr>
        <w:spacing w:beforeLines="50" w:before="156" w:afterLines="50" w:after="156"/>
        <w:jc w:val="center"/>
        <w:rPr>
          <w:rFonts w:ascii="宋体" w:hAnsi="宋体"/>
          <w:bCs/>
          <w:szCs w:val="21"/>
        </w:rPr>
      </w:pPr>
      <w:r w:rsidRPr="000F5BAD">
        <w:rPr>
          <w:rFonts w:ascii="宋体" w:hAnsi="宋体" w:hint="eastAsia"/>
          <w:bCs/>
          <w:szCs w:val="21"/>
        </w:rPr>
        <w:t>基金ESG评分及综合绩效得分值</w:t>
      </w:r>
    </w:p>
    <w:tbl>
      <w:tblPr>
        <w:tblW w:w="8640" w:type="dxa"/>
        <w:tblInd w:w="108" w:type="dxa"/>
        <w:tblLook w:val="04A0" w:firstRow="1" w:lastRow="0" w:firstColumn="1" w:lastColumn="0" w:noHBand="0" w:noVBand="1"/>
      </w:tblPr>
      <w:tblGrid>
        <w:gridCol w:w="2810"/>
        <w:gridCol w:w="766"/>
        <w:gridCol w:w="962"/>
        <w:gridCol w:w="981"/>
        <w:gridCol w:w="962"/>
        <w:gridCol w:w="962"/>
        <w:gridCol w:w="1197"/>
      </w:tblGrid>
      <w:tr w:rsidR="000F5BAD" w:rsidRPr="00720EF1" w14:paraId="16CA4E2B" w14:textId="77777777" w:rsidTr="006A25C9">
        <w:trPr>
          <w:trHeight w:val="544"/>
        </w:trPr>
        <w:tc>
          <w:tcPr>
            <w:tcW w:w="2810" w:type="dxa"/>
            <w:tcBorders>
              <w:top w:val="single" w:sz="12" w:space="0" w:color="auto"/>
              <w:left w:val="nil"/>
              <w:bottom w:val="single" w:sz="12" w:space="0" w:color="auto"/>
              <w:right w:val="nil"/>
            </w:tcBorders>
            <w:shd w:val="clear" w:color="auto" w:fill="auto"/>
            <w:noWrap/>
            <w:vAlign w:val="bottom"/>
            <w:hideMark/>
          </w:tcPr>
          <w:p w14:paraId="5F63EABC" w14:textId="77777777" w:rsidR="000F5BAD" w:rsidRPr="00720EF1" w:rsidRDefault="000F5BAD" w:rsidP="006A25C9">
            <w:pPr>
              <w:widowControl/>
              <w:jc w:val="center"/>
              <w:rPr>
                <w:b/>
                <w:bCs/>
                <w:kern w:val="0"/>
                <w:sz w:val="20"/>
              </w:rPr>
            </w:pPr>
            <w:r w:rsidRPr="00720EF1">
              <w:rPr>
                <w:b/>
                <w:bCs/>
                <w:kern w:val="0"/>
                <w:sz w:val="20"/>
              </w:rPr>
              <w:t>基金名称</w:t>
            </w:r>
          </w:p>
        </w:tc>
        <w:tc>
          <w:tcPr>
            <w:tcW w:w="766" w:type="dxa"/>
            <w:tcBorders>
              <w:top w:val="single" w:sz="12" w:space="0" w:color="auto"/>
              <w:left w:val="nil"/>
              <w:bottom w:val="single" w:sz="12" w:space="0" w:color="auto"/>
              <w:right w:val="nil"/>
            </w:tcBorders>
            <w:shd w:val="clear" w:color="auto" w:fill="auto"/>
            <w:noWrap/>
            <w:vAlign w:val="bottom"/>
            <w:hideMark/>
          </w:tcPr>
          <w:p w14:paraId="17311CD2" w14:textId="77777777" w:rsidR="000F5BAD" w:rsidRPr="00720EF1" w:rsidRDefault="000F5BAD" w:rsidP="006A25C9">
            <w:pPr>
              <w:widowControl/>
              <w:jc w:val="center"/>
              <w:rPr>
                <w:b/>
                <w:bCs/>
                <w:kern w:val="0"/>
                <w:sz w:val="20"/>
              </w:rPr>
            </w:pPr>
            <w:r w:rsidRPr="00720EF1">
              <w:rPr>
                <w:b/>
                <w:bCs/>
                <w:kern w:val="0"/>
                <w:sz w:val="20"/>
              </w:rPr>
              <w:t>是否为碳中和</w:t>
            </w:r>
          </w:p>
        </w:tc>
        <w:tc>
          <w:tcPr>
            <w:tcW w:w="962" w:type="dxa"/>
            <w:tcBorders>
              <w:top w:val="single" w:sz="12" w:space="0" w:color="auto"/>
              <w:left w:val="nil"/>
              <w:bottom w:val="single" w:sz="12" w:space="0" w:color="auto"/>
              <w:right w:val="nil"/>
            </w:tcBorders>
            <w:shd w:val="clear" w:color="auto" w:fill="auto"/>
            <w:noWrap/>
            <w:vAlign w:val="bottom"/>
            <w:hideMark/>
          </w:tcPr>
          <w:p w14:paraId="522B54B1" w14:textId="77777777" w:rsidR="000F5BAD" w:rsidRPr="00720EF1" w:rsidRDefault="000F5BAD" w:rsidP="006A25C9">
            <w:pPr>
              <w:widowControl/>
              <w:jc w:val="center"/>
              <w:rPr>
                <w:b/>
                <w:bCs/>
                <w:kern w:val="0"/>
                <w:sz w:val="20"/>
              </w:rPr>
            </w:pPr>
            <w:r w:rsidRPr="00720EF1">
              <w:rPr>
                <w:b/>
                <w:bCs/>
                <w:kern w:val="0"/>
                <w:sz w:val="20"/>
              </w:rPr>
              <w:t>重仓股票</w:t>
            </w:r>
            <w:r w:rsidRPr="00720EF1">
              <w:rPr>
                <w:b/>
                <w:bCs/>
                <w:kern w:val="0"/>
                <w:sz w:val="20"/>
              </w:rPr>
              <w:t>ESG</w:t>
            </w:r>
            <w:r w:rsidRPr="00720EF1">
              <w:rPr>
                <w:b/>
                <w:bCs/>
                <w:kern w:val="0"/>
                <w:sz w:val="20"/>
              </w:rPr>
              <w:t>评分</w:t>
            </w:r>
          </w:p>
        </w:tc>
        <w:tc>
          <w:tcPr>
            <w:tcW w:w="981" w:type="dxa"/>
            <w:tcBorders>
              <w:top w:val="single" w:sz="12" w:space="0" w:color="auto"/>
              <w:left w:val="nil"/>
              <w:bottom w:val="single" w:sz="12" w:space="0" w:color="auto"/>
              <w:right w:val="nil"/>
            </w:tcBorders>
            <w:shd w:val="clear" w:color="auto" w:fill="auto"/>
            <w:noWrap/>
            <w:vAlign w:val="bottom"/>
            <w:hideMark/>
          </w:tcPr>
          <w:p w14:paraId="635CF12D" w14:textId="77777777" w:rsidR="000F5BAD" w:rsidRPr="00720EF1" w:rsidRDefault="000F5BAD" w:rsidP="006A25C9">
            <w:pPr>
              <w:widowControl/>
              <w:jc w:val="center"/>
              <w:rPr>
                <w:b/>
                <w:bCs/>
                <w:kern w:val="0"/>
                <w:sz w:val="20"/>
              </w:rPr>
            </w:pPr>
            <w:r w:rsidRPr="00720EF1">
              <w:rPr>
                <w:b/>
                <w:bCs/>
                <w:kern w:val="0"/>
                <w:sz w:val="20"/>
              </w:rPr>
              <w:t>E</w:t>
            </w:r>
            <w:r w:rsidRPr="00720EF1">
              <w:rPr>
                <w:b/>
                <w:bCs/>
                <w:kern w:val="0"/>
                <w:sz w:val="20"/>
              </w:rPr>
              <w:t>评分</w:t>
            </w:r>
          </w:p>
        </w:tc>
        <w:tc>
          <w:tcPr>
            <w:tcW w:w="962" w:type="dxa"/>
            <w:tcBorders>
              <w:top w:val="single" w:sz="12" w:space="0" w:color="auto"/>
              <w:left w:val="nil"/>
              <w:bottom w:val="single" w:sz="12" w:space="0" w:color="auto"/>
              <w:right w:val="nil"/>
            </w:tcBorders>
            <w:shd w:val="clear" w:color="auto" w:fill="auto"/>
            <w:noWrap/>
            <w:vAlign w:val="bottom"/>
            <w:hideMark/>
          </w:tcPr>
          <w:p w14:paraId="7F9D343E" w14:textId="77777777" w:rsidR="000F5BAD" w:rsidRPr="00720EF1" w:rsidRDefault="000F5BAD" w:rsidP="006A25C9">
            <w:pPr>
              <w:widowControl/>
              <w:jc w:val="center"/>
              <w:rPr>
                <w:b/>
                <w:bCs/>
                <w:kern w:val="0"/>
                <w:sz w:val="20"/>
              </w:rPr>
            </w:pPr>
            <w:r w:rsidRPr="00720EF1">
              <w:rPr>
                <w:b/>
                <w:bCs/>
                <w:kern w:val="0"/>
                <w:sz w:val="20"/>
              </w:rPr>
              <w:t>S</w:t>
            </w:r>
            <w:r w:rsidRPr="00720EF1">
              <w:rPr>
                <w:b/>
                <w:bCs/>
                <w:kern w:val="0"/>
                <w:sz w:val="20"/>
              </w:rPr>
              <w:t>评分</w:t>
            </w:r>
          </w:p>
        </w:tc>
        <w:tc>
          <w:tcPr>
            <w:tcW w:w="962" w:type="dxa"/>
            <w:tcBorders>
              <w:top w:val="single" w:sz="12" w:space="0" w:color="auto"/>
              <w:left w:val="nil"/>
              <w:bottom w:val="single" w:sz="12" w:space="0" w:color="auto"/>
              <w:right w:val="nil"/>
            </w:tcBorders>
            <w:shd w:val="clear" w:color="auto" w:fill="auto"/>
            <w:noWrap/>
            <w:vAlign w:val="bottom"/>
            <w:hideMark/>
          </w:tcPr>
          <w:p w14:paraId="4CEA3A1D" w14:textId="77777777" w:rsidR="000F5BAD" w:rsidRPr="00720EF1" w:rsidRDefault="000F5BAD" w:rsidP="006A25C9">
            <w:pPr>
              <w:widowControl/>
              <w:jc w:val="center"/>
              <w:rPr>
                <w:b/>
                <w:bCs/>
                <w:kern w:val="0"/>
                <w:sz w:val="20"/>
              </w:rPr>
            </w:pPr>
            <w:r w:rsidRPr="00720EF1">
              <w:rPr>
                <w:b/>
                <w:bCs/>
                <w:kern w:val="0"/>
                <w:sz w:val="20"/>
              </w:rPr>
              <w:t>G</w:t>
            </w:r>
            <w:r w:rsidRPr="00720EF1">
              <w:rPr>
                <w:b/>
                <w:bCs/>
                <w:kern w:val="0"/>
                <w:sz w:val="20"/>
              </w:rPr>
              <w:t>评分</w:t>
            </w:r>
          </w:p>
        </w:tc>
        <w:tc>
          <w:tcPr>
            <w:tcW w:w="1197" w:type="dxa"/>
            <w:tcBorders>
              <w:top w:val="single" w:sz="12" w:space="0" w:color="auto"/>
              <w:left w:val="nil"/>
              <w:bottom w:val="single" w:sz="12" w:space="0" w:color="auto"/>
              <w:right w:val="nil"/>
            </w:tcBorders>
            <w:shd w:val="clear" w:color="auto" w:fill="auto"/>
            <w:noWrap/>
            <w:vAlign w:val="bottom"/>
            <w:hideMark/>
          </w:tcPr>
          <w:p w14:paraId="50C453A9" w14:textId="77777777" w:rsidR="000F5BAD" w:rsidRPr="00720EF1" w:rsidRDefault="000F5BAD" w:rsidP="006A25C9">
            <w:pPr>
              <w:widowControl/>
              <w:jc w:val="center"/>
              <w:rPr>
                <w:b/>
                <w:bCs/>
                <w:kern w:val="0"/>
                <w:sz w:val="20"/>
              </w:rPr>
            </w:pPr>
            <w:r w:rsidRPr="00720EF1">
              <w:rPr>
                <w:b/>
                <w:bCs/>
                <w:kern w:val="0"/>
                <w:sz w:val="20"/>
              </w:rPr>
              <w:t>综合得分</w:t>
            </w:r>
          </w:p>
        </w:tc>
      </w:tr>
      <w:tr w:rsidR="000F5BAD" w:rsidRPr="00720EF1" w14:paraId="51D3A89C" w14:textId="77777777" w:rsidTr="006A25C9">
        <w:trPr>
          <w:trHeight w:val="272"/>
        </w:trPr>
        <w:tc>
          <w:tcPr>
            <w:tcW w:w="2810" w:type="dxa"/>
            <w:tcBorders>
              <w:top w:val="nil"/>
              <w:left w:val="nil"/>
              <w:bottom w:val="nil"/>
              <w:right w:val="nil"/>
            </w:tcBorders>
            <w:shd w:val="clear" w:color="auto" w:fill="auto"/>
            <w:noWrap/>
            <w:vAlign w:val="bottom"/>
            <w:hideMark/>
          </w:tcPr>
          <w:p w14:paraId="6A257DF1" w14:textId="77777777" w:rsidR="000F5BAD" w:rsidRPr="00720EF1" w:rsidRDefault="000F5BAD" w:rsidP="006A25C9">
            <w:pPr>
              <w:widowControl/>
              <w:jc w:val="left"/>
              <w:rPr>
                <w:kern w:val="0"/>
                <w:sz w:val="20"/>
              </w:rPr>
            </w:pPr>
            <w:r w:rsidRPr="00720EF1">
              <w:rPr>
                <w:kern w:val="0"/>
                <w:sz w:val="20"/>
              </w:rPr>
              <w:t>招商中国机遇</w:t>
            </w:r>
          </w:p>
        </w:tc>
        <w:tc>
          <w:tcPr>
            <w:tcW w:w="766" w:type="dxa"/>
            <w:tcBorders>
              <w:top w:val="nil"/>
              <w:left w:val="nil"/>
              <w:bottom w:val="nil"/>
              <w:right w:val="nil"/>
            </w:tcBorders>
            <w:shd w:val="clear" w:color="auto" w:fill="auto"/>
            <w:noWrap/>
            <w:vAlign w:val="bottom"/>
            <w:hideMark/>
          </w:tcPr>
          <w:p w14:paraId="3B5D7AD7"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C3E605A" w14:textId="77777777" w:rsidR="000F5BAD" w:rsidRPr="00720EF1" w:rsidRDefault="000F5BAD" w:rsidP="006A25C9">
            <w:pPr>
              <w:widowControl/>
              <w:jc w:val="right"/>
              <w:rPr>
                <w:kern w:val="0"/>
                <w:sz w:val="20"/>
              </w:rPr>
            </w:pPr>
            <w:r w:rsidRPr="00720EF1">
              <w:rPr>
                <w:kern w:val="0"/>
                <w:sz w:val="20"/>
              </w:rPr>
              <w:t xml:space="preserve">7.46 </w:t>
            </w:r>
          </w:p>
        </w:tc>
        <w:tc>
          <w:tcPr>
            <w:tcW w:w="981" w:type="dxa"/>
            <w:tcBorders>
              <w:top w:val="nil"/>
              <w:left w:val="nil"/>
              <w:bottom w:val="nil"/>
              <w:right w:val="nil"/>
            </w:tcBorders>
            <w:shd w:val="clear" w:color="auto" w:fill="auto"/>
            <w:noWrap/>
            <w:vAlign w:val="bottom"/>
            <w:hideMark/>
          </w:tcPr>
          <w:p w14:paraId="500312CB" w14:textId="77777777" w:rsidR="000F5BAD" w:rsidRPr="00720EF1" w:rsidRDefault="000F5BAD" w:rsidP="006A25C9">
            <w:pPr>
              <w:widowControl/>
              <w:jc w:val="right"/>
              <w:rPr>
                <w:kern w:val="0"/>
                <w:sz w:val="20"/>
              </w:rPr>
            </w:pPr>
            <w:r w:rsidRPr="00720EF1">
              <w:rPr>
                <w:kern w:val="0"/>
                <w:sz w:val="20"/>
              </w:rPr>
              <w:t>62.72</w:t>
            </w:r>
          </w:p>
        </w:tc>
        <w:tc>
          <w:tcPr>
            <w:tcW w:w="962" w:type="dxa"/>
            <w:tcBorders>
              <w:top w:val="nil"/>
              <w:left w:val="nil"/>
              <w:bottom w:val="nil"/>
              <w:right w:val="nil"/>
            </w:tcBorders>
            <w:shd w:val="clear" w:color="auto" w:fill="auto"/>
            <w:noWrap/>
            <w:vAlign w:val="bottom"/>
            <w:hideMark/>
          </w:tcPr>
          <w:p w14:paraId="20F4D522" w14:textId="77777777" w:rsidR="000F5BAD" w:rsidRPr="00720EF1" w:rsidRDefault="000F5BAD" w:rsidP="006A25C9">
            <w:pPr>
              <w:widowControl/>
              <w:jc w:val="right"/>
              <w:rPr>
                <w:kern w:val="0"/>
                <w:sz w:val="20"/>
              </w:rPr>
            </w:pPr>
            <w:r w:rsidRPr="00720EF1">
              <w:rPr>
                <w:kern w:val="0"/>
                <w:sz w:val="20"/>
              </w:rPr>
              <w:t>76.98</w:t>
            </w:r>
          </w:p>
        </w:tc>
        <w:tc>
          <w:tcPr>
            <w:tcW w:w="962" w:type="dxa"/>
            <w:tcBorders>
              <w:top w:val="nil"/>
              <w:left w:val="nil"/>
              <w:bottom w:val="nil"/>
              <w:right w:val="nil"/>
            </w:tcBorders>
            <w:shd w:val="clear" w:color="auto" w:fill="auto"/>
            <w:noWrap/>
            <w:vAlign w:val="bottom"/>
            <w:hideMark/>
          </w:tcPr>
          <w:p w14:paraId="6BA13597" w14:textId="77777777" w:rsidR="000F5BAD" w:rsidRPr="00720EF1" w:rsidRDefault="000F5BAD" w:rsidP="006A25C9">
            <w:pPr>
              <w:widowControl/>
              <w:jc w:val="right"/>
              <w:rPr>
                <w:kern w:val="0"/>
                <w:sz w:val="20"/>
              </w:rPr>
            </w:pPr>
            <w:r w:rsidRPr="00720EF1">
              <w:rPr>
                <w:kern w:val="0"/>
                <w:sz w:val="20"/>
              </w:rPr>
              <w:t>81.92</w:t>
            </w:r>
          </w:p>
        </w:tc>
        <w:tc>
          <w:tcPr>
            <w:tcW w:w="1197" w:type="dxa"/>
            <w:tcBorders>
              <w:top w:val="nil"/>
              <w:left w:val="nil"/>
              <w:bottom w:val="nil"/>
              <w:right w:val="nil"/>
            </w:tcBorders>
            <w:shd w:val="clear" w:color="auto" w:fill="auto"/>
            <w:noWrap/>
            <w:vAlign w:val="bottom"/>
            <w:hideMark/>
          </w:tcPr>
          <w:p w14:paraId="2291E38F" w14:textId="77777777" w:rsidR="000F5BAD" w:rsidRPr="00720EF1" w:rsidRDefault="000F5BAD" w:rsidP="006A25C9">
            <w:pPr>
              <w:widowControl/>
              <w:jc w:val="right"/>
              <w:rPr>
                <w:kern w:val="0"/>
                <w:sz w:val="20"/>
              </w:rPr>
            </w:pPr>
            <w:r w:rsidRPr="00720EF1">
              <w:rPr>
                <w:kern w:val="0"/>
                <w:sz w:val="20"/>
              </w:rPr>
              <w:t xml:space="preserve">      20.70 </w:t>
            </w:r>
          </w:p>
        </w:tc>
      </w:tr>
      <w:tr w:rsidR="000F5BAD" w:rsidRPr="00720EF1" w14:paraId="2C007D4F" w14:textId="77777777" w:rsidTr="006A25C9">
        <w:trPr>
          <w:trHeight w:val="258"/>
        </w:trPr>
        <w:tc>
          <w:tcPr>
            <w:tcW w:w="2810" w:type="dxa"/>
            <w:tcBorders>
              <w:top w:val="nil"/>
              <w:left w:val="nil"/>
              <w:bottom w:val="nil"/>
              <w:right w:val="nil"/>
            </w:tcBorders>
            <w:shd w:val="clear" w:color="auto" w:fill="auto"/>
            <w:noWrap/>
            <w:vAlign w:val="bottom"/>
            <w:hideMark/>
          </w:tcPr>
          <w:p w14:paraId="3FF84356" w14:textId="77777777" w:rsidR="000F5BAD" w:rsidRPr="00720EF1" w:rsidRDefault="000F5BAD" w:rsidP="006A25C9">
            <w:pPr>
              <w:widowControl/>
              <w:jc w:val="left"/>
              <w:rPr>
                <w:kern w:val="0"/>
                <w:sz w:val="20"/>
              </w:rPr>
            </w:pPr>
            <w:r w:rsidRPr="00720EF1">
              <w:rPr>
                <w:kern w:val="0"/>
                <w:sz w:val="20"/>
              </w:rPr>
              <w:t>光大创业板量化优选</w:t>
            </w:r>
            <w:r w:rsidRPr="00720EF1">
              <w:rPr>
                <w:kern w:val="0"/>
                <w:sz w:val="20"/>
              </w:rPr>
              <w:t>A</w:t>
            </w:r>
          </w:p>
        </w:tc>
        <w:tc>
          <w:tcPr>
            <w:tcW w:w="766" w:type="dxa"/>
            <w:tcBorders>
              <w:top w:val="nil"/>
              <w:left w:val="nil"/>
              <w:bottom w:val="nil"/>
              <w:right w:val="nil"/>
            </w:tcBorders>
            <w:shd w:val="clear" w:color="auto" w:fill="auto"/>
            <w:noWrap/>
            <w:vAlign w:val="bottom"/>
            <w:hideMark/>
          </w:tcPr>
          <w:p w14:paraId="323C0BD7"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449F0987"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243D5264" w14:textId="77777777" w:rsidR="000F5BAD" w:rsidRPr="00720EF1" w:rsidRDefault="000F5BAD" w:rsidP="006A25C9">
            <w:pPr>
              <w:widowControl/>
              <w:jc w:val="right"/>
              <w:rPr>
                <w:kern w:val="0"/>
                <w:sz w:val="20"/>
              </w:rPr>
            </w:pPr>
            <w:r w:rsidRPr="00720EF1">
              <w:rPr>
                <w:kern w:val="0"/>
                <w:sz w:val="20"/>
              </w:rPr>
              <w:t>60.84</w:t>
            </w:r>
          </w:p>
        </w:tc>
        <w:tc>
          <w:tcPr>
            <w:tcW w:w="962" w:type="dxa"/>
            <w:tcBorders>
              <w:top w:val="nil"/>
              <w:left w:val="nil"/>
              <w:bottom w:val="nil"/>
              <w:right w:val="nil"/>
            </w:tcBorders>
            <w:shd w:val="clear" w:color="auto" w:fill="auto"/>
            <w:noWrap/>
            <w:vAlign w:val="bottom"/>
            <w:hideMark/>
          </w:tcPr>
          <w:p w14:paraId="5F8E91B4" w14:textId="77777777" w:rsidR="000F5BAD" w:rsidRPr="00720EF1" w:rsidRDefault="000F5BAD" w:rsidP="006A25C9">
            <w:pPr>
              <w:widowControl/>
              <w:jc w:val="right"/>
              <w:rPr>
                <w:kern w:val="0"/>
                <w:sz w:val="20"/>
              </w:rPr>
            </w:pPr>
            <w:r w:rsidRPr="00720EF1">
              <w:rPr>
                <w:kern w:val="0"/>
                <w:sz w:val="20"/>
              </w:rPr>
              <w:t>75.24</w:t>
            </w:r>
          </w:p>
        </w:tc>
        <w:tc>
          <w:tcPr>
            <w:tcW w:w="962" w:type="dxa"/>
            <w:tcBorders>
              <w:top w:val="nil"/>
              <w:left w:val="nil"/>
              <w:bottom w:val="nil"/>
              <w:right w:val="nil"/>
            </w:tcBorders>
            <w:shd w:val="clear" w:color="auto" w:fill="auto"/>
            <w:noWrap/>
            <w:vAlign w:val="bottom"/>
            <w:hideMark/>
          </w:tcPr>
          <w:p w14:paraId="7B789C40" w14:textId="77777777" w:rsidR="000F5BAD" w:rsidRPr="00720EF1" w:rsidRDefault="000F5BAD" w:rsidP="006A25C9">
            <w:pPr>
              <w:widowControl/>
              <w:jc w:val="right"/>
              <w:rPr>
                <w:kern w:val="0"/>
                <w:sz w:val="20"/>
              </w:rPr>
            </w:pPr>
            <w:r w:rsidRPr="00720EF1">
              <w:rPr>
                <w:kern w:val="0"/>
                <w:sz w:val="20"/>
              </w:rPr>
              <w:t>81.04</w:t>
            </w:r>
          </w:p>
        </w:tc>
        <w:tc>
          <w:tcPr>
            <w:tcW w:w="1197" w:type="dxa"/>
            <w:tcBorders>
              <w:top w:val="nil"/>
              <w:left w:val="nil"/>
              <w:bottom w:val="nil"/>
              <w:right w:val="nil"/>
            </w:tcBorders>
            <w:shd w:val="clear" w:color="auto" w:fill="auto"/>
            <w:noWrap/>
            <w:vAlign w:val="bottom"/>
            <w:hideMark/>
          </w:tcPr>
          <w:p w14:paraId="5D0F38BC" w14:textId="77777777" w:rsidR="000F5BAD" w:rsidRPr="00720EF1" w:rsidRDefault="000F5BAD" w:rsidP="006A25C9">
            <w:pPr>
              <w:widowControl/>
              <w:jc w:val="right"/>
              <w:rPr>
                <w:kern w:val="0"/>
                <w:sz w:val="20"/>
              </w:rPr>
            </w:pPr>
            <w:r w:rsidRPr="00720EF1">
              <w:rPr>
                <w:kern w:val="0"/>
                <w:sz w:val="20"/>
              </w:rPr>
              <w:t xml:space="preserve">      22.03 </w:t>
            </w:r>
          </w:p>
        </w:tc>
      </w:tr>
      <w:tr w:rsidR="000F5BAD" w:rsidRPr="00720EF1" w14:paraId="77D3EC54" w14:textId="77777777" w:rsidTr="006A25C9">
        <w:trPr>
          <w:trHeight w:val="258"/>
        </w:trPr>
        <w:tc>
          <w:tcPr>
            <w:tcW w:w="2810" w:type="dxa"/>
            <w:tcBorders>
              <w:top w:val="nil"/>
              <w:left w:val="nil"/>
              <w:bottom w:val="nil"/>
              <w:right w:val="nil"/>
            </w:tcBorders>
            <w:shd w:val="clear" w:color="auto" w:fill="auto"/>
            <w:noWrap/>
            <w:vAlign w:val="bottom"/>
            <w:hideMark/>
          </w:tcPr>
          <w:p w14:paraId="29D40097" w14:textId="77777777" w:rsidR="000F5BAD" w:rsidRPr="00720EF1" w:rsidRDefault="000F5BAD" w:rsidP="006A25C9">
            <w:pPr>
              <w:widowControl/>
              <w:jc w:val="left"/>
              <w:rPr>
                <w:kern w:val="0"/>
                <w:sz w:val="20"/>
              </w:rPr>
            </w:pPr>
            <w:r w:rsidRPr="00720EF1">
              <w:rPr>
                <w:kern w:val="0"/>
                <w:sz w:val="20"/>
              </w:rPr>
              <w:t>中欧先进制造</w:t>
            </w:r>
            <w:r w:rsidRPr="00720EF1">
              <w:rPr>
                <w:kern w:val="0"/>
                <w:sz w:val="20"/>
              </w:rPr>
              <w:t>A</w:t>
            </w:r>
          </w:p>
        </w:tc>
        <w:tc>
          <w:tcPr>
            <w:tcW w:w="766" w:type="dxa"/>
            <w:tcBorders>
              <w:top w:val="nil"/>
              <w:left w:val="nil"/>
              <w:bottom w:val="nil"/>
              <w:right w:val="nil"/>
            </w:tcBorders>
            <w:shd w:val="clear" w:color="auto" w:fill="auto"/>
            <w:noWrap/>
            <w:vAlign w:val="bottom"/>
            <w:hideMark/>
          </w:tcPr>
          <w:p w14:paraId="45275FDF"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1295BEA3" w14:textId="77777777" w:rsidR="000F5BAD" w:rsidRPr="00720EF1" w:rsidRDefault="000F5BAD" w:rsidP="006A25C9">
            <w:pPr>
              <w:widowControl/>
              <w:jc w:val="right"/>
              <w:rPr>
                <w:kern w:val="0"/>
                <w:sz w:val="20"/>
              </w:rPr>
            </w:pPr>
            <w:r w:rsidRPr="00720EF1">
              <w:rPr>
                <w:kern w:val="0"/>
                <w:sz w:val="20"/>
              </w:rPr>
              <w:t xml:space="preserve">7.65 </w:t>
            </w:r>
          </w:p>
        </w:tc>
        <w:tc>
          <w:tcPr>
            <w:tcW w:w="981" w:type="dxa"/>
            <w:tcBorders>
              <w:top w:val="nil"/>
              <w:left w:val="nil"/>
              <w:bottom w:val="nil"/>
              <w:right w:val="nil"/>
            </w:tcBorders>
            <w:shd w:val="clear" w:color="auto" w:fill="auto"/>
            <w:noWrap/>
            <w:vAlign w:val="bottom"/>
            <w:hideMark/>
          </w:tcPr>
          <w:p w14:paraId="15BF37C7" w14:textId="77777777" w:rsidR="000F5BAD" w:rsidRPr="00720EF1" w:rsidRDefault="000F5BAD" w:rsidP="006A25C9">
            <w:pPr>
              <w:widowControl/>
              <w:jc w:val="right"/>
              <w:rPr>
                <w:kern w:val="0"/>
                <w:sz w:val="20"/>
              </w:rPr>
            </w:pPr>
            <w:r w:rsidRPr="00720EF1">
              <w:rPr>
                <w:kern w:val="0"/>
                <w:sz w:val="20"/>
              </w:rPr>
              <w:t>64.08</w:t>
            </w:r>
          </w:p>
        </w:tc>
        <w:tc>
          <w:tcPr>
            <w:tcW w:w="962" w:type="dxa"/>
            <w:tcBorders>
              <w:top w:val="nil"/>
              <w:left w:val="nil"/>
              <w:bottom w:val="nil"/>
              <w:right w:val="nil"/>
            </w:tcBorders>
            <w:shd w:val="clear" w:color="auto" w:fill="auto"/>
            <w:noWrap/>
            <w:vAlign w:val="bottom"/>
            <w:hideMark/>
          </w:tcPr>
          <w:p w14:paraId="63CB887C" w14:textId="77777777" w:rsidR="000F5BAD" w:rsidRPr="00720EF1" w:rsidRDefault="000F5BAD" w:rsidP="006A25C9">
            <w:pPr>
              <w:widowControl/>
              <w:jc w:val="right"/>
              <w:rPr>
                <w:kern w:val="0"/>
                <w:sz w:val="20"/>
              </w:rPr>
            </w:pPr>
            <w:r w:rsidRPr="00720EF1">
              <w:rPr>
                <w:kern w:val="0"/>
                <w:sz w:val="20"/>
              </w:rPr>
              <w:t>76.87</w:t>
            </w:r>
          </w:p>
        </w:tc>
        <w:tc>
          <w:tcPr>
            <w:tcW w:w="962" w:type="dxa"/>
            <w:tcBorders>
              <w:top w:val="nil"/>
              <w:left w:val="nil"/>
              <w:bottom w:val="nil"/>
              <w:right w:val="nil"/>
            </w:tcBorders>
            <w:shd w:val="clear" w:color="auto" w:fill="auto"/>
            <w:noWrap/>
            <w:vAlign w:val="bottom"/>
            <w:hideMark/>
          </w:tcPr>
          <w:p w14:paraId="123FE9EC" w14:textId="77777777" w:rsidR="000F5BAD" w:rsidRPr="00720EF1" w:rsidRDefault="000F5BAD" w:rsidP="006A25C9">
            <w:pPr>
              <w:widowControl/>
              <w:jc w:val="right"/>
              <w:rPr>
                <w:kern w:val="0"/>
                <w:sz w:val="20"/>
              </w:rPr>
            </w:pPr>
            <w:r w:rsidRPr="00720EF1">
              <w:rPr>
                <w:kern w:val="0"/>
                <w:sz w:val="20"/>
              </w:rPr>
              <w:t>82.18</w:t>
            </w:r>
          </w:p>
        </w:tc>
        <w:tc>
          <w:tcPr>
            <w:tcW w:w="1197" w:type="dxa"/>
            <w:tcBorders>
              <w:top w:val="nil"/>
              <w:left w:val="nil"/>
              <w:bottom w:val="nil"/>
              <w:right w:val="nil"/>
            </w:tcBorders>
            <w:shd w:val="clear" w:color="auto" w:fill="auto"/>
            <w:noWrap/>
            <w:vAlign w:val="bottom"/>
            <w:hideMark/>
          </w:tcPr>
          <w:p w14:paraId="38FDB34A" w14:textId="77777777" w:rsidR="000F5BAD" w:rsidRPr="00720EF1" w:rsidRDefault="000F5BAD" w:rsidP="006A25C9">
            <w:pPr>
              <w:widowControl/>
              <w:jc w:val="right"/>
              <w:rPr>
                <w:kern w:val="0"/>
                <w:sz w:val="20"/>
              </w:rPr>
            </w:pPr>
            <w:r w:rsidRPr="00720EF1">
              <w:rPr>
                <w:kern w:val="0"/>
                <w:sz w:val="20"/>
              </w:rPr>
              <w:t xml:space="preserve">      33.33 </w:t>
            </w:r>
          </w:p>
        </w:tc>
      </w:tr>
      <w:tr w:rsidR="000F5BAD" w:rsidRPr="00720EF1" w14:paraId="28AFB6D0" w14:textId="77777777" w:rsidTr="006A25C9">
        <w:trPr>
          <w:trHeight w:val="258"/>
        </w:trPr>
        <w:tc>
          <w:tcPr>
            <w:tcW w:w="2810" w:type="dxa"/>
            <w:tcBorders>
              <w:top w:val="nil"/>
              <w:left w:val="nil"/>
              <w:bottom w:val="nil"/>
              <w:right w:val="nil"/>
            </w:tcBorders>
            <w:shd w:val="clear" w:color="auto" w:fill="auto"/>
            <w:noWrap/>
            <w:vAlign w:val="bottom"/>
            <w:hideMark/>
          </w:tcPr>
          <w:p w14:paraId="181E598A" w14:textId="77777777" w:rsidR="000F5BAD" w:rsidRPr="00720EF1" w:rsidRDefault="000F5BAD" w:rsidP="006A25C9">
            <w:pPr>
              <w:widowControl/>
              <w:jc w:val="left"/>
              <w:rPr>
                <w:kern w:val="0"/>
                <w:sz w:val="20"/>
              </w:rPr>
            </w:pPr>
            <w:r w:rsidRPr="00720EF1">
              <w:rPr>
                <w:kern w:val="0"/>
                <w:sz w:val="20"/>
              </w:rPr>
              <w:t>海富通量化前锋</w:t>
            </w:r>
            <w:r w:rsidRPr="00720EF1">
              <w:rPr>
                <w:kern w:val="0"/>
                <w:sz w:val="20"/>
              </w:rPr>
              <w:t>C</w:t>
            </w:r>
          </w:p>
        </w:tc>
        <w:tc>
          <w:tcPr>
            <w:tcW w:w="766" w:type="dxa"/>
            <w:tcBorders>
              <w:top w:val="nil"/>
              <w:left w:val="nil"/>
              <w:bottom w:val="nil"/>
              <w:right w:val="nil"/>
            </w:tcBorders>
            <w:shd w:val="clear" w:color="auto" w:fill="auto"/>
            <w:noWrap/>
            <w:vAlign w:val="bottom"/>
            <w:hideMark/>
          </w:tcPr>
          <w:p w14:paraId="5F5DC2E5"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2B0ABB23"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55B9EF6D" w14:textId="77777777" w:rsidR="000F5BAD" w:rsidRPr="00720EF1" w:rsidRDefault="000F5BAD" w:rsidP="006A25C9">
            <w:pPr>
              <w:widowControl/>
              <w:jc w:val="right"/>
              <w:rPr>
                <w:kern w:val="0"/>
                <w:sz w:val="20"/>
              </w:rPr>
            </w:pPr>
            <w:r w:rsidRPr="00720EF1">
              <w:rPr>
                <w:kern w:val="0"/>
                <w:sz w:val="20"/>
              </w:rPr>
              <w:t>63.16</w:t>
            </w:r>
          </w:p>
        </w:tc>
        <w:tc>
          <w:tcPr>
            <w:tcW w:w="962" w:type="dxa"/>
            <w:tcBorders>
              <w:top w:val="nil"/>
              <w:left w:val="nil"/>
              <w:bottom w:val="nil"/>
              <w:right w:val="nil"/>
            </w:tcBorders>
            <w:shd w:val="clear" w:color="auto" w:fill="auto"/>
            <w:noWrap/>
            <w:vAlign w:val="bottom"/>
            <w:hideMark/>
          </w:tcPr>
          <w:p w14:paraId="59230DE6" w14:textId="77777777" w:rsidR="000F5BAD" w:rsidRPr="00720EF1" w:rsidRDefault="000F5BAD" w:rsidP="006A25C9">
            <w:pPr>
              <w:widowControl/>
              <w:jc w:val="right"/>
              <w:rPr>
                <w:kern w:val="0"/>
                <w:sz w:val="20"/>
              </w:rPr>
            </w:pPr>
            <w:r w:rsidRPr="00720EF1">
              <w:rPr>
                <w:kern w:val="0"/>
                <w:sz w:val="20"/>
              </w:rPr>
              <w:t>78.39</w:t>
            </w:r>
          </w:p>
        </w:tc>
        <w:tc>
          <w:tcPr>
            <w:tcW w:w="962" w:type="dxa"/>
            <w:tcBorders>
              <w:top w:val="nil"/>
              <w:left w:val="nil"/>
              <w:bottom w:val="nil"/>
              <w:right w:val="nil"/>
            </w:tcBorders>
            <w:shd w:val="clear" w:color="auto" w:fill="auto"/>
            <w:noWrap/>
            <w:vAlign w:val="bottom"/>
            <w:hideMark/>
          </w:tcPr>
          <w:p w14:paraId="30D92093" w14:textId="77777777" w:rsidR="000F5BAD" w:rsidRPr="00720EF1" w:rsidRDefault="000F5BAD" w:rsidP="006A25C9">
            <w:pPr>
              <w:widowControl/>
              <w:jc w:val="right"/>
              <w:rPr>
                <w:kern w:val="0"/>
                <w:sz w:val="20"/>
              </w:rPr>
            </w:pPr>
            <w:r w:rsidRPr="00720EF1">
              <w:rPr>
                <w:kern w:val="0"/>
                <w:sz w:val="20"/>
              </w:rPr>
              <w:t>81.75</w:t>
            </w:r>
          </w:p>
        </w:tc>
        <w:tc>
          <w:tcPr>
            <w:tcW w:w="1197" w:type="dxa"/>
            <w:tcBorders>
              <w:top w:val="nil"/>
              <w:left w:val="nil"/>
              <w:bottom w:val="nil"/>
              <w:right w:val="nil"/>
            </w:tcBorders>
            <w:shd w:val="clear" w:color="auto" w:fill="auto"/>
            <w:noWrap/>
            <w:vAlign w:val="bottom"/>
            <w:hideMark/>
          </w:tcPr>
          <w:p w14:paraId="14C37016" w14:textId="77777777" w:rsidR="000F5BAD" w:rsidRPr="00720EF1" w:rsidRDefault="000F5BAD" w:rsidP="006A25C9">
            <w:pPr>
              <w:widowControl/>
              <w:jc w:val="right"/>
              <w:rPr>
                <w:kern w:val="0"/>
                <w:sz w:val="20"/>
              </w:rPr>
            </w:pPr>
            <w:r w:rsidRPr="00720EF1">
              <w:rPr>
                <w:kern w:val="0"/>
                <w:sz w:val="20"/>
              </w:rPr>
              <w:t xml:space="preserve">      16.25 </w:t>
            </w:r>
          </w:p>
        </w:tc>
      </w:tr>
      <w:tr w:rsidR="000F5BAD" w:rsidRPr="00720EF1" w14:paraId="48742502" w14:textId="77777777" w:rsidTr="006A25C9">
        <w:trPr>
          <w:trHeight w:val="258"/>
        </w:trPr>
        <w:tc>
          <w:tcPr>
            <w:tcW w:w="2810" w:type="dxa"/>
            <w:tcBorders>
              <w:top w:val="nil"/>
              <w:left w:val="nil"/>
              <w:bottom w:val="nil"/>
              <w:right w:val="nil"/>
            </w:tcBorders>
            <w:shd w:val="clear" w:color="auto" w:fill="auto"/>
            <w:noWrap/>
            <w:vAlign w:val="bottom"/>
            <w:hideMark/>
          </w:tcPr>
          <w:p w14:paraId="78051397" w14:textId="77777777" w:rsidR="000F5BAD" w:rsidRPr="00720EF1" w:rsidRDefault="000F5BAD" w:rsidP="006A25C9">
            <w:pPr>
              <w:widowControl/>
              <w:jc w:val="left"/>
              <w:rPr>
                <w:kern w:val="0"/>
                <w:sz w:val="20"/>
              </w:rPr>
            </w:pPr>
            <w:r w:rsidRPr="00720EF1">
              <w:rPr>
                <w:kern w:val="0"/>
                <w:sz w:val="20"/>
              </w:rPr>
              <w:t>建信龙头企业</w:t>
            </w:r>
          </w:p>
        </w:tc>
        <w:tc>
          <w:tcPr>
            <w:tcW w:w="766" w:type="dxa"/>
            <w:tcBorders>
              <w:top w:val="nil"/>
              <w:left w:val="nil"/>
              <w:bottom w:val="nil"/>
              <w:right w:val="nil"/>
            </w:tcBorders>
            <w:shd w:val="clear" w:color="auto" w:fill="auto"/>
            <w:noWrap/>
            <w:vAlign w:val="bottom"/>
            <w:hideMark/>
          </w:tcPr>
          <w:p w14:paraId="75CD7360"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65D01CE3"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7BF129C5" w14:textId="77777777" w:rsidR="000F5BAD" w:rsidRPr="00720EF1" w:rsidRDefault="000F5BAD" w:rsidP="006A25C9">
            <w:pPr>
              <w:widowControl/>
              <w:jc w:val="right"/>
              <w:rPr>
                <w:kern w:val="0"/>
                <w:sz w:val="20"/>
              </w:rPr>
            </w:pPr>
            <w:r w:rsidRPr="00720EF1">
              <w:rPr>
                <w:kern w:val="0"/>
                <w:sz w:val="20"/>
              </w:rPr>
              <w:t>63.39</w:t>
            </w:r>
          </w:p>
        </w:tc>
        <w:tc>
          <w:tcPr>
            <w:tcW w:w="962" w:type="dxa"/>
            <w:tcBorders>
              <w:top w:val="nil"/>
              <w:left w:val="nil"/>
              <w:bottom w:val="nil"/>
              <w:right w:val="nil"/>
            </w:tcBorders>
            <w:shd w:val="clear" w:color="auto" w:fill="auto"/>
            <w:noWrap/>
            <w:vAlign w:val="bottom"/>
            <w:hideMark/>
          </w:tcPr>
          <w:p w14:paraId="6DDC6DB0" w14:textId="77777777" w:rsidR="000F5BAD" w:rsidRPr="00720EF1" w:rsidRDefault="000F5BAD" w:rsidP="006A25C9">
            <w:pPr>
              <w:widowControl/>
              <w:jc w:val="right"/>
              <w:rPr>
                <w:kern w:val="0"/>
                <w:sz w:val="20"/>
              </w:rPr>
            </w:pPr>
            <w:r w:rsidRPr="00720EF1">
              <w:rPr>
                <w:kern w:val="0"/>
                <w:sz w:val="20"/>
              </w:rPr>
              <w:t>77.73</w:t>
            </w:r>
          </w:p>
        </w:tc>
        <w:tc>
          <w:tcPr>
            <w:tcW w:w="962" w:type="dxa"/>
            <w:tcBorders>
              <w:top w:val="nil"/>
              <w:left w:val="nil"/>
              <w:bottom w:val="nil"/>
              <w:right w:val="nil"/>
            </w:tcBorders>
            <w:shd w:val="clear" w:color="auto" w:fill="auto"/>
            <w:noWrap/>
            <w:vAlign w:val="bottom"/>
            <w:hideMark/>
          </w:tcPr>
          <w:p w14:paraId="3C68F458" w14:textId="77777777" w:rsidR="000F5BAD" w:rsidRPr="00720EF1" w:rsidRDefault="000F5BAD" w:rsidP="006A25C9">
            <w:pPr>
              <w:widowControl/>
              <w:jc w:val="right"/>
              <w:rPr>
                <w:kern w:val="0"/>
                <w:sz w:val="20"/>
              </w:rPr>
            </w:pPr>
            <w:r w:rsidRPr="00720EF1">
              <w:rPr>
                <w:kern w:val="0"/>
                <w:sz w:val="20"/>
              </w:rPr>
              <w:t>82.18</w:t>
            </w:r>
          </w:p>
        </w:tc>
        <w:tc>
          <w:tcPr>
            <w:tcW w:w="1197" w:type="dxa"/>
            <w:tcBorders>
              <w:top w:val="nil"/>
              <w:left w:val="nil"/>
              <w:bottom w:val="nil"/>
              <w:right w:val="nil"/>
            </w:tcBorders>
            <w:shd w:val="clear" w:color="auto" w:fill="auto"/>
            <w:noWrap/>
            <w:vAlign w:val="bottom"/>
            <w:hideMark/>
          </w:tcPr>
          <w:p w14:paraId="2172B41B" w14:textId="77777777" w:rsidR="000F5BAD" w:rsidRPr="00720EF1" w:rsidRDefault="000F5BAD" w:rsidP="006A25C9">
            <w:pPr>
              <w:widowControl/>
              <w:jc w:val="right"/>
              <w:rPr>
                <w:kern w:val="0"/>
                <w:sz w:val="20"/>
              </w:rPr>
            </w:pPr>
            <w:r w:rsidRPr="00720EF1">
              <w:rPr>
                <w:kern w:val="0"/>
                <w:sz w:val="20"/>
              </w:rPr>
              <w:t xml:space="preserve">      10.45 </w:t>
            </w:r>
          </w:p>
        </w:tc>
      </w:tr>
      <w:tr w:rsidR="000F5BAD" w:rsidRPr="00720EF1" w14:paraId="36DA9C93" w14:textId="77777777" w:rsidTr="006A25C9">
        <w:trPr>
          <w:trHeight w:val="258"/>
        </w:trPr>
        <w:tc>
          <w:tcPr>
            <w:tcW w:w="2810" w:type="dxa"/>
            <w:tcBorders>
              <w:top w:val="nil"/>
              <w:left w:val="nil"/>
              <w:bottom w:val="nil"/>
              <w:right w:val="nil"/>
            </w:tcBorders>
            <w:shd w:val="clear" w:color="auto" w:fill="auto"/>
            <w:noWrap/>
            <w:vAlign w:val="bottom"/>
            <w:hideMark/>
          </w:tcPr>
          <w:p w14:paraId="2ABC9638" w14:textId="77777777" w:rsidR="000F5BAD" w:rsidRPr="00720EF1" w:rsidRDefault="000F5BAD" w:rsidP="006A25C9">
            <w:pPr>
              <w:widowControl/>
              <w:jc w:val="left"/>
              <w:rPr>
                <w:kern w:val="0"/>
                <w:sz w:val="20"/>
              </w:rPr>
            </w:pPr>
            <w:r w:rsidRPr="00720EF1">
              <w:rPr>
                <w:kern w:val="0"/>
                <w:sz w:val="20"/>
              </w:rPr>
              <w:t>海富通创业板增强</w:t>
            </w:r>
            <w:r w:rsidRPr="00720EF1">
              <w:rPr>
                <w:kern w:val="0"/>
                <w:sz w:val="20"/>
              </w:rPr>
              <w:t>C</w:t>
            </w:r>
          </w:p>
        </w:tc>
        <w:tc>
          <w:tcPr>
            <w:tcW w:w="766" w:type="dxa"/>
            <w:tcBorders>
              <w:top w:val="nil"/>
              <w:left w:val="nil"/>
              <w:bottom w:val="nil"/>
              <w:right w:val="nil"/>
            </w:tcBorders>
            <w:shd w:val="clear" w:color="auto" w:fill="auto"/>
            <w:noWrap/>
            <w:vAlign w:val="bottom"/>
            <w:hideMark/>
          </w:tcPr>
          <w:p w14:paraId="1FDBA9AE"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490928B0"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7F6AD5C7" w14:textId="77777777" w:rsidR="000F5BAD" w:rsidRPr="00720EF1" w:rsidRDefault="000F5BAD" w:rsidP="006A25C9">
            <w:pPr>
              <w:widowControl/>
              <w:jc w:val="right"/>
              <w:rPr>
                <w:kern w:val="0"/>
                <w:sz w:val="20"/>
              </w:rPr>
            </w:pPr>
            <w:r w:rsidRPr="00720EF1">
              <w:rPr>
                <w:kern w:val="0"/>
                <w:sz w:val="20"/>
              </w:rPr>
              <w:t>61.56</w:t>
            </w:r>
          </w:p>
        </w:tc>
        <w:tc>
          <w:tcPr>
            <w:tcW w:w="962" w:type="dxa"/>
            <w:tcBorders>
              <w:top w:val="nil"/>
              <w:left w:val="nil"/>
              <w:bottom w:val="nil"/>
              <w:right w:val="nil"/>
            </w:tcBorders>
            <w:shd w:val="clear" w:color="auto" w:fill="auto"/>
            <w:noWrap/>
            <w:vAlign w:val="bottom"/>
            <w:hideMark/>
          </w:tcPr>
          <w:p w14:paraId="40983E6F" w14:textId="77777777" w:rsidR="000F5BAD" w:rsidRPr="00720EF1" w:rsidRDefault="000F5BAD" w:rsidP="006A25C9">
            <w:pPr>
              <w:widowControl/>
              <w:jc w:val="right"/>
              <w:rPr>
                <w:kern w:val="0"/>
                <w:sz w:val="20"/>
              </w:rPr>
            </w:pPr>
            <w:r w:rsidRPr="00720EF1">
              <w:rPr>
                <w:kern w:val="0"/>
                <w:sz w:val="20"/>
              </w:rPr>
              <w:t>79.14</w:t>
            </w:r>
          </w:p>
        </w:tc>
        <w:tc>
          <w:tcPr>
            <w:tcW w:w="962" w:type="dxa"/>
            <w:tcBorders>
              <w:top w:val="nil"/>
              <w:left w:val="nil"/>
              <w:bottom w:val="nil"/>
              <w:right w:val="nil"/>
            </w:tcBorders>
            <w:shd w:val="clear" w:color="auto" w:fill="auto"/>
            <w:noWrap/>
            <w:vAlign w:val="bottom"/>
            <w:hideMark/>
          </w:tcPr>
          <w:p w14:paraId="2BA00E01" w14:textId="77777777" w:rsidR="000F5BAD" w:rsidRPr="00720EF1" w:rsidRDefault="000F5BAD" w:rsidP="006A25C9">
            <w:pPr>
              <w:widowControl/>
              <w:jc w:val="right"/>
              <w:rPr>
                <w:kern w:val="0"/>
                <w:sz w:val="20"/>
              </w:rPr>
            </w:pPr>
            <w:r w:rsidRPr="00720EF1">
              <w:rPr>
                <w:kern w:val="0"/>
                <w:sz w:val="20"/>
              </w:rPr>
              <w:t>79.68</w:t>
            </w:r>
          </w:p>
        </w:tc>
        <w:tc>
          <w:tcPr>
            <w:tcW w:w="1197" w:type="dxa"/>
            <w:tcBorders>
              <w:top w:val="nil"/>
              <w:left w:val="nil"/>
              <w:bottom w:val="nil"/>
              <w:right w:val="nil"/>
            </w:tcBorders>
            <w:shd w:val="clear" w:color="auto" w:fill="auto"/>
            <w:noWrap/>
            <w:vAlign w:val="bottom"/>
            <w:hideMark/>
          </w:tcPr>
          <w:p w14:paraId="3646027F" w14:textId="77777777" w:rsidR="000F5BAD" w:rsidRPr="00720EF1" w:rsidRDefault="000F5BAD" w:rsidP="006A25C9">
            <w:pPr>
              <w:widowControl/>
              <w:jc w:val="right"/>
              <w:rPr>
                <w:kern w:val="0"/>
                <w:sz w:val="20"/>
              </w:rPr>
            </w:pPr>
            <w:r w:rsidRPr="00720EF1">
              <w:rPr>
                <w:kern w:val="0"/>
                <w:sz w:val="20"/>
              </w:rPr>
              <w:t xml:space="preserve">      18.93 </w:t>
            </w:r>
          </w:p>
        </w:tc>
      </w:tr>
      <w:tr w:rsidR="000F5BAD" w:rsidRPr="00720EF1" w14:paraId="6053EB4B" w14:textId="77777777" w:rsidTr="006A25C9">
        <w:trPr>
          <w:trHeight w:val="258"/>
        </w:trPr>
        <w:tc>
          <w:tcPr>
            <w:tcW w:w="2810" w:type="dxa"/>
            <w:tcBorders>
              <w:top w:val="nil"/>
              <w:left w:val="nil"/>
              <w:bottom w:val="nil"/>
              <w:right w:val="nil"/>
            </w:tcBorders>
            <w:shd w:val="clear" w:color="auto" w:fill="auto"/>
            <w:noWrap/>
            <w:vAlign w:val="bottom"/>
            <w:hideMark/>
          </w:tcPr>
          <w:p w14:paraId="7BB59674" w14:textId="77777777" w:rsidR="000F5BAD" w:rsidRPr="00720EF1" w:rsidRDefault="000F5BAD" w:rsidP="006A25C9">
            <w:pPr>
              <w:widowControl/>
              <w:jc w:val="left"/>
              <w:rPr>
                <w:kern w:val="0"/>
                <w:sz w:val="20"/>
              </w:rPr>
            </w:pPr>
            <w:r w:rsidRPr="00720EF1">
              <w:rPr>
                <w:kern w:val="0"/>
                <w:sz w:val="20"/>
              </w:rPr>
              <w:t>中融智选红利</w:t>
            </w:r>
            <w:r w:rsidRPr="00720EF1">
              <w:rPr>
                <w:kern w:val="0"/>
                <w:sz w:val="20"/>
              </w:rPr>
              <w:t>A</w:t>
            </w:r>
          </w:p>
        </w:tc>
        <w:tc>
          <w:tcPr>
            <w:tcW w:w="766" w:type="dxa"/>
            <w:tcBorders>
              <w:top w:val="nil"/>
              <w:left w:val="nil"/>
              <w:bottom w:val="nil"/>
              <w:right w:val="nil"/>
            </w:tcBorders>
            <w:shd w:val="clear" w:color="auto" w:fill="auto"/>
            <w:noWrap/>
            <w:vAlign w:val="bottom"/>
            <w:hideMark/>
          </w:tcPr>
          <w:p w14:paraId="0059E54B"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13BE192F" w14:textId="77777777" w:rsidR="000F5BAD" w:rsidRPr="00720EF1" w:rsidRDefault="000F5BAD" w:rsidP="006A25C9">
            <w:pPr>
              <w:widowControl/>
              <w:jc w:val="right"/>
              <w:rPr>
                <w:kern w:val="0"/>
                <w:sz w:val="20"/>
              </w:rPr>
            </w:pPr>
            <w:r w:rsidRPr="00720EF1">
              <w:rPr>
                <w:kern w:val="0"/>
                <w:sz w:val="20"/>
              </w:rPr>
              <w:t xml:space="preserve">5.38 </w:t>
            </w:r>
          </w:p>
        </w:tc>
        <w:tc>
          <w:tcPr>
            <w:tcW w:w="981" w:type="dxa"/>
            <w:tcBorders>
              <w:top w:val="nil"/>
              <w:left w:val="nil"/>
              <w:bottom w:val="nil"/>
              <w:right w:val="nil"/>
            </w:tcBorders>
            <w:shd w:val="clear" w:color="auto" w:fill="auto"/>
            <w:noWrap/>
            <w:vAlign w:val="bottom"/>
            <w:hideMark/>
          </w:tcPr>
          <w:p w14:paraId="7ED8D69F" w14:textId="77777777" w:rsidR="000F5BAD" w:rsidRPr="00720EF1" w:rsidRDefault="000F5BAD" w:rsidP="006A25C9">
            <w:pPr>
              <w:widowControl/>
              <w:jc w:val="right"/>
              <w:rPr>
                <w:kern w:val="0"/>
                <w:sz w:val="20"/>
              </w:rPr>
            </w:pPr>
            <w:r w:rsidRPr="00720EF1">
              <w:rPr>
                <w:kern w:val="0"/>
                <w:sz w:val="20"/>
              </w:rPr>
              <w:t>65.12</w:t>
            </w:r>
          </w:p>
        </w:tc>
        <w:tc>
          <w:tcPr>
            <w:tcW w:w="962" w:type="dxa"/>
            <w:tcBorders>
              <w:top w:val="nil"/>
              <w:left w:val="nil"/>
              <w:bottom w:val="nil"/>
              <w:right w:val="nil"/>
            </w:tcBorders>
            <w:shd w:val="clear" w:color="auto" w:fill="auto"/>
            <w:noWrap/>
            <w:vAlign w:val="bottom"/>
            <w:hideMark/>
          </w:tcPr>
          <w:p w14:paraId="5FAE82F5" w14:textId="77777777" w:rsidR="000F5BAD" w:rsidRPr="00720EF1" w:rsidRDefault="000F5BAD" w:rsidP="006A25C9">
            <w:pPr>
              <w:widowControl/>
              <w:jc w:val="right"/>
              <w:rPr>
                <w:kern w:val="0"/>
                <w:sz w:val="20"/>
              </w:rPr>
            </w:pPr>
            <w:r w:rsidRPr="00720EF1">
              <w:rPr>
                <w:kern w:val="0"/>
                <w:sz w:val="20"/>
              </w:rPr>
              <w:t>81.44</w:t>
            </w:r>
          </w:p>
        </w:tc>
        <w:tc>
          <w:tcPr>
            <w:tcW w:w="962" w:type="dxa"/>
            <w:tcBorders>
              <w:top w:val="nil"/>
              <w:left w:val="nil"/>
              <w:bottom w:val="nil"/>
              <w:right w:val="nil"/>
            </w:tcBorders>
            <w:shd w:val="clear" w:color="auto" w:fill="auto"/>
            <w:noWrap/>
            <w:vAlign w:val="bottom"/>
            <w:hideMark/>
          </w:tcPr>
          <w:p w14:paraId="44E2E452" w14:textId="77777777" w:rsidR="000F5BAD" w:rsidRPr="00720EF1" w:rsidRDefault="000F5BAD" w:rsidP="006A25C9">
            <w:pPr>
              <w:widowControl/>
              <w:jc w:val="right"/>
              <w:rPr>
                <w:kern w:val="0"/>
                <w:sz w:val="20"/>
              </w:rPr>
            </w:pPr>
            <w:r w:rsidRPr="00720EF1">
              <w:rPr>
                <w:kern w:val="0"/>
                <w:sz w:val="20"/>
              </w:rPr>
              <w:t>79.64</w:t>
            </w:r>
          </w:p>
        </w:tc>
        <w:tc>
          <w:tcPr>
            <w:tcW w:w="1197" w:type="dxa"/>
            <w:tcBorders>
              <w:top w:val="nil"/>
              <w:left w:val="nil"/>
              <w:bottom w:val="nil"/>
              <w:right w:val="nil"/>
            </w:tcBorders>
            <w:shd w:val="clear" w:color="auto" w:fill="auto"/>
            <w:noWrap/>
            <w:vAlign w:val="bottom"/>
            <w:hideMark/>
          </w:tcPr>
          <w:p w14:paraId="4F5DE62B" w14:textId="77777777" w:rsidR="000F5BAD" w:rsidRPr="00720EF1" w:rsidRDefault="000F5BAD" w:rsidP="006A25C9">
            <w:pPr>
              <w:widowControl/>
              <w:jc w:val="right"/>
              <w:rPr>
                <w:kern w:val="0"/>
                <w:sz w:val="20"/>
              </w:rPr>
            </w:pPr>
            <w:r w:rsidRPr="00720EF1">
              <w:rPr>
                <w:kern w:val="0"/>
                <w:sz w:val="20"/>
              </w:rPr>
              <w:t xml:space="preserve">      22.05 </w:t>
            </w:r>
          </w:p>
        </w:tc>
      </w:tr>
      <w:tr w:rsidR="000F5BAD" w:rsidRPr="00720EF1" w14:paraId="59E76A42" w14:textId="77777777" w:rsidTr="006A25C9">
        <w:trPr>
          <w:trHeight w:val="258"/>
        </w:trPr>
        <w:tc>
          <w:tcPr>
            <w:tcW w:w="2810" w:type="dxa"/>
            <w:tcBorders>
              <w:top w:val="nil"/>
              <w:left w:val="nil"/>
              <w:bottom w:val="nil"/>
              <w:right w:val="nil"/>
            </w:tcBorders>
            <w:shd w:val="clear" w:color="auto" w:fill="auto"/>
            <w:noWrap/>
            <w:vAlign w:val="bottom"/>
            <w:hideMark/>
          </w:tcPr>
          <w:p w14:paraId="0E7676C3" w14:textId="77777777" w:rsidR="000F5BAD" w:rsidRPr="00720EF1" w:rsidRDefault="000F5BAD" w:rsidP="006A25C9">
            <w:pPr>
              <w:widowControl/>
              <w:jc w:val="left"/>
              <w:rPr>
                <w:kern w:val="0"/>
                <w:sz w:val="20"/>
              </w:rPr>
            </w:pPr>
            <w:r w:rsidRPr="00720EF1">
              <w:rPr>
                <w:kern w:val="0"/>
                <w:sz w:val="20"/>
              </w:rPr>
              <w:t>汇安趋势动力</w:t>
            </w:r>
            <w:r w:rsidRPr="00720EF1">
              <w:rPr>
                <w:kern w:val="0"/>
                <w:sz w:val="20"/>
              </w:rPr>
              <w:t>C</w:t>
            </w:r>
          </w:p>
        </w:tc>
        <w:tc>
          <w:tcPr>
            <w:tcW w:w="766" w:type="dxa"/>
            <w:tcBorders>
              <w:top w:val="nil"/>
              <w:left w:val="nil"/>
              <w:bottom w:val="nil"/>
              <w:right w:val="nil"/>
            </w:tcBorders>
            <w:shd w:val="clear" w:color="auto" w:fill="auto"/>
            <w:noWrap/>
            <w:vAlign w:val="bottom"/>
            <w:hideMark/>
          </w:tcPr>
          <w:p w14:paraId="71B6DA7F"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EE93B2B" w14:textId="77777777" w:rsidR="000F5BAD" w:rsidRPr="00720EF1" w:rsidRDefault="000F5BAD" w:rsidP="006A25C9">
            <w:pPr>
              <w:widowControl/>
              <w:jc w:val="right"/>
              <w:rPr>
                <w:kern w:val="0"/>
                <w:sz w:val="20"/>
              </w:rPr>
            </w:pPr>
            <w:r w:rsidRPr="00720EF1">
              <w:rPr>
                <w:kern w:val="0"/>
                <w:sz w:val="20"/>
              </w:rPr>
              <w:t xml:space="preserve">7.35 </w:t>
            </w:r>
          </w:p>
        </w:tc>
        <w:tc>
          <w:tcPr>
            <w:tcW w:w="981" w:type="dxa"/>
            <w:tcBorders>
              <w:top w:val="nil"/>
              <w:left w:val="nil"/>
              <w:bottom w:val="nil"/>
              <w:right w:val="nil"/>
            </w:tcBorders>
            <w:shd w:val="clear" w:color="auto" w:fill="auto"/>
            <w:noWrap/>
            <w:vAlign w:val="bottom"/>
            <w:hideMark/>
          </w:tcPr>
          <w:p w14:paraId="248F8C02" w14:textId="77777777" w:rsidR="000F5BAD" w:rsidRPr="00720EF1" w:rsidRDefault="000F5BAD" w:rsidP="006A25C9">
            <w:pPr>
              <w:widowControl/>
              <w:jc w:val="right"/>
              <w:rPr>
                <w:kern w:val="0"/>
                <w:sz w:val="20"/>
              </w:rPr>
            </w:pPr>
            <w:r w:rsidRPr="00720EF1">
              <w:rPr>
                <w:kern w:val="0"/>
                <w:sz w:val="20"/>
              </w:rPr>
              <w:t>61.67</w:t>
            </w:r>
          </w:p>
        </w:tc>
        <w:tc>
          <w:tcPr>
            <w:tcW w:w="962" w:type="dxa"/>
            <w:tcBorders>
              <w:top w:val="nil"/>
              <w:left w:val="nil"/>
              <w:bottom w:val="nil"/>
              <w:right w:val="nil"/>
            </w:tcBorders>
            <w:shd w:val="clear" w:color="auto" w:fill="auto"/>
            <w:noWrap/>
            <w:vAlign w:val="bottom"/>
            <w:hideMark/>
          </w:tcPr>
          <w:p w14:paraId="31FAE2B9" w14:textId="77777777" w:rsidR="000F5BAD" w:rsidRPr="00720EF1" w:rsidRDefault="000F5BAD" w:rsidP="006A25C9">
            <w:pPr>
              <w:widowControl/>
              <w:jc w:val="right"/>
              <w:rPr>
                <w:kern w:val="0"/>
                <w:sz w:val="20"/>
              </w:rPr>
            </w:pPr>
            <w:r w:rsidRPr="00720EF1">
              <w:rPr>
                <w:kern w:val="0"/>
                <w:sz w:val="20"/>
              </w:rPr>
              <w:t>80.91</w:t>
            </w:r>
          </w:p>
        </w:tc>
        <w:tc>
          <w:tcPr>
            <w:tcW w:w="962" w:type="dxa"/>
            <w:tcBorders>
              <w:top w:val="nil"/>
              <w:left w:val="nil"/>
              <w:bottom w:val="nil"/>
              <w:right w:val="nil"/>
            </w:tcBorders>
            <w:shd w:val="clear" w:color="auto" w:fill="auto"/>
            <w:noWrap/>
            <w:vAlign w:val="bottom"/>
            <w:hideMark/>
          </w:tcPr>
          <w:p w14:paraId="00D89D51" w14:textId="77777777" w:rsidR="000F5BAD" w:rsidRPr="00720EF1" w:rsidRDefault="000F5BAD" w:rsidP="006A25C9">
            <w:pPr>
              <w:widowControl/>
              <w:jc w:val="right"/>
              <w:rPr>
                <w:kern w:val="0"/>
                <w:sz w:val="20"/>
              </w:rPr>
            </w:pPr>
            <w:r w:rsidRPr="00720EF1">
              <w:rPr>
                <w:kern w:val="0"/>
                <w:sz w:val="20"/>
              </w:rPr>
              <w:t>81.55</w:t>
            </w:r>
          </w:p>
        </w:tc>
        <w:tc>
          <w:tcPr>
            <w:tcW w:w="1197" w:type="dxa"/>
            <w:tcBorders>
              <w:top w:val="nil"/>
              <w:left w:val="nil"/>
              <w:bottom w:val="nil"/>
              <w:right w:val="nil"/>
            </w:tcBorders>
            <w:shd w:val="clear" w:color="auto" w:fill="auto"/>
            <w:noWrap/>
            <w:vAlign w:val="bottom"/>
            <w:hideMark/>
          </w:tcPr>
          <w:p w14:paraId="1117D231" w14:textId="77777777" w:rsidR="000F5BAD" w:rsidRPr="00720EF1" w:rsidRDefault="000F5BAD" w:rsidP="006A25C9">
            <w:pPr>
              <w:widowControl/>
              <w:jc w:val="right"/>
              <w:rPr>
                <w:kern w:val="0"/>
                <w:sz w:val="20"/>
              </w:rPr>
            </w:pPr>
            <w:r w:rsidRPr="00720EF1">
              <w:rPr>
                <w:kern w:val="0"/>
                <w:sz w:val="20"/>
              </w:rPr>
              <w:t xml:space="preserve">      28.83 </w:t>
            </w:r>
          </w:p>
        </w:tc>
      </w:tr>
      <w:tr w:rsidR="000F5BAD" w:rsidRPr="00720EF1" w14:paraId="11217517" w14:textId="77777777" w:rsidTr="006A25C9">
        <w:trPr>
          <w:trHeight w:val="258"/>
        </w:trPr>
        <w:tc>
          <w:tcPr>
            <w:tcW w:w="2810" w:type="dxa"/>
            <w:tcBorders>
              <w:top w:val="nil"/>
              <w:left w:val="nil"/>
              <w:bottom w:val="nil"/>
              <w:right w:val="nil"/>
            </w:tcBorders>
            <w:shd w:val="clear" w:color="auto" w:fill="auto"/>
            <w:noWrap/>
            <w:vAlign w:val="bottom"/>
            <w:hideMark/>
          </w:tcPr>
          <w:p w14:paraId="1DE43DC2" w14:textId="77777777" w:rsidR="000F5BAD" w:rsidRPr="00720EF1" w:rsidRDefault="000F5BAD" w:rsidP="006A25C9">
            <w:pPr>
              <w:widowControl/>
              <w:jc w:val="left"/>
              <w:rPr>
                <w:kern w:val="0"/>
                <w:sz w:val="20"/>
              </w:rPr>
            </w:pPr>
            <w:r w:rsidRPr="00720EF1">
              <w:rPr>
                <w:kern w:val="0"/>
                <w:sz w:val="20"/>
              </w:rPr>
              <w:t>嘉实资源精选</w:t>
            </w:r>
            <w:r w:rsidRPr="00720EF1">
              <w:rPr>
                <w:kern w:val="0"/>
                <w:sz w:val="20"/>
              </w:rPr>
              <w:t>A</w:t>
            </w:r>
          </w:p>
        </w:tc>
        <w:tc>
          <w:tcPr>
            <w:tcW w:w="766" w:type="dxa"/>
            <w:tcBorders>
              <w:top w:val="nil"/>
              <w:left w:val="nil"/>
              <w:bottom w:val="nil"/>
              <w:right w:val="nil"/>
            </w:tcBorders>
            <w:shd w:val="clear" w:color="auto" w:fill="auto"/>
            <w:noWrap/>
            <w:vAlign w:val="bottom"/>
            <w:hideMark/>
          </w:tcPr>
          <w:p w14:paraId="5821FA1E"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2A85250B" w14:textId="77777777" w:rsidR="000F5BAD" w:rsidRPr="00720EF1" w:rsidRDefault="000F5BAD" w:rsidP="006A25C9">
            <w:pPr>
              <w:widowControl/>
              <w:jc w:val="right"/>
              <w:rPr>
                <w:kern w:val="0"/>
                <w:sz w:val="20"/>
              </w:rPr>
            </w:pPr>
            <w:r w:rsidRPr="00720EF1">
              <w:rPr>
                <w:kern w:val="0"/>
                <w:sz w:val="20"/>
              </w:rPr>
              <w:t xml:space="preserve">5.61 </w:t>
            </w:r>
          </w:p>
        </w:tc>
        <w:tc>
          <w:tcPr>
            <w:tcW w:w="981" w:type="dxa"/>
            <w:tcBorders>
              <w:top w:val="nil"/>
              <w:left w:val="nil"/>
              <w:bottom w:val="nil"/>
              <w:right w:val="nil"/>
            </w:tcBorders>
            <w:shd w:val="clear" w:color="auto" w:fill="auto"/>
            <w:noWrap/>
            <w:vAlign w:val="bottom"/>
            <w:hideMark/>
          </w:tcPr>
          <w:p w14:paraId="50EAF029" w14:textId="77777777" w:rsidR="000F5BAD" w:rsidRPr="00720EF1" w:rsidRDefault="000F5BAD" w:rsidP="006A25C9">
            <w:pPr>
              <w:widowControl/>
              <w:jc w:val="right"/>
              <w:rPr>
                <w:kern w:val="0"/>
                <w:sz w:val="20"/>
              </w:rPr>
            </w:pPr>
            <w:r w:rsidRPr="00720EF1">
              <w:rPr>
                <w:kern w:val="0"/>
                <w:sz w:val="20"/>
              </w:rPr>
              <w:t>63.57</w:t>
            </w:r>
          </w:p>
        </w:tc>
        <w:tc>
          <w:tcPr>
            <w:tcW w:w="962" w:type="dxa"/>
            <w:tcBorders>
              <w:top w:val="nil"/>
              <w:left w:val="nil"/>
              <w:bottom w:val="nil"/>
              <w:right w:val="nil"/>
            </w:tcBorders>
            <w:shd w:val="clear" w:color="auto" w:fill="auto"/>
            <w:noWrap/>
            <w:vAlign w:val="bottom"/>
            <w:hideMark/>
          </w:tcPr>
          <w:p w14:paraId="600C3494" w14:textId="77777777" w:rsidR="000F5BAD" w:rsidRPr="00720EF1" w:rsidRDefault="000F5BAD" w:rsidP="006A25C9">
            <w:pPr>
              <w:widowControl/>
              <w:jc w:val="right"/>
              <w:rPr>
                <w:kern w:val="0"/>
                <w:sz w:val="20"/>
              </w:rPr>
            </w:pPr>
            <w:r w:rsidRPr="00720EF1">
              <w:rPr>
                <w:kern w:val="0"/>
                <w:sz w:val="20"/>
              </w:rPr>
              <w:t>77.74</w:t>
            </w:r>
          </w:p>
        </w:tc>
        <w:tc>
          <w:tcPr>
            <w:tcW w:w="962" w:type="dxa"/>
            <w:tcBorders>
              <w:top w:val="nil"/>
              <w:left w:val="nil"/>
              <w:bottom w:val="nil"/>
              <w:right w:val="nil"/>
            </w:tcBorders>
            <w:shd w:val="clear" w:color="auto" w:fill="auto"/>
            <w:noWrap/>
            <w:vAlign w:val="bottom"/>
            <w:hideMark/>
          </w:tcPr>
          <w:p w14:paraId="4F49E9E1" w14:textId="77777777" w:rsidR="000F5BAD" w:rsidRPr="00720EF1" w:rsidRDefault="000F5BAD" w:rsidP="006A25C9">
            <w:pPr>
              <w:widowControl/>
              <w:jc w:val="right"/>
              <w:rPr>
                <w:kern w:val="0"/>
                <w:sz w:val="20"/>
              </w:rPr>
            </w:pPr>
            <w:r w:rsidRPr="00720EF1">
              <w:rPr>
                <w:kern w:val="0"/>
                <w:sz w:val="20"/>
              </w:rPr>
              <w:t>82.24</w:t>
            </w:r>
          </w:p>
        </w:tc>
        <w:tc>
          <w:tcPr>
            <w:tcW w:w="1197" w:type="dxa"/>
            <w:tcBorders>
              <w:top w:val="nil"/>
              <w:left w:val="nil"/>
              <w:bottom w:val="nil"/>
              <w:right w:val="nil"/>
            </w:tcBorders>
            <w:shd w:val="clear" w:color="auto" w:fill="auto"/>
            <w:noWrap/>
            <w:vAlign w:val="bottom"/>
            <w:hideMark/>
          </w:tcPr>
          <w:p w14:paraId="619E4DF4" w14:textId="77777777" w:rsidR="000F5BAD" w:rsidRPr="00720EF1" w:rsidRDefault="000F5BAD" w:rsidP="006A25C9">
            <w:pPr>
              <w:widowControl/>
              <w:jc w:val="right"/>
              <w:rPr>
                <w:kern w:val="0"/>
                <w:sz w:val="20"/>
              </w:rPr>
            </w:pPr>
            <w:r w:rsidRPr="00720EF1">
              <w:rPr>
                <w:kern w:val="0"/>
                <w:sz w:val="20"/>
              </w:rPr>
              <w:t xml:space="preserve">      19.33 </w:t>
            </w:r>
          </w:p>
        </w:tc>
      </w:tr>
      <w:tr w:rsidR="000F5BAD" w:rsidRPr="00720EF1" w14:paraId="38040F45" w14:textId="77777777" w:rsidTr="006A25C9">
        <w:trPr>
          <w:trHeight w:val="258"/>
        </w:trPr>
        <w:tc>
          <w:tcPr>
            <w:tcW w:w="2810" w:type="dxa"/>
            <w:tcBorders>
              <w:top w:val="nil"/>
              <w:left w:val="nil"/>
              <w:bottom w:val="nil"/>
              <w:right w:val="nil"/>
            </w:tcBorders>
            <w:shd w:val="clear" w:color="auto" w:fill="auto"/>
            <w:noWrap/>
            <w:vAlign w:val="bottom"/>
            <w:hideMark/>
          </w:tcPr>
          <w:p w14:paraId="4B95B8F7" w14:textId="77777777" w:rsidR="000F5BAD" w:rsidRPr="00720EF1" w:rsidRDefault="000F5BAD" w:rsidP="006A25C9">
            <w:pPr>
              <w:widowControl/>
              <w:jc w:val="left"/>
              <w:rPr>
                <w:kern w:val="0"/>
                <w:sz w:val="20"/>
              </w:rPr>
            </w:pPr>
            <w:r w:rsidRPr="00720EF1">
              <w:rPr>
                <w:kern w:val="0"/>
                <w:sz w:val="20"/>
              </w:rPr>
              <w:t>创金合信新能源汽车</w:t>
            </w:r>
            <w:r w:rsidRPr="00720EF1">
              <w:rPr>
                <w:kern w:val="0"/>
                <w:sz w:val="20"/>
              </w:rPr>
              <w:t>C</w:t>
            </w:r>
          </w:p>
        </w:tc>
        <w:tc>
          <w:tcPr>
            <w:tcW w:w="766" w:type="dxa"/>
            <w:tcBorders>
              <w:top w:val="nil"/>
              <w:left w:val="nil"/>
              <w:bottom w:val="nil"/>
              <w:right w:val="nil"/>
            </w:tcBorders>
            <w:shd w:val="clear" w:color="auto" w:fill="auto"/>
            <w:noWrap/>
            <w:vAlign w:val="bottom"/>
            <w:hideMark/>
          </w:tcPr>
          <w:p w14:paraId="49E5ABC1"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AFAE4A8" w14:textId="77777777" w:rsidR="000F5BAD" w:rsidRPr="00720EF1" w:rsidRDefault="000F5BAD" w:rsidP="006A25C9">
            <w:pPr>
              <w:widowControl/>
              <w:jc w:val="right"/>
              <w:rPr>
                <w:kern w:val="0"/>
                <w:sz w:val="20"/>
              </w:rPr>
            </w:pPr>
            <w:r w:rsidRPr="00720EF1">
              <w:rPr>
                <w:kern w:val="0"/>
                <w:sz w:val="20"/>
              </w:rPr>
              <w:t xml:space="preserve">5.49 </w:t>
            </w:r>
          </w:p>
        </w:tc>
        <w:tc>
          <w:tcPr>
            <w:tcW w:w="981" w:type="dxa"/>
            <w:tcBorders>
              <w:top w:val="nil"/>
              <w:left w:val="nil"/>
              <w:bottom w:val="nil"/>
              <w:right w:val="nil"/>
            </w:tcBorders>
            <w:shd w:val="clear" w:color="auto" w:fill="auto"/>
            <w:noWrap/>
            <w:vAlign w:val="bottom"/>
            <w:hideMark/>
          </w:tcPr>
          <w:p w14:paraId="5622B6D4" w14:textId="77777777" w:rsidR="000F5BAD" w:rsidRPr="00720EF1" w:rsidRDefault="000F5BAD" w:rsidP="006A25C9">
            <w:pPr>
              <w:widowControl/>
              <w:jc w:val="right"/>
              <w:rPr>
                <w:kern w:val="0"/>
                <w:sz w:val="20"/>
              </w:rPr>
            </w:pPr>
            <w:r w:rsidRPr="00720EF1">
              <w:rPr>
                <w:kern w:val="0"/>
                <w:sz w:val="20"/>
              </w:rPr>
              <w:t>62.94</w:t>
            </w:r>
          </w:p>
        </w:tc>
        <w:tc>
          <w:tcPr>
            <w:tcW w:w="962" w:type="dxa"/>
            <w:tcBorders>
              <w:top w:val="nil"/>
              <w:left w:val="nil"/>
              <w:bottom w:val="nil"/>
              <w:right w:val="nil"/>
            </w:tcBorders>
            <w:shd w:val="clear" w:color="auto" w:fill="auto"/>
            <w:noWrap/>
            <w:vAlign w:val="bottom"/>
            <w:hideMark/>
          </w:tcPr>
          <w:p w14:paraId="0CCCCCE5" w14:textId="77777777" w:rsidR="000F5BAD" w:rsidRPr="00720EF1" w:rsidRDefault="000F5BAD" w:rsidP="006A25C9">
            <w:pPr>
              <w:widowControl/>
              <w:jc w:val="right"/>
              <w:rPr>
                <w:kern w:val="0"/>
                <w:sz w:val="20"/>
              </w:rPr>
            </w:pPr>
            <w:r w:rsidRPr="00720EF1">
              <w:rPr>
                <w:kern w:val="0"/>
                <w:sz w:val="20"/>
              </w:rPr>
              <w:t>75.14</w:t>
            </w:r>
          </w:p>
        </w:tc>
        <w:tc>
          <w:tcPr>
            <w:tcW w:w="962" w:type="dxa"/>
            <w:tcBorders>
              <w:top w:val="nil"/>
              <w:left w:val="nil"/>
              <w:bottom w:val="nil"/>
              <w:right w:val="nil"/>
            </w:tcBorders>
            <w:shd w:val="clear" w:color="auto" w:fill="auto"/>
            <w:noWrap/>
            <w:vAlign w:val="bottom"/>
            <w:hideMark/>
          </w:tcPr>
          <w:p w14:paraId="27DD138E" w14:textId="77777777" w:rsidR="000F5BAD" w:rsidRPr="00720EF1" w:rsidRDefault="000F5BAD" w:rsidP="006A25C9">
            <w:pPr>
              <w:widowControl/>
              <w:jc w:val="right"/>
              <w:rPr>
                <w:kern w:val="0"/>
                <w:sz w:val="20"/>
              </w:rPr>
            </w:pPr>
            <w:r w:rsidRPr="00720EF1">
              <w:rPr>
                <w:kern w:val="0"/>
                <w:sz w:val="20"/>
              </w:rPr>
              <w:t>82.01</w:t>
            </w:r>
          </w:p>
        </w:tc>
        <w:tc>
          <w:tcPr>
            <w:tcW w:w="1197" w:type="dxa"/>
            <w:tcBorders>
              <w:top w:val="nil"/>
              <w:left w:val="nil"/>
              <w:bottom w:val="nil"/>
              <w:right w:val="nil"/>
            </w:tcBorders>
            <w:shd w:val="clear" w:color="auto" w:fill="auto"/>
            <w:noWrap/>
            <w:vAlign w:val="bottom"/>
            <w:hideMark/>
          </w:tcPr>
          <w:p w14:paraId="6744086C" w14:textId="77777777" w:rsidR="000F5BAD" w:rsidRPr="00720EF1" w:rsidRDefault="000F5BAD" w:rsidP="006A25C9">
            <w:pPr>
              <w:widowControl/>
              <w:jc w:val="right"/>
              <w:rPr>
                <w:kern w:val="0"/>
                <w:sz w:val="20"/>
              </w:rPr>
            </w:pPr>
            <w:r w:rsidRPr="00720EF1">
              <w:rPr>
                <w:kern w:val="0"/>
                <w:sz w:val="20"/>
              </w:rPr>
              <w:t xml:space="preserve">      44.00 </w:t>
            </w:r>
          </w:p>
        </w:tc>
      </w:tr>
      <w:tr w:rsidR="000F5BAD" w:rsidRPr="00720EF1" w14:paraId="72C629F8" w14:textId="77777777" w:rsidTr="006A25C9">
        <w:trPr>
          <w:trHeight w:val="258"/>
        </w:trPr>
        <w:tc>
          <w:tcPr>
            <w:tcW w:w="2810" w:type="dxa"/>
            <w:tcBorders>
              <w:top w:val="nil"/>
              <w:left w:val="nil"/>
              <w:bottom w:val="nil"/>
              <w:right w:val="nil"/>
            </w:tcBorders>
            <w:shd w:val="clear" w:color="auto" w:fill="auto"/>
            <w:noWrap/>
            <w:vAlign w:val="bottom"/>
            <w:hideMark/>
          </w:tcPr>
          <w:p w14:paraId="0ECAA376" w14:textId="77777777" w:rsidR="000F5BAD" w:rsidRPr="00720EF1" w:rsidRDefault="000F5BAD" w:rsidP="006A25C9">
            <w:pPr>
              <w:widowControl/>
              <w:jc w:val="left"/>
              <w:rPr>
                <w:kern w:val="0"/>
                <w:sz w:val="20"/>
              </w:rPr>
            </w:pPr>
            <w:r w:rsidRPr="00720EF1">
              <w:rPr>
                <w:kern w:val="0"/>
                <w:sz w:val="20"/>
              </w:rPr>
              <w:t>宝盈人工智能</w:t>
            </w:r>
            <w:r w:rsidRPr="00720EF1">
              <w:rPr>
                <w:kern w:val="0"/>
                <w:sz w:val="20"/>
              </w:rPr>
              <w:t>A</w:t>
            </w:r>
          </w:p>
        </w:tc>
        <w:tc>
          <w:tcPr>
            <w:tcW w:w="766" w:type="dxa"/>
            <w:tcBorders>
              <w:top w:val="nil"/>
              <w:left w:val="nil"/>
              <w:bottom w:val="nil"/>
              <w:right w:val="nil"/>
            </w:tcBorders>
            <w:shd w:val="clear" w:color="auto" w:fill="auto"/>
            <w:noWrap/>
            <w:vAlign w:val="bottom"/>
            <w:hideMark/>
          </w:tcPr>
          <w:p w14:paraId="0EED8DBB"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4A630AB0"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549DCDEA" w14:textId="77777777" w:rsidR="000F5BAD" w:rsidRPr="00720EF1" w:rsidRDefault="000F5BAD" w:rsidP="006A25C9">
            <w:pPr>
              <w:widowControl/>
              <w:jc w:val="right"/>
              <w:rPr>
                <w:kern w:val="0"/>
                <w:sz w:val="20"/>
              </w:rPr>
            </w:pPr>
            <w:r w:rsidRPr="00720EF1">
              <w:rPr>
                <w:kern w:val="0"/>
                <w:sz w:val="20"/>
              </w:rPr>
              <w:t>63.1</w:t>
            </w:r>
          </w:p>
        </w:tc>
        <w:tc>
          <w:tcPr>
            <w:tcW w:w="962" w:type="dxa"/>
            <w:tcBorders>
              <w:top w:val="nil"/>
              <w:left w:val="nil"/>
              <w:bottom w:val="nil"/>
              <w:right w:val="nil"/>
            </w:tcBorders>
            <w:shd w:val="clear" w:color="auto" w:fill="auto"/>
            <w:noWrap/>
            <w:vAlign w:val="bottom"/>
            <w:hideMark/>
          </w:tcPr>
          <w:p w14:paraId="44F16AE4" w14:textId="77777777" w:rsidR="000F5BAD" w:rsidRPr="00720EF1" w:rsidRDefault="000F5BAD" w:rsidP="006A25C9">
            <w:pPr>
              <w:widowControl/>
              <w:jc w:val="right"/>
              <w:rPr>
                <w:kern w:val="0"/>
                <w:sz w:val="20"/>
              </w:rPr>
            </w:pPr>
            <w:r w:rsidRPr="00720EF1">
              <w:rPr>
                <w:kern w:val="0"/>
                <w:sz w:val="20"/>
              </w:rPr>
              <w:t>76.18</w:t>
            </w:r>
          </w:p>
        </w:tc>
        <w:tc>
          <w:tcPr>
            <w:tcW w:w="962" w:type="dxa"/>
            <w:tcBorders>
              <w:top w:val="nil"/>
              <w:left w:val="nil"/>
              <w:bottom w:val="nil"/>
              <w:right w:val="nil"/>
            </w:tcBorders>
            <w:shd w:val="clear" w:color="auto" w:fill="auto"/>
            <w:noWrap/>
            <w:vAlign w:val="bottom"/>
            <w:hideMark/>
          </w:tcPr>
          <w:p w14:paraId="7C9E8158" w14:textId="77777777" w:rsidR="000F5BAD" w:rsidRPr="00720EF1" w:rsidRDefault="000F5BAD" w:rsidP="006A25C9">
            <w:pPr>
              <w:widowControl/>
              <w:jc w:val="right"/>
              <w:rPr>
                <w:kern w:val="0"/>
                <w:sz w:val="20"/>
              </w:rPr>
            </w:pPr>
            <w:r w:rsidRPr="00720EF1">
              <w:rPr>
                <w:kern w:val="0"/>
                <w:sz w:val="20"/>
              </w:rPr>
              <w:t>83.2</w:t>
            </w:r>
          </w:p>
        </w:tc>
        <w:tc>
          <w:tcPr>
            <w:tcW w:w="1197" w:type="dxa"/>
            <w:tcBorders>
              <w:top w:val="nil"/>
              <w:left w:val="nil"/>
              <w:bottom w:val="nil"/>
              <w:right w:val="nil"/>
            </w:tcBorders>
            <w:shd w:val="clear" w:color="auto" w:fill="auto"/>
            <w:noWrap/>
            <w:vAlign w:val="bottom"/>
            <w:hideMark/>
          </w:tcPr>
          <w:p w14:paraId="67D508F9" w14:textId="77777777" w:rsidR="000F5BAD" w:rsidRPr="00720EF1" w:rsidRDefault="000F5BAD" w:rsidP="006A25C9">
            <w:pPr>
              <w:widowControl/>
              <w:jc w:val="right"/>
              <w:rPr>
                <w:kern w:val="0"/>
                <w:sz w:val="20"/>
              </w:rPr>
            </w:pPr>
            <w:r w:rsidRPr="00720EF1">
              <w:rPr>
                <w:kern w:val="0"/>
                <w:sz w:val="20"/>
              </w:rPr>
              <w:t xml:space="preserve">      22.99 </w:t>
            </w:r>
          </w:p>
        </w:tc>
      </w:tr>
      <w:tr w:rsidR="000F5BAD" w:rsidRPr="00720EF1" w14:paraId="628F3D61" w14:textId="77777777" w:rsidTr="006A25C9">
        <w:trPr>
          <w:trHeight w:val="258"/>
        </w:trPr>
        <w:tc>
          <w:tcPr>
            <w:tcW w:w="2810" w:type="dxa"/>
            <w:tcBorders>
              <w:top w:val="nil"/>
              <w:left w:val="nil"/>
              <w:bottom w:val="nil"/>
              <w:right w:val="nil"/>
            </w:tcBorders>
            <w:shd w:val="clear" w:color="auto" w:fill="auto"/>
            <w:noWrap/>
            <w:vAlign w:val="bottom"/>
            <w:hideMark/>
          </w:tcPr>
          <w:p w14:paraId="3745166A" w14:textId="77777777" w:rsidR="000F5BAD" w:rsidRPr="00720EF1" w:rsidRDefault="000F5BAD" w:rsidP="006A25C9">
            <w:pPr>
              <w:widowControl/>
              <w:jc w:val="left"/>
              <w:rPr>
                <w:kern w:val="0"/>
                <w:sz w:val="20"/>
              </w:rPr>
            </w:pPr>
            <w:r w:rsidRPr="00720EF1">
              <w:rPr>
                <w:kern w:val="0"/>
                <w:sz w:val="20"/>
              </w:rPr>
              <w:t>创金合信工业周期精选</w:t>
            </w:r>
            <w:r w:rsidRPr="00720EF1">
              <w:rPr>
                <w:kern w:val="0"/>
                <w:sz w:val="20"/>
              </w:rPr>
              <w:t>C</w:t>
            </w:r>
          </w:p>
        </w:tc>
        <w:tc>
          <w:tcPr>
            <w:tcW w:w="766" w:type="dxa"/>
            <w:tcBorders>
              <w:top w:val="nil"/>
              <w:left w:val="nil"/>
              <w:bottom w:val="nil"/>
              <w:right w:val="nil"/>
            </w:tcBorders>
            <w:shd w:val="clear" w:color="auto" w:fill="auto"/>
            <w:noWrap/>
            <w:vAlign w:val="bottom"/>
            <w:hideMark/>
          </w:tcPr>
          <w:p w14:paraId="7079BC24"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933B6E7" w14:textId="77777777" w:rsidR="000F5BAD" w:rsidRPr="00720EF1" w:rsidRDefault="000F5BAD" w:rsidP="006A25C9">
            <w:pPr>
              <w:widowControl/>
              <w:jc w:val="right"/>
              <w:rPr>
                <w:kern w:val="0"/>
                <w:sz w:val="20"/>
              </w:rPr>
            </w:pPr>
            <w:r w:rsidRPr="00720EF1">
              <w:rPr>
                <w:kern w:val="0"/>
                <w:sz w:val="20"/>
              </w:rPr>
              <w:t xml:space="preserve">7.65 </w:t>
            </w:r>
          </w:p>
        </w:tc>
        <w:tc>
          <w:tcPr>
            <w:tcW w:w="981" w:type="dxa"/>
            <w:tcBorders>
              <w:top w:val="nil"/>
              <w:left w:val="nil"/>
              <w:bottom w:val="nil"/>
              <w:right w:val="nil"/>
            </w:tcBorders>
            <w:shd w:val="clear" w:color="auto" w:fill="auto"/>
            <w:noWrap/>
            <w:vAlign w:val="bottom"/>
            <w:hideMark/>
          </w:tcPr>
          <w:p w14:paraId="1FFC7F48" w14:textId="77777777" w:rsidR="000F5BAD" w:rsidRPr="00720EF1" w:rsidRDefault="000F5BAD" w:rsidP="006A25C9">
            <w:pPr>
              <w:widowControl/>
              <w:jc w:val="right"/>
              <w:rPr>
                <w:kern w:val="0"/>
                <w:sz w:val="20"/>
              </w:rPr>
            </w:pPr>
            <w:r w:rsidRPr="00720EF1">
              <w:rPr>
                <w:kern w:val="0"/>
                <w:sz w:val="20"/>
              </w:rPr>
              <w:t>63.15</w:t>
            </w:r>
          </w:p>
        </w:tc>
        <w:tc>
          <w:tcPr>
            <w:tcW w:w="962" w:type="dxa"/>
            <w:tcBorders>
              <w:top w:val="nil"/>
              <w:left w:val="nil"/>
              <w:bottom w:val="nil"/>
              <w:right w:val="nil"/>
            </w:tcBorders>
            <w:shd w:val="clear" w:color="auto" w:fill="auto"/>
            <w:noWrap/>
            <w:vAlign w:val="bottom"/>
            <w:hideMark/>
          </w:tcPr>
          <w:p w14:paraId="34ABABF2" w14:textId="77777777" w:rsidR="000F5BAD" w:rsidRPr="00720EF1" w:rsidRDefault="000F5BAD" w:rsidP="006A25C9">
            <w:pPr>
              <w:widowControl/>
              <w:jc w:val="right"/>
              <w:rPr>
                <w:kern w:val="0"/>
                <w:sz w:val="20"/>
              </w:rPr>
            </w:pPr>
            <w:r w:rsidRPr="00720EF1">
              <w:rPr>
                <w:kern w:val="0"/>
                <w:sz w:val="20"/>
              </w:rPr>
              <w:t>77.51</w:t>
            </w:r>
          </w:p>
        </w:tc>
        <w:tc>
          <w:tcPr>
            <w:tcW w:w="962" w:type="dxa"/>
            <w:tcBorders>
              <w:top w:val="nil"/>
              <w:left w:val="nil"/>
              <w:bottom w:val="nil"/>
              <w:right w:val="nil"/>
            </w:tcBorders>
            <w:shd w:val="clear" w:color="auto" w:fill="auto"/>
            <w:noWrap/>
            <w:vAlign w:val="bottom"/>
            <w:hideMark/>
          </w:tcPr>
          <w:p w14:paraId="38F044FF" w14:textId="77777777" w:rsidR="000F5BAD" w:rsidRPr="00720EF1" w:rsidRDefault="000F5BAD" w:rsidP="006A25C9">
            <w:pPr>
              <w:widowControl/>
              <w:jc w:val="right"/>
              <w:rPr>
                <w:kern w:val="0"/>
                <w:sz w:val="20"/>
              </w:rPr>
            </w:pPr>
            <w:r w:rsidRPr="00720EF1">
              <w:rPr>
                <w:kern w:val="0"/>
                <w:sz w:val="20"/>
              </w:rPr>
              <w:t>82.47</w:t>
            </w:r>
          </w:p>
        </w:tc>
        <w:tc>
          <w:tcPr>
            <w:tcW w:w="1197" w:type="dxa"/>
            <w:tcBorders>
              <w:top w:val="nil"/>
              <w:left w:val="nil"/>
              <w:bottom w:val="nil"/>
              <w:right w:val="nil"/>
            </w:tcBorders>
            <w:shd w:val="clear" w:color="auto" w:fill="auto"/>
            <w:noWrap/>
            <w:vAlign w:val="bottom"/>
            <w:hideMark/>
          </w:tcPr>
          <w:p w14:paraId="7493BB8E" w14:textId="77777777" w:rsidR="000F5BAD" w:rsidRPr="00720EF1" w:rsidRDefault="000F5BAD" w:rsidP="006A25C9">
            <w:pPr>
              <w:widowControl/>
              <w:jc w:val="right"/>
              <w:rPr>
                <w:kern w:val="0"/>
                <w:sz w:val="20"/>
              </w:rPr>
            </w:pPr>
            <w:r w:rsidRPr="00720EF1">
              <w:rPr>
                <w:kern w:val="0"/>
                <w:sz w:val="20"/>
              </w:rPr>
              <w:t xml:space="preserve">      27.59 </w:t>
            </w:r>
          </w:p>
        </w:tc>
      </w:tr>
      <w:tr w:rsidR="000F5BAD" w:rsidRPr="00720EF1" w14:paraId="6D8F5498" w14:textId="77777777" w:rsidTr="006A25C9">
        <w:trPr>
          <w:trHeight w:val="258"/>
        </w:trPr>
        <w:tc>
          <w:tcPr>
            <w:tcW w:w="2810" w:type="dxa"/>
            <w:tcBorders>
              <w:top w:val="nil"/>
              <w:left w:val="nil"/>
              <w:bottom w:val="nil"/>
              <w:right w:val="nil"/>
            </w:tcBorders>
            <w:shd w:val="clear" w:color="auto" w:fill="auto"/>
            <w:noWrap/>
            <w:vAlign w:val="bottom"/>
            <w:hideMark/>
          </w:tcPr>
          <w:p w14:paraId="2C32A9C0" w14:textId="77777777" w:rsidR="000F5BAD" w:rsidRPr="00720EF1" w:rsidRDefault="000F5BAD" w:rsidP="006A25C9">
            <w:pPr>
              <w:widowControl/>
              <w:jc w:val="left"/>
              <w:rPr>
                <w:kern w:val="0"/>
                <w:sz w:val="20"/>
              </w:rPr>
            </w:pPr>
            <w:r w:rsidRPr="00720EF1">
              <w:rPr>
                <w:kern w:val="0"/>
                <w:sz w:val="20"/>
              </w:rPr>
              <w:t>上投摩根核心精选</w:t>
            </w:r>
            <w:r w:rsidRPr="00720EF1">
              <w:rPr>
                <w:kern w:val="0"/>
                <w:sz w:val="20"/>
              </w:rPr>
              <w:t>A</w:t>
            </w:r>
          </w:p>
        </w:tc>
        <w:tc>
          <w:tcPr>
            <w:tcW w:w="766" w:type="dxa"/>
            <w:tcBorders>
              <w:top w:val="nil"/>
              <w:left w:val="nil"/>
              <w:bottom w:val="nil"/>
              <w:right w:val="nil"/>
            </w:tcBorders>
            <w:shd w:val="clear" w:color="auto" w:fill="auto"/>
            <w:noWrap/>
            <w:vAlign w:val="bottom"/>
            <w:hideMark/>
          </w:tcPr>
          <w:p w14:paraId="2EA6F9BA"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56C71947" w14:textId="77777777" w:rsidR="000F5BAD" w:rsidRPr="00720EF1" w:rsidRDefault="000F5BAD" w:rsidP="006A25C9">
            <w:pPr>
              <w:widowControl/>
              <w:jc w:val="right"/>
              <w:rPr>
                <w:kern w:val="0"/>
                <w:sz w:val="20"/>
              </w:rPr>
            </w:pPr>
            <w:r w:rsidRPr="00720EF1">
              <w:rPr>
                <w:kern w:val="0"/>
                <w:sz w:val="20"/>
              </w:rPr>
              <w:t xml:space="preserve">6.78 </w:t>
            </w:r>
          </w:p>
        </w:tc>
        <w:tc>
          <w:tcPr>
            <w:tcW w:w="981" w:type="dxa"/>
            <w:tcBorders>
              <w:top w:val="nil"/>
              <w:left w:val="nil"/>
              <w:bottom w:val="nil"/>
              <w:right w:val="nil"/>
            </w:tcBorders>
            <w:shd w:val="clear" w:color="auto" w:fill="auto"/>
            <w:noWrap/>
            <w:vAlign w:val="bottom"/>
            <w:hideMark/>
          </w:tcPr>
          <w:p w14:paraId="2F21A84A" w14:textId="77777777" w:rsidR="000F5BAD" w:rsidRPr="00720EF1" w:rsidRDefault="000F5BAD" w:rsidP="006A25C9">
            <w:pPr>
              <w:widowControl/>
              <w:jc w:val="right"/>
              <w:rPr>
                <w:kern w:val="0"/>
                <w:sz w:val="20"/>
              </w:rPr>
            </w:pPr>
            <w:r w:rsidRPr="00720EF1">
              <w:rPr>
                <w:kern w:val="0"/>
                <w:sz w:val="20"/>
              </w:rPr>
              <w:t>64.44</w:t>
            </w:r>
          </w:p>
        </w:tc>
        <w:tc>
          <w:tcPr>
            <w:tcW w:w="962" w:type="dxa"/>
            <w:tcBorders>
              <w:top w:val="nil"/>
              <w:left w:val="nil"/>
              <w:bottom w:val="nil"/>
              <w:right w:val="nil"/>
            </w:tcBorders>
            <w:shd w:val="clear" w:color="auto" w:fill="auto"/>
            <w:noWrap/>
            <w:vAlign w:val="bottom"/>
            <w:hideMark/>
          </w:tcPr>
          <w:p w14:paraId="3941DD26" w14:textId="77777777" w:rsidR="000F5BAD" w:rsidRPr="00720EF1" w:rsidRDefault="000F5BAD" w:rsidP="006A25C9">
            <w:pPr>
              <w:widowControl/>
              <w:jc w:val="right"/>
              <w:rPr>
                <w:kern w:val="0"/>
                <w:sz w:val="20"/>
              </w:rPr>
            </w:pPr>
            <w:r w:rsidRPr="00720EF1">
              <w:rPr>
                <w:kern w:val="0"/>
                <w:sz w:val="20"/>
              </w:rPr>
              <w:t>78.71</w:t>
            </w:r>
          </w:p>
        </w:tc>
        <w:tc>
          <w:tcPr>
            <w:tcW w:w="962" w:type="dxa"/>
            <w:tcBorders>
              <w:top w:val="nil"/>
              <w:left w:val="nil"/>
              <w:bottom w:val="nil"/>
              <w:right w:val="nil"/>
            </w:tcBorders>
            <w:shd w:val="clear" w:color="auto" w:fill="auto"/>
            <w:noWrap/>
            <w:vAlign w:val="bottom"/>
            <w:hideMark/>
          </w:tcPr>
          <w:p w14:paraId="2ECDD279" w14:textId="77777777" w:rsidR="000F5BAD" w:rsidRPr="00720EF1" w:rsidRDefault="000F5BAD" w:rsidP="006A25C9">
            <w:pPr>
              <w:widowControl/>
              <w:jc w:val="right"/>
              <w:rPr>
                <w:kern w:val="0"/>
                <w:sz w:val="20"/>
              </w:rPr>
            </w:pPr>
            <w:r w:rsidRPr="00720EF1">
              <w:rPr>
                <w:kern w:val="0"/>
                <w:sz w:val="20"/>
              </w:rPr>
              <w:t>81.91</w:t>
            </w:r>
          </w:p>
        </w:tc>
        <w:tc>
          <w:tcPr>
            <w:tcW w:w="1197" w:type="dxa"/>
            <w:tcBorders>
              <w:top w:val="nil"/>
              <w:left w:val="nil"/>
              <w:bottom w:val="nil"/>
              <w:right w:val="nil"/>
            </w:tcBorders>
            <w:shd w:val="clear" w:color="auto" w:fill="auto"/>
            <w:noWrap/>
            <w:vAlign w:val="bottom"/>
            <w:hideMark/>
          </w:tcPr>
          <w:p w14:paraId="2910335E" w14:textId="77777777" w:rsidR="000F5BAD" w:rsidRPr="00720EF1" w:rsidRDefault="000F5BAD" w:rsidP="006A25C9">
            <w:pPr>
              <w:widowControl/>
              <w:jc w:val="right"/>
              <w:rPr>
                <w:kern w:val="0"/>
                <w:sz w:val="20"/>
              </w:rPr>
            </w:pPr>
            <w:r w:rsidRPr="00720EF1">
              <w:rPr>
                <w:kern w:val="0"/>
                <w:sz w:val="20"/>
              </w:rPr>
              <w:t xml:space="preserve">      27.94 </w:t>
            </w:r>
          </w:p>
        </w:tc>
      </w:tr>
      <w:tr w:rsidR="000F5BAD" w:rsidRPr="00720EF1" w14:paraId="2F26AC5C" w14:textId="77777777" w:rsidTr="006A25C9">
        <w:trPr>
          <w:trHeight w:val="258"/>
        </w:trPr>
        <w:tc>
          <w:tcPr>
            <w:tcW w:w="2810" w:type="dxa"/>
            <w:tcBorders>
              <w:top w:val="nil"/>
              <w:left w:val="nil"/>
              <w:bottom w:val="nil"/>
              <w:right w:val="nil"/>
            </w:tcBorders>
            <w:shd w:val="clear" w:color="auto" w:fill="auto"/>
            <w:noWrap/>
            <w:vAlign w:val="bottom"/>
            <w:hideMark/>
          </w:tcPr>
          <w:p w14:paraId="2EAD34F2" w14:textId="77777777" w:rsidR="000F5BAD" w:rsidRPr="00720EF1" w:rsidRDefault="000F5BAD" w:rsidP="006A25C9">
            <w:pPr>
              <w:widowControl/>
              <w:jc w:val="left"/>
              <w:rPr>
                <w:kern w:val="0"/>
                <w:sz w:val="20"/>
              </w:rPr>
            </w:pPr>
            <w:r w:rsidRPr="00720EF1">
              <w:rPr>
                <w:kern w:val="0"/>
                <w:sz w:val="20"/>
              </w:rPr>
              <w:t>富国</w:t>
            </w:r>
            <w:r w:rsidRPr="00720EF1">
              <w:rPr>
                <w:kern w:val="0"/>
                <w:sz w:val="20"/>
              </w:rPr>
              <w:t>MSCI</w:t>
            </w:r>
            <w:r w:rsidRPr="00720EF1">
              <w:rPr>
                <w:kern w:val="0"/>
                <w:sz w:val="20"/>
              </w:rPr>
              <w:t>中国</w:t>
            </w:r>
            <w:r w:rsidRPr="00720EF1">
              <w:rPr>
                <w:kern w:val="0"/>
                <w:sz w:val="20"/>
              </w:rPr>
              <w:t>A</w:t>
            </w:r>
            <w:r w:rsidRPr="00720EF1">
              <w:rPr>
                <w:kern w:val="0"/>
                <w:sz w:val="20"/>
              </w:rPr>
              <w:t>股国际通增强</w:t>
            </w:r>
          </w:p>
        </w:tc>
        <w:tc>
          <w:tcPr>
            <w:tcW w:w="766" w:type="dxa"/>
            <w:tcBorders>
              <w:top w:val="nil"/>
              <w:left w:val="nil"/>
              <w:bottom w:val="nil"/>
              <w:right w:val="nil"/>
            </w:tcBorders>
            <w:shd w:val="clear" w:color="auto" w:fill="auto"/>
            <w:noWrap/>
            <w:vAlign w:val="bottom"/>
            <w:hideMark/>
          </w:tcPr>
          <w:p w14:paraId="45D4E6C7"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13A64958"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6D5881C5" w14:textId="77777777" w:rsidR="000F5BAD" w:rsidRPr="00720EF1" w:rsidRDefault="000F5BAD" w:rsidP="006A25C9">
            <w:pPr>
              <w:widowControl/>
              <w:jc w:val="right"/>
              <w:rPr>
                <w:kern w:val="0"/>
                <w:sz w:val="20"/>
              </w:rPr>
            </w:pPr>
            <w:r w:rsidRPr="00720EF1">
              <w:rPr>
                <w:kern w:val="0"/>
                <w:sz w:val="20"/>
              </w:rPr>
              <w:t>63.29</w:t>
            </w:r>
          </w:p>
        </w:tc>
        <w:tc>
          <w:tcPr>
            <w:tcW w:w="962" w:type="dxa"/>
            <w:tcBorders>
              <w:top w:val="nil"/>
              <w:left w:val="nil"/>
              <w:bottom w:val="nil"/>
              <w:right w:val="nil"/>
            </w:tcBorders>
            <w:shd w:val="clear" w:color="auto" w:fill="auto"/>
            <w:noWrap/>
            <w:vAlign w:val="bottom"/>
            <w:hideMark/>
          </w:tcPr>
          <w:p w14:paraId="7777435F" w14:textId="77777777" w:rsidR="000F5BAD" w:rsidRPr="00720EF1" w:rsidRDefault="000F5BAD" w:rsidP="006A25C9">
            <w:pPr>
              <w:widowControl/>
              <w:jc w:val="right"/>
              <w:rPr>
                <w:kern w:val="0"/>
                <w:sz w:val="20"/>
              </w:rPr>
            </w:pPr>
            <w:r w:rsidRPr="00720EF1">
              <w:rPr>
                <w:kern w:val="0"/>
                <w:sz w:val="20"/>
              </w:rPr>
              <w:t>79.76</w:t>
            </w:r>
          </w:p>
        </w:tc>
        <w:tc>
          <w:tcPr>
            <w:tcW w:w="962" w:type="dxa"/>
            <w:tcBorders>
              <w:top w:val="nil"/>
              <w:left w:val="nil"/>
              <w:bottom w:val="nil"/>
              <w:right w:val="nil"/>
            </w:tcBorders>
            <w:shd w:val="clear" w:color="auto" w:fill="auto"/>
            <w:noWrap/>
            <w:vAlign w:val="bottom"/>
            <w:hideMark/>
          </w:tcPr>
          <w:p w14:paraId="3560876D" w14:textId="77777777" w:rsidR="000F5BAD" w:rsidRPr="00720EF1" w:rsidRDefault="000F5BAD" w:rsidP="006A25C9">
            <w:pPr>
              <w:widowControl/>
              <w:jc w:val="right"/>
              <w:rPr>
                <w:kern w:val="0"/>
                <w:sz w:val="20"/>
              </w:rPr>
            </w:pPr>
            <w:r w:rsidRPr="00720EF1">
              <w:rPr>
                <w:kern w:val="0"/>
                <w:sz w:val="20"/>
              </w:rPr>
              <w:t>81.68</w:t>
            </w:r>
          </w:p>
        </w:tc>
        <w:tc>
          <w:tcPr>
            <w:tcW w:w="1197" w:type="dxa"/>
            <w:tcBorders>
              <w:top w:val="nil"/>
              <w:left w:val="nil"/>
              <w:bottom w:val="nil"/>
              <w:right w:val="nil"/>
            </w:tcBorders>
            <w:shd w:val="clear" w:color="auto" w:fill="auto"/>
            <w:noWrap/>
            <w:vAlign w:val="bottom"/>
            <w:hideMark/>
          </w:tcPr>
          <w:p w14:paraId="53383A70" w14:textId="77777777" w:rsidR="000F5BAD" w:rsidRPr="00720EF1" w:rsidRDefault="000F5BAD" w:rsidP="006A25C9">
            <w:pPr>
              <w:widowControl/>
              <w:jc w:val="right"/>
              <w:rPr>
                <w:kern w:val="0"/>
                <w:sz w:val="20"/>
              </w:rPr>
            </w:pPr>
            <w:r w:rsidRPr="00720EF1">
              <w:rPr>
                <w:kern w:val="0"/>
                <w:sz w:val="20"/>
              </w:rPr>
              <w:t xml:space="preserve">      12.52 </w:t>
            </w:r>
          </w:p>
        </w:tc>
      </w:tr>
      <w:tr w:rsidR="000F5BAD" w:rsidRPr="00720EF1" w14:paraId="7A155D5C" w14:textId="77777777" w:rsidTr="006A25C9">
        <w:trPr>
          <w:trHeight w:val="258"/>
        </w:trPr>
        <w:tc>
          <w:tcPr>
            <w:tcW w:w="2810" w:type="dxa"/>
            <w:tcBorders>
              <w:top w:val="nil"/>
              <w:left w:val="nil"/>
              <w:bottom w:val="nil"/>
              <w:right w:val="nil"/>
            </w:tcBorders>
            <w:shd w:val="clear" w:color="auto" w:fill="auto"/>
            <w:noWrap/>
            <w:vAlign w:val="bottom"/>
            <w:hideMark/>
          </w:tcPr>
          <w:p w14:paraId="79AF1ECF" w14:textId="77777777" w:rsidR="000F5BAD" w:rsidRPr="00720EF1" w:rsidRDefault="000F5BAD" w:rsidP="006A25C9">
            <w:pPr>
              <w:widowControl/>
              <w:jc w:val="left"/>
              <w:rPr>
                <w:kern w:val="0"/>
                <w:sz w:val="20"/>
              </w:rPr>
            </w:pPr>
            <w:r w:rsidRPr="00720EF1">
              <w:rPr>
                <w:kern w:val="0"/>
                <w:sz w:val="20"/>
              </w:rPr>
              <w:t>海富通电子信息传媒产业</w:t>
            </w:r>
            <w:r w:rsidRPr="00720EF1">
              <w:rPr>
                <w:kern w:val="0"/>
                <w:sz w:val="20"/>
              </w:rPr>
              <w:t>C</w:t>
            </w:r>
          </w:p>
        </w:tc>
        <w:tc>
          <w:tcPr>
            <w:tcW w:w="766" w:type="dxa"/>
            <w:tcBorders>
              <w:top w:val="nil"/>
              <w:left w:val="nil"/>
              <w:bottom w:val="nil"/>
              <w:right w:val="nil"/>
            </w:tcBorders>
            <w:shd w:val="clear" w:color="auto" w:fill="auto"/>
            <w:noWrap/>
            <w:vAlign w:val="bottom"/>
            <w:hideMark/>
          </w:tcPr>
          <w:p w14:paraId="4E3DDFC9"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36BF1423" w14:textId="77777777" w:rsidR="000F5BAD" w:rsidRPr="00720EF1" w:rsidRDefault="000F5BAD" w:rsidP="006A25C9">
            <w:pPr>
              <w:widowControl/>
              <w:jc w:val="right"/>
              <w:rPr>
                <w:kern w:val="0"/>
                <w:sz w:val="20"/>
              </w:rPr>
            </w:pPr>
            <w:r w:rsidRPr="00720EF1">
              <w:rPr>
                <w:kern w:val="0"/>
                <w:sz w:val="20"/>
              </w:rPr>
              <w:t xml:space="preserve">7.89 </w:t>
            </w:r>
          </w:p>
        </w:tc>
        <w:tc>
          <w:tcPr>
            <w:tcW w:w="981" w:type="dxa"/>
            <w:tcBorders>
              <w:top w:val="nil"/>
              <w:left w:val="nil"/>
              <w:bottom w:val="nil"/>
              <w:right w:val="nil"/>
            </w:tcBorders>
            <w:shd w:val="clear" w:color="auto" w:fill="auto"/>
            <w:noWrap/>
            <w:vAlign w:val="bottom"/>
            <w:hideMark/>
          </w:tcPr>
          <w:p w14:paraId="5B744EB1" w14:textId="77777777" w:rsidR="000F5BAD" w:rsidRPr="00720EF1" w:rsidRDefault="000F5BAD" w:rsidP="006A25C9">
            <w:pPr>
              <w:widowControl/>
              <w:jc w:val="right"/>
              <w:rPr>
                <w:kern w:val="0"/>
                <w:sz w:val="20"/>
              </w:rPr>
            </w:pPr>
            <w:r w:rsidRPr="00720EF1">
              <w:rPr>
                <w:kern w:val="0"/>
                <w:sz w:val="20"/>
              </w:rPr>
              <w:t>62.07</w:t>
            </w:r>
          </w:p>
        </w:tc>
        <w:tc>
          <w:tcPr>
            <w:tcW w:w="962" w:type="dxa"/>
            <w:tcBorders>
              <w:top w:val="nil"/>
              <w:left w:val="nil"/>
              <w:bottom w:val="nil"/>
              <w:right w:val="nil"/>
            </w:tcBorders>
            <w:shd w:val="clear" w:color="auto" w:fill="auto"/>
            <w:noWrap/>
            <w:vAlign w:val="bottom"/>
            <w:hideMark/>
          </w:tcPr>
          <w:p w14:paraId="17FBBD30" w14:textId="77777777" w:rsidR="000F5BAD" w:rsidRPr="00720EF1" w:rsidRDefault="000F5BAD" w:rsidP="006A25C9">
            <w:pPr>
              <w:widowControl/>
              <w:jc w:val="right"/>
              <w:rPr>
                <w:kern w:val="0"/>
                <w:sz w:val="20"/>
              </w:rPr>
            </w:pPr>
            <w:r w:rsidRPr="00720EF1">
              <w:rPr>
                <w:kern w:val="0"/>
                <w:sz w:val="20"/>
              </w:rPr>
              <w:t>76.05</w:t>
            </w:r>
          </w:p>
        </w:tc>
        <w:tc>
          <w:tcPr>
            <w:tcW w:w="962" w:type="dxa"/>
            <w:tcBorders>
              <w:top w:val="nil"/>
              <w:left w:val="nil"/>
              <w:bottom w:val="nil"/>
              <w:right w:val="nil"/>
            </w:tcBorders>
            <w:shd w:val="clear" w:color="auto" w:fill="auto"/>
            <w:noWrap/>
            <w:vAlign w:val="bottom"/>
            <w:hideMark/>
          </w:tcPr>
          <w:p w14:paraId="2F958898" w14:textId="77777777" w:rsidR="000F5BAD" w:rsidRPr="00720EF1" w:rsidRDefault="000F5BAD" w:rsidP="006A25C9">
            <w:pPr>
              <w:widowControl/>
              <w:jc w:val="right"/>
              <w:rPr>
                <w:kern w:val="0"/>
                <w:sz w:val="20"/>
              </w:rPr>
            </w:pPr>
            <w:r w:rsidRPr="00720EF1">
              <w:rPr>
                <w:kern w:val="0"/>
                <w:sz w:val="20"/>
              </w:rPr>
              <w:t>80.42</w:t>
            </w:r>
          </w:p>
        </w:tc>
        <w:tc>
          <w:tcPr>
            <w:tcW w:w="1197" w:type="dxa"/>
            <w:tcBorders>
              <w:top w:val="nil"/>
              <w:left w:val="nil"/>
              <w:bottom w:val="nil"/>
              <w:right w:val="nil"/>
            </w:tcBorders>
            <w:shd w:val="clear" w:color="auto" w:fill="auto"/>
            <w:noWrap/>
            <w:vAlign w:val="bottom"/>
            <w:hideMark/>
          </w:tcPr>
          <w:p w14:paraId="16A604DD" w14:textId="77777777" w:rsidR="000F5BAD" w:rsidRPr="00720EF1" w:rsidRDefault="000F5BAD" w:rsidP="006A25C9">
            <w:pPr>
              <w:widowControl/>
              <w:jc w:val="right"/>
              <w:rPr>
                <w:kern w:val="0"/>
                <w:sz w:val="20"/>
              </w:rPr>
            </w:pPr>
            <w:r w:rsidRPr="00720EF1">
              <w:rPr>
                <w:kern w:val="0"/>
                <w:sz w:val="20"/>
              </w:rPr>
              <w:t xml:space="preserve">      36.49 </w:t>
            </w:r>
          </w:p>
        </w:tc>
      </w:tr>
      <w:tr w:rsidR="000F5BAD" w:rsidRPr="00720EF1" w14:paraId="7B76AE87" w14:textId="77777777" w:rsidTr="006A25C9">
        <w:trPr>
          <w:trHeight w:val="258"/>
        </w:trPr>
        <w:tc>
          <w:tcPr>
            <w:tcW w:w="2810" w:type="dxa"/>
            <w:tcBorders>
              <w:top w:val="nil"/>
              <w:left w:val="nil"/>
              <w:bottom w:val="nil"/>
              <w:right w:val="nil"/>
            </w:tcBorders>
            <w:shd w:val="clear" w:color="auto" w:fill="auto"/>
            <w:noWrap/>
            <w:vAlign w:val="bottom"/>
            <w:hideMark/>
          </w:tcPr>
          <w:p w14:paraId="20AB92C7" w14:textId="77777777" w:rsidR="000F5BAD" w:rsidRPr="00720EF1" w:rsidRDefault="000F5BAD" w:rsidP="006A25C9">
            <w:pPr>
              <w:widowControl/>
              <w:jc w:val="left"/>
              <w:rPr>
                <w:kern w:val="0"/>
                <w:sz w:val="20"/>
              </w:rPr>
            </w:pPr>
            <w:r w:rsidRPr="00720EF1">
              <w:rPr>
                <w:kern w:val="0"/>
                <w:sz w:val="20"/>
              </w:rPr>
              <w:t>银华兴盛</w:t>
            </w:r>
          </w:p>
        </w:tc>
        <w:tc>
          <w:tcPr>
            <w:tcW w:w="766" w:type="dxa"/>
            <w:tcBorders>
              <w:top w:val="nil"/>
              <w:left w:val="nil"/>
              <w:bottom w:val="nil"/>
              <w:right w:val="nil"/>
            </w:tcBorders>
            <w:shd w:val="clear" w:color="auto" w:fill="auto"/>
            <w:noWrap/>
            <w:vAlign w:val="bottom"/>
            <w:hideMark/>
          </w:tcPr>
          <w:p w14:paraId="712A959C"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9BA8028" w14:textId="77777777" w:rsidR="000F5BAD" w:rsidRPr="00720EF1" w:rsidRDefault="000F5BAD" w:rsidP="006A25C9">
            <w:pPr>
              <w:widowControl/>
              <w:jc w:val="right"/>
              <w:rPr>
                <w:kern w:val="0"/>
                <w:sz w:val="20"/>
              </w:rPr>
            </w:pPr>
            <w:r w:rsidRPr="00720EF1">
              <w:rPr>
                <w:kern w:val="0"/>
                <w:sz w:val="20"/>
              </w:rPr>
              <w:t xml:space="preserve">4.92 </w:t>
            </w:r>
          </w:p>
        </w:tc>
        <w:tc>
          <w:tcPr>
            <w:tcW w:w="981" w:type="dxa"/>
            <w:tcBorders>
              <w:top w:val="nil"/>
              <w:left w:val="nil"/>
              <w:bottom w:val="nil"/>
              <w:right w:val="nil"/>
            </w:tcBorders>
            <w:shd w:val="clear" w:color="auto" w:fill="auto"/>
            <w:noWrap/>
            <w:vAlign w:val="bottom"/>
            <w:hideMark/>
          </w:tcPr>
          <w:p w14:paraId="52D32305" w14:textId="77777777" w:rsidR="000F5BAD" w:rsidRPr="00720EF1" w:rsidRDefault="000F5BAD" w:rsidP="006A25C9">
            <w:pPr>
              <w:widowControl/>
              <w:jc w:val="right"/>
              <w:rPr>
                <w:kern w:val="0"/>
                <w:sz w:val="20"/>
              </w:rPr>
            </w:pPr>
            <w:r w:rsidRPr="00720EF1">
              <w:rPr>
                <w:kern w:val="0"/>
                <w:sz w:val="20"/>
              </w:rPr>
              <w:t>64.33</w:t>
            </w:r>
          </w:p>
        </w:tc>
        <w:tc>
          <w:tcPr>
            <w:tcW w:w="962" w:type="dxa"/>
            <w:tcBorders>
              <w:top w:val="nil"/>
              <w:left w:val="nil"/>
              <w:bottom w:val="nil"/>
              <w:right w:val="nil"/>
            </w:tcBorders>
            <w:shd w:val="clear" w:color="auto" w:fill="auto"/>
            <w:noWrap/>
            <w:vAlign w:val="bottom"/>
            <w:hideMark/>
          </w:tcPr>
          <w:p w14:paraId="08F36244" w14:textId="77777777" w:rsidR="000F5BAD" w:rsidRPr="00720EF1" w:rsidRDefault="000F5BAD" w:rsidP="006A25C9">
            <w:pPr>
              <w:widowControl/>
              <w:jc w:val="right"/>
              <w:rPr>
                <w:kern w:val="0"/>
                <w:sz w:val="20"/>
              </w:rPr>
            </w:pPr>
            <w:r w:rsidRPr="00720EF1">
              <w:rPr>
                <w:kern w:val="0"/>
                <w:sz w:val="20"/>
              </w:rPr>
              <w:t>76.45</w:t>
            </w:r>
          </w:p>
        </w:tc>
        <w:tc>
          <w:tcPr>
            <w:tcW w:w="962" w:type="dxa"/>
            <w:tcBorders>
              <w:top w:val="nil"/>
              <w:left w:val="nil"/>
              <w:bottom w:val="nil"/>
              <w:right w:val="nil"/>
            </w:tcBorders>
            <w:shd w:val="clear" w:color="auto" w:fill="auto"/>
            <w:noWrap/>
            <w:vAlign w:val="bottom"/>
            <w:hideMark/>
          </w:tcPr>
          <w:p w14:paraId="7C0D904F" w14:textId="77777777" w:rsidR="000F5BAD" w:rsidRPr="00720EF1" w:rsidRDefault="000F5BAD" w:rsidP="006A25C9">
            <w:pPr>
              <w:widowControl/>
              <w:jc w:val="right"/>
              <w:rPr>
                <w:kern w:val="0"/>
                <w:sz w:val="20"/>
              </w:rPr>
            </w:pPr>
            <w:r w:rsidRPr="00720EF1">
              <w:rPr>
                <w:kern w:val="0"/>
                <w:sz w:val="20"/>
              </w:rPr>
              <w:t>81.65</w:t>
            </w:r>
          </w:p>
        </w:tc>
        <w:tc>
          <w:tcPr>
            <w:tcW w:w="1197" w:type="dxa"/>
            <w:tcBorders>
              <w:top w:val="nil"/>
              <w:left w:val="nil"/>
              <w:bottom w:val="nil"/>
              <w:right w:val="nil"/>
            </w:tcBorders>
            <w:shd w:val="clear" w:color="auto" w:fill="auto"/>
            <w:noWrap/>
            <w:vAlign w:val="bottom"/>
            <w:hideMark/>
          </w:tcPr>
          <w:p w14:paraId="2F661D16" w14:textId="77777777" w:rsidR="000F5BAD" w:rsidRPr="00720EF1" w:rsidRDefault="000F5BAD" w:rsidP="006A25C9">
            <w:pPr>
              <w:widowControl/>
              <w:jc w:val="right"/>
              <w:rPr>
                <w:kern w:val="0"/>
                <w:sz w:val="20"/>
              </w:rPr>
            </w:pPr>
            <w:r w:rsidRPr="00720EF1">
              <w:rPr>
                <w:kern w:val="0"/>
                <w:sz w:val="20"/>
              </w:rPr>
              <w:t xml:space="preserve">      21.63 </w:t>
            </w:r>
          </w:p>
        </w:tc>
      </w:tr>
      <w:tr w:rsidR="000F5BAD" w:rsidRPr="00720EF1" w14:paraId="7E2DD7AD" w14:textId="77777777" w:rsidTr="006A25C9">
        <w:trPr>
          <w:trHeight w:val="258"/>
        </w:trPr>
        <w:tc>
          <w:tcPr>
            <w:tcW w:w="2810" w:type="dxa"/>
            <w:tcBorders>
              <w:top w:val="nil"/>
              <w:left w:val="nil"/>
              <w:bottom w:val="nil"/>
              <w:right w:val="nil"/>
            </w:tcBorders>
            <w:shd w:val="clear" w:color="auto" w:fill="auto"/>
            <w:noWrap/>
            <w:vAlign w:val="bottom"/>
            <w:hideMark/>
          </w:tcPr>
          <w:p w14:paraId="13127392" w14:textId="77777777" w:rsidR="000F5BAD" w:rsidRPr="00720EF1" w:rsidRDefault="000F5BAD" w:rsidP="006A25C9">
            <w:pPr>
              <w:widowControl/>
              <w:jc w:val="left"/>
              <w:rPr>
                <w:kern w:val="0"/>
                <w:sz w:val="20"/>
              </w:rPr>
            </w:pPr>
            <w:r w:rsidRPr="00720EF1">
              <w:rPr>
                <w:kern w:val="0"/>
                <w:sz w:val="20"/>
              </w:rPr>
              <w:t>信达澳银先进智造</w:t>
            </w:r>
          </w:p>
        </w:tc>
        <w:tc>
          <w:tcPr>
            <w:tcW w:w="766" w:type="dxa"/>
            <w:tcBorders>
              <w:top w:val="nil"/>
              <w:left w:val="nil"/>
              <w:bottom w:val="nil"/>
              <w:right w:val="nil"/>
            </w:tcBorders>
            <w:shd w:val="clear" w:color="auto" w:fill="auto"/>
            <w:noWrap/>
            <w:vAlign w:val="bottom"/>
            <w:hideMark/>
          </w:tcPr>
          <w:p w14:paraId="45E86BB3"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0788CB2" w14:textId="77777777" w:rsidR="000F5BAD" w:rsidRPr="00720EF1" w:rsidRDefault="000F5BAD" w:rsidP="006A25C9">
            <w:pPr>
              <w:widowControl/>
              <w:jc w:val="right"/>
              <w:rPr>
                <w:kern w:val="0"/>
                <w:sz w:val="20"/>
              </w:rPr>
            </w:pPr>
            <w:r w:rsidRPr="00720EF1">
              <w:rPr>
                <w:kern w:val="0"/>
                <w:sz w:val="20"/>
              </w:rPr>
              <w:t xml:space="preserve">5.85 </w:t>
            </w:r>
          </w:p>
        </w:tc>
        <w:tc>
          <w:tcPr>
            <w:tcW w:w="981" w:type="dxa"/>
            <w:tcBorders>
              <w:top w:val="nil"/>
              <w:left w:val="nil"/>
              <w:bottom w:val="nil"/>
              <w:right w:val="nil"/>
            </w:tcBorders>
            <w:shd w:val="clear" w:color="auto" w:fill="auto"/>
            <w:noWrap/>
            <w:vAlign w:val="bottom"/>
            <w:hideMark/>
          </w:tcPr>
          <w:p w14:paraId="2BBA33E6" w14:textId="77777777" w:rsidR="000F5BAD" w:rsidRPr="00720EF1" w:rsidRDefault="000F5BAD" w:rsidP="006A25C9">
            <w:pPr>
              <w:widowControl/>
              <w:jc w:val="right"/>
              <w:rPr>
                <w:kern w:val="0"/>
                <w:sz w:val="20"/>
              </w:rPr>
            </w:pPr>
            <w:r w:rsidRPr="00720EF1">
              <w:rPr>
                <w:kern w:val="0"/>
                <w:sz w:val="20"/>
              </w:rPr>
              <w:t>62.25</w:t>
            </w:r>
          </w:p>
        </w:tc>
        <w:tc>
          <w:tcPr>
            <w:tcW w:w="962" w:type="dxa"/>
            <w:tcBorders>
              <w:top w:val="nil"/>
              <w:left w:val="nil"/>
              <w:bottom w:val="nil"/>
              <w:right w:val="nil"/>
            </w:tcBorders>
            <w:shd w:val="clear" w:color="auto" w:fill="auto"/>
            <w:noWrap/>
            <w:vAlign w:val="bottom"/>
            <w:hideMark/>
          </w:tcPr>
          <w:p w14:paraId="2165D0FB" w14:textId="77777777" w:rsidR="000F5BAD" w:rsidRPr="00720EF1" w:rsidRDefault="000F5BAD" w:rsidP="006A25C9">
            <w:pPr>
              <w:widowControl/>
              <w:jc w:val="right"/>
              <w:rPr>
                <w:kern w:val="0"/>
                <w:sz w:val="20"/>
              </w:rPr>
            </w:pPr>
            <w:r w:rsidRPr="00720EF1">
              <w:rPr>
                <w:kern w:val="0"/>
                <w:sz w:val="20"/>
              </w:rPr>
              <w:t>77.44</w:t>
            </w:r>
          </w:p>
        </w:tc>
        <w:tc>
          <w:tcPr>
            <w:tcW w:w="962" w:type="dxa"/>
            <w:tcBorders>
              <w:top w:val="nil"/>
              <w:left w:val="nil"/>
              <w:bottom w:val="nil"/>
              <w:right w:val="nil"/>
            </w:tcBorders>
            <w:shd w:val="clear" w:color="auto" w:fill="auto"/>
            <w:noWrap/>
            <w:vAlign w:val="bottom"/>
            <w:hideMark/>
          </w:tcPr>
          <w:p w14:paraId="5A0EE4AB" w14:textId="77777777" w:rsidR="000F5BAD" w:rsidRPr="00720EF1" w:rsidRDefault="000F5BAD" w:rsidP="006A25C9">
            <w:pPr>
              <w:widowControl/>
              <w:jc w:val="right"/>
              <w:rPr>
                <w:kern w:val="0"/>
                <w:sz w:val="20"/>
              </w:rPr>
            </w:pPr>
            <w:r w:rsidRPr="00720EF1">
              <w:rPr>
                <w:kern w:val="0"/>
                <w:sz w:val="20"/>
              </w:rPr>
              <w:t>79.85</w:t>
            </w:r>
          </w:p>
        </w:tc>
        <w:tc>
          <w:tcPr>
            <w:tcW w:w="1197" w:type="dxa"/>
            <w:tcBorders>
              <w:top w:val="nil"/>
              <w:left w:val="nil"/>
              <w:bottom w:val="nil"/>
              <w:right w:val="nil"/>
            </w:tcBorders>
            <w:shd w:val="clear" w:color="auto" w:fill="auto"/>
            <w:noWrap/>
            <w:vAlign w:val="bottom"/>
            <w:hideMark/>
          </w:tcPr>
          <w:p w14:paraId="08674E27" w14:textId="77777777" w:rsidR="000F5BAD" w:rsidRPr="00720EF1" w:rsidRDefault="000F5BAD" w:rsidP="006A25C9">
            <w:pPr>
              <w:widowControl/>
              <w:jc w:val="right"/>
              <w:rPr>
                <w:kern w:val="0"/>
                <w:sz w:val="20"/>
              </w:rPr>
            </w:pPr>
            <w:r w:rsidRPr="00720EF1">
              <w:rPr>
                <w:kern w:val="0"/>
                <w:sz w:val="20"/>
              </w:rPr>
              <w:t xml:space="preserve">      33.42 </w:t>
            </w:r>
          </w:p>
        </w:tc>
      </w:tr>
      <w:tr w:rsidR="000F5BAD" w:rsidRPr="00720EF1" w14:paraId="3F77423D" w14:textId="77777777" w:rsidTr="006A25C9">
        <w:trPr>
          <w:trHeight w:val="258"/>
        </w:trPr>
        <w:tc>
          <w:tcPr>
            <w:tcW w:w="2810" w:type="dxa"/>
            <w:tcBorders>
              <w:top w:val="nil"/>
              <w:left w:val="nil"/>
              <w:bottom w:val="nil"/>
              <w:right w:val="nil"/>
            </w:tcBorders>
            <w:shd w:val="clear" w:color="auto" w:fill="auto"/>
            <w:noWrap/>
            <w:vAlign w:val="bottom"/>
            <w:hideMark/>
          </w:tcPr>
          <w:p w14:paraId="3FB7F9D0" w14:textId="77777777" w:rsidR="000F5BAD" w:rsidRPr="00720EF1" w:rsidRDefault="000F5BAD" w:rsidP="006A25C9">
            <w:pPr>
              <w:widowControl/>
              <w:jc w:val="left"/>
              <w:rPr>
                <w:kern w:val="0"/>
                <w:sz w:val="20"/>
              </w:rPr>
            </w:pPr>
            <w:r w:rsidRPr="00720EF1">
              <w:rPr>
                <w:kern w:val="0"/>
                <w:sz w:val="20"/>
              </w:rPr>
              <w:t>红土创新新科技</w:t>
            </w:r>
          </w:p>
        </w:tc>
        <w:tc>
          <w:tcPr>
            <w:tcW w:w="766" w:type="dxa"/>
            <w:tcBorders>
              <w:top w:val="nil"/>
              <w:left w:val="nil"/>
              <w:bottom w:val="nil"/>
              <w:right w:val="nil"/>
            </w:tcBorders>
            <w:shd w:val="clear" w:color="auto" w:fill="auto"/>
            <w:noWrap/>
            <w:vAlign w:val="bottom"/>
            <w:hideMark/>
          </w:tcPr>
          <w:p w14:paraId="0FF7850B"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25B7C0BA" w14:textId="77777777" w:rsidR="000F5BAD" w:rsidRPr="00720EF1" w:rsidRDefault="000F5BAD" w:rsidP="006A25C9">
            <w:pPr>
              <w:widowControl/>
              <w:jc w:val="right"/>
              <w:rPr>
                <w:kern w:val="0"/>
                <w:sz w:val="20"/>
              </w:rPr>
            </w:pPr>
            <w:r w:rsidRPr="00720EF1">
              <w:rPr>
                <w:kern w:val="0"/>
                <w:sz w:val="20"/>
              </w:rPr>
              <w:t xml:space="preserve">7.16 </w:t>
            </w:r>
          </w:p>
        </w:tc>
        <w:tc>
          <w:tcPr>
            <w:tcW w:w="981" w:type="dxa"/>
            <w:tcBorders>
              <w:top w:val="nil"/>
              <w:left w:val="nil"/>
              <w:bottom w:val="nil"/>
              <w:right w:val="nil"/>
            </w:tcBorders>
            <w:shd w:val="clear" w:color="auto" w:fill="auto"/>
            <w:noWrap/>
            <w:vAlign w:val="bottom"/>
            <w:hideMark/>
          </w:tcPr>
          <w:p w14:paraId="15696F39" w14:textId="77777777" w:rsidR="000F5BAD" w:rsidRPr="00720EF1" w:rsidRDefault="000F5BAD" w:rsidP="006A25C9">
            <w:pPr>
              <w:widowControl/>
              <w:jc w:val="right"/>
              <w:rPr>
                <w:kern w:val="0"/>
                <w:sz w:val="20"/>
              </w:rPr>
            </w:pPr>
            <w:r w:rsidRPr="00720EF1">
              <w:rPr>
                <w:kern w:val="0"/>
                <w:sz w:val="20"/>
              </w:rPr>
              <w:t>63.82</w:t>
            </w:r>
          </w:p>
        </w:tc>
        <w:tc>
          <w:tcPr>
            <w:tcW w:w="962" w:type="dxa"/>
            <w:tcBorders>
              <w:top w:val="nil"/>
              <w:left w:val="nil"/>
              <w:bottom w:val="nil"/>
              <w:right w:val="nil"/>
            </w:tcBorders>
            <w:shd w:val="clear" w:color="auto" w:fill="auto"/>
            <w:noWrap/>
            <w:vAlign w:val="bottom"/>
            <w:hideMark/>
          </w:tcPr>
          <w:p w14:paraId="08DC9469" w14:textId="77777777" w:rsidR="000F5BAD" w:rsidRPr="00720EF1" w:rsidRDefault="000F5BAD" w:rsidP="006A25C9">
            <w:pPr>
              <w:widowControl/>
              <w:jc w:val="right"/>
              <w:rPr>
                <w:kern w:val="0"/>
                <w:sz w:val="20"/>
              </w:rPr>
            </w:pPr>
            <w:r w:rsidRPr="00720EF1">
              <w:rPr>
                <w:kern w:val="0"/>
                <w:sz w:val="20"/>
              </w:rPr>
              <w:t>75.84</w:t>
            </w:r>
          </w:p>
        </w:tc>
        <w:tc>
          <w:tcPr>
            <w:tcW w:w="962" w:type="dxa"/>
            <w:tcBorders>
              <w:top w:val="nil"/>
              <w:left w:val="nil"/>
              <w:bottom w:val="nil"/>
              <w:right w:val="nil"/>
            </w:tcBorders>
            <w:shd w:val="clear" w:color="auto" w:fill="auto"/>
            <w:noWrap/>
            <w:vAlign w:val="bottom"/>
            <w:hideMark/>
          </w:tcPr>
          <w:p w14:paraId="11362430" w14:textId="77777777" w:rsidR="000F5BAD" w:rsidRPr="00720EF1" w:rsidRDefault="000F5BAD" w:rsidP="006A25C9">
            <w:pPr>
              <w:widowControl/>
              <w:jc w:val="right"/>
              <w:rPr>
                <w:kern w:val="0"/>
                <w:sz w:val="20"/>
              </w:rPr>
            </w:pPr>
            <w:r w:rsidRPr="00720EF1">
              <w:rPr>
                <w:kern w:val="0"/>
                <w:sz w:val="20"/>
              </w:rPr>
              <w:t>82.15</w:t>
            </w:r>
          </w:p>
        </w:tc>
        <w:tc>
          <w:tcPr>
            <w:tcW w:w="1197" w:type="dxa"/>
            <w:tcBorders>
              <w:top w:val="nil"/>
              <w:left w:val="nil"/>
              <w:bottom w:val="nil"/>
              <w:right w:val="nil"/>
            </w:tcBorders>
            <w:shd w:val="clear" w:color="auto" w:fill="auto"/>
            <w:noWrap/>
            <w:vAlign w:val="bottom"/>
            <w:hideMark/>
          </w:tcPr>
          <w:p w14:paraId="65170713" w14:textId="77777777" w:rsidR="000F5BAD" w:rsidRPr="00720EF1" w:rsidRDefault="000F5BAD" w:rsidP="006A25C9">
            <w:pPr>
              <w:widowControl/>
              <w:jc w:val="right"/>
              <w:rPr>
                <w:kern w:val="0"/>
                <w:sz w:val="20"/>
              </w:rPr>
            </w:pPr>
            <w:r w:rsidRPr="00720EF1">
              <w:rPr>
                <w:kern w:val="0"/>
                <w:sz w:val="20"/>
              </w:rPr>
              <w:t xml:space="preserve">      28.47 </w:t>
            </w:r>
          </w:p>
        </w:tc>
      </w:tr>
      <w:tr w:rsidR="000F5BAD" w:rsidRPr="00720EF1" w14:paraId="22F4C4CA" w14:textId="77777777" w:rsidTr="006A25C9">
        <w:trPr>
          <w:trHeight w:val="258"/>
        </w:trPr>
        <w:tc>
          <w:tcPr>
            <w:tcW w:w="2810" w:type="dxa"/>
            <w:tcBorders>
              <w:top w:val="nil"/>
              <w:left w:val="nil"/>
              <w:bottom w:val="nil"/>
              <w:right w:val="nil"/>
            </w:tcBorders>
            <w:shd w:val="clear" w:color="auto" w:fill="auto"/>
            <w:noWrap/>
            <w:vAlign w:val="bottom"/>
            <w:hideMark/>
          </w:tcPr>
          <w:p w14:paraId="5D34EBEF" w14:textId="77777777" w:rsidR="000F5BAD" w:rsidRPr="00720EF1" w:rsidRDefault="000F5BAD" w:rsidP="006A25C9">
            <w:pPr>
              <w:widowControl/>
              <w:jc w:val="left"/>
              <w:rPr>
                <w:kern w:val="0"/>
                <w:sz w:val="20"/>
              </w:rPr>
            </w:pPr>
            <w:r w:rsidRPr="00720EF1">
              <w:rPr>
                <w:kern w:val="0"/>
                <w:sz w:val="20"/>
              </w:rPr>
              <w:lastRenderedPageBreak/>
              <w:t>富国互联科技</w:t>
            </w:r>
            <w:r w:rsidRPr="00720EF1">
              <w:rPr>
                <w:kern w:val="0"/>
                <w:sz w:val="20"/>
              </w:rPr>
              <w:t>A</w:t>
            </w:r>
          </w:p>
        </w:tc>
        <w:tc>
          <w:tcPr>
            <w:tcW w:w="766" w:type="dxa"/>
            <w:tcBorders>
              <w:top w:val="nil"/>
              <w:left w:val="nil"/>
              <w:bottom w:val="nil"/>
              <w:right w:val="nil"/>
            </w:tcBorders>
            <w:shd w:val="clear" w:color="auto" w:fill="auto"/>
            <w:noWrap/>
            <w:vAlign w:val="bottom"/>
            <w:hideMark/>
          </w:tcPr>
          <w:p w14:paraId="524C1E7E"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4D3AAC7A"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5EF7A2F4" w14:textId="77777777" w:rsidR="000F5BAD" w:rsidRPr="00720EF1" w:rsidRDefault="000F5BAD" w:rsidP="006A25C9">
            <w:pPr>
              <w:widowControl/>
              <w:jc w:val="right"/>
              <w:rPr>
                <w:kern w:val="0"/>
                <w:sz w:val="20"/>
              </w:rPr>
            </w:pPr>
            <w:r w:rsidRPr="00720EF1">
              <w:rPr>
                <w:kern w:val="0"/>
                <w:sz w:val="20"/>
              </w:rPr>
              <w:t>61.5</w:t>
            </w:r>
          </w:p>
        </w:tc>
        <w:tc>
          <w:tcPr>
            <w:tcW w:w="962" w:type="dxa"/>
            <w:tcBorders>
              <w:top w:val="nil"/>
              <w:left w:val="nil"/>
              <w:bottom w:val="nil"/>
              <w:right w:val="nil"/>
            </w:tcBorders>
            <w:shd w:val="clear" w:color="auto" w:fill="auto"/>
            <w:noWrap/>
            <w:vAlign w:val="bottom"/>
            <w:hideMark/>
          </w:tcPr>
          <w:p w14:paraId="5D33544A" w14:textId="77777777" w:rsidR="000F5BAD" w:rsidRPr="00720EF1" w:rsidRDefault="000F5BAD" w:rsidP="006A25C9">
            <w:pPr>
              <w:widowControl/>
              <w:jc w:val="right"/>
              <w:rPr>
                <w:kern w:val="0"/>
                <w:sz w:val="20"/>
              </w:rPr>
            </w:pPr>
            <w:r w:rsidRPr="00720EF1">
              <w:rPr>
                <w:kern w:val="0"/>
                <w:sz w:val="20"/>
              </w:rPr>
              <w:t>79.73</w:t>
            </w:r>
          </w:p>
        </w:tc>
        <w:tc>
          <w:tcPr>
            <w:tcW w:w="962" w:type="dxa"/>
            <w:tcBorders>
              <w:top w:val="nil"/>
              <w:left w:val="nil"/>
              <w:bottom w:val="nil"/>
              <w:right w:val="nil"/>
            </w:tcBorders>
            <w:shd w:val="clear" w:color="auto" w:fill="auto"/>
            <w:noWrap/>
            <w:vAlign w:val="bottom"/>
            <w:hideMark/>
          </w:tcPr>
          <w:p w14:paraId="15357912" w14:textId="77777777" w:rsidR="000F5BAD" w:rsidRPr="00720EF1" w:rsidRDefault="000F5BAD" w:rsidP="006A25C9">
            <w:pPr>
              <w:widowControl/>
              <w:jc w:val="right"/>
              <w:rPr>
                <w:kern w:val="0"/>
                <w:sz w:val="20"/>
              </w:rPr>
            </w:pPr>
            <w:r w:rsidRPr="00720EF1">
              <w:rPr>
                <w:kern w:val="0"/>
                <w:sz w:val="20"/>
              </w:rPr>
              <w:t>82.07</w:t>
            </w:r>
          </w:p>
        </w:tc>
        <w:tc>
          <w:tcPr>
            <w:tcW w:w="1197" w:type="dxa"/>
            <w:tcBorders>
              <w:top w:val="nil"/>
              <w:left w:val="nil"/>
              <w:bottom w:val="nil"/>
              <w:right w:val="nil"/>
            </w:tcBorders>
            <w:shd w:val="clear" w:color="auto" w:fill="auto"/>
            <w:noWrap/>
            <w:vAlign w:val="bottom"/>
            <w:hideMark/>
          </w:tcPr>
          <w:p w14:paraId="3F726761" w14:textId="77777777" w:rsidR="000F5BAD" w:rsidRPr="00720EF1" w:rsidRDefault="000F5BAD" w:rsidP="006A25C9">
            <w:pPr>
              <w:widowControl/>
              <w:jc w:val="right"/>
              <w:rPr>
                <w:kern w:val="0"/>
                <w:sz w:val="20"/>
              </w:rPr>
            </w:pPr>
            <w:r w:rsidRPr="00720EF1">
              <w:rPr>
                <w:kern w:val="0"/>
                <w:sz w:val="20"/>
              </w:rPr>
              <w:t xml:space="preserve">      22.52 </w:t>
            </w:r>
          </w:p>
        </w:tc>
      </w:tr>
      <w:tr w:rsidR="000F5BAD" w:rsidRPr="00720EF1" w14:paraId="3F224046" w14:textId="77777777" w:rsidTr="006A25C9">
        <w:trPr>
          <w:trHeight w:val="258"/>
        </w:trPr>
        <w:tc>
          <w:tcPr>
            <w:tcW w:w="2810" w:type="dxa"/>
            <w:tcBorders>
              <w:top w:val="nil"/>
              <w:left w:val="nil"/>
              <w:bottom w:val="nil"/>
              <w:right w:val="nil"/>
            </w:tcBorders>
            <w:shd w:val="clear" w:color="auto" w:fill="auto"/>
            <w:noWrap/>
            <w:vAlign w:val="bottom"/>
            <w:hideMark/>
          </w:tcPr>
          <w:p w14:paraId="232E36FA" w14:textId="77777777" w:rsidR="000F5BAD" w:rsidRPr="00720EF1" w:rsidRDefault="000F5BAD" w:rsidP="006A25C9">
            <w:pPr>
              <w:widowControl/>
              <w:jc w:val="left"/>
              <w:rPr>
                <w:kern w:val="0"/>
                <w:sz w:val="20"/>
              </w:rPr>
            </w:pPr>
            <w:r w:rsidRPr="00720EF1">
              <w:rPr>
                <w:kern w:val="0"/>
                <w:sz w:val="20"/>
              </w:rPr>
              <w:t>嘉实互通精选</w:t>
            </w:r>
          </w:p>
        </w:tc>
        <w:tc>
          <w:tcPr>
            <w:tcW w:w="766" w:type="dxa"/>
            <w:tcBorders>
              <w:top w:val="nil"/>
              <w:left w:val="nil"/>
              <w:bottom w:val="nil"/>
              <w:right w:val="nil"/>
            </w:tcBorders>
            <w:shd w:val="clear" w:color="auto" w:fill="auto"/>
            <w:noWrap/>
            <w:vAlign w:val="bottom"/>
            <w:hideMark/>
          </w:tcPr>
          <w:p w14:paraId="3EFFD423"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777A08D8" w14:textId="77777777" w:rsidR="000F5BAD" w:rsidRPr="00720EF1" w:rsidRDefault="000F5BAD" w:rsidP="006A25C9">
            <w:pPr>
              <w:widowControl/>
              <w:jc w:val="right"/>
              <w:rPr>
                <w:kern w:val="0"/>
                <w:sz w:val="20"/>
              </w:rPr>
            </w:pPr>
            <w:r w:rsidRPr="00720EF1">
              <w:rPr>
                <w:kern w:val="0"/>
                <w:sz w:val="20"/>
              </w:rPr>
              <w:t xml:space="preserve">6.63 </w:t>
            </w:r>
          </w:p>
        </w:tc>
        <w:tc>
          <w:tcPr>
            <w:tcW w:w="981" w:type="dxa"/>
            <w:tcBorders>
              <w:top w:val="nil"/>
              <w:left w:val="nil"/>
              <w:bottom w:val="nil"/>
              <w:right w:val="nil"/>
            </w:tcBorders>
            <w:shd w:val="clear" w:color="auto" w:fill="auto"/>
            <w:noWrap/>
            <w:vAlign w:val="bottom"/>
            <w:hideMark/>
          </w:tcPr>
          <w:p w14:paraId="1FB24746" w14:textId="77777777" w:rsidR="000F5BAD" w:rsidRPr="00720EF1" w:rsidRDefault="000F5BAD" w:rsidP="006A25C9">
            <w:pPr>
              <w:widowControl/>
              <w:jc w:val="right"/>
              <w:rPr>
                <w:kern w:val="0"/>
                <w:sz w:val="20"/>
              </w:rPr>
            </w:pPr>
            <w:r w:rsidRPr="00720EF1">
              <w:rPr>
                <w:kern w:val="0"/>
                <w:sz w:val="20"/>
              </w:rPr>
              <w:t>62.56</w:t>
            </w:r>
          </w:p>
        </w:tc>
        <w:tc>
          <w:tcPr>
            <w:tcW w:w="962" w:type="dxa"/>
            <w:tcBorders>
              <w:top w:val="nil"/>
              <w:left w:val="nil"/>
              <w:bottom w:val="nil"/>
              <w:right w:val="nil"/>
            </w:tcBorders>
            <w:shd w:val="clear" w:color="auto" w:fill="auto"/>
            <w:noWrap/>
            <w:vAlign w:val="bottom"/>
            <w:hideMark/>
          </w:tcPr>
          <w:p w14:paraId="15650533" w14:textId="77777777" w:rsidR="000F5BAD" w:rsidRPr="00720EF1" w:rsidRDefault="000F5BAD" w:rsidP="006A25C9">
            <w:pPr>
              <w:widowControl/>
              <w:jc w:val="right"/>
              <w:rPr>
                <w:kern w:val="0"/>
                <w:sz w:val="20"/>
              </w:rPr>
            </w:pPr>
            <w:r w:rsidRPr="00720EF1">
              <w:rPr>
                <w:kern w:val="0"/>
                <w:sz w:val="20"/>
              </w:rPr>
              <w:t>80.99</w:t>
            </w:r>
          </w:p>
        </w:tc>
        <w:tc>
          <w:tcPr>
            <w:tcW w:w="962" w:type="dxa"/>
            <w:tcBorders>
              <w:top w:val="nil"/>
              <w:left w:val="nil"/>
              <w:bottom w:val="nil"/>
              <w:right w:val="nil"/>
            </w:tcBorders>
            <w:shd w:val="clear" w:color="auto" w:fill="auto"/>
            <w:noWrap/>
            <w:vAlign w:val="bottom"/>
            <w:hideMark/>
          </w:tcPr>
          <w:p w14:paraId="5F8534EA" w14:textId="77777777" w:rsidR="000F5BAD" w:rsidRPr="00720EF1" w:rsidRDefault="000F5BAD" w:rsidP="006A25C9">
            <w:pPr>
              <w:widowControl/>
              <w:jc w:val="right"/>
              <w:rPr>
                <w:kern w:val="0"/>
                <w:sz w:val="20"/>
              </w:rPr>
            </w:pPr>
            <w:r w:rsidRPr="00720EF1">
              <w:rPr>
                <w:kern w:val="0"/>
                <w:sz w:val="20"/>
              </w:rPr>
              <w:t>81.12</w:t>
            </w:r>
          </w:p>
        </w:tc>
        <w:tc>
          <w:tcPr>
            <w:tcW w:w="1197" w:type="dxa"/>
            <w:tcBorders>
              <w:top w:val="nil"/>
              <w:left w:val="nil"/>
              <w:bottom w:val="nil"/>
              <w:right w:val="nil"/>
            </w:tcBorders>
            <w:shd w:val="clear" w:color="auto" w:fill="auto"/>
            <w:noWrap/>
            <w:vAlign w:val="bottom"/>
            <w:hideMark/>
          </w:tcPr>
          <w:p w14:paraId="144BE87A" w14:textId="77777777" w:rsidR="000F5BAD" w:rsidRPr="00720EF1" w:rsidRDefault="000F5BAD" w:rsidP="006A25C9">
            <w:pPr>
              <w:widowControl/>
              <w:jc w:val="right"/>
              <w:rPr>
                <w:kern w:val="0"/>
                <w:sz w:val="20"/>
              </w:rPr>
            </w:pPr>
            <w:r w:rsidRPr="00720EF1">
              <w:rPr>
                <w:kern w:val="0"/>
                <w:sz w:val="20"/>
              </w:rPr>
              <w:t xml:space="preserve">      12.27 </w:t>
            </w:r>
          </w:p>
        </w:tc>
      </w:tr>
      <w:tr w:rsidR="000F5BAD" w:rsidRPr="00720EF1" w14:paraId="58A95739" w14:textId="77777777" w:rsidTr="006A25C9">
        <w:trPr>
          <w:trHeight w:val="258"/>
        </w:trPr>
        <w:tc>
          <w:tcPr>
            <w:tcW w:w="2810" w:type="dxa"/>
            <w:tcBorders>
              <w:top w:val="nil"/>
              <w:left w:val="nil"/>
              <w:bottom w:val="nil"/>
              <w:right w:val="nil"/>
            </w:tcBorders>
            <w:shd w:val="clear" w:color="auto" w:fill="auto"/>
            <w:noWrap/>
            <w:vAlign w:val="bottom"/>
            <w:hideMark/>
          </w:tcPr>
          <w:p w14:paraId="2008A0DD" w14:textId="77777777" w:rsidR="000F5BAD" w:rsidRPr="00720EF1" w:rsidRDefault="000F5BAD" w:rsidP="006A25C9">
            <w:pPr>
              <w:widowControl/>
              <w:jc w:val="left"/>
              <w:rPr>
                <w:kern w:val="0"/>
                <w:sz w:val="20"/>
              </w:rPr>
            </w:pPr>
            <w:r w:rsidRPr="00720EF1">
              <w:rPr>
                <w:kern w:val="0"/>
                <w:sz w:val="20"/>
              </w:rPr>
              <w:t>华夏科技成长</w:t>
            </w:r>
          </w:p>
        </w:tc>
        <w:tc>
          <w:tcPr>
            <w:tcW w:w="766" w:type="dxa"/>
            <w:tcBorders>
              <w:top w:val="nil"/>
              <w:left w:val="nil"/>
              <w:bottom w:val="nil"/>
              <w:right w:val="nil"/>
            </w:tcBorders>
            <w:shd w:val="clear" w:color="auto" w:fill="auto"/>
            <w:noWrap/>
            <w:vAlign w:val="bottom"/>
            <w:hideMark/>
          </w:tcPr>
          <w:p w14:paraId="060FF330"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2CF1350E" w14:textId="77777777" w:rsidR="000F5BAD" w:rsidRPr="00720EF1" w:rsidRDefault="000F5BAD" w:rsidP="006A25C9">
            <w:pPr>
              <w:widowControl/>
              <w:jc w:val="right"/>
              <w:rPr>
                <w:kern w:val="0"/>
                <w:sz w:val="20"/>
              </w:rPr>
            </w:pPr>
            <w:r w:rsidRPr="00720EF1">
              <w:rPr>
                <w:kern w:val="0"/>
                <w:sz w:val="20"/>
              </w:rPr>
              <w:t xml:space="preserve">5.79 </w:t>
            </w:r>
          </w:p>
        </w:tc>
        <w:tc>
          <w:tcPr>
            <w:tcW w:w="981" w:type="dxa"/>
            <w:tcBorders>
              <w:top w:val="nil"/>
              <w:left w:val="nil"/>
              <w:bottom w:val="nil"/>
              <w:right w:val="nil"/>
            </w:tcBorders>
            <w:shd w:val="clear" w:color="auto" w:fill="auto"/>
            <w:noWrap/>
            <w:vAlign w:val="bottom"/>
            <w:hideMark/>
          </w:tcPr>
          <w:p w14:paraId="3C8D31E7" w14:textId="77777777" w:rsidR="000F5BAD" w:rsidRPr="00720EF1" w:rsidRDefault="000F5BAD" w:rsidP="006A25C9">
            <w:pPr>
              <w:widowControl/>
              <w:jc w:val="right"/>
              <w:rPr>
                <w:kern w:val="0"/>
                <w:sz w:val="20"/>
              </w:rPr>
            </w:pPr>
            <w:r w:rsidRPr="00720EF1">
              <w:rPr>
                <w:kern w:val="0"/>
                <w:sz w:val="20"/>
              </w:rPr>
              <w:t>62.73</w:t>
            </w:r>
          </w:p>
        </w:tc>
        <w:tc>
          <w:tcPr>
            <w:tcW w:w="962" w:type="dxa"/>
            <w:tcBorders>
              <w:top w:val="nil"/>
              <w:left w:val="nil"/>
              <w:bottom w:val="nil"/>
              <w:right w:val="nil"/>
            </w:tcBorders>
            <w:shd w:val="clear" w:color="auto" w:fill="auto"/>
            <w:noWrap/>
            <w:vAlign w:val="bottom"/>
            <w:hideMark/>
          </w:tcPr>
          <w:p w14:paraId="0FC04044" w14:textId="77777777" w:rsidR="000F5BAD" w:rsidRPr="00720EF1" w:rsidRDefault="000F5BAD" w:rsidP="006A25C9">
            <w:pPr>
              <w:widowControl/>
              <w:jc w:val="right"/>
              <w:rPr>
                <w:kern w:val="0"/>
                <w:sz w:val="20"/>
              </w:rPr>
            </w:pPr>
            <w:r w:rsidRPr="00720EF1">
              <w:rPr>
                <w:kern w:val="0"/>
                <w:sz w:val="20"/>
              </w:rPr>
              <w:t>76.95</w:t>
            </w:r>
          </w:p>
        </w:tc>
        <w:tc>
          <w:tcPr>
            <w:tcW w:w="962" w:type="dxa"/>
            <w:tcBorders>
              <w:top w:val="nil"/>
              <w:left w:val="nil"/>
              <w:bottom w:val="nil"/>
              <w:right w:val="nil"/>
            </w:tcBorders>
            <w:shd w:val="clear" w:color="auto" w:fill="auto"/>
            <w:noWrap/>
            <w:vAlign w:val="bottom"/>
            <w:hideMark/>
          </w:tcPr>
          <w:p w14:paraId="5D6E1FE8" w14:textId="77777777" w:rsidR="000F5BAD" w:rsidRPr="00720EF1" w:rsidRDefault="000F5BAD" w:rsidP="006A25C9">
            <w:pPr>
              <w:widowControl/>
              <w:jc w:val="right"/>
              <w:rPr>
                <w:kern w:val="0"/>
                <w:sz w:val="20"/>
              </w:rPr>
            </w:pPr>
            <w:r w:rsidRPr="00720EF1">
              <w:rPr>
                <w:kern w:val="0"/>
                <w:sz w:val="20"/>
              </w:rPr>
              <w:t>82.48</w:t>
            </w:r>
          </w:p>
        </w:tc>
        <w:tc>
          <w:tcPr>
            <w:tcW w:w="1197" w:type="dxa"/>
            <w:tcBorders>
              <w:top w:val="nil"/>
              <w:left w:val="nil"/>
              <w:bottom w:val="nil"/>
              <w:right w:val="nil"/>
            </w:tcBorders>
            <w:shd w:val="clear" w:color="auto" w:fill="auto"/>
            <w:noWrap/>
            <w:vAlign w:val="bottom"/>
            <w:hideMark/>
          </w:tcPr>
          <w:p w14:paraId="64CAF1C1" w14:textId="77777777" w:rsidR="000F5BAD" w:rsidRPr="00720EF1" w:rsidRDefault="000F5BAD" w:rsidP="006A25C9">
            <w:pPr>
              <w:widowControl/>
              <w:jc w:val="right"/>
              <w:rPr>
                <w:kern w:val="0"/>
                <w:sz w:val="20"/>
              </w:rPr>
            </w:pPr>
            <w:r w:rsidRPr="00720EF1">
              <w:rPr>
                <w:kern w:val="0"/>
                <w:sz w:val="20"/>
              </w:rPr>
              <w:t xml:space="preserve">      13.76 </w:t>
            </w:r>
          </w:p>
        </w:tc>
      </w:tr>
      <w:tr w:rsidR="000F5BAD" w:rsidRPr="00720EF1" w14:paraId="6ED5802A" w14:textId="77777777" w:rsidTr="006A25C9">
        <w:trPr>
          <w:trHeight w:val="258"/>
        </w:trPr>
        <w:tc>
          <w:tcPr>
            <w:tcW w:w="2810" w:type="dxa"/>
            <w:tcBorders>
              <w:top w:val="nil"/>
              <w:left w:val="nil"/>
              <w:bottom w:val="nil"/>
              <w:right w:val="nil"/>
            </w:tcBorders>
            <w:shd w:val="clear" w:color="auto" w:fill="auto"/>
            <w:noWrap/>
            <w:vAlign w:val="bottom"/>
            <w:hideMark/>
          </w:tcPr>
          <w:p w14:paraId="738404F0" w14:textId="77777777" w:rsidR="000F5BAD" w:rsidRPr="00720EF1" w:rsidRDefault="000F5BAD" w:rsidP="006A25C9">
            <w:pPr>
              <w:widowControl/>
              <w:jc w:val="left"/>
              <w:rPr>
                <w:kern w:val="0"/>
                <w:sz w:val="20"/>
              </w:rPr>
            </w:pPr>
            <w:r w:rsidRPr="00720EF1">
              <w:rPr>
                <w:kern w:val="0"/>
                <w:sz w:val="20"/>
              </w:rPr>
              <w:t>华宝中证</w:t>
            </w:r>
            <w:r w:rsidRPr="00720EF1">
              <w:rPr>
                <w:kern w:val="0"/>
                <w:sz w:val="20"/>
              </w:rPr>
              <w:t>100C</w:t>
            </w:r>
          </w:p>
        </w:tc>
        <w:tc>
          <w:tcPr>
            <w:tcW w:w="766" w:type="dxa"/>
            <w:tcBorders>
              <w:top w:val="nil"/>
              <w:left w:val="nil"/>
              <w:bottom w:val="nil"/>
              <w:right w:val="nil"/>
            </w:tcBorders>
            <w:shd w:val="clear" w:color="auto" w:fill="auto"/>
            <w:noWrap/>
            <w:vAlign w:val="bottom"/>
            <w:hideMark/>
          </w:tcPr>
          <w:p w14:paraId="2ABE6639"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65645612"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5546E7AD" w14:textId="77777777" w:rsidR="000F5BAD" w:rsidRPr="00720EF1" w:rsidRDefault="000F5BAD" w:rsidP="006A25C9">
            <w:pPr>
              <w:widowControl/>
              <w:jc w:val="right"/>
              <w:rPr>
                <w:kern w:val="0"/>
                <w:sz w:val="20"/>
              </w:rPr>
            </w:pPr>
            <w:r w:rsidRPr="00720EF1">
              <w:rPr>
                <w:kern w:val="0"/>
                <w:sz w:val="20"/>
              </w:rPr>
              <w:t>65.7</w:t>
            </w:r>
          </w:p>
        </w:tc>
        <w:tc>
          <w:tcPr>
            <w:tcW w:w="962" w:type="dxa"/>
            <w:tcBorders>
              <w:top w:val="nil"/>
              <w:left w:val="nil"/>
              <w:bottom w:val="nil"/>
              <w:right w:val="nil"/>
            </w:tcBorders>
            <w:shd w:val="clear" w:color="auto" w:fill="auto"/>
            <w:noWrap/>
            <w:vAlign w:val="bottom"/>
            <w:hideMark/>
          </w:tcPr>
          <w:p w14:paraId="1C32AA59" w14:textId="77777777" w:rsidR="000F5BAD" w:rsidRPr="00720EF1" w:rsidRDefault="000F5BAD" w:rsidP="006A25C9">
            <w:pPr>
              <w:widowControl/>
              <w:jc w:val="right"/>
              <w:rPr>
                <w:kern w:val="0"/>
                <w:sz w:val="20"/>
              </w:rPr>
            </w:pPr>
            <w:r w:rsidRPr="00720EF1">
              <w:rPr>
                <w:kern w:val="0"/>
                <w:sz w:val="20"/>
              </w:rPr>
              <w:t>78.07</w:t>
            </w:r>
          </w:p>
        </w:tc>
        <w:tc>
          <w:tcPr>
            <w:tcW w:w="962" w:type="dxa"/>
            <w:tcBorders>
              <w:top w:val="nil"/>
              <w:left w:val="nil"/>
              <w:bottom w:val="nil"/>
              <w:right w:val="nil"/>
            </w:tcBorders>
            <w:shd w:val="clear" w:color="auto" w:fill="auto"/>
            <w:noWrap/>
            <w:vAlign w:val="bottom"/>
            <w:hideMark/>
          </w:tcPr>
          <w:p w14:paraId="5EBDCB48" w14:textId="77777777" w:rsidR="000F5BAD" w:rsidRPr="00720EF1" w:rsidRDefault="000F5BAD" w:rsidP="006A25C9">
            <w:pPr>
              <w:widowControl/>
              <w:jc w:val="right"/>
              <w:rPr>
                <w:kern w:val="0"/>
                <w:sz w:val="20"/>
              </w:rPr>
            </w:pPr>
            <w:r w:rsidRPr="00720EF1">
              <w:rPr>
                <w:kern w:val="0"/>
                <w:sz w:val="20"/>
              </w:rPr>
              <w:t>83.53</w:t>
            </w:r>
          </w:p>
        </w:tc>
        <w:tc>
          <w:tcPr>
            <w:tcW w:w="1197" w:type="dxa"/>
            <w:tcBorders>
              <w:top w:val="nil"/>
              <w:left w:val="nil"/>
              <w:bottom w:val="nil"/>
              <w:right w:val="nil"/>
            </w:tcBorders>
            <w:shd w:val="clear" w:color="auto" w:fill="auto"/>
            <w:noWrap/>
            <w:vAlign w:val="bottom"/>
            <w:hideMark/>
          </w:tcPr>
          <w:p w14:paraId="322C76C7" w14:textId="77777777" w:rsidR="000F5BAD" w:rsidRPr="00720EF1" w:rsidRDefault="000F5BAD" w:rsidP="006A25C9">
            <w:pPr>
              <w:widowControl/>
              <w:jc w:val="right"/>
              <w:rPr>
                <w:kern w:val="0"/>
                <w:sz w:val="20"/>
              </w:rPr>
            </w:pPr>
            <w:r w:rsidRPr="00720EF1">
              <w:rPr>
                <w:kern w:val="0"/>
                <w:sz w:val="20"/>
              </w:rPr>
              <w:t xml:space="preserve">        4.36 </w:t>
            </w:r>
          </w:p>
        </w:tc>
      </w:tr>
      <w:tr w:rsidR="000F5BAD" w:rsidRPr="00720EF1" w14:paraId="4586B0DA" w14:textId="77777777" w:rsidTr="006A25C9">
        <w:trPr>
          <w:trHeight w:val="258"/>
        </w:trPr>
        <w:tc>
          <w:tcPr>
            <w:tcW w:w="2810" w:type="dxa"/>
            <w:tcBorders>
              <w:top w:val="nil"/>
              <w:left w:val="nil"/>
              <w:bottom w:val="nil"/>
              <w:right w:val="nil"/>
            </w:tcBorders>
            <w:shd w:val="clear" w:color="auto" w:fill="auto"/>
            <w:noWrap/>
            <w:vAlign w:val="bottom"/>
            <w:hideMark/>
          </w:tcPr>
          <w:p w14:paraId="0FA2BD3A" w14:textId="77777777" w:rsidR="000F5BAD" w:rsidRPr="00720EF1" w:rsidRDefault="000F5BAD" w:rsidP="006A25C9">
            <w:pPr>
              <w:widowControl/>
              <w:jc w:val="left"/>
              <w:rPr>
                <w:kern w:val="0"/>
                <w:sz w:val="20"/>
              </w:rPr>
            </w:pPr>
            <w:r w:rsidRPr="00720EF1">
              <w:rPr>
                <w:kern w:val="0"/>
                <w:sz w:val="20"/>
              </w:rPr>
              <w:t>华宝绿色领先</w:t>
            </w:r>
          </w:p>
        </w:tc>
        <w:tc>
          <w:tcPr>
            <w:tcW w:w="766" w:type="dxa"/>
            <w:tcBorders>
              <w:top w:val="nil"/>
              <w:left w:val="nil"/>
              <w:bottom w:val="nil"/>
              <w:right w:val="nil"/>
            </w:tcBorders>
            <w:shd w:val="clear" w:color="auto" w:fill="auto"/>
            <w:noWrap/>
            <w:vAlign w:val="bottom"/>
            <w:hideMark/>
          </w:tcPr>
          <w:p w14:paraId="7142182F"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FA6B32C" w14:textId="77777777" w:rsidR="000F5BAD" w:rsidRPr="00720EF1" w:rsidRDefault="000F5BAD" w:rsidP="006A25C9">
            <w:pPr>
              <w:widowControl/>
              <w:jc w:val="right"/>
              <w:rPr>
                <w:kern w:val="0"/>
                <w:sz w:val="20"/>
              </w:rPr>
            </w:pPr>
            <w:r w:rsidRPr="00720EF1">
              <w:rPr>
                <w:kern w:val="0"/>
                <w:sz w:val="20"/>
              </w:rPr>
              <w:t xml:space="preserve">5.54 </w:t>
            </w:r>
          </w:p>
        </w:tc>
        <w:tc>
          <w:tcPr>
            <w:tcW w:w="981" w:type="dxa"/>
            <w:tcBorders>
              <w:top w:val="nil"/>
              <w:left w:val="nil"/>
              <w:bottom w:val="nil"/>
              <w:right w:val="nil"/>
            </w:tcBorders>
            <w:shd w:val="clear" w:color="auto" w:fill="auto"/>
            <w:noWrap/>
            <w:vAlign w:val="bottom"/>
            <w:hideMark/>
          </w:tcPr>
          <w:p w14:paraId="09344846" w14:textId="77777777" w:rsidR="000F5BAD" w:rsidRPr="00720EF1" w:rsidRDefault="000F5BAD" w:rsidP="006A25C9">
            <w:pPr>
              <w:widowControl/>
              <w:jc w:val="right"/>
              <w:rPr>
                <w:kern w:val="0"/>
                <w:sz w:val="20"/>
              </w:rPr>
            </w:pPr>
            <w:r w:rsidRPr="00720EF1">
              <w:rPr>
                <w:kern w:val="0"/>
                <w:sz w:val="20"/>
              </w:rPr>
              <w:t>64.71</w:t>
            </w:r>
          </w:p>
        </w:tc>
        <w:tc>
          <w:tcPr>
            <w:tcW w:w="962" w:type="dxa"/>
            <w:tcBorders>
              <w:top w:val="nil"/>
              <w:left w:val="nil"/>
              <w:bottom w:val="nil"/>
              <w:right w:val="nil"/>
            </w:tcBorders>
            <w:shd w:val="clear" w:color="auto" w:fill="auto"/>
            <w:noWrap/>
            <w:vAlign w:val="bottom"/>
            <w:hideMark/>
          </w:tcPr>
          <w:p w14:paraId="35C55C21" w14:textId="77777777" w:rsidR="000F5BAD" w:rsidRPr="00720EF1" w:rsidRDefault="000F5BAD" w:rsidP="006A25C9">
            <w:pPr>
              <w:widowControl/>
              <w:jc w:val="right"/>
              <w:rPr>
                <w:kern w:val="0"/>
                <w:sz w:val="20"/>
              </w:rPr>
            </w:pPr>
            <w:r w:rsidRPr="00720EF1">
              <w:rPr>
                <w:kern w:val="0"/>
                <w:sz w:val="20"/>
              </w:rPr>
              <w:t>80.34</w:t>
            </w:r>
          </w:p>
        </w:tc>
        <w:tc>
          <w:tcPr>
            <w:tcW w:w="962" w:type="dxa"/>
            <w:tcBorders>
              <w:top w:val="nil"/>
              <w:left w:val="nil"/>
              <w:bottom w:val="nil"/>
              <w:right w:val="nil"/>
            </w:tcBorders>
            <w:shd w:val="clear" w:color="auto" w:fill="auto"/>
            <w:noWrap/>
            <w:vAlign w:val="bottom"/>
            <w:hideMark/>
          </w:tcPr>
          <w:p w14:paraId="6F6C2864" w14:textId="77777777" w:rsidR="000F5BAD" w:rsidRPr="00720EF1" w:rsidRDefault="000F5BAD" w:rsidP="006A25C9">
            <w:pPr>
              <w:widowControl/>
              <w:jc w:val="right"/>
              <w:rPr>
                <w:kern w:val="0"/>
                <w:sz w:val="20"/>
              </w:rPr>
            </w:pPr>
            <w:r w:rsidRPr="00720EF1">
              <w:rPr>
                <w:kern w:val="0"/>
                <w:sz w:val="20"/>
              </w:rPr>
              <w:t>82.39</w:t>
            </w:r>
          </w:p>
        </w:tc>
        <w:tc>
          <w:tcPr>
            <w:tcW w:w="1197" w:type="dxa"/>
            <w:tcBorders>
              <w:top w:val="nil"/>
              <w:left w:val="nil"/>
              <w:bottom w:val="nil"/>
              <w:right w:val="nil"/>
            </w:tcBorders>
            <w:shd w:val="clear" w:color="auto" w:fill="auto"/>
            <w:noWrap/>
            <w:vAlign w:val="bottom"/>
            <w:hideMark/>
          </w:tcPr>
          <w:p w14:paraId="23566C55" w14:textId="77777777" w:rsidR="000F5BAD" w:rsidRPr="00720EF1" w:rsidRDefault="000F5BAD" w:rsidP="006A25C9">
            <w:pPr>
              <w:widowControl/>
              <w:jc w:val="right"/>
              <w:rPr>
                <w:kern w:val="0"/>
                <w:sz w:val="20"/>
              </w:rPr>
            </w:pPr>
            <w:r w:rsidRPr="00720EF1">
              <w:rPr>
                <w:kern w:val="0"/>
                <w:sz w:val="20"/>
              </w:rPr>
              <w:t xml:space="preserve">      24.49 </w:t>
            </w:r>
          </w:p>
        </w:tc>
      </w:tr>
      <w:tr w:rsidR="000F5BAD" w:rsidRPr="00720EF1" w14:paraId="57A816CB" w14:textId="77777777" w:rsidTr="006A25C9">
        <w:trPr>
          <w:trHeight w:val="258"/>
        </w:trPr>
        <w:tc>
          <w:tcPr>
            <w:tcW w:w="2810" w:type="dxa"/>
            <w:tcBorders>
              <w:top w:val="nil"/>
              <w:left w:val="nil"/>
              <w:bottom w:val="nil"/>
              <w:right w:val="nil"/>
            </w:tcBorders>
            <w:shd w:val="clear" w:color="auto" w:fill="auto"/>
            <w:noWrap/>
            <w:vAlign w:val="bottom"/>
            <w:hideMark/>
          </w:tcPr>
          <w:p w14:paraId="5B3B68F8" w14:textId="77777777" w:rsidR="000F5BAD" w:rsidRPr="00720EF1" w:rsidRDefault="000F5BAD" w:rsidP="006A25C9">
            <w:pPr>
              <w:widowControl/>
              <w:jc w:val="left"/>
              <w:rPr>
                <w:kern w:val="0"/>
                <w:sz w:val="20"/>
              </w:rPr>
            </w:pPr>
            <w:r w:rsidRPr="00720EF1">
              <w:rPr>
                <w:kern w:val="0"/>
                <w:sz w:val="20"/>
              </w:rPr>
              <w:t>永赢创业板指数</w:t>
            </w:r>
            <w:r w:rsidRPr="00720EF1">
              <w:rPr>
                <w:kern w:val="0"/>
                <w:sz w:val="20"/>
              </w:rPr>
              <w:t>A</w:t>
            </w:r>
          </w:p>
        </w:tc>
        <w:tc>
          <w:tcPr>
            <w:tcW w:w="766" w:type="dxa"/>
            <w:tcBorders>
              <w:top w:val="nil"/>
              <w:left w:val="nil"/>
              <w:bottom w:val="nil"/>
              <w:right w:val="nil"/>
            </w:tcBorders>
            <w:shd w:val="clear" w:color="auto" w:fill="auto"/>
            <w:noWrap/>
            <w:vAlign w:val="bottom"/>
            <w:hideMark/>
          </w:tcPr>
          <w:p w14:paraId="1136E0C4"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1597D8C"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61321C21" w14:textId="77777777" w:rsidR="000F5BAD" w:rsidRPr="00720EF1" w:rsidRDefault="000F5BAD" w:rsidP="006A25C9">
            <w:pPr>
              <w:widowControl/>
              <w:jc w:val="right"/>
              <w:rPr>
                <w:kern w:val="0"/>
                <w:sz w:val="20"/>
              </w:rPr>
            </w:pPr>
            <w:r w:rsidRPr="00720EF1">
              <w:rPr>
                <w:kern w:val="0"/>
                <w:sz w:val="20"/>
              </w:rPr>
              <w:t>61.02</w:t>
            </w:r>
          </w:p>
        </w:tc>
        <w:tc>
          <w:tcPr>
            <w:tcW w:w="962" w:type="dxa"/>
            <w:tcBorders>
              <w:top w:val="nil"/>
              <w:left w:val="nil"/>
              <w:bottom w:val="nil"/>
              <w:right w:val="nil"/>
            </w:tcBorders>
            <w:shd w:val="clear" w:color="auto" w:fill="auto"/>
            <w:noWrap/>
            <w:vAlign w:val="bottom"/>
            <w:hideMark/>
          </w:tcPr>
          <w:p w14:paraId="5A6E07A3" w14:textId="77777777" w:rsidR="000F5BAD" w:rsidRPr="00720EF1" w:rsidRDefault="000F5BAD" w:rsidP="006A25C9">
            <w:pPr>
              <w:widowControl/>
              <w:jc w:val="right"/>
              <w:rPr>
                <w:kern w:val="0"/>
                <w:sz w:val="20"/>
              </w:rPr>
            </w:pPr>
            <w:r w:rsidRPr="00720EF1">
              <w:rPr>
                <w:kern w:val="0"/>
                <w:sz w:val="20"/>
              </w:rPr>
              <w:t>77.8</w:t>
            </w:r>
          </w:p>
        </w:tc>
        <w:tc>
          <w:tcPr>
            <w:tcW w:w="962" w:type="dxa"/>
            <w:tcBorders>
              <w:top w:val="nil"/>
              <w:left w:val="nil"/>
              <w:bottom w:val="nil"/>
              <w:right w:val="nil"/>
            </w:tcBorders>
            <w:shd w:val="clear" w:color="auto" w:fill="auto"/>
            <w:noWrap/>
            <w:vAlign w:val="bottom"/>
            <w:hideMark/>
          </w:tcPr>
          <w:p w14:paraId="4A27E1DD" w14:textId="77777777" w:rsidR="000F5BAD" w:rsidRPr="00720EF1" w:rsidRDefault="000F5BAD" w:rsidP="006A25C9">
            <w:pPr>
              <w:widowControl/>
              <w:jc w:val="right"/>
              <w:rPr>
                <w:kern w:val="0"/>
                <w:sz w:val="20"/>
              </w:rPr>
            </w:pPr>
            <w:r w:rsidRPr="00720EF1">
              <w:rPr>
                <w:kern w:val="0"/>
                <w:sz w:val="20"/>
              </w:rPr>
              <w:t>81.43</w:t>
            </w:r>
          </w:p>
        </w:tc>
        <w:tc>
          <w:tcPr>
            <w:tcW w:w="1197" w:type="dxa"/>
            <w:tcBorders>
              <w:top w:val="nil"/>
              <w:left w:val="nil"/>
              <w:bottom w:val="nil"/>
              <w:right w:val="nil"/>
            </w:tcBorders>
            <w:shd w:val="clear" w:color="auto" w:fill="auto"/>
            <w:noWrap/>
            <w:vAlign w:val="bottom"/>
            <w:hideMark/>
          </w:tcPr>
          <w:p w14:paraId="7710B978" w14:textId="77777777" w:rsidR="000F5BAD" w:rsidRPr="00720EF1" w:rsidRDefault="000F5BAD" w:rsidP="006A25C9">
            <w:pPr>
              <w:widowControl/>
              <w:jc w:val="right"/>
              <w:rPr>
                <w:kern w:val="0"/>
                <w:sz w:val="20"/>
              </w:rPr>
            </w:pPr>
            <w:r w:rsidRPr="00720EF1">
              <w:rPr>
                <w:kern w:val="0"/>
                <w:sz w:val="20"/>
              </w:rPr>
              <w:t xml:space="preserve">      20.19 </w:t>
            </w:r>
          </w:p>
        </w:tc>
      </w:tr>
      <w:tr w:rsidR="000F5BAD" w:rsidRPr="00720EF1" w14:paraId="0B4482EB" w14:textId="77777777" w:rsidTr="006A25C9">
        <w:trPr>
          <w:trHeight w:val="258"/>
        </w:trPr>
        <w:tc>
          <w:tcPr>
            <w:tcW w:w="2810" w:type="dxa"/>
            <w:tcBorders>
              <w:top w:val="nil"/>
              <w:left w:val="nil"/>
              <w:bottom w:val="nil"/>
              <w:right w:val="nil"/>
            </w:tcBorders>
            <w:shd w:val="clear" w:color="auto" w:fill="auto"/>
            <w:noWrap/>
            <w:vAlign w:val="bottom"/>
            <w:hideMark/>
          </w:tcPr>
          <w:p w14:paraId="667F60A8" w14:textId="77777777" w:rsidR="000F5BAD" w:rsidRPr="00720EF1" w:rsidRDefault="000F5BAD" w:rsidP="006A25C9">
            <w:pPr>
              <w:widowControl/>
              <w:jc w:val="left"/>
              <w:rPr>
                <w:kern w:val="0"/>
                <w:sz w:val="20"/>
              </w:rPr>
            </w:pPr>
            <w:r w:rsidRPr="00720EF1">
              <w:rPr>
                <w:kern w:val="0"/>
                <w:sz w:val="20"/>
              </w:rPr>
              <w:t>招商财经大数据策略</w:t>
            </w:r>
            <w:r w:rsidRPr="00720EF1">
              <w:rPr>
                <w:kern w:val="0"/>
                <w:sz w:val="20"/>
              </w:rPr>
              <w:t>C</w:t>
            </w:r>
          </w:p>
        </w:tc>
        <w:tc>
          <w:tcPr>
            <w:tcW w:w="766" w:type="dxa"/>
            <w:tcBorders>
              <w:top w:val="nil"/>
              <w:left w:val="nil"/>
              <w:bottom w:val="nil"/>
              <w:right w:val="nil"/>
            </w:tcBorders>
            <w:shd w:val="clear" w:color="auto" w:fill="auto"/>
            <w:noWrap/>
            <w:vAlign w:val="bottom"/>
            <w:hideMark/>
          </w:tcPr>
          <w:p w14:paraId="3FABF0FC"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4248D93A" w14:textId="77777777" w:rsidR="000F5BAD" w:rsidRPr="00720EF1" w:rsidRDefault="000F5BAD" w:rsidP="006A25C9">
            <w:pPr>
              <w:widowControl/>
              <w:jc w:val="right"/>
              <w:rPr>
                <w:kern w:val="0"/>
                <w:sz w:val="20"/>
              </w:rPr>
            </w:pPr>
            <w:r w:rsidRPr="00720EF1">
              <w:rPr>
                <w:kern w:val="0"/>
                <w:sz w:val="20"/>
              </w:rPr>
              <w:t xml:space="preserve">8.02 </w:t>
            </w:r>
          </w:p>
        </w:tc>
        <w:tc>
          <w:tcPr>
            <w:tcW w:w="981" w:type="dxa"/>
            <w:tcBorders>
              <w:top w:val="nil"/>
              <w:left w:val="nil"/>
              <w:bottom w:val="nil"/>
              <w:right w:val="nil"/>
            </w:tcBorders>
            <w:shd w:val="clear" w:color="auto" w:fill="auto"/>
            <w:noWrap/>
            <w:vAlign w:val="bottom"/>
            <w:hideMark/>
          </w:tcPr>
          <w:p w14:paraId="7FC24C33" w14:textId="77777777" w:rsidR="000F5BAD" w:rsidRPr="00720EF1" w:rsidRDefault="000F5BAD" w:rsidP="006A25C9">
            <w:pPr>
              <w:widowControl/>
              <w:jc w:val="right"/>
              <w:rPr>
                <w:kern w:val="0"/>
                <w:sz w:val="20"/>
              </w:rPr>
            </w:pPr>
            <w:r w:rsidRPr="00720EF1">
              <w:rPr>
                <w:kern w:val="0"/>
                <w:sz w:val="20"/>
              </w:rPr>
              <w:t>65.58</w:t>
            </w:r>
          </w:p>
        </w:tc>
        <w:tc>
          <w:tcPr>
            <w:tcW w:w="962" w:type="dxa"/>
            <w:tcBorders>
              <w:top w:val="nil"/>
              <w:left w:val="nil"/>
              <w:bottom w:val="nil"/>
              <w:right w:val="nil"/>
            </w:tcBorders>
            <w:shd w:val="clear" w:color="auto" w:fill="auto"/>
            <w:noWrap/>
            <w:vAlign w:val="bottom"/>
            <w:hideMark/>
          </w:tcPr>
          <w:p w14:paraId="5BF24154" w14:textId="77777777" w:rsidR="000F5BAD" w:rsidRPr="00720EF1" w:rsidRDefault="000F5BAD" w:rsidP="006A25C9">
            <w:pPr>
              <w:widowControl/>
              <w:jc w:val="right"/>
              <w:rPr>
                <w:kern w:val="0"/>
                <w:sz w:val="20"/>
              </w:rPr>
            </w:pPr>
            <w:r w:rsidRPr="00720EF1">
              <w:rPr>
                <w:kern w:val="0"/>
                <w:sz w:val="20"/>
              </w:rPr>
              <w:t>78.77</w:t>
            </w:r>
          </w:p>
        </w:tc>
        <w:tc>
          <w:tcPr>
            <w:tcW w:w="962" w:type="dxa"/>
            <w:tcBorders>
              <w:top w:val="nil"/>
              <w:left w:val="nil"/>
              <w:bottom w:val="nil"/>
              <w:right w:val="nil"/>
            </w:tcBorders>
            <w:shd w:val="clear" w:color="auto" w:fill="auto"/>
            <w:noWrap/>
            <w:vAlign w:val="bottom"/>
            <w:hideMark/>
          </w:tcPr>
          <w:p w14:paraId="77C116A5" w14:textId="77777777" w:rsidR="000F5BAD" w:rsidRPr="00720EF1" w:rsidRDefault="000F5BAD" w:rsidP="006A25C9">
            <w:pPr>
              <w:widowControl/>
              <w:jc w:val="right"/>
              <w:rPr>
                <w:kern w:val="0"/>
                <w:sz w:val="20"/>
              </w:rPr>
            </w:pPr>
            <w:r w:rsidRPr="00720EF1">
              <w:rPr>
                <w:kern w:val="0"/>
                <w:sz w:val="20"/>
              </w:rPr>
              <w:t>83.77</w:t>
            </w:r>
          </w:p>
        </w:tc>
        <w:tc>
          <w:tcPr>
            <w:tcW w:w="1197" w:type="dxa"/>
            <w:tcBorders>
              <w:top w:val="nil"/>
              <w:left w:val="nil"/>
              <w:bottom w:val="nil"/>
              <w:right w:val="nil"/>
            </w:tcBorders>
            <w:shd w:val="clear" w:color="auto" w:fill="auto"/>
            <w:noWrap/>
            <w:vAlign w:val="bottom"/>
            <w:hideMark/>
          </w:tcPr>
          <w:p w14:paraId="458E9DB2" w14:textId="77777777" w:rsidR="000F5BAD" w:rsidRPr="00720EF1" w:rsidRDefault="000F5BAD" w:rsidP="006A25C9">
            <w:pPr>
              <w:widowControl/>
              <w:jc w:val="right"/>
              <w:rPr>
                <w:kern w:val="0"/>
                <w:sz w:val="20"/>
              </w:rPr>
            </w:pPr>
            <w:r w:rsidRPr="00720EF1">
              <w:rPr>
                <w:kern w:val="0"/>
                <w:sz w:val="20"/>
              </w:rPr>
              <w:t xml:space="preserve">      18.41 </w:t>
            </w:r>
          </w:p>
        </w:tc>
      </w:tr>
      <w:tr w:rsidR="000F5BAD" w:rsidRPr="00720EF1" w14:paraId="6322EE63" w14:textId="77777777" w:rsidTr="006A25C9">
        <w:trPr>
          <w:trHeight w:val="258"/>
        </w:trPr>
        <w:tc>
          <w:tcPr>
            <w:tcW w:w="2810" w:type="dxa"/>
            <w:tcBorders>
              <w:top w:val="nil"/>
              <w:left w:val="nil"/>
              <w:bottom w:val="nil"/>
              <w:right w:val="nil"/>
            </w:tcBorders>
            <w:shd w:val="clear" w:color="auto" w:fill="auto"/>
            <w:noWrap/>
            <w:vAlign w:val="bottom"/>
            <w:hideMark/>
          </w:tcPr>
          <w:p w14:paraId="5E5F2F43" w14:textId="77777777" w:rsidR="000F5BAD" w:rsidRPr="00720EF1" w:rsidRDefault="000F5BAD" w:rsidP="006A25C9">
            <w:pPr>
              <w:widowControl/>
              <w:jc w:val="left"/>
              <w:rPr>
                <w:kern w:val="0"/>
                <w:sz w:val="20"/>
              </w:rPr>
            </w:pPr>
            <w:r w:rsidRPr="00720EF1">
              <w:rPr>
                <w:kern w:val="0"/>
                <w:sz w:val="20"/>
              </w:rPr>
              <w:t>民生加银品质消费</w:t>
            </w:r>
            <w:r w:rsidRPr="00720EF1">
              <w:rPr>
                <w:kern w:val="0"/>
                <w:sz w:val="20"/>
              </w:rPr>
              <w:t>C</w:t>
            </w:r>
          </w:p>
        </w:tc>
        <w:tc>
          <w:tcPr>
            <w:tcW w:w="766" w:type="dxa"/>
            <w:tcBorders>
              <w:top w:val="nil"/>
              <w:left w:val="nil"/>
              <w:bottom w:val="nil"/>
              <w:right w:val="nil"/>
            </w:tcBorders>
            <w:shd w:val="clear" w:color="auto" w:fill="auto"/>
            <w:noWrap/>
            <w:vAlign w:val="bottom"/>
            <w:hideMark/>
          </w:tcPr>
          <w:p w14:paraId="04A4F888"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47DF2F0E" w14:textId="77777777" w:rsidR="000F5BAD" w:rsidRPr="00720EF1" w:rsidRDefault="000F5BAD" w:rsidP="006A25C9">
            <w:pPr>
              <w:widowControl/>
              <w:jc w:val="right"/>
              <w:rPr>
                <w:kern w:val="0"/>
                <w:sz w:val="20"/>
              </w:rPr>
            </w:pPr>
            <w:r w:rsidRPr="00720EF1">
              <w:rPr>
                <w:kern w:val="0"/>
                <w:sz w:val="20"/>
              </w:rPr>
              <w:t xml:space="preserve">7.27 </w:t>
            </w:r>
          </w:p>
        </w:tc>
        <w:tc>
          <w:tcPr>
            <w:tcW w:w="981" w:type="dxa"/>
            <w:tcBorders>
              <w:top w:val="nil"/>
              <w:left w:val="nil"/>
              <w:bottom w:val="nil"/>
              <w:right w:val="nil"/>
            </w:tcBorders>
            <w:shd w:val="clear" w:color="auto" w:fill="auto"/>
            <w:noWrap/>
            <w:vAlign w:val="bottom"/>
            <w:hideMark/>
          </w:tcPr>
          <w:p w14:paraId="581D0806" w14:textId="77777777" w:rsidR="000F5BAD" w:rsidRPr="00720EF1" w:rsidRDefault="000F5BAD" w:rsidP="006A25C9">
            <w:pPr>
              <w:widowControl/>
              <w:jc w:val="right"/>
              <w:rPr>
                <w:kern w:val="0"/>
                <w:sz w:val="20"/>
              </w:rPr>
            </w:pPr>
            <w:r w:rsidRPr="00720EF1">
              <w:rPr>
                <w:kern w:val="0"/>
                <w:sz w:val="20"/>
              </w:rPr>
              <w:t>67.17</w:t>
            </w:r>
          </w:p>
        </w:tc>
        <w:tc>
          <w:tcPr>
            <w:tcW w:w="962" w:type="dxa"/>
            <w:tcBorders>
              <w:top w:val="nil"/>
              <w:left w:val="nil"/>
              <w:bottom w:val="nil"/>
              <w:right w:val="nil"/>
            </w:tcBorders>
            <w:shd w:val="clear" w:color="auto" w:fill="auto"/>
            <w:noWrap/>
            <w:vAlign w:val="bottom"/>
            <w:hideMark/>
          </w:tcPr>
          <w:p w14:paraId="6CC9A325" w14:textId="77777777" w:rsidR="000F5BAD" w:rsidRPr="00720EF1" w:rsidRDefault="000F5BAD" w:rsidP="006A25C9">
            <w:pPr>
              <w:widowControl/>
              <w:jc w:val="right"/>
              <w:rPr>
                <w:kern w:val="0"/>
                <w:sz w:val="20"/>
              </w:rPr>
            </w:pPr>
            <w:r w:rsidRPr="00720EF1">
              <w:rPr>
                <w:kern w:val="0"/>
                <w:sz w:val="20"/>
              </w:rPr>
              <w:t>78.6</w:t>
            </w:r>
          </w:p>
        </w:tc>
        <w:tc>
          <w:tcPr>
            <w:tcW w:w="962" w:type="dxa"/>
            <w:tcBorders>
              <w:top w:val="nil"/>
              <w:left w:val="nil"/>
              <w:bottom w:val="nil"/>
              <w:right w:val="nil"/>
            </w:tcBorders>
            <w:shd w:val="clear" w:color="auto" w:fill="auto"/>
            <w:noWrap/>
            <w:vAlign w:val="bottom"/>
            <w:hideMark/>
          </w:tcPr>
          <w:p w14:paraId="0E84C1E6" w14:textId="77777777" w:rsidR="000F5BAD" w:rsidRPr="00720EF1" w:rsidRDefault="000F5BAD" w:rsidP="006A25C9">
            <w:pPr>
              <w:widowControl/>
              <w:jc w:val="right"/>
              <w:rPr>
                <w:kern w:val="0"/>
                <w:sz w:val="20"/>
              </w:rPr>
            </w:pPr>
            <w:r w:rsidRPr="00720EF1">
              <w:rPr>
                <w:kern w:val="0"/>
                <w:sz w:val="20"/>
              </w:rPr>
              <w:t>79.44</w:t>
            </w:r>
          </w:p>
        </w:tc>
        <w:tc>
          <w:tcPr>
            <w:tcW w:w="1197" w:type="dxa"/>
            <w:tcBorders>
              <w:top w:val="nil"/>
              <w:left w:val="nil"/>
              <w:bottom w:val="nil"/>
              <w:right w:val="nil"/>
            </w:tcBorders>
            <w:shd w:val="clear" w:color="auto" w:fill="auto"/>
            <w:noWrap/>
            <w:vAlign w:val="bottom"/>
            <w:hideMark/>
          </w:tcPr>
          <w:p w14:paraId="160F46FC" w14:textId="77777777" w:rsidR="000F5BAD" w:rsidRPr="00720EF1" w:rsidRDefault="000F5BAD" w:rsidP="006A25C9">
            <w:pPr>
              <w:widowControl/>
              <w:jc w:val="right"/>
              <w:rPr>
                <w:kern w:val="0"/>
                <w:sz w:val="20"/>
              </w:rPr>
            </w:pPr>
            <w:r w:rsidRPr="00720EF1">
              <w:rPr>
                <w:kern w:val="0"/>
                <w:sz w:val="20"/>
              </w:rPr>
              <w:t xml:space="preserve">        9.44 </w:t>
            </w:r>
          </w:p>
        </w:tc>
      </w:tr>
      <w:tr w:rsidR="000F5BAD" w:rsidRPr="00720EF1" w14:paraId="76AC11EC" w14:textId="77777777" w:rsidTr="006A25C9">
        <w:trPr>
          <w:trHeight w:val="258"/>
        </w:trPr>
        <w:tc>
          <w:tcPr>
            <w:tcW w:w="2810" w:type="dxa"/>
            <w:tcBorders>
              <w:top w:val="nil"/>
              <w:left w:val="nil"/>
              <w:bottom w:val="nil"/>
              <w:right w:val="nil"/>
            </w:tcBorders>
            <w:shd w:val="clear" w:color="auto" w:fill="auto"/>
            <w:noWrap/>
            <w:vAlign w:val="bottom"/>
            <w:hideMark/>
          </w:tcPr>
          <w:p w14:paraId="4E2038AF" w14:textId="77777777" w:rsidR="000F5BAD" w:rsidRPr="00720EF1" w:rsidRDefault="000F5BAD" w:rsidP="006A25C9">
            <w:pPr>
              <w:widowControl/>
              <w:jc w:val="left"/>
              <w:rPr>
                <w:kern w:val="0"/>
                <w:sz w:val="20"/>
              </w:rPr>
            </w:pPr>
            <w:r w:rsidRPr="00720EF1">
              <w:rPr>
                <w:kern w:val="0"/>
                <w:sz w:val="20"/>
              </w:rPr>
              <w:t>海富通先进制造</w:t>
            </w:r>
            <w:r w:rsidRPr="00720EF1">
              <w:rPr>
                <w:kern w:val="0"/>
                <w:sz w:val="20"/>
              </w:rPr>
              <w:t>A</w:t>
            </w:r>
          </w:p>
        </w:tc>
        <w:tc>
          <w:tcPr>
            <w:tcW w:w="766" w:type="dxa"/>
            <w:tcBorders>
              <w:top w:val="nil"/>
              <w:left w:val="nil"/>
              <w:bottom w:val="nil"/>
              <w:right w:val="nil"/>
            </w:tcBorders>
            <w:shd w:val="clear" w:color="auto" w:fill="auto"/>
            <w:noWrap/>
            <w:vAlign w:val="bottom"/>
            <w:hideMark/>
          </w:tcPr>
          <w:p w14:paraId="452B80EB"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30FD8E10" w14:textId="77777777" w:rsidR="000F5BAD" w:rsidRPr="00720EF1" w:rsidRDefault="000F5BAD" w:rsidP="006A25C9">
            <w:pPr>
              <w:widowControl/>
              <w:jc w:val="right"/>
              <w:rPr>
                <w:kern w:val="0"/>
                <w:sz w:val="20"/>
              </w:rPr>
            </w:pPr>
            <w:r w:rsidRPr="00720EF1">
              <w:rPr>
                <w:kern w:val="0"/>
                <w:sz w:val="20"/>
              </w:rPr>
              <w:t xml:space="preserve">6.83 </w:t>
            </w:r>
          </w:p>
        </w:tc>
        <w:tc>
          <w:tcPr>
            <w:tcW w:w="981" w:type="dxa"/>
            <w:tcBorders>
              <w:top w:val="nil"/>
              <w:left w:val="nil"/>
              <w:bottom w:val="nil"/>
              <w:right w:val="nil"/>
            </w:tcBorders>
            <w:shd w:val="clear" w:color="auto" w:fill="auto"/>
            <w:noWrap/>
            <w:vAlign w:val="bottom"/>
            <w:hideMark/>
          </w:tcPr>
          <w:p w14:paraId="0A3FDBB9" w14:textId="77777777" w:rsidR="000F5BAD" w:rsidRPr="00720EF1" w:rsidRDefault="000F5BAD" w:rsidP="006A25C9">
            <w:pPr>
              <w:widowControl/>
              <w:jc w:val="right"/>
              <w:rPr>
                <w:kern w:val="0"/>
                <w:sz w:val="20"/>
              </w:rPr>
            </w:pPr>
            <w:r w:rsidRPr="00720EF1">
              <w:rPr>
                <w:kern w:val="0"/>
                <w:sz w:val="20"/>
              </w:rPr>
              <w:t>61.54</w:t>
            </w:r>
          </w:p>
        </w:tc>
        <w:tc>
          <w:tcPr>
            <w:tcW w:w="962" w:type="dxa"/>
            <w:tcBorders>
              <w:top w:val="nil"/>
              <w:left w:val="nil"/>
              <w:bottom w:val="nil"/>
              <w:right w:val="nil"/>
            </w:tcBorders>
            <w:shd w:val="clear" w:color="auto" w:fill="auto"/>
            <w:noWrap/>
            <w:vAlign w:val="bottom"/>
            <w:hideMark/>
          </w:tcPr>
          <w:p w14:paraId="4EDD0EDD" w14:textId="77777777" w:rsidR="000F5BAD" w:rsidRPr="00720EF1" w:rsidRDefault="000F5BAD" w:rsidP="006A25C9">
            <w:pPr>
              <w:widowControl/>
              <w:jc w:val="right"/>
              <w:rPr>
                <w:kern w:val="0"/>
                <w:sz w:val="20"/>
              </w:rPr>
            </w:pPr>
            <w:r w:rsidRPr="00720EF1">
              <w:rPr>
                <w:kern w:val="0"/>
                <w:sz w:val="20"/>
              </w:rPr>
              <w:t>76.55</w:t>
            </w:r>
          </w:p>
        </w:tc>
        <w:tc>
          <w:tcPr>
            <w:tcW w:w="962" w:type="dxa"/>
            <w:tcBorders>
              <w:top w:val="nil"/>
              <w:left w:val="nil"/>
              <w:bottom w:val="nil"/>
              <w:right w:val="nil"/>
            </w:tcBorders>
            <w:shd w:val="clear" w:color="auto" w:fill="auto"/>
            <w:noWrap/>
            <w:vAlign w:val="bottom"/>
            <w:hideMark/>
          </w:tcPr>
          <w:p w14:paraId="11901924" w14:textId="77777777" w:rsidR="000F5BAD" w:rsidRPr="00720EF1" w:rsidRDefault="000F5BAD" w:rsidP="006A25C9">
            <w:pPr>
              <w:widowControl/>
              <w:jc w:val="right"/>
              <w:rPr>
                <w:kern w:val="0"/>
                <w:sz w:val="20"/>
              </w:rPr>
            </w:pPr>
            <w:r w:rsidRPr="00720EF1">
              <w:rPr>
                <w:kern w:val="0"/>
                <w:sz w:val="20"/>
              </w:rPr>
              <w:t>80.01</w:t>
            </w:r>
          </w:p>
        </w:tc>
        <w:tc>
          <w:tcPr>
            <w:tcW w:w="1197" w:type="dxa"/>
            <w:tcBorders>
              <w:top w:val="nil"/>
              <w:left w:val="nil"/>
              <w:bottom w:val="nil"/>
              <w:right w:val="nil"/>
            </w:tcBorders>
            <w:shd w:val="clear" w:color="auto" w:fill="auto"/>
            <w:noWrap/>
            <w:vAlign w:val="bottom"/>
            <w:hideMark/>
          </w:tcPr>
          <w:p w14:paraId="60214049" w14:textId="77777777" w:rsidR="000F5BAD" w:rsidRPr="00720EF1" w:rsidRDefault="000F5BAD" w:rsidP="006A25C9">
            <w:pPr>
              <w:widowControl/>
              <w:jc w:val="right"/>
              <w:rPr>
                <w:kern w:val="0"/>
                <w:sz w:val="20"/>
              </w:rPr>
            </w:pPr>
            <w:r w:rsidRPr="00720EF1">
              <w:rPr>
                <w:kern w:val="0"/>
                <w:sz w:val="20"/>
              </w:rPr>
              <w:t xml:space="preserve">      26.61 </w:t>
            </w:r>
          </w:p>
        </w:tc>
      </w:tr>
      <w:tr w:rsidR="000F5BAD" w:rsidRPr="00720EF1" w14:paraId="0EB25206" w14:textId="77777777" w:rsidTr="006A25C9">
        <w:trPr>
          <w:trHeight w:val="258"/>
        </w:trPr>
        <w:tc>
          <w:tcPr>
            <w:tcW w:w="2810" w:type="dxa"/>
            <w:tcBorders>
              <w:top w:val="nil"/>
              <w:left w:val="nil"/>
              <w:bottom w:val="nil"/>
              <w:right w:val="nil"/>
            </w:tcBorders>
            <w:shd w:val="clear" w:color="auto" w:fill="auto"/>
            <w:noWrap/>
            <w:vAlign w:val="bottom"/>
            <w:hideMark/>
          </w:tcPr>
          <w:p w14:paraId="42389008" w14:textId="77777777" w:rsidR="000F5BAD" w:rsidRPr="00720EF1" w:rsidRDefault="000F5BAD" w:rsidP="006A25C9">
            <w:pPr>
              <w:widowControl/>
              <w:jc w:val="left"/>
              <w:rPr>
                <w:kern w:val="0"/>
                <w:sz w:val="20"/>
              </w:rPr>
            </w:pPr>
            <w:r w:rsidRPr="00720EF1">
              <w:rPr>
                <w:kern w:val="0"/>
                <w:sz w:val="20"/>
              </w:rPr>
              <w:t>招商研究优选</w:t>
            </w:r>
            <w:r w:rsidRPr="00720EF1">
              <w:rPr>
                <w:kern w:val="0"/>
                <w:sz w:val="20"/>
              </w:rPr>
              <w:t>A</w:t>
            </w:r>
          </w:p>
        </w:tc>
        <w:tc>
          <w:tcPr>
            <w:tcW w:w="766" w:type="dxa"/>
            <w:tcBorders>
              <w:top w:val="nil"/>
              <w:left w:val="nil"/>
              <w:bottom w:val="nil"/>
              <w:right w:val="nil"/>
            </w:tcBorders>
            <w:shd w:val="clear" w:color="auto" w:fill="auto"/>
            <w:noWrap/>
            <w:vAlign w:val="bottom"/>
            <w:hideMark/>
          </w:tcPr>
          <w:p w14:paraId="0EFA6225"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3693D3BF" w14:textId="77777777" w:rsidR="000F5BAD" w:rsidRPr="00720EF1" w:rsidRDefault="000F5BAD" w:rsidP="006A25C9">
            <w:pPr>
              <w:widowControl/>
              <w:jc w:val="right"/>
              <w:rPr>
                <w:kern w:val="0"/>
                <w:sz w:val="20"/>
              </w:rPr>
            </w:pPr>
            <w:r w:rsidRPr="00720EF1">
              <w:rPr>
                <w:kern w:val="0"/>
                <w:sz w:val="20"/>
              </w:rPr>
              <w:t xml:space="preserve">6.45 </w:t>
            </w:r>
          </w:p>
        </w:tc>
        <w:tc>
          <w:tcPr>
            <w:tcW w:w="981" w:type="dxa"/>
            <w:tcBorders>
              <w:top w:val="nil"/>
              <w:left w:val="nil"/>
              <w:bottom w:val="nil"/>
              <w:right w:val="nil"/>
            </w:tcBorders>
            <w:shd w:val="clear" w:color="auto" w:fill="auto"/>
            <w:noWrap/>
            <w:vAlign w:val="bottom"/>
            <w:hideMark/>
          </w:tcPr>
          <w:p w14:paraId="602F29F7" w14:textId="77777777" w:rsidR="000F5BAD" w:rsidRPr="00720EF1" w:rsidRDefault="000F5BAD" w:rsidP="006A25C9">
            <w:pPr>
              <w:widowControl/>
              <w:jc w:val="right"/>
              <w:rPr>
                <w:kern w:val="0"/>
                <w:sz w:val="20"/>
              </w:rPr>
            </w:pPr>
            <w:r w:rsidRPr="00720EF1">
              <w:rPr>
                <w:kern w:val="0"/>
                <w:sz w:val="20"/>
              </w:rPr>
              <w:t>63.67</w:t>
            </w:r>
          </w:p>
        </w:tc>
        <w:tc>
          <w:tcPr>
            <w:tcW w:w="962" w:type="dxa"/>
            <w:tcBorders>
              <w:top w:val="nil"/>
              <w:left w:val="nil"/>
              <w:bottom w:val="nil"/>
              <w:right w:val="nil"/>
            </w:tcBorders>
            <w:shd w:val="clear" w:color="auto" w:fill="auto"/>
            <w:noWrap/>
            <w:vAlign w:val="bottom"/>
            <w:hideMark/>
          </w:tcPr>
          <w:p w14:paraId="0C69D1EF" w14:textId="77777777" w:rsidR="000F5BAD" w:rsidRPr="00720EF1" w:rsidRDefault="000F5BAD" w:rsidP="006A25C9">
            <w:pPr>
              <w:widowControl/>
              <w:jc w:val="right"/>
              <w:rPr>
                <w:kern w:val="0"/>
                <w:sz w:val="20"/>
              </w:rPr>
            </w:pPr>
            <w:r w:rsidRPr="00720EF1">
              <w:rPr>
                <w:kern w:val="0"/>
                <w:sz w:val="20"/>
              </w:rPr>
              <w:t>76.89</w:t>
            </w:r>
          </w:p>
        </w:tc>
        <w:tc>
          <w:tcPr>
            <w:tcW w:w="962" w:type="dxa"/>
            <w:tcBorders>
              <w:top w:val="nil"/>
              <w:left w:val="nil"/>
              <w:bottom w:val="nil"/>
              <w:right w:val="nil"/>
            </w:tcBorders>
            <w:shd w:val="clear" w:color="auto" w:fill="auto"/>
            <w:noWrap/>
            <w:vAlign w:val="bottom"/>
            <w:hideMark/>
          </w:tcPr>
          <w:p w14:paraId="52A77233" w14:textId="77777777" w:rsidR="000F5BAD" w:rsidRPr="00720EF1" w:rsidRDefault="000F5BAD" w:rsidP="006A25C9">
            <w:pPr>
              <w:widowControl/>
              <w:jc w:val="right"/>
              <w:rPr>
                <w:kern w:val="0"/>
                <w:sz w:val="20"/>
              </w:rPr>
            </w:pPr>
            <w:r w:rsidRPr="00720EF1">
              <w:rPr>
                <w:kern w:val="0"/>
                <w:sz w:val="20"/>
              </w:rPr>
              <w:t>83</w:t>
            </w:r>
            <w:r>
              <w:rPr>
                <w:kern w:val="0"/>
                <w:sz w:val="20"/>
              </w:rPr>
              <w:t>.00</w:t>
            </w:r>
          </w:p>
        </w:tc>
        <w:tc>
          <w:tcPr>
            <w:tcW w:w="1197" w:type="dxa"/>
            <w:tcBorders>
              <w:top w:val="nil"/>
              <w:left w:val="nil"/>
              <w:bottom w:val="nil"/>
              <w:right w:val="nil"/>
            </w:tcBorders>
            <w:shd w:val="clear" w:color="auto" w:fill="auto"/>
            <w:noWrap/>
            <w:vAlign w:val="bottom"/>
            <w:hideMark/>
          </w:tcPr>
          <w:p w14:paraId="7CD4E717" w14:textId="77777777" w:rsidR="000F5BAD" w:rsidRPr="00720EF1" w:rsidRDefault="000F5BAD" w:rsidP="006A25C9">
            <w:pPr>
              <w:widowControl/>
              <w:jc w:val="right"/>
              <w:rPr>
                <w:kern w:val="0"/>
                <w:sz w:val="20"/>
              </w:rPr>
            </w:pPr>
            <w:r w:rsidRPr="00720EF1">
              <w:rPr>
                <w:kern w:val="0"/>
                <w:sz w:val="20"/>
              </w:rPr>
              <w:t xml:space="preserve">      10.13 </w:t>
            </w:r>
          </w:p>
        </w:tc>
      </w:tr>
      <w:tr w:rsidR="000F5BAD" w:rsidRPr="00720EF1" w14:paraId="260CB36B" w14:textId="77777777" w:rsidTr="006A25C9">
        <w:trPr>
          <w:trHeight w:val="258"/>
        </w:trPr>
        <w:tc>
          <w:tcPr>
            <w:tcW w:w="2810" w:type="dxa"/>
            <w:tcBorders>
              <w:top w:val="nil"/>
              <w:left w:val="nil"/>
              <w:bottom w:val="nil"/>
              <w:right w:val="nil"/>
            </w:tcBorders>
            <w:shd w:val="clear" w:color="auto" w:fill="auto"/>
            <w:noWrap/>
            <w:vAlign w:val="bottom"/>
            <w:hideMark/>
          </w:tcPr>
          <w:p w14:paraId="6A015C9C" w14:textId="77777777" w:rsidR="000F5BAD" w:rsidRPr="00720EF1" w:rsidRDefault="000F5BAD" w:rsidP="006A25C9">
            <w:pPr>
              <w:widowControl/>
              <w:jc w:val="left"/>
              <w:rPr>
                <w:kern w:val="0"/>
                <w:sz w:val="20"/>
              </w:rPr>
            </w:pPr>
            <w:r w:rsidRPr="00720EF1">
              <w:rPr>
                <w:kern w:val="0"/>
                <w:sz w:val="20"/>
              </w:rPr>
              <w:t>南方</w:t>
            </w:r>
            <w:r w:rsidRPr="00720EF1">
              <w:rPr>
                <w:kern w:val="0"/>
                <w:sz w:val="20"/>
              </w:rPr>
              <w:t>ESG</w:t>
            </w:r>
            <w:r w:rsidRPr="00720EF1">
              <w:rPr>
                <w:kern w:val="0"/>
                <w:sz w:val="20"/>
              </w:rPr>
              <w:t>主题</w:t>
            </w:r>
            <w:r w:rsidRPr="00720EF1">
              <w:rPr>
                <w:kern w:val="0"/>
                <w:sz w:val="20"/>
              </w:rPr>
              <w:t>C</w:t>
            </w:r>
          </w:p>
        </w:tc>
        <w:tc>
          <w:tcPr>
            <w:tcW w:w="766" w:type="dxa"/>
            <w:tcBorders>
              <w:top w:val="nil"/>
              <w:left w:val="nil"/>
              <w:bottom w:val="nil"/>
              <w:right w:val="nil"/>
            </w:tcBorders>
            <w:shd w:val="clear" w:color="auto" w:fill="auto"/>
            <w:noWrap/>
            <w:vAlign w:val="bottom"/>
            <w:hideMark/>
          </w:tcPr>
          <w:p w14:paraId="514AC1DC"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3BFBF20F"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4B81FAD2" w14:textId="77777777" w:rsidR="000F5BAD" w:rsidRPr="00720EF1" w:rsidRDefault="000F5BAD" w:rsidP="006A25C9">
            <w:pPr>
              <w:widowControl/>
              <w:jc w:val="right"/>
              <w:rPr>
                <w:kern w:val="0"/>
                <w:sz w:val="20"/>
              </w:rPr>
            </w:pPr>
            <w:r w:rsidRPr="00720EF1">
              <w:rPr>
                <w:kern w:val="0"/>
                <w:sz w:val="20"/>
              </w:rPr>
              <w:t>61.98</w:t>
            </w:r>
          </w:p>
        </w:tc>
        <w:tc>
          <w:tcPr>
            <w:tcW w:w="962" w:type="dxa"/>
            <w:tcBorders>
              <w:top w:val="nil"/>
              <w:left w:val="nil"/>
              <w:bottom w:val="nil"/>
              <w:right w:val="nil"/>
            </w:tcBorders>
            <w:shd w:val="clear" w:color="auto" w:fill="auto"/>
            <w:noWrap/>
            <w:vAlign w:val="bottom"/>
            <w:hideMark/>
          </w:tcPr>
          <w:p w14:paraId="54802E2B" w14:textId="77777777" w:rsidR="000F5BAD" w:rsidRPr="00720EF1" w:rsidRDefault="000F5BAD" w:rsidP="006A25C9">
            <w:pPr>
              <w:widowControl/>
              <w:jc w:val="right"/>
              <w:rPr>
                <w:kern w:val="0"/>
                <w:sz w:val="20"/>
              </w:rPr>
            </w:pPr>
            <w:r w:rsidRPr="00720EF1">
              <w:rPr>
                <w:kern w:val="0"/>
                <w:sz w:val="20"/>
              </w:rPr>
              <w:t>77.87</w:t>
            </w:r>
          </w:p>
        </w:tc>
        <w:tc>
          <w:tcPr>
            <w:tcW w:w="962" w:type="dxa"/>
            <w:tcBorders>
              <w:top w:val="nil"/>
              <w:left w:val="nil"/>
              <w:bottom w:val="nil"/>
              <w:right w:val="nil"/>
            </w:tcBorders>
            <w:shd w:val="clear" w:color="auto" w:fill="auto"/>
            <w:noWrap/>
            <w:vAlign w:val="bottom"/>
            <w:hideMark/>
          </w:tcPr>
          <w:p w14:paraId="54780654" w14:textId="77777777" w:rsidR="000F5BAD" w:rsidRPr="00720EF1" w:rsidRDefault="000F5BAD" w:rsidP="006A25C9">
            <w:pPr>
              <w:widowControl/>
              <w:jc w:val="right"/>
              <w:rPr>
                <w:kern w:val="0"/>
                <w:sz w:val="20"/>
              </w:rPr>
            </w:pPr>
            <w:r w:rsidRPr="00720EF1">
              <w:rPr>
                <w:kern w:val="0"/>
                <w:sz w:val="20"/>
              </w:rPr>
              <w:t>81.91</w:t>
            </w:r>
          </w:p>
        </w:tc>
        <w:tc>
          <w:tcPr>
            <w:tcW w:w="1197" w:type="dxa"/>
            <w:tcBorders>
              <w:top w:val="nil"/>
              <w:left w:val="nil"/>
              <w:bottom w:val="nil"/>
              <w:right w:val="nil"/>
            </w:tcBorders>
            <w:shd w:val="clear" w:color="auto" w:fill="auto"/>
            <w:noWrap/>
            <w:vAlign w:val="bottom"/>
            <w:hideMark/>
          </w:tcPr>
          <w:p w14:paraId="1B97B523" w14:textId="77777777" w:rsidR="000F5BAD" w:rsidRPr="00720EF1" w:rsidRDefault="000F5BAD" w:rsidP="006A25C9">
            <w:pPr>
              <w:widowControl/>
              <w:jc w:val="right"/>
              <w:rPr>
                <w:kern w:val="0"/>
                <w:sz w:val="20"/>
              </w:rPr>
            </w:pPr>
            <w:r w:rsidRPr="00720EF1">
              <w:rPr>
                <w:kern w:val="0"/>
                <w:sz w:val="20"/>
              </w:rPr>
              <w:t xml:space="preserve">        8.40 </w:t>
            </w:r>
          </w:p>
        </w:tc>
      </w:tr>
      <w:tr w:rsidR="000F5BAD" w:rsidRPr="00720EF1" w14:paraId="059EF7EA" w14:textId="77777777" w:rsidTr="006A25C9">
        <w:trPr>
          <w:trHeight w:val="258"/>
        </w:trPr>
        <w:tc>
          <w:tcPr>
            <w:tcW w:w="2810" w:type="dxa"/>
            <w:tcBorders>
              <w:top w:val="nil"/>
              <w:left w:val="nil"/>
              <w:bottom w:val="nil"/>
              <w:right w:val="nil"/>
            </w:tcBorders>
            <w:shd w:val="clear" w:color="auto" w:fill="auto"/>
            <w:noWrap/>
            <w:vAlign w:val="bottom"/>
            <w:hideMark/>
          </w:tcPr>
          <w:p w14:paraId="504BD015" w14:textId="77777777" w:rsidR="000F5BAD" w:rsidRPr="00720EF1" w:rsidRDefault="000F5BAD" w:rsidP="006A25C9">
            <w:pPr>
              <w:widowControl/>
              <w:jc w:val="left"/>
              <w:rPr>
                <w:kern w:val="0"/>
                <w:sz w:val="20"/>
              </w:rPr>
            </w:pPr>
            <w:r w:rsidRPr="00720EF1">
              <w:rPr>
                <w:kern w:val="0"/>
                <w:sz w:val="20"/>
              </w:rPr>
              <w:t>易方达研究精选</w:t>
            </w:r>
          </w:p>
        </w:tc>
        <w:tc>
          <w:tcPr>
            <w:tcW w:w="766" w:type="dxa"/>
            <w:tcBorders>
              <w:top w:val="nil"/>
              <w:left w:val="nil"/>
              <w:bottom w:val="nil"/>
              <w:right w:val="nil"/>
            </w:tcBorders>
            <w:shd w:val="clear" w:color="auto" w:fill="auto"/>
            <w:noWrap/>
            <w:vAlign w:val="bottom"/>
            <w:hideMark/>
          </w:tcPr>
          <w:p w14:paraId="077AA906"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7B2F42B" w14:textId="77777777" w:rsidR="000F5BAD" w:rsidRPr="00720EF1" w:rsidRDefault="000F5BAD" w:rsidP="006A25C9">
            <w:pPr>
              <w:widowControl/>
              <w:jc w:val="right"/>
              <w:rPr>
                <w:kern w:val="0"/>
                <w:sz w:val="20"/>
              </w:rPr>
            </w:pPr>
            <w:r w:rsidRPr="00720EF1">
              <w:rPr>
                <w:kern w:val="0"/>
                <w:sz w:val="20"/>
              </w:rPr>
              <w:t xml:space="preserve">7.65 </w:t>
            </w:r>
          </w:p>
        </w:tc>
        <w:tc>
          <w:tcPr>
            <w:tcW w:w="981" w:type="dxa"/>
            <w:tcBorders>
              <w:top w:val="nil"/>
              <w:left w:val="nil"/>
              <w:bottom w:val="nil"/>
              <w:right w:val="nil"/>
            </w:tcBorders>
            <w:shd w:val="clear" w:color="auto" w:fill="auto"/>
            <w:noWrap/>
            <w:vAlign w:val="bottom"/>
            <w:hideMark/>
          </w:tcPr>
          <w:p w14:paraId="774DD6CE" w14:textId="77777777" w:rsidR="000F5BAD" w:rsidRPr="00720EF1" w:rsidRDefault="000F5BAD" w:rsidP="006A25C9">
            <w:pPr>
              <w:widowControl/>
              <w:jc w:val="right"/>
              <w:rPr>
                <w:kern w:val="0"/>
                <w:sz w:val="20"/>
              </w:rPr>
            </w:pPr>
            <w:r w:rsidRPr="00720EF1">
              <w:rPr>
                <w:kern w:val="0"/>
                <w:sz w:val="20"/>
              </w:rPr>
              <w:t>63.79</w:t>
            </w:r>
          </w:p>
        </w:tc>
        <w:tc>
          <w:tcPr>
            <w:tcW w:w="962" w:type="dxa"/>
            <w:tcBorders>
              <w:top w:val="nil"/>
              <w:left w:val="nil"/>
              <w:bottom w:val="nil"/>
              <w:right w:val="nil"/>
            </w:tcBorders>
            <w:shd w:val="clear" w:color="auto" w:fill="auto"/>
            <w:noWrap/>
            <w:vAlign w:val="bottom"/>
            <w:hideMark/>
          </w:tcPr>
          <w:p w14:paraId="00369E17" w14:textId="77777777" w:rsidR="000F5BAD" w:rsidRPr="00720EF1" w:rsidRDefault="000F5BAD" w:rsidP="006A25C9">
            <w:pPr>
              <w:widowControl/>
              <w:jc w:val="right"/>
              <w:rPr>
                <w:kern w:val="0"/>
                <w:sz w:val="20"/>
              </w:rPr>
            </w:pPr>
            <w:r w:rsidRPr="00720EF1">
              <w:rPr>
                <w:kern w:val="0"/>
                <w:sz w:val="20"/>
              </w:rPr>
              <w:t>77.39</w:t>
            </w:r>
          </w:p>
        </w:tc>
        <w:tc>
          <w:tcPr>
            <w:tcW w:w="962" w:type="dxa"/>
            <w:tcBorders>
              <w:top w:val="nil"/>
              <w:left w:val="nil"/>
              <w:bottom w:val="nil"/>
              <w:right w:val="nil"/>
            </w:tcBorders>
            <w:shd w:val="clear" w:color="auto" w:fill="auto"/>
            <w:noWrap/>
            <w:vAlign w:val="bottom"/>
            <w:hideMark/>
          </w:tcPr>
          <w:p w14:paraId="4A5B9892" w14:textId="77777777" w:rsidR="000F5BAD" w:rsidRPr="00720EF1" w:rsidRDefault="000F5BAD" w:rsidP="006A25C9">
            <w:pPr>
              <w:widowControl/>
              <w:jc w:val="right"/>
              <w:rPr>
                <w:kern w:val="0"/>
                <w:sz w:val="20"/>
              </w:rPr>
            </w:pPr>
            <w:r w:rsidRPr="00720EF1">
              <w:rPr>
                <w:kern w:val="0"/>
                <w:sz w:val="20"/>
              </w:rPr>
              <w:t>82.91</w:t>
            </w:r>
          </w:p>
        </w:tc>
        <w:tc>
          <w:tcPr>
            <w:tcW w:w="1197" w:type="dxa"/>
            <w:tcBorders>
              <w:top w:val="nil"/>
              <w:left w:val="nil"/>
              <w:bottom w:val="nil"/>
              <w:right w:val="nil"/>
            </w:tcBorders>
            <w:shd w:val="clear" w:color="auto" w:fill="auto"/>
            <w:noWrap/>
            <w:vAlign w:val="bottom"/>
            <w:hideMark/>
          </w:tcPr>
          <w:p w14:paraId="36F8E611" w14:textId="77777777" w:rsidR="000F5BAD" w:rsidRPr="00720EF1" w:rsidRDefault="000F5BAD" w:rsidP="006A25C9">
            <w:pPr>
              <w:widowControl/>
              <w:jc w:val="right"/>
              <w:rPr>
                <w:kern w:val="0"/>
                <w:sz w:val="20"/>
              </w:rPr>
            </w:pPr>
            <w:r w:rsidRPr="00720EF1">
              <w:rPr>
                <w:kern w:val="0"/>
                <w:sz w:val="20"/>
              </w:rPr>
              <w:t xml:space="preserve">      20.53 </w:t>
            </w:r>
          </w:p>
        </w:tc>
      </w:tr>
      <w:tr w:rsidR="000F5BAD" w:rsidRPr="00720EF1" w14:paraId="5928486D" w14:textId="77777777" w:rsidTr="006A25C9">
        <w:trPr>
          <w:trHeight w:val="258"/>
        </w:trPr>
        <w:tc>
          <w:tcPr>
            <w:tcW w:w="2810" w:type="dxa"/>
            <w:tcBorders>
              <w:top w:val="nil"/>
              <w:left w:val="nil"/>
              <w:bottom w:val="nil"/>
              <w:right w:val="nil"/>
            </w:tcBorders>
            <w:shd w:val="clear" w:color="auto" w:fill="auto"/>
            <w:noWrap/>
            <w:vAlign w:val="bottom"/>
            <w:hideMark/>
          </w:tcPr>
          <w:p w14:paraId="3E998867" w14:textId="77777777" w:rsidR="000F5BAD" w:rsidRPr="00720EF1" w:rsidRDefault="000F5BAD" w:rsidP="006A25C9">
            <w:pPr>
              <w:widowControl/>
              <w:jc w:val="left"/>
              <w:rPr>
                <w:kern w:val="0"/>
                <w:sz w:val="20"/>
              </w:rPr>
            </w:pPr>
            <w:r w:rsidRPr="00720EF1">
              <w:rPr>
                <w:kern w:val="0"/>
                <w:sz w:val="20"/>
              </w:rPr>
              <w:t>朱雀企业优胜</w:t>
            </w:r>
            <w:r w:rsidRPr="00720EF1">
              <w:rPr>
                <w:kern w:val="0"/>
                <w:sz w:val="20"/>
              </w:rPr>
              <w:t>C</w:t>
            </w:r>
          </w:p>
        </w:tc>
        <w:tc>
          <w:tcPr>
            <w:tcW w:w="766" w:type="dxa"/>
            <w:tcBorders>
              <w:top w:val="nil"/>
              <w:left w:val="nil"/>
              <w:bottom w:val="nil"/>
              <w:right w:val="nil"/>
            </w:tcBorders>
            <w:shd w:val="clear" w:color="auto" w:fill="auto"/>
            <w:noWrap/>
            <w:vAlign w:val="bottom"/>
            <w:hideMark/>
          </w:tcPr>
          <w:p w14:paraId="23129A55"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1BB76A3A" w14:textId="77777777" w:rsidR="000F5BAD" w:rsidRPr="00720EF1" w:rsidRDefault="000F5BAD" w:rsidP="006A25C9">
            <w:pPr>
              <w:widowControl/>
              <w:jc w:val="right"/>
              <w:rPr>
                <w:kern w:val="0"/>
                <w:sz w:val="20"/>
              </w:rPr>
            </w:pPr>
            <w:r w:rsidRPr="00720EF1">
              <w:rPr>
                <w:kern w:val="0"/>
                <w:sz w:val="20"/>
              </w:rPr>
              <w:t xml:space="preserve">5.41 </w:t>
            </w:r>
          </w:p>
        </w:tc>
        <w:tc>
          <w:tcPr>
            <w:tcW w:w="981" w:type="dxa"/>
            <w:tcBorders>
              <w:top w:val="nil"/>
              <w:left w:val="nil"/>
              <w:bottom w:val="nil"/>
              <w:right w:val="nil"/>
            </w:tcBorders>
            <w:shd w:val="clear" w:color="auto" w:fill="auto"/>
            <w:noWrap/>
            <w:vAlign w:val="bottom"/>
            <w:hideMark/>
          </w:tcPr>
          <w:p w14:paraId="6672E126" w14:textId="77777777" w:rsidR="000F5BAD" w:rsidRPr="00720EF1" w:rsidRDefault="000F5BAD" w:rsidP="006A25C9">
            <w:pPr>
              <w:widowControl/>
              <w:jc w:val="right"/>
              <w:rPr>
                <w:kern w:val="0"/>
                <w:sz w:val="20"/>
              </w:rPr>
            </w:pPr>
            <w:r w:rsidRPr="00720EF1">
              <w:rPr>
                <w:kern w:val="0"/>
                <w:sz w:val="20"/>
              </w:rPr>
              <w:t>64.2</w:t>
            </w:r>
          </w:p>
        </w:tc>
        <w:tc>
          <w:tcPr>
            <w:tcW w:w="962" w:type="dxa"/>
            <w:tcBorders>
              <w:top w:val="nil"/>
              <w:left w:val="nil"/>
              <w:bottom w:val="nil"/>
              <w:right w:val="nil"/>
            </w:tcBorders>
            <w:shd w:val="clear" w:color="auto" w:fill="auto"/>
            <w:noWrap/>
            <w:vAlign w:val="bottom"/>
            <w:hideMark/>
          </w:tcPr>
          <w:p w14:paraId="603463D7" w14:textId="77777777" w:rsidR="000F5BAD" w:rsidRPr="00720EF1" w:rsidRDefault="000F5BAD" w:rsidP="006A25C9">
            <w:pPr>
              <w:widowControl/>
              <w:jc w:val="right"/>
              <w:rPr>
                <w:kern w:val="0"/>
                <w:sz w:val="20"/>
              </w:rPr>
            </w:pPr>
            <w:r w:rsidRPr="00720EF1">
              <w:rPr>
                <w:kern w:val="0"/>
                <w:sz w:val="20"/>
              </w:rPr>
              <w:t>79.61</w:t>
            </w:r>
          </w:p>
        </w:tc>
        <w:tc>
          <w:tcPr>
            <w:tcW w:w="962" w:type="dxa"/>
            <w:tcBorders>
              <w:top w:val="nil"/>
              <w:left w:val="nil"/>
              <w:bottom w:val="nil"/>
              <w:right w:val="nil"/>
            </w:tcBorders>
            <w:shd w:val="clear" w:color="auto" w:fill="auto"/>
            <w:noWrap/>
            <w:vAlign w:val="bottom"/>
            <w:hideMark/>
          </w:tcPr>
          <w:p w14:paraId="54E724AB" w14:textId="77777777" w:rsidR="000F5BAD" w:rsidRPr="00720EF1" w:rsidRDefault="000F5BAD" w:rsidP="006A25C9">
            <w:pPr>
              <w:widowControl/>
              <w:jc w:val="right"/>
              <w:rPr>
                <w:kern w:val="0"/>
                <w:sz w:val="20"/>
              </w:rPr>
            </w:pPr>
            <w:r w:rsidRPr="00720EF1">
              <w:rPr>
                <w:kern w:val="0"/>
                <w:sz w:val="20"/>
              </w:rPr>
              <w:t>81.09</w:t>
            </w:r>
          </w:p>
        </w:tc>
        <w:tc>
          <w:tcPr>
            <w:tcW w:w="1197" w:type="dxa"/>
            <w:tcBorders>
              <w:top w:val="nil"/>
              <w:left w:val="nil"/>
              <w:bottom w:val="nil"/>
              <w:right w:val="nil"/>
            </w:tcBorders>
            <w:shd w:val="clear" w:color="auto" w:fill="auto"/>
            <w:noWrap/>
            <w:vAlign w:val="bottom"/>
            <w:hideMark/>
          </w:tcPr>
          <w:p w14:paraId="42768DBC" w14:textId="77777777" w:rsidR="000F5BAD" w:rsidRPr="00720EF1" w:rsidRDefault="000F5BAD" w:rsidP="006A25C9">
            <w:pPr>
              <w:widowControl/>
              <w:jc w:val="right"/>
              <w:rPr>
                <w:kern w:val="0"/>
                <w:sz w:val="20"/>
              </w:rPr>
            </w:pPr>
            <w:r w:rsidRPr="00720EF1">
              <w:rPr>
                <w:kern w:val="0"/>
                <w:sz w:val="20"/>
              </w:rPr>
              <w:t xml:space="preserve">      13.21 </w:t>
            </w:r>
          </w:p>
        </w:tc>
      </w:tr>
      <w:tr w:rsidR="000F5BAD" w:rsidRPr="00720EF1" w14:paraId="3B309346" w14:textId="77777777" w:rsidTr="006A25C9">
        <w:trPr>
          <w:trHeight w:val="258"/>
        </w:trPr>
        <w:tc>
          <w:tcPr>
            <w:tcW w:w="2810" w:type="dxa"/>
            <w:tcBorders>
              <w:top w:val="nil"/>
              <w:left w:val="nil"/>
              <w:bottom w:val="nil"/>
              <w:right w:val="nil"/>
            </w:tcBorders>
            <w:shd w:val="clear" w:color="auto" w:fill="auto"/>
            <w:noWrap/>
            <w:vAlign w:val="bottom"/>
            <w:hideMark/>
          </w:tcPr>
          <w:p w14:paraId="796F6359" w14:textId="77777777" w:rsidR="000F5BAD" w:rsidRPr="00720EF1" w:rsidRDefault="000F5BAD" w:rsidP="006A25C9">
            <w:pPr>
              <w:widowControl/>
              <w:jc w:val="left"/>
              <w:rPr>
                <w:kern w:val="0"/>
                <w:sz w:val="20"/>
              </w:rPr>
            </w:pPr>
            <w:r w:rsidRPr="00720EF1">
              <w:rPr>
                <w:kern w:val="0"/>
                <w:sz w:val="20"/>
              </w:rPr>
              <w:t>上投摩根慧选成长</w:t>
            </w:r>
            <w:r w:rsidRPr="00720EF1">
              <w:rPr>
                <w:kern w:val="0"/>
                <w:sz w:val="20"/>
              </w:rPr>
              <w:t>C</w:t>
            </w:r>
          </w:p>
        </w:tc>
        <w:tc>
          <w:tcPr>
            <w:tcW w:w="766" w:type="dxa"/>
            <w:tcBorders>
              <w:top w:val="nil"/>
              <w:left w:val="nil"/>
              <w:bottom w:val="nil"/>
              <w:right w:val="nil"/>
            </w:tcBorders>
            <w:shd w:val="clear" w:color="auto" w:fill="auto"/>
            <w:noWrap/>
            <w:vAlign w:val="bottom"/>
            <w:hideMark/>
          </w:tcPr>
          <w:p w14:paraId="414340CC"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4C19A880"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0F6220E7" w14:textId="77777777" w:rsidR="000F5BAD" w:rsidRPr="00720EF1" w:rsidRDefault="000F5BAD" w:rsidP="006A25C9">
            <w:pPr>
              <w:widowControl/>
              <w:jc w:val="right"/>
              <w:rPr>
                <w:kern w:val="0"/>
                <w:sz w:val="20"/>
              </w:rPr>
            </w:pPr>
            <w:r w:rsidRPr="00720EF1">
              <w:rPr>
                <w:kern w:val="0"/>
                <w:sz w:val="20"/>
              </w:rPr>
              <w:t>61.18</w:t>
            </w:r>
          </w:p>
        </w:tc>
        <w:tc>
          <w:tcPr>
            <w:tcW w:w="962" w:type="dxa"/>
            <w:tcBorders>
              <w:top w:val="nil"/>
              <w:left w:val="nil"/>
              <w:bottom w:val="nil"/>
              <w:right w:val="nil"/>
            </w:tcBorders>
            <w:shd w:val="clear" w:color="auto" w:fill="auto"/>
            <w:noWrap/>
            <w:vAlign w:val="bottom"/>
            <w:hideMark/>
          </w:tcPr>
          <w:p w14:paraId="4294EEB2" w14:textId="77777777" w:rsidR="000F5BAD" w:rsidRPr="00720EF1" w:rsidRDefault="000F5BAD" w:rsidP="006A25C9">
            <w:pPr>
              <w:widowControl/>
              <w:jc w:val="right"/>
              <w:rPr>
                <w:kern w:val="0"/>
                <w:sz w:val="20"/>
              </w:rPr>
            </w:pPr>
            <w:r w:rsidRPr="00720EF1">
              <w:rPr>
                <w:kern w:val="0"/>
                <w:sz w:val="20"/>
              </w:rPr>
              <w:t>78.28</w:t>
            </w:r>
          </w:p>
        </w:tc>
        <w:tc>
          <w:tcPr>
            <w:tcW w:w="962" w:type="dxa"/>
            <w:tcBorders>
              <w:top w:val="nil"/>
              <w:left w:val="nil"/>
              <w:bottom w:val="nil"/>
              <w:right w:val="nil"/>
            </w:tcBorders>
            <w:shd w:val="clear" w:color="auto" w:fill="auto"/>
            <w:noWrap/>
            <w:vAlign w:val="bottom"/>
            <w:hideMark/>
          </w:tcPr>
          <w:p w14:paraId="66960604" w14:textId="77777777" w:rsidR="000F5BAD" w:rsidRPr="00720EF1" w:rsidRDefault="000F5BAD" w:rsidP="006A25C9">
            <w:pPr>
              <w:widowControl/>
              <w:jc w:val="right"/>
              <w:rPr>
                <w:kern w:val="0"/>
                <w:sz w:val="20"/>
              </w:rPr>
            </w:pPr>
            <w:r w:rsidRPr="00720EF1">
              <w:rPr>
                <w:kern w:val="0"/>
                <w:sz w:val="20"/>
              </w:rPr>
              <w:t>82.25</w:t>
            </w:r>
          </w:p>
        </w:tc>
        <w:tc>
          <w:tcPr>
            <w:tcW w:w="1197" w:type="dxa"/>
            <w:tcBorders>
              <w:top w:val="nil"/>
              <w:left w:val="nil"/>
              <w:bottom w:val="nil"/>
              <w:right w:val="nil"/>
            </w:tcBorders>
            <w:shd w:val="clear" w:color="auto" w:fill="auto"/>
            <w:noWrap/>
            <w:vAlign w:val="bottom"/>
            <w:hideMark/>
          </w:tcPr>
          <w:p w14:paraId="2471C21D" w14:textId="77777777" w:rsidR="000F5BAD" w:rsidRPr="00720EF1" w:rsidRDefault="000F5BAD" w:rsidP="006A25C9">
            <w:pPr>
              <w:widowControl/>
              <w:jc w:val="right"/>
              <w:rPr>
                <w:kern w:val="0"/>
                <w:sz w:val="20"/>
              </w:rPr>
            </w:pPr>
            <w:r w:rsidRPr="00720EF1">
              <w:rPr>
                <w:kern w:val="0"/>
                <w:sz w:val="20"/>
              </w:rPr>
              <w:t xml:space="preserve">      10.59 </w:t>
            </w:r>
          </w:p>
        </w:tc>
      </w:tr>
      <w:tr w:rsidR="000F5BAD" w:rsidRPr="00720EF1" w14:paraId="6B884E0B" w14:textId="77777777" w:rsidTr="006A25C9">
        <w:trPr>
          <w:trHeight w:val="258"/>
        </w:trPr>
        <w:tc>
          <w:tcPr>
            <w:tcW w:w="2810" w:type="dxa"/>
            <w:tcBorders>
              <w:top w:val="nil"/>
              <w:left w:val="nil"/>
              <w:bottom w:val="nil"/>
              <w:right w:val="nil"/>
            </w:tcBorders>
            <w:shd w:val="clear" w:color="auto" w:fill="auto"/>
            <w:noWrap/>
            <w:vAlign w:val="bottom"/>
            <w:hideMark/>
          </w:tcPr>
          <w:p w14:paraId="518EBBDF" w14:textId="77777777" w:rsidR="000F5BAD" w:rsidRPr="00720EF1" w:rsidRDefault="000F5BAD" w:rsidP="006A25C9">
            <w:pPr>
              <w:widowControl/>
              <w:jc w:val="left"/>
              <w:rPr>
                <w:kern w:val="0"/>
                <w:sz w:val="20"/>
              </w:rPr>
            </w:pPr>
            <w:r w:rsidRPr="00720EF1">
              <w:rPr>
                <w:kern w:val="0"/>
                <w:sz w:val="20"/>
              </w:rPr>
              <w:t>融通产业趋势</w:t>
            </w:r>
          </w:p>
        </w:tc>
        <w:tc>
          <w:tcPr>
            <w:tcW w:w="766" w:type="dxa"/>
            <w:tcBorders>
              <w:top w:val="nil"/>
              <w:left w:val="nil"/>
              <w:bottom w:val="nil"/>
              <w:right w:val="nil"/>
            </w:tcBorders>
            <w:shd w:val="clear" w:color="auto" w:fill="auto"/>
            <w:noWrap/>
            <w:vAlign w:val="bottom"/>
            <w:hideMark/>
          </w:tcPr>
          <w:p w14:paraId="6BCA32E0"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470EA58C" w14:textId="77777777" w:rsidR="000F5BAD" w:rsidRPr="00720EF1" w:rsidRDefault="000F5BAD" w:rsidP="006A25C9">
            <w:pPr>
              <w:widowControl/>
              <w:jc w:val="right"/>
              <w:rPr>
                <w:kern w:val="0"/>
                <w:sz w:val="20"/>
              </w:rPr>
            </w:pPr>
            <w:r w:rsidRPr="00720EF1">
              <w:rPr>
                <w:kern w:val="0"/>
                <w:sz w:val="20"/>
              </w:rPr>
              <w:t xml:space="preserve">7.86 </w:t>
            </w:r>
          </w:p>
        </w:tc>
        <w:tc>
          <w:tcPr>
            <w:tcW w:w="981" w:type="dxa"/>
            <w:tcBorders>
              <w:top w:val="nil"/>
              <w:left w:val="nil"/>
              <w:bottom w:val="nil"/>
              <w:right w:val="nil"/>
            </w:tcBorders>
            <w:shd w:val="clear" w:color="auto" w:fill="auto"/>
            <w:noWrap/>
            <w:vAlign w:val="bottom"/>
            <w:hideMark/>
          </w:tcPr>
          <w:p w14:paraId="17F1D489" w14:textId="77777777" w:rsidR="000F5BAD" w:rsidRPr="00720EF1" w:rsidRDefault="000F5BAD" w:rsidP="006A25C9">
            <w:pPr>
              <w:widowControl/>
              <w:jc w:val="right"/>
              <w:rPr>
                <w:kern w:val="0"/>
                <w:sz w:val="20"/>
              </w:rPr>
            </w:pPr>
            <w:r w:rsidRPr="00720EF1">
              <w:rPr>
                <w:kern w:val="0"/>
                <w:sz w:val="20"/>
              </w:rPr>
              <w:t>63.2</w:t>
            </w:r>
          </w:p>
        </w:tc>
        <w:tc>
          <w:tcPr>
            <w:tcW w:w="962" w:type="dxa"/>
            <w:tcBorders>
              <w:top w:val="nil"/>
              <w:left w:val="nil"/>
              <w:bottom w:val="nil"/>
              <w:right w:val="nil"/>
            </w:tcBorders>
            <w:shd w:val="clear" w:color="auto" w:fill="auto"/>
            <w:noWrap/>
            <w:vAlign w:val="bottom"/>
            <w:hideMark/>
          </w:tcPr>
          <w:p w14:paraId="33735C18" w14:textId="77777777" w:rsidR="000F5BAD" w:rsidRPr="00720EF1" w:rsidRDefault="000F5BAD" w:rsidP="006A25C9">
            <w:pPr>
              <w:widowControl/>
              <w:jc w:val="right"/>
              <w:rPr>
                <w:kern w:val="0"/>
                <w:sz w:val="20"/>
              </w:rPr>
            </w:pPr>
            <w:r w:rsidRPr="00720EF1">
              <w:rPr>
                <w:kern w:val="0"/>
                <w:sz w:val="20"/>
              </w:rPr>
              <w:t>77.1</w:t>
            </w:r>
          </w:p>
        </w:tc>
        <w:tc>
          <w:tcPr>
            <w:tcW w:w="962" w:type="dxa"/>
            <w:tcBorders>
              <w:top w:val="nil"/>
              <w:left w:val="nil"/>
              <w:bottom w:val="nil"/>
              <w:right w:val="nil"/>
            </w:tcBorders>
            <w:shd w:val="clear" w:color="auto" w:fill="auto"/>
            <w:noWrap/>
            <w:vAlign w:val="bottom"/>
            <w:hideMark/>
          </w:tcPr>
          <w:p w14:paraId="6BA0D3C4" w14:textId="77777777" w:rsidR="000F5BAD" w:rsidRPr="00720EF1" w:rsidRDefault="000F5BAD" w:rsidP="006A25C9">
            <w:pPr>
              <w:widowControl/>
              <w:jc w:val="right"/>
              <w:rPr>
                <w:kern w:val="0"/>
                <w:sz w:val="20"/>
              </w:rPr>
            </w:pPr>
            <w:r w:rsidRPr="00720EF1">
              <w:rPr>
                <w:kern w:val="0"/>
                <w:sz w:val="20"/>
              </w:rPr>
              <w:t>83.09</w:t>
            </w:r>
          </w:p>
        </w:tc>
        <w:tc>
          <w:tcPr>
            <w:tcW w:w="1197" w:type="dxa"/>
            <w:tcBorders>
              <w:top w:val="nil"/>
              <w:left w:val="nil"/>
              <w:bottom w:val="nil"/>
              <w:right w:val="nil"/>
            </w:tcBorders>
            <w:shd w:val="clear" w:color="auto" w:fill="auto"/>
            <w:noWrap/>
            <w:vAlign w:val="bottom"/>
            <w:hideMark/>
          </w:tcPr>
          <w:p w14:paraId="13E8F83F" w14:textId="77777777" w:rsidR="000F5BAD" w:rsidRPr="00720EF1" w:rsidRDefault="000F5BAD" w:rsidP="006A25C9">
            <w:pPr>
              <w:widowControl/>
              <w:jc w:val="right"/>
              <w:rPr>
                <w:kern w:val="0"/>
                <w:sz w:val="20"/>
              </w:rPr>
            </w:pPr>
            <w:r w:rsidRPr="00720EF1">
              <w:rPr>
                <w:kern w:val="0"/>
                <w:sz w:val="20"/>
              </w:rPr>
              <w:t xml:space="preserve">        9.63 </w:t>
            </w:r>
          </w:p>
        </w:tc>
      </w:tr>
      <w:tr w:rsidR="000F5BAD" w:rsidRPr="00720EF1" w14:paraId="2CC98B83" w14:textId="77777777" w:rsidTr="006A25C9">
        <w:trPr>
          <w:trHeight w:val="258"/>
        </w:trPr>
        <w:tc>
          <w:tcPr>
            <w:tcW w:w="2810" w:type="dxa"/>
            <w:tcBorders>
              <w:top w:val="nil"/>
              <w:left w:val="nil"/>
              <w:bottom w:val="nil"/>
              <w:right w:val="nil"/>
            </w:tcBorders>
            <w:shd w:val="clear" w:color="auto" w:fill="auto"/>
            <w:noWrap/>
            <w:vAlign w:val="bottom"/>
            <w:hideMark/>
          </w:tcPr>
          <w:p w14:paraId="6726EEEF" w14:textId="77777777" w:rsidR="000F5BAD" w:rsidRPr="00720EF1" w:rsidRDefault="000F5BAD" w:rsidP="006A25C9">
            <w:pPr>
              <w:widowControl/>
              <w:jc w:val="left"/>
              <w:rPr>
                <w:kern w:val="0"/>
                <w:sz w:val="20"/>
              </w:rPr>
            </w:pPr>
            <w:r w:rsidRPr="00720EF1">
              <w:rPr>
                <w:kern w:val="0"/>
                <w:sz w:val="20"/>
              </w:rPr>
              <w:t>融通产业趋势先锋</w:t>
            </w:r>
          </w:p>
        </w:tc>
        <w:tc>
          <w:tcPr>
            <w:tcW w:w="766" w:type="dxa"/>
            <w:tcBorders>
              <w:top w:val="nil"/>
              <w:left w:val="nil"/>
              <w:bottom w:val="nil"/>
              <w:right w:val="nil"/>
            </w:tcBorders>
            <w:shd w:val="clear" w:color="auto" w:fill="auto"/>
            <w:noWrap/>
            <w:vAlign w:val="bottom"/>
            <w:hideMark/>
          </w:tcPr>
          <w:p w14:paraId="5BA9393D"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605C104"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25CA607D" w14:textId="77777777" w:rsidR="000F5BAD" w:rsidRPr="00720EF1" w:rsidRDefault="000F5BAD" w:rsidP="006A25C9">
            <w:pPr>
              <w:widowControl/>
              <w:jc w:val="right"/>
              <w:rPr>
                <w:kern w:val="0"/>
                <w:sz w:val="20"/>
              </w:rPr>
            </w:pPr>
            <w:r w:rsidRPr="00720EF1">
              <w:rPr>
                <w:kern w:val="0"/>
                <w:sz w:val="20"/>
              </w:rPr>
              <w:t>63.34</w:t>
            </w:r>
          </w:p>
        </w:tc>
        <w:tc>
          <w:tcPr>
            <w:tcW w:w="962" w:type="dxa"/>
            <w:tcBorders>
              <w:top w:val="nil"/>
              <w:left w:val="nil"/>
              <w:bottom w:val="nil"/>
              <w:right w:val="nil"/>
            </w:tcBorders>
            <w:shd w:val="clear" w:color="auto" w:fill="auto"/>
            <w:noWrap/>
            <w:vAlign w:val="bottom"/>
            <w:hideMark/>
          </w:tcPr>
          <w:p w14:paraId="5FE4716D" w14:textId="77777777" w:rsidR="000F5BAD" w:rsidRPr="00720EF1" w:rsidRDefault="000F5BAD" w:rsidP="006A25C9">
            <w:pPr>
              <w:widowControl/>
              <w:jc w:val="right"/>
              <w:rPr>
                <w:kern w:val="0"/>
                <w:sz w:val="20"/>
              </w:rPr>
            </w:pPr>
            <w:r w:rsidRPr="00720EF1">
              <w:rPr>
                <w:kern w:val="0"/>
                <w:sz w:val="20"/>
              </w:rPr>
              <w:t>77.2</w:t>
            </w:r>
          </w:p>
        </w:tc>
        <w:tc>
          <w:tcPr>
            <w:tcW w:w="962" w:type="dxa"/>
            <w:tcBorders>
              <w:top w:val="nil"/>
              <w:left w:val="nil"/>
              <w:bottom w:val="nil"/>
              <w:right w:val="nil"/>
            </w:tcBorders>
            <w:shd w:val="clear" w:color="auto" w:fill="auto"/>
            <w:noWrap/>
            <w:vAlign w:val="bottom"/>
            <w:hideMark/>
          </w:tcPr>
          <w:p w14:paraId="59E05084" w14:textId="77777777" w:rsidR="000F5BAD" w:rsidRPr="00720EF1" w:rsidRDefault="000F5BAD" w:rsidP="006A25C9">
            <w:pPr>
              <w:widowControl/>
              <w:jc w:val="right"/>
              <w:rPr>
                <w:kern w:val="0"/>
                <w:sz w:val="20"/>
              </w:rPr>
            </w:pPr>
            <w:r w:rsidRPr="00720EF1">
              <w:rPr>
                <w:kern w:val="0"/>
                <w:sz w:val="20"/>
              </w:rPr>
              <w:t>82.57</w:t>
            </w:r>
          </w:p>
        </w:tc>
        <w:tc>
          <w:tcPr>
            <w:tcW w:w="1197" w:type="dxa"/>
            <w:tcBorders>
              <w:top w:val="nil"/>
              <w:left w:val="nil"/>
              <w:bottom w:val="nil"/>
              <w:right w:val="nil"/>
            </w:tcBorders>
            <w:shd w:val="clear" w:color="auto" w:fill="auto"/>
            <w:noWrap/>
            <w:vAlign w:val="bottom"/>
            <w:hideMark/>
          </w:tcPr>
          <w:p w14:paraId="0D7DC3B4" w14:textId="77777777" w:rsidR="000F5BAD" w:rsidRPr="00720EF1" w:rsidRDefault="000F5BAD" w:rsidP="006A25C9">
            <w:pPr>
              <w:widowControl/>
              <w:jc w:val="right"/>
              <w:rPr>
                <w:kern w:val="0"/>
                <w:sz w:val="20"/>
              </w:rPr>
            </w:pPr>
            <w:r w:rsidRPr="00720EF1">
              <w:rPr>
                <w:kern w:val="0"/>
                <w:sz w:val="20"/>
              </w:rPr>
              <w:t xml:space="preserve">      20.48 </w:t>
            </w:r>
          </w:p>
        </w:tc>
      </w:tr>
      <w:tr w:rsidR="000F5BAD" w:rsidRPr="00720EF1" w14:paraId="1C7D4129" w14:textId="77777777" w:rsidTr="006A25C9">
        <w:trPr>
          <w:trHeight w:val="258"/>
        </w:trPr>
        <w:tc>
          <w:tcPr>
            <w:tcW w:w="2810" w:type="dxa"/>
            <w:tcBorders>
              <w:top w:val="nil"/>
              <w:left w:val="nil"/>
              <w:bottom w:val="nil"/>
              <w:right w:val="nil"/>
            </w:tcBorders>
            <w:shd w:val="clear" w:color="auto" w:fill="auto"/>
            <w:noWrap/>
            <w:vAlign w:val="bottom"/>
            <w:hideMark/>
          </w:tcPr>
          <w:p w14:paraId="4AF9E021" w14:textId="77777777" w:rsidR="000F5BAD" w:rsidRPr="00720EF1" w:rsidRDefault="000F5BAD" w:rsidP="006A25C9">
            <w:pPr>
              <w:widowControl/>
              <w:jc w:val="left"/>
              <w:rPr>
                <w:kern w:val="0"/>
                <w:sz w:val="20"/>
              </w:rPr>
            </w:pPr>
            <w:r w:rsidRPr="00720EF1">
              <w:rPr>
                <w:kern w:val="0"/>
                <w:sz w:val="20"/>
              </w:rPr>
              <w:t>兴银研究精选</w:t>
            </w:r>
            <w:r w:rsidRPr="00720EF1">
              <w:rPr>
                <w:kern w:val="0"/>
                <w:sz w:val="20"/>
              </w:rPr>
              <w:t>C</w:t>
            </w:r>
          </w:p>
        </w:tc>
        <w:tc>
          <w:tcPr>
            <w:tcW w:w="766" w:type="dxa"/>
            <w:tcBorders>
              <w:top w:val="nil"/>
              <w:left w:val="nil"/>
              <w:bottom w:val="nil"/>
              <w:right w:val="nil"/>
            </w:tcBorders>
            <w:shd w:val="clear" w:color="auto" w:fill="auto"/>
            <w:noWrap/>
            <w:vAlign w:val="bottom"/>
            <w:hideMark/>
          </w:tcPr>
          <w:p w14:paraId="6F182D06"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D84339F"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23BD18BB" w14:textId="77777777" w:rsidR="000F5BAD" w:rsidRPr="00720EF1" w:rsidRDefault="000F5BAD" w:rsidP="006A25C9">
            <w:pPr>
              <w:widowControl/>
              <w:jc w:val="right"/>
              <w:rPr>
                <w:kern w:val="0"/>
                <w:sz w:val="20"/>
              </w:rPr>
            </w:pPr>
            <w:r w:rsidRPr="00720EF1">
              <w:rPr>
                <w:kern w:val="0"/>
                <w:sz w:val="20"/>
              </w:rPr>
              <w:t>63.05</w:t>
            </w:r>
          </w:p>
        </w:tc>
        <w:tc>
          <w:tcPr>
            <w:tcW w:w="962" w:type="dxa"/>
            <w:tcBorders>
              <w:top w:val="nil"/>
              <w:left w:val="nil"/>
              <w:bottom w:val="nil"/>
              <w:right w:val="nil"/>
            </w:tcBorders>
            <w:shd w:val="clear" w:color="auto" w:fill="auto"/>
            <w:noWrap/>
            <w:vAlign w:val="bottom"/>
            <w:hideMark/>
          </w:tcPr>
          <w:p w14:paraId="286A79BA" w14:textId="77777777" w:rsidR="000F5BAD" w:rsidRPr="00720EF1" w:rsidRDefault="000F5BAD" w:rsidP="006A25C9">
            <w:pPr>
              <w:widowControl/>
              <w:jc w:val="right"/>
              <w:rPr>
                <w:kern w:val="0"/>
                <w:sz w:val="20"/>
              </w:rPr>
            </w:pPr>
            <w:r w:rsidRPr="00720EF1">
              <w:rPr>
                <w:kern w:val="0"/>
                <w:sz w:val="20"/>
              </w:rPr>
              <w:t>77.3</w:t>
            </w:r>
          </w:p>
        </w:tc>
        <w:tc>
          <w:tcPr>
            <w:tcW w:w="962" w:type="dxa"/>
            <w:tcBorders>
              <w:top w:val="nil"/>
              <w:left w:val="nil"/>
              <w:bottom w:val="nil"/>
              <w:right w:val="nil"/>
            </w:tcBorders>
            <w:shd w:val="clear" w:color="auto" w:fill="auto"/>
            <w:noWrap/>
            <w:vAlign w:val="bottom"/>
            <w:hideMark/>
          </w:tcPr>
          <w:p w14:paraId="17CCAC77" w14:textId="77777777" w:rsidR="000F5BAD" w:rsidRPr="00720EF1" w:rsidRDefault="000F5BAD" w:rsidP="006A25C9">
            <w:pPr>
              <w:widowControl/>
              <w:jc w:val="right"/>
              <w:rPr>
                <w:kern w:val="0"/>
                <w:sz w:val="20"/>
              </w:rPr>
            </w:pPr>
            <w:r w:rsidRPr="00720EF1">
              <w:rPr>
                <w:kern w:val="0"/>
                <w:sz w:val="20"/>
              </w:rPr>
              <w:t>80.22</w:t>
            </w:r>
          </w:p>
        </w:tc>
        <w:tc>
          <w:tcPr>
            <w:tcW w:w="1197" w:type="dxa"/>
            <w:tcBorders>
              <w:top w:val="nil"/>
              <w:left w:val="nil"/>
              <w:bottom w:val="nil"/>
              <w:right w:val="nil"/>
            </w:tcBorders>
            <w:shd w:val="clear" w:color="auto" w:fill="auto"/>
            <w:noWrap/>
            <w:vAlign w:val="bottom"/>
            <w:hideMark/>
          </w:tcPr>
          <w:p w14:paraId="2201072E" w14:textId="77777777" w:rsidR="000F5BAD" w:rsidRPr="00720EF1" w:rsidRDefault="000F5BAD" w:rsidP="006A25C9">
            <w:pPr>
              <w:widowControl/>
              <w:jc w:val="right"/>
              <w:rPr>
                <w:kern w:val="0"/>
                <w:sz w:val="20"/>
              </w:rPr>
            </w:pPr>
            <w:r w:rsidRPr="00720EF1">
              <w:rPr>
                <w:kern w:val="0"/>
                <w:sz w:val="20"/>
              </w:rPr>
              <w:t xml:space="preserve">      13.61 </w:t>
            </w:r>
          </w:p>
        </w:tc>
      </w:tr>
      <w:tr w:rsidR="000F5BAD" w:rsidRPr="00720EF1" w14:paraId="0B4574BF" w14:textId="77777777" w:rsidTr="006A25C9">
        <w:trPr>
          <w:trHeight w:val="258"/>
        </w:trPr>
        <w:tc>
          <w:tcPr>
            <w:tcW w:w="2810" w:type="dxa"/>
            <w:tcBorders>
              <w:top w:val="nil"/>
              <w:left w:val="nil"/>
              <w:bottom w:val="nil"/>
              <w:right w:val="nil"/>
            </w:tcBorders>
            <w:shd w:val="clear" w:color="auto" w:fill="auto"/>
            <w:noWrap/>
            <w:vAlign w:val="bottom"/>
            <w:hideMark/>
          </w:tcPr>
          <w:p w14:paraId="0C398662" w14:textId="77777777" w:rsidR="000F5BAD" w:rsidRPr="00720EF1" w:rsidRDefault="000F5BAD" w:rsidP="006A25C9">
            <w:pPr>
              <w:widowControl/>
              <w:jc w:val="left"/>
              <w:rPr>
                <w:kern w:val="0"/>
                <w:sz w:val="20"/>
              </w:rPr>
            </w:pPr>
            <w:r w:rsidRPr="00720EF1">
              <w:rPr>
                <w:kern w:val="0"/>
                <w:sz w:val="20"/>
              </w:rPr>
              <w:t>银河龙头</w:t>
            </w:r>
          </w:p>
        </w:tc>
        <w:tc>
          <w:tcPr>
            <w:tcW w:w="766" w:type="dxa"/>
            <w:tcBorders>
              <w:top w:val="nil"/>
              <w:left w:val="nil"/>
              <w:bottom w:val="nil"/>
              <w:right w:val="nil"/>
            </w:tcBorders>
            <w:shd w:val="clear" w:color="auto" w:fill="auto"/>
            <w:noWrap/>
            <w:vAlign w:val="bottom"/>
            <w:hideMark/>
          </w:tcPr>
          <w:p w14:paraId="15E511D4"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FE9BCA6" w14:textId="77777777" w:rsidR="000F5BAD" w:rsidRPr="00720EF1" w:rsidRDefault="000F5BAD" w:rsidP="006A25C9">
            <w:pPr>
              <w:widowControl/>
              <w:jc w:val="right"/>
              <w:rPr>
                <w:kern w:val="0"/>
                <w:sz w:val="20"/>
              </w:rPr>
            </w:pPr>
            <w:r w:rsidRPr="00720EF1">
              <w:rPr>
                <w:kern w:val="0"/>
                <w:sz w:val="20"/>
              </w:rPr>
              <w:t xml:space="preserve">5.75 </w:t>
            </w:r>
          </w:p>
        </w:tc>
        <w:tc>
          <w:tcPr>
            <w:tcW w:w="981" w:type="dxa"/>
            <w:tcBorders>
              <w:top w:val="nil"/>
              <w:left w:val="nil"/>
              <w:bottom w:val="nil"/>
              <w:right w:val="nil"/>
            </w:tcBorders>
            <w:shd w:val="clear" w:color="auto" w:fill="auto"/>
            <w:noWrap/>
            <w:vAlign w:val="bottom"/>
            <w:hideMark/>
          </w:tcPr>
          <w:p w14:paraId="14F6DC7D" w14:textId="77777777" w:rsidR="000F5BAD" w:rsidRPr="00720EF1" w:rsidRDefault="000F5BAD" w:rsidP="006A25C9">
            <w:pPr>
              <w:widowControl/>
              <w:jc w:val="right"/>
              <w:rPr>
                <w:kern w:val="0"/>
                <w:sz w:val="20"/>
              </w:rPr>
            </w:pPr>
            <w:r w:rsidRPr="00720EF1">
              <w:rPr>
                <w:kern w:val="0"/>
                <w:sz w:val="20"/>
              </w:rPr>
              <w:t>64.34</w:t>
            </w:r>
          </w:p>
        </w:tc>
        <w:tc>
          <w:tcPr>
            <w:tcW w:w="962" w:type="dxa"/>
            <w:tcBorders>
              <w:top w:val="nil"/>
              <w:left w:val="nil"/>
              <w:bottom w:val="nil"/>
              <w:right w:val="nil"/>
            </w:tcBorders>
            <w:shd w:val="clear" w:color="auto" w:fill="auto"/>
            <w:noWrap/>
            <w:vAlign w:val="bottom"/>
            <w:hideMark/>
          </w:tcPr>
          <w:p w14:paraId="5D755304" w14:textId="77777777" w:rsidR="000F5BAD" w:rsidRPr="00720EF1" w:rsidRDefault="000F5BAD" w:rsidP="006A25C9">
            <w:pPr>
              <w:widowControl/>
              <w:jc w:val="right"/>
              <w:rPr>
                <w:kern w:val="0"/>
                <w:sz w:val="20"/>
              </w:rPr>
            </w:pPr>
            <w:r w:rsidRPr="00720EF1">
              <w:rPr>
                <w:kern w:val="0"/>
                <w:sz w:val="20"/>
              </w:rPr>
              <w:t>80.31</w:t>
            </w:r>
          </w:p>
        </w:tc>
        <w:tc>
          <w:tcPr>
            <w:tcW w:w="962" w:type="dxa"/>
            <w:tcBorders>
              <w:top w:val="nil"/>
              <w:left w:val="nil"/>
              <w:bottom w:val="nil"/>
              <w:right w:val="nil"/>
            </w:tcBorders>
            <w:shd w:val="clear" w:color="auto" w:fill="auto"/>
            <w:noWrap/>
            <w:vAlign w:val="bottom"/>
            <w:hideMark/>
          </w:tcPr>
          <w:p w14:paraId="78FEB5B6" w14:textId="77777777" w:rsidR="000F5BAD" w:rsidRPr="00720EF1" w:rsidRDefault="000F5BAD" w:rsidP="006A25C9">
            <w:pPr>
              <w:widowControl/>
              <w:jc w:val="right"/>
              <w:rPr>
                <w:kern w:val="0"/>
                <w:sz w:val="20"/>
              </w:rPr>
            </w:pPr>
            <w:r w:rsidRPr="00720EF1">
              <w:rPr>
                <w:kern w:val="0"/>
                <w:sz w:val="20"/>
              </w:rPr>
              <w:t>80.5</w:t>
            </w:r>
          </w:p>
        </w:tc>
        <w:tc>
          <w:tcPr>
            <w:tcW w:w="1197" w:type="dxa"/>
            <w:tcBorders>
              <w:top w:val="nil"/>
              <w:left w:val="nil"/>
              <w:bottom w:val="nil"/>
              <w:right w:val="nil"/>
            </w:tcBorders>
            <w:shd w:val="clear" w:color="auto" w:fill="auto"/>
            <w:noWrap/>
            <w:vAlign w:val="bottom"/>
            <w:hideMark/>
          </w:tcPr>
          <w:p w14:paraId="5E8E1195" w14:textId="77777777" w:rsidR="000F5BAD" w:rsidRPr="00720EF1" w:rsidRDefault="000F5BAD" w:rsidP="006A25C9">
            <w:pPr>
              <w:widowControl/>
              <w:jc w:val="right"/>
              <w:rPr>
                <w:kern w:val="0"/>
                <w:sz w:val="20"/>
              </w:rPr>
            </w:pPr>
            <w:r w:rsidRPr="00720EF1">
              <w:rPr>
                <w:kern w:val="0"/>
                <w:sz w:val="20"/>
              </w:rPr>
              <w:t xml:space="preserve">       -3.36 </w:t>
            </w:r>
          </w:p>
        </w:tc>
      </w:tr>
      <w:tr w:rsidR="000F5BAD" w:rsidRPr="00720EF1" w14:paraId="61594B20" w14:textId="77777777" w:rsidTr="006A25C9">
        <w:trPr>
          <w:trHeight w:val="258"/>
        </w:trPr>
        <w:tc>
          <w:tcPr>
            <w:tcW w:w="2810" w:type="dxa"/>
            <w:tcBorders>
              <w:top w:val="nil"/>
              <w:left w:val="nil"/>
              <w:bottom w:val="nil"/>
              <w:right w:val="nil"/>
            </w:tcBorders>
            <w:shd w:val="clear" w:color="auto" w:fill="auto"/>
            <w:noWrap/>
            <w:vAlign w:val="bottom"/>
            <w:hideMark/>
          </w:tcPr>
          <w:p w14:paraId="029C8148" w14:textId="77777777" w:rsidR="000F5BAD" w:rsidRPr="00720EF1" w:rsidRDefault="000F5BAD" w:rsidP="006A25C9">
            <w:pPr>
              <w:widowControl/>
              <w:jc w:val="left"/>
              <w:rPr>
                <w:kern w:val="0"/>
                <w:sz w:val="20"/>
              </w:rPr>
            </w:pPr>
            <w:r w:rsidRPr="00720EF1">
              <w:rPr>
                <w:kern w:val="0"/>
                <w:sz w:val="20"/>
              </w:rPr>
              <w:t>南方高股息主题</w:t>
            </w:r>
            <w:r w:rsidRPr="00720EF1">
              <w:rPr>
                <w:kern w:val="0"/>
                <w:sz w:val="20"/>
              </w:rPr>
              <w:t>A</w:t>
            </w:r>
          </w:p>
        </w:tc>
        <w:tc>
          <w:tcPr>
            <w:tcW w:w="766" w:type="dxa"/>
            <w:tcBorders>
              <w:top w:val="nil"/>
              <w:left w:val="nil"/>
              <w:bottom w:val="nil"/>
              <w:right w:val="nil"/>
            </w:tcBorders>
            <w:shd w:val="clear" w:color="auto" w:fill="auto"/>
            <w:noWrap/>
            <w:vAlign w:val="bottom"/>
            <w:hideMark/>
          </w:tcPr>
          <w:p w14:paraId="49185BFB"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468D8833"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3EAED91B" w14:textId="77777777" w:rsidR="000F5BAD" w:rsidRPr="00720EF1" w:rsidRDefault="000F5BAD" w:rsidP="006A25C9">
            <w:pPr>
              <w:widowControl/>
              <w:jc w:val="right"/>
              <w:rPr>
                <w:kern w:val="0"/>
                <w:sz w:val="20"/>
              </w:rPr>
            </w:pPr>
            <w:r w:rsidRPr="00720EF1">
              <w:rPr>
                <w:kern w:val="0"/>
                <w:sz w:val="20"/>
              </w:rPr>
              <w:t>64.29</w:t>
            </w:r>
          </w:p>
        </w:tc>
        <w:tc>
          <w:tcPr>
            <w:tcW w:w="962" w:type="dxa"/>
            <w:tcBorders>
              <w:top w:val="nil"/>
              <w:left w:val="nil"/>
              <w:bottom w:val="nil"/>
              <w:right w:val="nil"/>
            </w:tcBorders>
            <w:shd w:val="clear" w:color="auto" w:fill="auto"/>
            <w:noWrap/>
            <w:vAlign w:val="bottom"/>
            <w:hideMark/>
          </w:tcPr>
          <w:p w14:paraId="54CBACB6" w14:textId="77777777" w:rsidR="000F5BAD" w:rsidRPr="00720EF1" w:rsidRDefault="000F5BAD" w:rsidP="006A25C9">
            <w:pPr>
              <w:widowControl/>
              <w:jc w:val="right"/>
              <w:rPr>
                <w:kern w:val="0"/>
                <w:sz w:val="20"/>
              </w:rPr>
            </w:pPr>
            <w:r w:rsidRPr="00720EF1">
              <w:rPr>
                <w:kern w:val="0"/>
                <w:sz w:val="20"/>
              </w:rPr>
              <w:t>75.78</w:t>
            </w:r>
          </w:p>
        </w:tc>
        <w:tc>
          <w:tcPr>
            <w:tcW w:w="962" w:type="dxa"/>
            <w:tcBorders>
              <w:top w:val="nil"/>
              <w:left w:val="nil"/>
              <w:bottom w:val="nil"/>
              <w:right w:val="nil"/>
            </w:tcBorders>
            <w:shd w:val="clear" w:color="auto" w:fill="auto"/>
            <w:noWrap/>
            <w:vAlign w:val="bottom"/>
            <w:hideMark/>
          </w:tcPr>
          <w:p w14:paraId="24AD9C08" w14:textId="77777777" w:rsidR="000F5BAD" w:rsidRPr="00720EF1" w:rsidRDefault="000F5BAD" w:rsidP="006A25C9">
            <w:pPr>
              <w:widowControl/>
              <w:jc w:val="right"/>
              <w:rPr>
                <w:kern w:val="0"/>
                <w:sz w:val="20"/>
              </w:rPr>
            </w:pPr>
            <w:r w:rsidRPr="00720EF1">
              <w:rPr>
                <w:kern w:val="0"/>
                <w:sz w:val="20"/>
              </w:rPr>
              <w:t>83.04</w:t>
            </w:r>
          </w:p>
        </w:tc>
        <w:tc>
          <w:tcPr>
            <w:tcW w:w="1197" w:type="dxa"/>
            <w:tcBorders>
              <w:top w:val="nil"/>
              <w:left w:val="nil"/>
              <w:bottom w:val="nil"/>
              <w:right w:val="nil"/>
            </w:tcBorders>
            <w:shd w:val="clear" w:color="auto" w:fill="auto"/>
            <w:noWrap/>
            <w:vAlign w:val="bottom"/>
            <w:hideMark/>
          </w:tcPr>
          <w:p w14:paraId="3347B78C" w14:textId="77777777" w:rsidR="000F5BAD" w:rsidRPr="00720EF1" w:rsidRDefault="000F5BAD" w:rsidP="006A25C9">
            <w:pPr>
              <w:widowControl/>
              <w:jc w:val="right"/>
              <w:rPr>
                <w:kern w:val="0"/>
                <w:sz w:val="20"/>
              </w:rPr>
            </w:pPr>
            <w:r w:rsidRPr="00720EF1">
              <w:rPr>
                <w:kern w:val="0"/>
                <w:sz w:val="20"/>
              </w:rPr>
              <w:t xml:space="preserve">      10.38 </w:t>
            </w:r>
          </w:p>
        </w:tc>
      </w:tr>
      <w:tr w:rsidR="000F5BAD" w:rsidRPr="00720EF1" w14:paraId="168D2A69" w14:textId="77777777" w:rsidTr="006A25C9">
        <w:trPr>
          <w:trHeight w:val="258"/>
        </w:trPr>
        <w:tc>
          <w:tcPr>
            <w:tcW w:w="2810" w:type="dxa"/>
            <w:tcBorders>
              <w:top w:val="nil"/>
              <w:left w:val="nil"/>
              <w:bottom w:val="nil"/>
              <w:right w:val="nil"/>
            </w:tcBorders>
            <w:shd w:val="clear" w:color="auto" w:fill="auto"/>
            <w:noWrap/>
            <w:vAlign w:val="bottom"/>
            <w:hideMark/>
          </w:tcPr>
          <w:p w14:paraId="39A3FF97" w14:textId="77777777" w:rsidR="000F5BAD" w:rsidRPr="00720EF1" w:rsidRDefault="000F5BAD" w:rsidP="006A25C9">
            <w:pPr>
              <w:widowControl/>
              <w:jc w:val="left"/>
              <w:rPr>
                <w:kern w:val="0"/>
                <w:sz w:val="20"/>
              </w:rPr>
            </w:pPr>
            <w:r w:rsidRPr="00720EF1">
              <w:rPr>
                <w:kern w:val="0"/>
                <w:sz w:val="20"/>
              </w:rPr>
              <w:t>民生加银龙头优选</w:t>
            </w:r>
          </w:p>
        </w:tc>
        <w:tc>
          <w:tcPr>
            <w:tcW w:w="766" w:type="dxa"/>
            <w:tcBorders>
              <w:top w:val="nil"/>
              <w:left w:val="nil"/>
              <w:bottom w:val="nil"/>
              <w:right w:val="nil"/>
            </w:tcBorders>
            <w:shd w:val="clear" w:color="auto" w:fill="auto"/>
            <w:noWrap/>
            <w:vAlign w:val="bottom"/>
            <w:hideMark/>
          </w:tcPr>
          <w:p w14:paraId="63910C16"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4E8985BA" w14:textId="77777777" w:rsidR="000F5BAD" w:rsidRPr="00720EF1" w:rsidRDefault="000F5BAD" w:rsidP="006A25C9">
            <w:pPr>
              <w:widowControl/>
              <w:jc w:val="right"/>
              <w:rPr>
                <w:kern w:val="0"/>
                <w:sz w:val="20"/>
              </w:rPr>
            </w:pPr>
            <w:r w:rsidRPr="00720EF1">
              <w:rPr>
                <w:kern w:val="0"/>
                <w:sz w:val="20"/>
              </w:rPr>
              <w:t xml:space="preserve">7.65 </w:t>
            </w:r>
          </w:p>
        </w:tc>
        <w:tc>
          <w:tcPr>
            <w:tcW w:w="981" w:type="dxa"/>
            <w:tcBorders>
              <w:top w:val="nil"/>
              <w:left w:val="nil"/>
              <w:bottom w:val="nil"/>
              <w:right w:val="nil"/>
            </w:tcBorders>
            <w:shd w:val="clear" w:color="auto" w:fill="auto"/>
            <w:noWrap/>
            <w:vAlign w:val="bottom"/>
            <w:hideMark/>
          </w:tcPr>
          <w:p w14:paraId="0CDC1354" w14:textId="77777777" w:rsidR="000F5BAD" w:rsidRPr="00720EF1" w:rsidRDefault="000F5BAD" w:rsidP="006A25C9">
            <w:pPr>
              <w:widowControl/>
              <w:jc w:val="right"/>
              <w:rPr>
                <w:kern w:val="0"/>
                <w:sz w:val="20"/>
              </w:rPr>
            </w:pPr>
            <w:r w:rsidRPr="00720EF1">
              <w:rPr>
                <w:kern w:val="0"/>
                <w:sz w:val="20"/>
              </w:rPr>
              <w:t>63.13</w:t>
            </w:r>
          </w:p>
        </w:tc>
        <w:tc>
          <w:tcPr>
            <w:tcW w:w="962" w:type="dxa"/>
            <w:tcBorders>
              <w:top w:val="nil"/>
              <w:left w:val="nil"/>
              <w:bottom w:val="nil"/>
              <w:right w:val="nil"/>
            </w:tcBorders>
            <w:shd w:val="clear" w:color="auto" w:fill="auto"/>
            <w:noWrap/>
            <w:vAlign w:val="bottom"/>
            <w:hideMark/>
          </w:tcPr>
          <w:p w14:paraId="71DE406D" w14:textId="77777777" w:rsidR="000F5BAD" w:rsidRPr="00720EF1" w:rsidRDefault="000F5BAD" w:rsidP="006A25C9">
            <w:pPr>
              <w:widowControl/>
              <w:jc w:val="right"/>
              <w:rPr>
                <w:kern w:val="0"/>
                <w:sz w:val="20"/>
              </w:rPr>
            </w:pPr>
            <w:r w:rsidRPr="00720EF1">
              <w:rPr>
                <w:kern w:val="0"/>
                <w:sz w:val="20"/>
              </w:rPr>
              <w:t>76.25</w:t>
            </w:r>
          </w:p>
        </w:tc>
        <w:tc>
          <w:tcPr>
            <w:tcW w:w="962" w:type="dxa"/>
            <w:tcBorders>
              <w:top w:val="nil"/>
              <w:left w:val="nil"/>
              <w:bottom w:val="nil"/>
              <w:right w:val="nil"/>
            </w:tcBorders>
            <w:shd w:val="clear" w:color="auto" w:fill="auto"/>
            <w:noWrap/>
            <w:vAlign w:val="bottom"/>
            <w:hideMark/>
          </w:tcPr>
          <w:p w14:paraId="765A774D" w14:textId="77777777" w:rsidR="000F5BAD" w:rsidRPr="00720EF1" w:rsidRDefault="000F5BAD" w:rsidP="006A25C9">
            <w:pPr>
              <w:widowControl/>
              <w:jc w:val="right"/>
              <w:rPr>
                <w:kern w:val="0"/>
                <w:sz w:val="20"/>
              </w:rPr>
            </w:pPr>
            <w:r w:rsidRPr="00720EF1">
              <w:rPr>
                <w:kern w:val="0"/>
                <w:sz w:val="20"/>
              </w:rPr>
              <w:t>82.52</w:t>
            </w:r>
          </w:p>
        </w:tc>
        <w:tc>
          <w:tcPr>
            <w:tcW w:w="1197" w:type="dxa"/>
            <w:tcBorders>
              <w:top w:val="nil"/>
              <w:left w:val="nil"/>
              <w:bottom w:val="nil"/>
              <w:right w:val="nil"/>
            </w:tcBorders>
            <w:shd w:val="clear" w:color="auto" w:fill="auto"/>
            <w:noWrap/>
            <w:vAlign w:val="bottom"/>
            <w:hideMark/>
          </w:tcPr>
          <w:p w14:paraId="079FBFC9" w14:textId="77777777" w:rsidR="000F5BAD" w:rsidRPr="00720EF1" w:rsidRDefault="000F5BAD" w:rsidP="006A25C9">
            <w:pPr>
              <w:widowControl/>
              <w:jc w:val="right"/>
              <w:rPr>
                <w:kern w:val="0"/>
                <w:sz w:val="20"/>
              </w:rPr>
            </w:pPr>
            <w:r w:rsidRPr="00720EF1">
              <w:rPr>
                <w:kern w:val="0"/>
                <w:sz w:val="20"/>
              </w:rPr>
              <w:t xml:space="preserve">        9.10 </w:t>
            </w:r>
          </w:p>
        </w:tc>
      </w:tr>
      <w:tr w:rsidR="000F5BAD" w:rsidRPr="00720EF1" w14:paraId="266EB738" w14:textId="77777777" w:rsidTr="006A25C9">
        <w:trPr>
          <w:trHeight w:val="258"/>
        </w:trPr>
        <w:tc>
          <w:tcPr>
            <w:tcW w:w="2810" w:type="dxa"/>
            <w:tcBorders>
              <w:top w:val="nil"/>
              <w:left w:val="nil"/>
              <w:bottom w:val="nil"/>
              <w:right w:val="nil"/>
            </w:tcBorders>
            <w:shd w:val="clear" w:color="auto" w:fill="auto"/>
            <w:noWrap/>
            <w:vAlign w:val="bottom"/>
            <w:hideMark/>
          </w:tcPr>
          <w:p w14:paraId="40A0ADF3" w14:textId="77777777" w:rsidR="000F5BAD" w:rsidRPr="00720EF1" w:rsidRDefault="000F5BAD" w:rsidP="006A25C9">
            <w:pPr>
              <w:widowControl/>
              <w:jc w:val="left"/>
              <w:rPr>
                <w:kern w:val="0"/>
                <w:sz w:val="20"/>
              </w:rPr>
            </w:pPr>
            <w:r w:rsidRPr="00720EF1">
              <w:rPr>
                <w:kern w:val="0"/>
                <w:sz w:val="20"/>
              </w:rPr>
              <w:t>大成睿裕六个月持有</w:t>
            </w:r>
            <w:r w:rsidRPr="00720EF1">
              <w:rPr>
                <w:kern w:val="0"/>
                <w:sz w:val="20"/>
              </w:rPr>
              <w:t>A</w:t>
            </w:r>
          </w:p>
        </w:tc>
        <w:tc>
          <w:tcPr>
            <w:tcW w:w="766" w:type="dxa"/>
            <w:tcBorders>
              <w:top w:val="nil"/>
              <w:left w:val="nil"/>
              <w:bottom w:val="nil"/>
              <w:right w:val="nil"/>
            </w:tcBorders>
            <w:shd w:val="clear" w:color="auto" w:fill="auto"/>
            <w:noWrap/>
            <w:vAlign w:val="bottom"/>
            <w:hideMark/>
          </w:tcPr>
          <w:p w14:paraId="6F3E18C5"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3C492112" w14:textId="77777777" w:rsidR="000F5BAD" w:rsidRPr="00720EF1" w:rsidRDefault="000F5BAD" w:rsidP="006A25C9">
            <w:pPr>
              <w:widowControl/>
              <w:jc w:val="right"/>
              <w:rPr>
                <w:kern w:val="0"/>
                <w:sz w:val="20"/>
              </w:rPr>
            </w:pPr>
            <w:r w:rsidRPr="00720EF1">
              <w:rPr>
                <w:kern w:val="0"/>
                <w:sz w:val="20"/>
              </w:rPr>
              <w:t xml:space="preserve">6.28 </w:t>
            </w:r>
          </w:p>
        </w:tc>
        <w:tc>
          <w:tcPr>
            <w:tcW w:w="981" w:type="dxa"/>
            <w:tcBorders>
              <w:top w:val="nil"/>
              <w:left w:val="nil"/>
              <w:bottom w:val="nil"/>
              <w:right w:val="nil"/>
            </w:tcBorders>
            <w:shd w:val="clear" w:color="auto" w:fill="auto"/>
            <w:noWrap/>
            <w:vAlign w:val="bottom"/>
            <w:hideMark/>
          </w:tcPr>
          <w:p w14:paraId="5C8691C5" w14:textId="77777777" w:rsidR="000F5BAD" w:rsidRPr="00720EF1" w:rsidRDefault="000F5BAD" w:rsidP="006A25C9">
            <w:pPr>
              <w:widowControl/>
              <w:jc w:val="right"/>
              <w:rPr>
                <w:kern w:val="0"/>
                <w:sz w:val="20"/>
              </w:rPr>
            </w:pPr>
            <w:r w:rsidRPr="00720EF1">
              <w:rPr>
                <w:kern w:val="0"/>
                <w:sz w:val="20"/>
              </w:rPr>
              <w:t>63.86</w:t>
            </w:r>
          </w:p>
        </w:tc>
        <w:tc>
          <w:tcPr>
            <w:tcW w:w="962" w:type="dxa"/>
            <w:tcBorders>
              <w:top w:val="nil"/>
              <w:left w:val="nil"/>
              <w:bottom w:val="nil"/>
              <w:right w:val="nil"/>
            </w:tcBorders>
            <w:shd w:val="clear" w:color="auto" w:fill="auto"/>
            <w:noWrap/>
            <w:vAlign w:val="bottom"/>
            <w:hideMark/>
          </w:tcPr>
          <w:p w14:paraId="3193116D" w14:textId="77777777" w:rsidR="000F5BAD" w:rsidRPr="00720EF1" w:rsidRDefault="000F5BAD" w:rsidP="006A25C9">
            <w:pPr>
              <w:widowControl/>
              <w:jc w:val="right"/>
              <w:rPr>
                <w:kern w:val="0"/>
                <w:sz w:val="20"/>
              </w:rPr>
            </w:pPr>
            <w:r w:rsidRPr="00720EF1">
              <w:rPr>
                <w:kern w:val="0"/>
                <w:sz w:val="20"/>
              </w:rPr>
              <w:t>74.03</w:t>
            </w:r>
          </w:p>
        </w:tc>
        <w:tc>
          <w:tcPr>
            <w:tcW w:w="962" w:type="dxa"/>
            <w:tcBorders>
              <w:top w:val="nil"/>
              <w:left w:val="nil"/>
              <w:bottom w:val="nil"/>
              <w:right w:val="nil"/>
            </w:tcBorders>
            <w:shd w:val="clear" w:color="auto" w:fill="auto"/>
            <w:noWrap/>
            <w:vAlign w:val="bottom"/>
            <w:hideMark/>
          </w:tcPr>
          <w:p w14:paraId="72105AC9" w14:textId="77777777" w:rsidR="000F5BAD" w:rsidRPr="00720EF1" w:rsidRDefault="000F5BAD" w:rsidP="006A25C9">
            <w:pPr>
              <w:widowControl/>
              <w:jc w:val="right"/>
              <w:rPr>
                <w:kern w:val="0"/>
                <w:sz w:val="20"/>
              </w:rPr>
            </w:pPr>
            <w:r w:rsidRPr="00720EF1">
              <w:rPr>
                <w:kern w:val="0"/>
                <w:sz w:val="20"/>
              </w:rPr>
              <w:t>83.5</w:t>
            </w:r>
          </w:p>
        </w:tc>
        <w:tc>
          <w:tcPr>
            <w:tcW w:w="1197" w:type="dxa"/>
            <w:tcBorders>
              <w:top w:val="nil"/>
              <w:left w:val="nil"/>
              <w:bottom w:val="nil"/>
              <w:right w:val="nil"/>
            </w:tcBorders>
            <w:shd w:val="clear" w:color="auto" w:fill="auto"/>
            <w:noWrap/>
            <w:vAlign w:val="bottom"/>
            <w:hideMark/>
          </w:tcPr>
          <w:p w14:paraId="7877C934" w14:textId="77777777" w:rsidR="000F5BAD" w:rsidRPr="00720EF1" w:rsidRDefault="000F5BAD" w:rsidP="006A25C9">
            <w:pPr>
              <w:widowControl/>
              <w:jc w:val="right"/>
              <w:rPr>
                <w:kern w:val="0"/>
                <w:sz w:val="20"/>
              </w:rPr>
            </w:pPr>
            <w:r w:rsidRPr="00720EF1">
              <w:rPr>
                <w:kern w:val="0"/>
                <w:sz w:val="20"/>
              </w:rPr>
              <w:t xml:space="preserve">      16.48 </w:t>
            </w:r>
          </w:p>
        </w:tc>
      </w:tr>
      <w:tr w:rsidR="000F5BAD" w:rsidRPr="00720EF1" w14:paraId="475A969F" w14:textId="77777777" w:rsidTr="006A25C9">
        <w:trPr>
          <w:trHeight w:val="258"/>
        </w:trPr>
        <w:tc>
          <w:tcPr>
            <w:tcW w:w="2810" w:type="dxa"/>
            <w:tcBorders>
              <w:top w:val="nil"/>
              <w:left w:val="nil"/>
              <w:bottom w:val="nil"/>
              <w:right w:val="nil"/>
            </w:tcBorders>
            <w:shd w:val="clear" w:color="auto" w:fill="auto"/>
            <w:noWrap/>
            <w:vAlign w:val="bottom"/>
            <w:hideMark/>
          </w:tcPr>
          <w:p w14:paraId="0077A568" w14:textId="77777777" w:rsidR="000F5BAD" w:rsidRPr="00720EF1" w:rsidRDefault="000F5BAD" w:rsidP="006A25C9">
            <w:pPr>
              <w:widowControl/>
              <w:jc w:val="left"/>
              <w:rPr>
                <w:kern w:val="0"/>
                <w:sz w:val="20"/>
              </w:rPr>
            </w:pPr>
            <w:r w:rsidRPr="00720EF1">
              <w:rPr>
                <w:kern w:val="0"/>
                <w:sz w:val="20"/>
              </w:rPr>
              <w:t>嘉实回报精选</w:t>
            </w:r>
          </w:p>
        </w:tc>
        <w:tc>
          <w:tcPr>
            <w:tcW w:w="766" w:type="dxa"/>
            <w:tcBorders>
              <w:top w:val="nil"/>
              <w:left w:val="nil"/>
              <w:bottom w:val="nil"/>
              <w:right w:val="nil"/>
            </w:tcBorders>
            <w:shd w:val="clear" w:color="auto" w:fill="auto"/>
            <w:noWrap/>
            <w:vAlign w:val="bottom"/>
            <w:hideMark/>
          </w:tcPr>
          <w:p w14:paraId="091133E4"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740072A4"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503AE77D" w14:textId="77777777" w:rsidR="000F5BAD" w:rsidRPr="00720EF1" w:rsidRDefault="000F5BAD" w:rsidP="006A25C9">
            <w:pPr>
              <w:widowControl/>
              <w:jc w:val="right"/>
              <w:rPr>
                <w:kern w:val="0"/>
                <w:sz w:val="20"/>
              </w:rPr>
            </w:pPr>
            <w:r w:rsidRPr="00720EF1">
              <w:rPr>
                <w:kern w:val="0"/>
                <w:sz w:val="20"/>
              </w:rPr>
              <w:t>60.87</w:t>
            </w:r>
          </w:p>
        </w:tc>
        <w:tc>
          <w:tcPr>
            <w:tcW w:w="962" w:type="dxa"/>
            <w:tcBorders>
              <w:top w:val="nil"/>
              <w:left w:val="nil"/>
              <w:bottom w:val="nil"/>
              <w:right w:val="nil"/>
            </w:tcBorders>
            <w:shd w:val="clear" w:color="auto" w:fill="auto"/>
            <w:noWrap/>
            <w:vAlign w:val="bottom"/>
            <w:hideMark/>
          </w:tcPr>
          <w:p w14:paraId="7ECF89D6" w14:textId="77777777" w:rsidR="000F5BAD" w:rsidRPr="00720EF1" w:rsidRDefault="000F5BAD" w:rsidP="006A25C9">
            <w:pPr>
              <w:widowControl/>
              <w:jc w:val="right"/>
              <w:rPr>
                <w:kern w:val="0"/>
                <w:sz w:val="20"/>
              </w:rPr>
            </w:pPr>
            <w:r w:rsidRPr="00720EF1">
              <w:rPr>
                <w:kern w:val="0"/>
                <w:sz w:val="20"/>
              </w:rPr>
              <w:t>76.91</w:t>
            </w:r>
          </w:p>
        </w:tc>
        <w:tc>
          <w:tcPr>
            <w:tcW w:w="962" w:type="dxa"/>
            <w:tcBorders>
              <w:top w:val="nil"/>
              <w:left w:val="nil"/>
              <w:bottom w:val="nil"/>
              <w:right w:val="nil"/>
            </w:tcBorders>
            <w:shd w:val="clear" w:color="auto" w:fill="auto"/>
            <w:noWrap/>
            <w:vAlign w:val="bottom"/>
            <w:hideMark/>
          </w:tcPr>
          <w:p w14:paraId="7AE7D85D" w14:textId="77777777" w:rsidR="000F5BAD" w:rsidRPr="00720EF1" w:rsidRDefault="000F5BAD" w:rsidP="006A25C9">
            <w:pPr>
              <w:widowControl/>
              <w:jc w:val="right"/>
              <w:rPr>
                <w:kern w:val="0"/>
                <w:sz w:val="20"/>
              </w:rPr>
            </w:pPr>
            <w:r w:rsidRPr="00720EF1">
              <w:rPr>
                <w:kern w:val="0"/>
                <w:sz w:val="20"/>
              </w:rPr>
              <w:t>82.41</w:t>
            </w:r>
          </w:p>
        </w:tc>
        <w:tc>
          <w:tcPr>
            <w:tcW w:w="1197" w:type="dxa"/>
            <w:tcBorders>
              <w:top w:val="nil"/>
              <w:left w:val="nil"/>
              <w:bottom w:val="nil"/>
              <w:right w:val="nil"/>
            </w:tcBorders>
            <w:shd w:val="clear" w:color="auto" w:fill="auto"/>
            <w:noWrap/>
            <w:vAlign w:val="bottom"/>
            <w:hideMark/>
          </w:tcPr>
          <w:p w14:paraId="2B647148" w14:textId="77777777" w:rsidR="000F5BAD" w:rsidRPr="00720EF1" w:rsidRDefault="000F5BAD" w:rsidP="006A25C9">
            <w:pPr>
              <w:widowControl/>
              <w:jc w:val="right"/>
              <w:rPr>
                <w:kern w:val="0"/>
                <w:sz w:val="20"/>
              </w:rPr>
            </w:pPr>
            <w:r w:rsidRPr="00720EF1">
              <w:rPr>
                <w:kern w:val="0"/>
                <w:sz w:val="20"/>
              </w:rPr>
              <w:t xml:space="preserve">      11.57 </w:t>
            </w:r>
          </w:p>
        </w:tc>
      </w:tr>
      <w:tr w:rsidR="000F5BAD" w:rsidRPr="00720EF1" w14:paraId="05C2469D" w14:textId="77777777" w:rsidTr="006A25C9">
        <w:trPr>
          <w:trHeight w:val="258"/>
        </w:trPr>
        <w:tc>
          <w:tcPr>
            <w:tcW w:w="2810" w:type="dxa"/>
            <w:tcBorders>
              <w:top w:val="nil"/>
              <w:left w:val="nil"/>
              <w:bottom w:val="nil"/>
              <w:right w:val="nil"/>
            </w:tcBorders>
            <w:shd w:val="clear" w:color="auto" w:fill="auto"/>
            <w:noWrap/>
            <w:vAlign w:val="bottom"/>
            <w:hideMark/>
          </w:tcPr>
          <w:p w14:paraId="795125D4" w14:textId="77777777" w:rsidR="000F5BAD" w:rsidRPr="00720EF1" w:rsidRDefault="000F5BAD" w:rsidP="006A25C9">
            <w:pPr>
              <w:widowControl/>
              <w:jc w:val="left"/>
              <w:rPr>
                <w:kern w:val="0"/>
                <w:sz w:val="20"/>
              </w:rPr>
            </w:pPr>
            <w:r w:rsidRPr="00720EF1">
              <w:rPr>
                <w:kern w:val="0"/>
                <w:sz w:val="20"/>
              </w:rPr>
              <w:lastRenderedPageBreak/>
              <w:t>大成睿鑫</w:t>
            </w:r>
            <w:r w:rsidRPr="00720EF1">
              <w:rPr>
                <w:kern w:val="0"/>
                <w:sz w:val="20"/>
              </w:rPr>
              <w:t>A</w:t>
            </w:r>
          </w:p>
        </w:tc>
        <w:tc>
          <w:tcPr>
            <w:tcW w:w="766" w:type="dxa"/>
            <w:tcBorders>
              <w:top w:val="nil"/>
              <w:left w:val="nil"/>
              <w:bottom w:val="nil"/>
              <w:right w:val="nil"/>
            </w:tcBorders>
            <w:shd w:val="clear" w:color="auto" w:fill="auto"/>
            <w:noWrap/>
            <w:vAlign w:val="bottom"/>
            <w:hideMark/>
          </w:tcPr>
          <w:p w14:paraId="39252E93"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6278A148" w14:textId="77777777" w:rsidR="000F5BAD" w:rsidRPr="00720EF1" w:rsidRDefault="000F5BAD" w:rsidP="006A25C9">
            <w:pPr>
              <w:widowControl/>
              <w:jc w:val="right"/>
              <w:rPr>
                <w:kern w:val="0"/>
                <w:sz w:val="20"/>
              </w:rPr>
            </w:pPr>
            <w:r w:rsidRPr="00720EF1">
              <w:rPr>
                <w:kern w:val="0"/>
                <w:sz w:val="20"/>
              </w:rPr>
              <w:t xml:space="preserve">6.28 </w:t>
            </w:r>
          </w:p>
        </w:tc>
        <w:tc>
          <w:tcPr>
            <w:tcW w:w="981" w:type="dxa"/>
            <w:tcBorders>
              <w:top w:val="nil"/>
              <w:left w:val="nil"/>
              <w:bottom w:val="nil"/>
              <w:right w:val="nil"/>
            </w:tcBorders>
            <w:shd w:val="clear" w:color="auto" w:fill="auto"/>
            <w:noWrap/>
            <w:vAlign w:val="bottom"/>
            <w:hideMark/>
          </w:tcPr>
          <w:p w14:paraId="48D025DE" w14:textId="77777777" w:rsidR="000F5BAD" w:rsidRPr="00720EF1" w:rsidRDefault="000F5BAD" w:rsidP="006A25C9">
            <w:pPr>
              <w:widowControl/>
              <w:jc w:val="right"/>
              <w:rPr>
                <w:kern w:val="0"/>
                <w:sz w:val="20"/>
              </w:rPr>
            </w:pPr>
            <w:r w:rsidRPr="00720EF1">
              <w:rPr>
                <w:kern w:val="0"/>
                <w:sz w:val="20"/>
              </w:rPr>
              <w:t>63</w:t>
            </w:r>
            <w:r>
              <w:rPr>
                <w:kern w:val="0"/>
                <w:sz w:val="20"/>
              </w:rPr>
              <w:t>.00</w:t>
            </w:r>
          </w:p>
        </w:tc>
        <w:tc>
          <w:tcPr>
            <w:tcW w:w="962" w:type="dxa"/>
            <w:tcBorders>
              <w:top w:val="nil"/>
              <w:left w:val="nil"/>
              <w:bottom w:val="nil"/>
              <w:right w:val="nil"/>
            </w:tcBorders>
            <w:shd w:val="clear" w:color="auto" w:fill="auto"/>
            <w:noWrap/>
            <w:vAlign w:val="bottom"/>
            <w:hideMark/>
          </w:tcPr>
          <w:p w14:paraId="74497FE6" w14:textId="77777777" w:rsidR="000F5BAD" w:rsidRPr="00720EF1" w:rsidRDefault="000F5BAD" w:rsidP="006A25C9">
            <w:pPr>
              <w:widowControl/>
              <w:jc w:val="right"/>
              <w:rPr>
                <w:kern w:val="0"/>
                <w:sz w:val="20"/>
              </w:rPr>
            </w:pPr>
            <w:r w:rsidRPr="00720EF1">
              <w:rPr>
                <w:kern w:val="0"/>
                <w:sz w:val="20"/>
              </w:rPr>
              <w:t>76.15</w:t>
            </w:r>
          </w:p>
        </w:tc>
        <w:tc>
          <w:tcPr>
            <w:tcW w:w="962" w:type="dxa"/>
            <w:tcBorders>
              <w:top w:val="nil"/>
              <w:left w:val="nil"/>
              <w:bottom w:val="nil"/>
              <w:right w:val="nil"/>
            </w:tcBorders>
            <w:shd w:val="clear" w:color="auto" w:fill="auto"/>
            <w:noWrap/>
            <w:vAlign w:val="bottom"/>
            <w:hideMark/>
          </w:tcPr>
          <w:p w14:paraId="42BC9AFB" w14:textId="77777777" w:rsidR="000F5BAD" w:rsidRPr="00720EF1" w:rsidRDefault="000F5BAD" w:rsidP="006A25C9">
            <w:pPr>
              <w:widowControl/>
              <w:jc w:val="right"/>
              <w:rPr>
                <w:kern w:val="0"/>
                <w:sz w:val="20"/>
              </w:rPr>
            </w:pPr>
            <w:r w:rsidRPr="00720EF1">
              <w:rPr>
                <w:kern w:val="0"/>
                <w:sz w:val="20"/>
              </w:rPr>
              <w:t>83.02</w:t>
            </w:r>
          </w:p>
        </w:tc>
        <w:tc>
          <w:tcPr>
            <w:tcW w:w="1197" w:type="dxa"/>
            <w:tcBorders>
              <w:top w:val="nil"/>
              <w:left w:val="nil"/>
              <w:bottom w:val="nil"/>
              <w:right w:val="nil"/>
            </w:tcBorders>
            <w:shd w:val="clear" w:color="auto" w:fill="auto"/>
            <w:noWrap/>
            <w:vAlign w:val="bottom"/>
            <w:hideMark/>
          </w:tcPr>
          <w:p w14:paraId="589275E9" w14:textId="77777777" w:rsidR="000F5BAD" w:rsidRPr="00720EF1" w:rsidRDefault="000F5BAD" w:rsidP="006A25C9">
            <w:pPr>
              <w:widowControl/>
              <w:jc w:val="right"/>
              <w:rPr>
                <w:kern w:val="0"/>
                <w:sz w:val="20"/>
              </w:rPr>
            </w:pPr>
            <w:r w:rsidRPr="00720EF1">
              <w:rPr>
                <w:kern w:val="0"/>
                <w:sz w:val="20"/>
              </w:rPr>
              <w:t xml:space="preserve">      15.88 </w:t>
            </w:r>
          </w:p>
        </w:tc>
      </w:tr>
      <w:tr w:rsidR="000F5BAD" w:rsidRPr="00720EF1" w14:paraId="777D76B7" w14:textId="77777777" w:rsidTr="006A25C9">
        <w:trPr>
          <w:trHeight w:val="258"/>
        </w:trPr>
        <w:tc>
          <w:tcPr>
            <w:tcW w:w="2810" w:type="dxa"/>
            <w:tcBorders>
              <w:top w:val="nil"/>
              <w:left w:val="nil"/>
              <w:bottom w:val="nil"/>
              <w:right w:val="nil"/>
            </w:tcBorders>
            <w:shd w:val="clear" w:color="auto" w:fill="auto"/>
            <w:noWrap/>
            <w:vAlign w:val="bottom"/>
            <w:hideMark/>
          </w:tcPr>
          <w:p w14:paraId="091B95C8" w14:textId="77777777" w:rsidR="000F5BAD" w:rsidRPr="00720EF1" w:rsidRDefault="000F5BAD" w:rsidP="006A25C9">
            <w:pPr>
              <w:widowControl/>
              <w:jc w:val="left"/>
              <w:rPr>
                <w:kern w:val="0"/>
                <w:sz w:val="20"/>
              </w:rPr>
            </w:pPr>
            <w:r w:rsidRPr="00720EF1">
              <w:rPr>
                <w:kern w:val="0"/>
                <w:sz w:val="20"/>
              </w:rPr>
              <w:t>银华品质消费</w:t>
            </w:r>
          </w:p>
        </w:tc>
        <w:tc>
          <w:tcPr>
            <w:tcW w:w="766" w:type="dxa"/>
            <w:tcBorders>
              <w:top w:val="nil"/>
              <w:left w:val="nil"/>
              <w:bottom w:val="nil"/>
              <w:right w:val="nil"/>
            </w:tcBorders>
            <w:shd w:val="clear" w:color="auto" w:fill="auto"/>
            <w:noWrap/>
            <w:vAlign w:val="bottom"/>
            <w:hideMark/>
          </w:tcPr>
          <w:p w14:paraId="024DDB99"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7FEE2A0F" w14:textId="77777777" w:rsidR="000F5BAD" w:rsidRPr="00720EF1" w:rsidRDefault="000F5BAD" w:rsidP="006A25C9">
            <w:pPr>
              <w:widowControl/>
              <w:jc w:val="right"/>
              <w:rPr>
                <w:kern w:val="0"/>
                <w:sz w:val="20"/>
              </w:rPr>
            </w:pPr>
            <w:r w:rsidRPr="00720EF1">
              <w:rPr>
                <w:kern w:val="0"/>
                <w:sz w:val="20"/>
              </w:rPr>
              <w:t xml:space="preserve">6.95 </w:t>
            </w:r>
          </w:p>
        </w:tc>
        <w:tc>
          <w:tcPr>
            <w:tcW w:w="981" w:type="dxa"/>
            <w:tcBorders>
              <w:top w:val="nil"/>
              <w:left w:val="nil"/>
              <w:bottom w:val="nil"/>
              <w:right w:val="nil"/>
            </w:tcBorders>
            <w:shd w:val="clear" w:color="auto" w:fill="auto"/>
            <w:noWrap/>
            <w:vAlign w:val="bottom"/>
            <w:hideMark/>
          </w:tcPr>
          <w:p w14:paraId="6ED08B78" w14:textId="77777777" w:rsidR="000F5BAD" w:rsidRPr="00720EF1" w:rsidRDefault="000F5BAD" w:rsidP="006A25C9">
            <w:pPr>
              <w:widowControl/>
              <w:jc w:val="right"/>
              <w:rPr>
                <w:kern w:val="0"/>
                <w:sz w:val="20"/>
              </w:rPr>
            </w:pPr>
            <w:r w:rsidRPr="00720EF1">
              <w:rPr>
                <w:kern w:val="0"/>
                <w:sz w:val="20"/>
              </w:rPr>
              <w:t>62.81</w:t>
            </w:r>
          </w:p>
        </w:tc>
        <w:tc>
          <w:tcPr>
            <w:tcW w:w="962" w:type="dxa"/>
            <w:tcBorders>
              <w:top w:val="nil"/>
              <w:left w:val="nil"/>
              <w:bottom w:val="nil"/>
              <w:right w:val="nil"/>
            </w:tcBorders>
            <w:shd w:val="clear" w:color="auto" w:fill="auto"/>
            <w:noWrap/>
            <w:vAlign w:val="bottom"/>
            <w:hideMark/>
          </w:tcPr>
          <w:p w14:paraId="51835B7A" w14:textId="77777777" w:rsidR="000F5BAD" w:rsidRPr="00720EF1" w:rsidRDefault="000F5BAD" w:rsidP="006A25C9">
            <w:pPr>
              <w:widowControl/>
              <w:jc w:val="right"/>
              <w:rPr>
                <w:kern w:val="0"/>
                <w:sz w:val="20"/>
              </w:rPr>
            </w:pPr>
            <w:r w:rsidRPr="00720EF1">
              <w:rPr>
                <w:kern w:val="0"/>
                <w:sz w:val="20"/>
              </w:rPr>
              <w:t>76.74</w:t>
            </w:r>
          </w:p>
        </w:tc>
        <w:tc>
          <w:tcPr>
            <w:tcW w:w="962" w:type="dxa"/>
            <w:tcBorders>
              <w:top w:val="nil"/>
              <w:left w:val="nil"/>
              <w:bottom w:val="nil"/>
              <w:right w:val="nil"/>
            </w:tcBorders>
            <w:shd w:val="clear" w:color="auto" w:fill="auto"/>
            <w:noWrap/>
            <w:vAlign w:val="bottom"/>
            <w:hideMark/>
          </w:tcPr>
          <w:p w14:paraId="37592BEA" w14:textId="77777777" w:rsidR="000F5BAD" w:rsidRPr="00720EF1" w:rsidRDefault="000F5BAD" w:rsidP="006A25C9">
            <w:pPr>
              <w:widowControl/>
              <w:jc w:val="right"/>
              <w:rPr>
                <w:kern w:val="0"/>
                <w:sz w:val="20"/>
              </w:rPr>
            </w:pPr>
            <w:r w:rsidRPr="00720EF1">
              <w:rPr>
                <w:kern w:val="0"/>
                <w:sz w:val="20"/>
              </w:rPr>
              <w:t>82.03</w:t>
            </w:r>
          </w:p>
        </w:tc>
        <w:tc>
          <w:tcPr>
            <w:tcW w:w="1197" w:type="dxa"/>
            <w:tcBorders>
              <w:top w:val="nil"/>
              <w:left w:val="nil"/>
              <w:bottom w:val="nil"/>
              <w:right w:val="nil"/>
            </w:tcBorders>
            <w:shd w:val="clear" w:color="auto" w:fill="auto"/>
            <w:noWrap/>
            <w:vAlign w:val="bottom"/>
            <w:hideMark/>
          </w:tcPr>
          <w:p w14:paraId="72F68C9E" w14:textId="77777777" w:rsidR="000F5BAD" w:rsidRPr="00720EF1" w:rsidRDefault="000F5BAD" w:rsidP="006A25C9">
            <w:pPr>
              <w:widowControl/>
              <w:jc w:val="right"/>
              <w:rPr>
                <w:kern w:val="0"/>
                <w:sz w:val="20"/>
              </w:rPr>
            </w:pPr>
            <w:r w:rsidRPr="00720EF1">
              <w:rPr>
                <w:kern w:val="0"/>
                <w:sz w:val="20"/>
              </w:rPr>
              <w:t xml:space="preserve">      11.95 </w:t>
            </w:r>
          </w:p>
        </w:tc>
      </w:tr>
      <w:tr w:rsidR="000F5BAD" w:rsidRPr="00720EF1" w14:paraId="5496250A" w14:textId="77777777" w:rsidTr="006A25C9">
        <w:trPr>
          <w:trHeight w:val="258"/>
        </w:trPr>
        <w:tc>
          <w:tcPr>
            <w:tcW w:w="2810" w:type="dxa"/>
            <w:tcBorders>
              <w:top w:val="nil"/>
              <w:left w:val="nil"/>
              <w:bottom w:val="nil"/>
              <w:right w:val="nil"/>
            </w:tcBorders>
            <w:shd w:val="clear" w:color="auto" w:fill="auto"/>
            <w:noWrap/>
            <w:vAlign w:val="bottom"/>
            <w:hideMark/>
          </w:tcPr>
          <w:p w14:paraId="23404B49" w14:textId="77777777" w:rsidR="000F5BAD" w:rsidRPr="00720EF1" w:rsidRDefault="000F5BAD" w:rsidP="006A25C9">
            <w:pPr>
              <w:widowControl/>
              <w:jc w:val="left"/>
              <w:rPr>
                <w:kern w:val="0"/>
                <w:sz w:val="20"/>
              </w:rPr>
            </w:pPr>
            <w:r w:rsidRPr="00720EF1">
              <w:rPr>
                <w:kern w:val="0"/>
                <w:sz w:val="20"/>
              </w:rPr>
              <w:t>招商景气优选</w:t>
            </w:r>
            <w:r w:rsidRPr="00720EF1">
              <w:rPr>
                <w:kern w:val="0"/>
                <w:sz w:val="20"/>
              </w:rPr>
              <w:t>A</w:t>
            </w:r>
          </w:p>
        </w:tc>
        <w:tc>
          <w:tcPr>
            <w:tcW w:w="766" w:type="dxa"/>
            <w:tcBorders>
              <w:top w:val="nil"/>
              <w:left w:val="nil"/>
              <w:bottom w:val="nil"/>
              <w:right w:val="nil"/>
            </w:tcBorders>
            <w:shd w:val="clear" w:color="auto" w:fill="auto"/>
            <w:noWrap/>
            <w:vAlign w:val="bottom"/>
            <w:hideMark/>
          </w:tcPr>
          <w:p w14:paraId="7494EC49"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10399247" w14:textId="77777777" w:rsidR="000F5BAD" w:rsidRPr="00720EF1" w:rsidRDefault="000F5BAD" w:rsidP="006A25C9">
            <w:pPr>
              <w:widowControl/>
              <w:jc w:val="right"/>
              <w:rPr>
                <w:kern w:val="0"/>
                <w:sz w:val="20"/>
              </w:rPr>
            </w:pPr>
            <w:r w:rsidRPr="00720EF1">
              <w:rPr>
                <w:kern w:val="0"/>
                <w:sz w:val="20"/>
              </w:rPr>
              <w:t xml:space="preserve">6.78 </w:t>
            </w:r>
          </w:p>
        </w:tc>
        <w:tc>
          <w:tcPr>
            <w:tcW w:w="981" w:type="dxa"/>
            <w:tcBorders>
              <w:top w:val="nil"/>
              <w:left w:val="nil"/>
              <w:bottom w:val="nil"/>
              <w:right w:val="nil"/>
            </w:tcBorders>
            <w:shd w:val="clear" w:color="auto" w:fill="auto"/>
            <w:noWrap/>
            <w:vAlign w:val="bottom"/>
            <w:hideMark/>
          </w:tcPr>
          <w:p w14:paraId="0BAD54AF" w14:textId="77777777" w:rsidR="000F5BAD" w:rsidRPr="00720EF1" w:rsidRDefault="000F5BAD" w:rsidP="006A25C9">
            <w:pPr>
              <w:widowControl/>
              <w:jc w:val="right"/>
              <w:rPr>
                <w:kern w:val="0"/>
                <w:sz w:val="20"/>
              </w:rPr>
            </w:pPr>
            <w:r w:rsidRPr="00720EF1">
              <w:rPr>
                <w:kern w:val="0"/>
                <w:sz w:val="20"/>
              </w:rPr>
              <w:t>63.34</w:t>
            </w:r>
          </w:p>
        </w:tc>
        <w:tc>
          <w:tcPr>
            <w:tcW w:w="962" w:type="dxa"/>
            <w:tcBorders>
              <w:top w:val="nil"/>
              <w:left w:val="nil"/>
              <w:bottom w:val="nil"/>
              <w:right w:val="nil"/>
            </w:tcBorders>
            <w:shd w:val="clear" w:color="auto" w:fill="auto"/>
            <w:noWrap/>
            <w:vAlign w:val="bottom"/>
            <w:hideMark/>
          </w:tcPr>
          <w:p w14:paraId="13967B78" w14:textId="77777777" w:rsidR="000F5BAD" w:rsidRPr="00720EF1" w:rsidRDefault="000F5BAD" w:rsidP="006A25C9">
            <w:pPr>
              <w:widowControl/>
              <w:jc w:val="right"/>
              <w:rPr>
                <w:kern w:val="0"/>
                <w:sz w:val="20"/>
              </w:rPr>
            </w:pPr>
            <w:r w:rsidRPr="00720EF1">
              <w:rPr>
                <w:kern w:val="0"/>
                <w:sz w:val="20"/>
              </w:rPr>
              <w:t>76.92</w:t>
            </w:r>
          </w:p>
        </w:tc>
        <w:tc>
          <w:tcPr>
            <w:tcW w:w="962" w:type="dxa"/>
            <w:tcBorders>
              <w:top w:val="nil"/>
              <w:left w:val="nil"/>
              <w:bottom w:val="nil"/>
              <w:right w:val="nil"/>
            </w:tcBorders>
            <w:shd w:val="clear" w:color="auto" w:fill="auto"/>
            <w:noWrap/>
            <w:vAlign w:val="bottom"/>
            <w:hideMark/>
          </w:tcPr>
          <w:p w14:paraId="0F0B5F6C" w14:textId="77777777" w:rsidR="000F5BAD" w:rsidRPr="00720EF1" w:rsidRDefault="000F5BAD" w:rsidP="006A25C9">
            <w:pPr>
              <w:widowControl/>
              <w:jc w:val="right"/>
              <w:rPr>
                <w:kern w:val="0"/>
                <w:sz w:val="20"/>
              </w:rPr>
            </w:pPr>
            <w:r w:rsidRPr="00720EF1">
              <w:rPr>
                <w:kern w:val="0"/>
                <w:sz w:val="20"/>
              </w:rPr>
              <w:t>81.6</w:t>
            </w:r>
          </w:p>
        </w:tc>
        <w:tc>
          <w:tcPr>
            <w:tcW w:w="1197" w:type="dxa"/>
            <w:tcBorders>
              <w:top w:val="nil"/>
              <w:left w:val="nil"/>
              <w:bottom w:val="nil"/>
              <w:right w:val="nil"/>
            </w:tcBorders>
            <w:shd w:val="clear" w:color="auto" w:fill="auto"/>
            <w:noWrap/>
            <w:vAlign w:val="bottom"/>
            <w:hideMark/>
          </w:tcPr>
          <w:p w14:paraId="425867E2" w14:textId="77777777" w:rsidR="000F5BAD" w:rsidRPr="00720EF1" w:rsidRDefault="000F5BAD" w:rsidP="006A25C9">
            <w:pPr>
              <w:widowControl/>
              <w:jc w:val="right"/>
              <w:rPr>
                <w:kern w:val="0"/>
                <w:sz w:val="20"/>
              </w:rPr>
            </w:pPr>
            <w:r w:rsidRPr="00720EF1">
              <w:rPr>
                <w:kern w:val="0"/>
                <w:sz w:val="20"/>
              </w:rPr>
              <w:t xml:space="preserve">        0.38 </w:t>
            </w:r>
          </w:p>
        </w:tc>
      </w:tr>
      <w:tr w:rsidR="000F5BAD" w:rsidRPr="00720EF1" w14:paraId="4CE43854" w14:textId="77777777" w:rsidTr="006A25C9">
        <w:trPr>
          <w:trHeight w:val="258"/>
        </w:trPr>
        <w:tc>
          <w:tcPr>
            <w:tcW w:w="2810" w:type="dxa"/>
            <w:tcBorders>
              <w:top w:val="nil"/>
              <w:left w:val="nil"/>
              <w:bottom w:val="nil"/>
              <w:right w:val="nil"/>
            </w:tcBorders>
            <w:shd w:val="clear" w:color="auto" w:fill="auto"/>
            <w:noWrap/>
            <w:vAlign w:val="bottom"/>
            <w:hideMark/>
          </w:tcPr>
          <w:p w14:paraId="1F17C59B" w14:textId="77777777" w:rsidR="000F5BAD" w:rsidRPr="00720EF1" w:rsidRDefault="000F5BAD" w:rsidP="006A25C9">
            <w:pPr>
              <w:widowControl/>
              <w:jc w:val="left"/>
              <w:rPr>
                <w:kern w:val="0"/>
                <w:sz w:val="20"/>
              </w:rPr>
            </w:pPr>
            <w:r w:rsidRPr="00720EF1">
              <w:rPr>
                <w:kern w:val="0"/>
                <w:sz w:val="20"/>
              </w:rPr>
              <w:t>中银内核驱动</w:t>
            </w:r>
            <w:r w:rsidRPr="00720EF1">
              <w:rPr>
                <w:kern w:val="0"/>
                <w:sz w:val="20"/>
              </w:rPr>
              <w:t>A</w:t>
            </w:r>
          </w:p>
        </w:tc>
        <w:tc>
          <w:tcPr>
            <w:tcW w:w="766" w:type="dxa"/>
            <w:tcBorders>
              <w:top w:val="nil"/>
              <w:left w:val="nil"/>
              <w:bottom w:val="nil"/>
              <w:right w:val="nil"/>
            </w:tcBorders>
            <w:shd w:val="clear" w:color="auto" w:fill="auto"/>
            <w:noWrap/>
            <w:vAlign w:val="bottom"/>
            <w:hideMark/>
          </w:tcPr>
          <w:p w14:paraId="6E047E08"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3D63F7FC"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3F2D5AC9" w14:textId="77777777" w:rsidR="000F5BAD" w:rsidRPr="00720EF1" w:rsidRDefault="000F5BAD" w:rsidP="006A25C9">
            <w:pPr>
              <w:widowControl/>
              <w:jc w:val="right"/>
              <w:rPr>
                <w:kern w:val="0"/>
                <w:sz w:val="20"/>
              </w:rPr>
            </w:pPr>
            <w:r w:rsidRPr="00720EF1">
              <w:rPr>
                <w:kern w:val="0"/>
                <w:sz w:val="20"/>
              </w:rPr>
              <w:t>68.45</w:t>
            </w:r>
          </w:p>
        </w:tc>
        <w:tc>
          <w:tcPr>
            <w:tcW w:w="962" w:type="dxa"/>
            <w:tcBorders>
              <w:top w:val="nil"/>
              <w:left w:val="nil"/>
              <w:bottom w:val="nil"/>
              <w:right w:val="nil"/>
            </w:tcBorders>
            <w:shd w:val="clear" w:color="auto" w:fill="auto"/>
            <w:noWrap/>
            <w:vAlign w:val="bottom"/>
            <w:hideMark/>
          </w:tcPr>
          <w:p w14:paraId="4A009B7F" w14:textId="77777777" w:rsidR="000F5BAD" w:rsidRPr="00720EF1" w:rsidRDefault="000F5BAD" w:rsidP="006A25C9">
            <w:pPr>
              <w:widowControl/>
              <w:jc w:val="right"/>
              <w:rPr>
                <w:kern w:val="0"/>
                <w:sz w:val="20"/>
              </w:rPr>
            </w:pPr>
            <w:r w:rsidRPr="00720EF1">
              <w:rPr>
                <w:kern w:val="0"/>
                <w:sz w:val="20"/>
              </w:rPr>
              <w:t>85.4</w:t>
            </w:r>
          </w:p>
        </w:tc>
        <w:tc>
          <w:tcPr>
            <w:tcW w:w="962" w:type="dxa"/>
            <w:tcBorders>
              <w:top w:val="nil"/>
              <w:left w:val="nil"/>
              <w:bottom w:val="nil"/>
              <w:right w:val="nil"/>
            </w:tcBorders>
            <w:shd w:val="clear" w:color="auto" w:fill="auto"/>
            <w:noWrap/>
            <w:vAlign w:val="bottom"/>
            <w:hideMark/>
          </w:tcPr>
          <w:p w14:paraId="145A461C" w14:textId="77777777" w:rsidR="000F5BAD" w:rsidRPr="00720EF1" w:rsidRDefault="000F5BAD" w:rsidP="006A25C9">
            <w:pPr>
              <w:widowControl/>
              <w:jc w:val="right"/>
              <w:rPr>
                <w:kern w:val="0"/>
                <w:sz w:val="20"/>
              </w:rPr>
            </w:pPr>
            <w:r w:rsidRPr="00720EF1">
              <w:rPr>
                <w:kern w:val="0"/>
                <w:sz w:val="20"/>
              </w:rPr>
              <w:t>86.24</w:t>
            </w:r>
          </w:p>
        </w:tc>
        <w:tc>
          <w:tcPr>
            <w:tcW w:w="1197" w:type="dxa"/>
            <w:tcBorders>
              <w:top w:val="nil"/>
              <w:left w:val="nil"/>
              <w:bottom w:val="nil"/>
              <w:right w:val="nil"/>
            </w:tcBorders>
            <w:shd w:val="clear" w:color="auto" w:fill="auto"/>
            <w:noWrap/>
            <w:vAlign w:val="bottom"/>
            <w:hideMark/>
          </w:tcPr>
          <w:p w14:paraId="66405405" w14:textId="77777777" w:rsidR="000F5BAD" w:rsidRPr="00720EF1" w:rsidRDefault="000F5BAD" w:rsidP="006A25C9">
            <w:pPr>
              <w:widowControl/>
              <w:jc w:val="right"/>
              <w:rPr>
                <w:kern w:val="0"/>
                <w:sz w:val="20"/>
              </w:rPr>
            </w:pPr>
            <w:r w:rsidRPr="00720EF1">
              <w:rPr>
                <w:kern w:val="0"/>
                <w:sz w:val="20"/>
              </w:rPr>
              <w:t xml:space="preserve">        9.75 </w:t>
            </w:r>
          </w:p>
        </w:tc>
      </w:tr>
      <w:tr w:rsidR="000F5BAD" w:rsidRPr="00720EF1" w14:paraId="4E6B0B62" w14:textId="77777777" w:rsidTr="006A25C9">
        <w:trPr>
          <w:trHeight w:val="258"/>
        </w:trPr>
        <w:tc>
          <w:tcPr>
            <w:tcW w:w="2810" w:type="dxa"/>
            <w:tcBorders>
              <w:top w:val="nil"/>
              <w:left w:val="nil"/>
              <w:bottom w:val="nil"/>
              <w:right w:val="nil"/>
            </w:tcBorders>
            <w:shd w:val="clear" w:color="auto" w:fill="auto"/>
            <w:noWrap/>
            <w:vAlign w:val="bottom"/>
            <w:hideMark/>
          </w:tcPr>
          <w:p w14:paraId="6A51D9A9" w14:textId="77777777" w:rsidR="000F5BAD" w:rsidRPr="00720EF1" w:rsidRDefault="000F5BAD" w:rsidP="006A25C9">
            <w:pPr>
              <w:widowControl/>
              <w:jc w:val="left"/>
              <w:rPr>
                <w:kern w:val="0"/>
                <w:sz w:val="20"/>
              </w:rPr>
            </w:pPr>
            <w:r w:rsidRPr="00720EF1">
              <w:rPr>
                <w:kern w:val="0"/>
                <w:sz w:val="20"/>
              </w:rPr>
              <w:t>融通产业趋势臻选</w:t>
            </w:r>
          </w:p>
        </w:tc>
        <w:tc>
          <w:tcPr>
            <w:tcW w:w="766" w:type="dxa"/>
            <w:tcBorders>
              <w:top w:val="nil"/>
              <w:left w:val="nil"/>
              <w:bottom w:val="nil"/>
              <w:right w:val="nil"/>
            </w:tcBorders>
            <w:shd w:val="clear" w:color="auto" w:fill="auto"/>
            <w:noWrap/>
            <w:vAlign w:val="bottom"/>
            <w:hideMark/>
          </w:tcPr>
          <w:p w14:paraId="61181EDB"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75649810"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2F2A9C38" w14:textId="77777777" w:rsidR="000F5BAD" w:rsidRPr="00720EF1" w:rsidRDefault="000F5BAD" w:rsidP="006A25C9">
            <w:pPr>
              <w:widowControl/>
              <w:jc w:val="right"/>
              <w:rPr>
                <w:kern w:val="0"/>
                <w:sz w:val="20"/>
              </w:rPr>
            </w:pPr>
            <w:r w:rsidRPr="00720EF1">
              <w:rPr>
                <w:kern w:val="0"/>
                <w:sz w:val="20"/>
              </w:rPr>
              <w:t>65.4</w:t>
            </w:r>
          </w:p>
        </w:tc>
        <w:tc>
          <w:tcPr>
            <w:tcW w:w="962" w:type="dxa"/>
            <w:tcBorders>
              <w:top w:val="nil"/>
              <w:left w:val="nil"/>
              <w:bottom w:val="nil"/>
              <w:right w:val="nil"/>
            </w:tcBorders>
            <w:shd w:val="clear" w:color="auto" w:fill="auto"/>
            <w:noWrap/>
            <w:vAlign w:val="bottom"/>
            <w:hideMark/>
          </w:tcPr>
          <w:p w14:paraId="10B7D44F" w14:textId="77777777" w:rsidR="000F5BAD" w:rsidRPr="00720EF1" w:rsidRDefault="000F5BAD" w:rsidP="006A25C9">
            <w:pPr>
              <w:widowControl/>
              <w:jc w:val="right"/>
              <w:rPr>
                <w:kern w:val="0"/>
                <w:sz w:val="20"/>
              </w:rPr>
            </w:pPr>
            <w:r w:rsidRPr="00720EF1">
              <w:rPr>
                <w:kern w:val="0"/>
                <w:sz w:val="20"/>
              </w:rPr>
              <w:t>80.66</w:t>
            </w:r>
          </w:p>
        </w:tc>
        <w:tc>
          <w:tcPr>
            <w:tcW w:w="962" w:type="dxa"/>
            <w:tcBorders>
              <w:top w:val="nil"/>
              <w:left w:val="nil"/>
              <w:bottom w:val="nil"/>
              <w:right w:val="nil"/>
            </w:tcBorders>
            <w:shd w:val="clear" w:color="auto" w:fill="auto"/>
            <w:noWrap/>
            <w:vAlign w:val="bottom"/>
            <w:hideMark/>
          </w:tcPr>
          <w:p w14:paraId="77588482" w14:textId="77777777" w:rsidR="000F5BAD" w:rsidRPr="00720EF1" w:rsidRDefault="000F5BAD" w:rsidP="006A25C9">
            <w:pPr>
              <w:widowControl/>
              <w:jc w:val="right"/>
              <w:rPr>
                <w:kern w:val="0"/>
                <w:sz w:val="20"/>
              </w:rPr>
            </w:pPr>
            <w:r w:rsidRPr="00720EF1">
              <w:rPr>
                <w:kern w:val="0"/>
                <w:sz w:val="20"/>
              </w:rPr>
              <w:t>83.36</w:t>
            </w:r>
          </w:p>
        </w:tc>
        <w:tc>
          <w:tcPr>
            <w:tcW w:w="1197" w:type="dxa"/>
            <w:tcBorders>
              <w:top w:val="nil"/>
              <w:left w:val="nil"/>
              <w:bottom w:val="nil"/>
              <w:right w:val="nil"/>
            </w:tcBorders>
            <w:shd w:val="clear" w:color="auto" w:fill="auto"/>
            <w:noWrap/>
            <w:vAlign w:val="bottom"/>
            <w:hideMark/>
          </w:tcPr>
          <w:p w14:paraId="19E056B5" w14:textId="77777777" w:rsidR="000F5BAD" w:rsidRPr="00720EF1" w:rsidRDefault="000F5BAD" w:rsidP="006A25C9">
            <w:pPr>
              <w:widowControl/>
              <w:jc w:val="right"/>
              <w:rPr>
                <w:kern w:val="0"/>
                <w:sz w:val="20"/>
              </w:rPr>
            </w:pPr>
            <w:r w:rsidRPr="00720EF1">
              <w:rPr>
                <w:kern w:val="0"/>
                <w:sz w:val="20"/>
              </w:rPr>
              <w:t xml:space="preserve">      16.84 </w:t>
            </w:r>
          </w:p>
        </w:tc>
      </w:tr>
      <w:tr w:rsidR="000F5BAD" w:rsidRPr="00720EF1" w14:paraId="1CD77DCD" w14:textId="77777777" w:rsidTr="006A25C9">
        <w:trPr>
          <w:trHeight w:val="258"/>
        </w:trPr>
        <w:tc>
          <w:tcPr>
            <w:tcW w:w="2810" w:type="dxa"/>
            <w:tcBorders>
              <w:top w:val="nil"/>
              <w:left w:val="nil"/>
              <w:bottom w:val="nil"/>
              <w:right w:val="nil"/>
            </w:tcBorders>
            <w:shd w:val="clear" w:color="auto" w:fill="auto"/>
            <w:noWrap/>
            <w:vAlign w:val="bottom"/>
            <w:hideMark/>
          </w:tcPr>
          <w:p w14:paraId="7BA0A031" w14:textId="77777777" w:rsidR="000F5BAD" w:rsidRPr="00720EF1" w:rsidRDefault="000F5BAD" w:rsidP="006A25C9">
            <w:pPr>
              <w:widowControl/>
              <w:jc w:val="left"/>
              <w:rPr>
                <w:kern w:val="0"/>
                <w:sz w:val="20"/>
              </w:rPr>
            </w:pPr>
            <w:r w:rsidRPr="00720EF1">
              <w:rPr>
                <w:kern w:val="0"/>
                <w:sz w:val="20"/>
              </w:rPr>
              <w:t>创金合信研究精选</w:t>
            </w:r>
            <w:r w:rsidRPr="00720EF1">
              <w:rPr>
                <w:kern w:val="0"/>
                <w:sz w:val="20"/>
              </w:rPr>
              <w:t>C</w:t>
            </w:r>
          </w:p>
        </w:tc>
        <w:tc>
          <w:tcPr>
            <w:tcW w:w="766" w:type="dxa"/>
            <w:tcBorders>
              <w:top w:val="nil"/>
              <w:left w:val="nil"/>
              <w:bottom w:val="nil"/>
              <w:right w:val="nil"/>
            </w:tcBorders>
            <w:shd w:val="clear" w:color="auto" w:fill="auto"/>
            <w:noWrap/>
            <w:vAlign w:val="bottom"/>
            <w:hideMark/>
          </w:tcPr>
          <w:p w14:paraId="5C2E5FBA"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7A1B3A02" w14:textId="77777777" w:rsidR="000F5BAD" w:rsidRPr="00720EF1" w:rsidRDefault="000F5BAD" w:rsidP="006A25C9">
            <w:pPr>
              <w:widowControl/>
              <w:jc w:val="right"/>
              <w:rPr>
                <w:kern w:val="0"/>
                <w:sz w:val="20"/>
              </w:rPr>
            </w:pPr>
            <w:r w:rsidRPr="00720EF1">
              <w:rPr>
                <w:kern w:val="0"/>
                <w:sz w:val="20"/>
              </w:rPr>
              <w:t xml:space="preserve">7.89 </w:t>
            </w:r>
          </w:p>
        </w:tc>
        <w:tc>
          <w:tcPr>
            <w:tcW w:w="981" w:type="dxa"/>
            <w:tcBorders>
              <w:top w:val="nil"/>
              <w:left w:val="nil"/>
              <w:bottom w:val="nil"/>
              <w:right w:val="nil"/>
            </w:tcBorders>
            <w:shd w:val="clear" w:color="auto" w:fill="auto"/>
            <w:noWrap/>
            <w:vAlign w:val="bottom"/>
            <w:hideMark/>
          </w:tcPr>
          <w:p w14:paraId="018D5DF5" w14:textId="77777777" w:rsidR="000F5BAD" w:rsidRPr="00720EF1" w:rsidRDefault="000F5BAD" w:rsidP="006A25C9">
            <w:pPr>
              <w:widowControl/>
              <w:jc w:val="right"/>
              <w:rPr>
                <w:kern w:val="0"/>
                <w:sz w:val="20"/>
              </w:rPr>
            </w:pPr>
            <w:r w:rsidRPr="00720EF1">
              <w:rPr>
                <w:kern w:val="0"/>
                <w:sz w:val="20"/>
              </w:rPr>
              <w:t>64.09</w:t>
            </w:r>
          </w:p>
        </w:tc>
        <w:tc>
          <w:tcPr>
            <w:tcW w:w="962" w:type="dxa"/>
            <w:tcBorders>
              <w:top w:val="nil"/>
              <w:left w:val="nil"/>
              <w:bottom w:val="nil"/>
              <w:right w:val="nil"/>
            </w:tcBorders>
            <w:shd w:val="clear" w:color="auto" w:fill="auto"/>
            <w:noWrap/>
            <w:vAlign w:val="bottom"/>
            <w:hideMark/>
          </w:tcPr>
          <w:p w14:paraId="275A43F7" w14:textId="77777777" w:rsidR="000F5BAD" w:rsidRPr="00720EF1" w:rsidRDefault="000F5BAD" w:rsidP="006A25C9">
            <w:pPr>
              <w:widowControl/>
              <w:jc w:val="right"/>
              <w:rPr>
                <w:kern w:val="0"/>
                <w:sz w:val="20"/>
              </w:rPr>
            </w:pPr>
            <w:r w:rsidRPr="00720EF1">
              <w:rPr>
                <w:kern w:val="0"/>
                <w:sz w:val="20"/>
              </w:rPr>
              <w:t>76.66</w:t>
            </w:r>
          </w:p>
        </w:tc>
        <w:tc>
          <w:tcPr>
            <w:tcW w:w="962" w:type="dxa"/>
            <w:tcBorders>
              <w:top w:val="nil"/>
              <w:left w:val="nil"/>
              <w:bottom w:val="nil"/>
              <w:right w:val="nil"/>
            </w:tcBorders>
            <w:shd w:val="clear" w:color="auto" w:fill="auto"/>
            <w:noWrap/>
            <w:vAlign w:val="bottom"/>
            <w:hideMark/>
          </w:tcPr>
          <w:p w14:paraId="4CEE2AE8" w14:textId="77777777" w:rsidR="000F5BAD" w:rsidRPr="00720EF1" w:rsidRDefault="000F5BAD" w:rsidP="006A25C9">
            <w:pPr>
              <w:widowControl/>
              <w:jc w:val="right"/>
              <w:rPr>
                <w:kern w:val="0"/>
                <w:sz w:val="20"/>
              </w:rPr>
            </w:pPr>
            <w:r w:rsidRPr="00720EF1">
              <w:rPr>
                <w:kern w:val="0"/>
                <w:sz w:val="20"/>
              </w:rPr>
              <w:t>80.93</w:t>
            </w:r>
          </w:p>
        </w:tc>
        <w:tc>
          <w:tcPr>
            <w:tcW w:w="1197" w:type="dxa"/>
            <w:tcBorders>
              <w:top w:val="nil"/>
              <w:left w:val="nil"/>
              <w:bottom w:val="nil"/>
              <w:right w:val="nil"/>
            </w:tcBorders>
            <w:shd w:val="clear" w:color="auto" w:fill="auto"/>
            <w:noWrap/>
            <w:vAlign w:val="bottom"/>
            <w:hideMark/>
          </w:tcPr>
          <w:p w14:paraId="67F0D2E5" w14:textId="77777777" w:rsidR="000F5BAD" w:rsidRPr="00720EF1" w:rsidRDefault="000F5BAD" w:rsidP="006A25C9">
            <w:pPr>
              <w:widowControl/>
              <w:jc w:val="right"/>
              <w:rPr>
                <w:kern w:val="0"/>
                <w:sz w:val="20"/>
              </w:rPr>
            </w:pPr>
            <w:r w:rsidRPr="00720EF1">
              <w:rPr>
                <w:kern w:val="0"/>
                <w:sz w:val="20"/>
              </w:rPr>
              <w:t xml:space="preserve">      17.10 </w:t>
            </w:r>
          </w:p>
        </w:tc>
      </w:tr>
      <w:tr w:rsidR="000F5BAD" w:rsidRPr="00720EF1" w14:paraId="2D2ADC0B" w14:textId="77777777" w:rsidTr="006A25C9">
        <w:trPr>
          <w:trHeight w:val="258"/>
        </w:trPr>
        <w:tc>
          <w:tcPr>
            <w:tcW w:w="2810" w:type="dxa"/>
            <w:tcBorders>
              <w:top w:val="nil"/>
              <w:left w:val="nil"/>
              <w:bottom w:val="nil"/>
              <w:right w:val="nil"/>
            </w:tcBorders>
            <w:shd w:val="clear" w:color="auto" w:fill="auto"/>
            <w:noWrap/>
            <w:vAlign w:val="bottom"/>
            <w:hideMark/>
          </w:tcPr>
          <w:p w14:paraId="1201D673" w14:textId="77777777" w:rsidR="000F5BAD" w:rsidRPr="00720EF1" w:rsidRDefault="000F5BAD" w:rsidP="006A25C9">
            <w:pPr>
              <w:widowControl/>
              <w:jc w:val="left"/>
              <w:rPr>
                <w:kern w:val="0"/>
                <w:sz w:val="20"/>
              </w:rPr>
            </w:pPr>
            <w:r w:rsidRPr="00720EF1">
              <w:rPr>
                <w:kern w:val="0"/>
                <w:sz w:val="20"/>
              </w:rPr>
              <w:t>景顺长城电子信息产业</w:t>
            </w:r>
            <w:r w:rsidRPr="00720EF1">
              <w:rPr>
                <w:kern w:val="0"/>
                <w:sz w:val="20"/>
              </w:rPr>
              <w:t>A</w:t>
            </w:r>
          </w:p>
        </w:tc>
        <w:tc>
          <w:tcPr>
            <w:tcW w:w="766" w:type="dxa"/>
            <w:tcBorders>
              <w:top w:val="nil"/>
              <w:left w:val="nil"/>
              <w:bottom w:val="nil"/>
              <w:right w:val="nil"/>
            </w:tcBorders>
            <w:shd w:val="clear" w:color="auto" w:fill="auto"/>
            <w:noWrap/>
            <w:vAlign w:val="bottom"/>
            <w:hideMark/>
          </w:tcPr>
          <w:p w14:paraId="6B8CBD5C"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11496C7C" w14:textId="77777777" w:rsidR="000F5BAD" w:rsidRPr="00720EF1" w:rsidRDefault="000F5BAD" w:rsidP="006A25C9">
            <w:pPr>
              <w:widowControl/>
              <w:jc w:val="right"/>
              <w:rPr>
                <w:kern w:val="0"/>
                <w:sz w:val="20"/>
              </w:rPr>
            </w:pPr>
            <w:r w:rsidRPr="00720EF1">
              <w:rPr>
                <w:kern w:val="0"/>
                <w:sz w:val="20"/>
              </w:rPr>
              <w:t xml:space="preserve">7.23 </w:t>
            </w:r>
          </w:p>
        </w:tc>
        <w:tc>
          <w:tcPr>
            <w:tcW w:w="981" w:type="dxa"/>
            <w:tcBorders>
              <w:top w:val="nil"/>
              <w:left w:val="nil"/>
              <w:bottom w:val="nil"/>
              <w:right w:val="nil"/>
            </w:tcBorders>
            <w:shd w:val="clear" w:color="auto" w:fill="auto"/>
            <w:noWrap/>
            <w:vAlign w:val="bottom"/>
            <w:hideMark/>
          </w:tcPr>
          <w:p w14:paraId="48D3807A" w14:textId="77777777" w:rsidR="000F5BAD" w:rsidRPr="00720EF1" w:rsidRDefault="000F5BAD" w:rsidP="006A25C9">
            <w:pPr>
              <w:widowControl/>
              <w:jc w:val="right"/>
              <w:rPr>
                <w:kern w:val="0"/>
                <w:sz w:val="20"/>
              </w:rPr>
            </w:pPr>
            <w:r w:rsidRPr="00720EF1">
              <w:rPr>
                <w:kern w:val="0"/>
                <w:sz w:val="20"/>
              </w:rPr>
              <w:t>57.59</w:t>
            </w:r>
          </w:p>
        </w:tc>
        <w:tc>
          <w:tcPr>
            <w:tcW w:w="962" w:type="dxa"/>
            <w:tcBorders>
              <w:top w:val="nil"/>
              <w:left w:val="nil"/>
              <w:bottom w:val="nil"/>
              <w:right w:val="nil"/>
            </w:tcBorders>
            <w:shd w:val="clear" w:color="auto" w:fill="auto"/>
            <w:noWrap/>
            <w:vAlign w:val="bottom"/>
            <w:hideMark/>
          </w:tcPr>
          <w:p w14:paraId="74F4A155" w14:textId="77777777" w:rsidR="000F5BAD" w:rsidRPr="00720EF1" w:rsidRDefault="000F5BAD" w:rsidP="006A25C9">
            <w:pPr>
              <w:widowControl/>
              <w:jc w:val="right"/>
              <w:rPr>
                <w:kern w:val="0"/>
                <w:sz w:val="20"/>
              </w:rPr>
            </w:pPr>
            <w:r w:rsidRPr="00720EF1">
              <w:rPr>
                <w:kern w:val="0"/>
                <w:sz w:val="20"/>
              </w:rPr>
              <w:t>79.36</w:t>
            </w:r>
          </w:p>
        </w:tc>
        <w:tc>
          <w:tcPr>
            <w:tcW w:w="962" w:type="dxa"/>
            <w:tcBorders>
              <w:top w:val="nil"/>
              <w:left w:val="nil"/>
              <w:bottom w:val="nil"/>
              <w:right w:val="nil"/>
            </w:tcBorders>
            <w:shd w:val="clear" w:color="auto" w:fill="auto"/>
            <w:noWrap/>
            <w:vAlign w:val="bottom"/>
            <w:hideMark/>
          </w:tcPr>
          <w:p w14:paraId="67DE31FD" w14:textId="77777777" w:rsidR="000F5BAD" w:rsidRPr="00720EF1" w:rsidRDefault="000F5BAD" w:rsidP="006A25C9">
            <w:pPr>
              <w:widowControl/>
              <w:jc w:val="right"/>
              <w:rPr>
                <w:kern w:val="0"/>
                <w:sz w:val="20"/>
              </w:rPr>
            </w:pPr>
            <w:r w:rsidRPr="00720EF1">
              <w:rPr>
                <w:kern w:val="0"/>
                <w:sz w:val="20"/>
              </w:rPr>
              <w:t>83.06</w:t>
            </w:r>
          </w:p>
        </w:tc>
        <w:tc>
          <w:tcPr>
            <w:tcW w:w="1197" w:type="dxa"/>
            <w:tcBorders>
              <w:top w:val="nil"/>
              <w:left w:val="nil"/>
              <w:bottom w:val="nil"/>
              <w:right w:val="nil"/>
            </w:tcBorders>
            <w:shd w:val="clear" w:color="auto" w:fill="auto"/>
            <w:noWrap/>
            <w:vAlign w:val="bottom"/>
            <w:hideMark/>
          </w:tcPr>
          <w:p w14:paraId="52309758" w14:textId="77777777" w:rsidR="000F5BAD" w:rsidRPr="00720EF1" w:rsidRDefault="000F5BAD" w:rsidP="006A25C9">
            <w:pPr>
              <w:widowControl/>
              <w:jc w:val="right"/>
              <w:rPr>
                <w:kern w:val="0"/>
                <w:sz w:val="20"/>
              </w:rPr>
            </w:pPr>
            <w:r w:rsidRPr="00720EF1">
              <w:rPr>
                <w:kern w:val="0"/>
                <w:sz w:val="20"/>
              </w:rPr>
              <w:t xml:space="preserve">      23.43 </w:t>
            </w:r>
          </w:p>
        </w:tc>
      </w:tr>
      <w:tr w:rsidR="000F5BAD" w:rsidRPr="00720EF1" w14:paraId="01954C45" w14:textId="77777777" w:rsidTr="006A25C9">
        <w:trPr>
          <w:trHeight w:val="258"/>
        </w:trPr>
        <w:tc>
          <w:tcPr>
            <w:tcW w:w="2810" w:type="dxa"/>
            <w:tcBorders>
              <w:top w:val="nil"/>
              <w:left w:val="nil"/>
              <w:bottom w:val="nil"/>
              <w:right w:val="nil"/>
            </w:tcBorders>
            <w:shd w:val="clear" w:color="auto" w:fill="auto"/>
            <w:noWrap/>
            <w:vAlign w:val="bottom"/>
            <w:hideMark/>
          </w:tcPr>
          <w:p w14:paraId="60485A00" w14:textId="77777777" w:rsidR="000F5BAD" w:rsidRPr="00720EF1" w:rsidRDefault="000F5BAD" w:rsidP="006A25C9">
            <w:pPr>
              <w:widowControl/>
              <w:jc w:val="left"/>
              <w:rPr>
                <w:kern w:val="0"/>
                <w:sz w:val="20"/>
              </w:rPr>
            </w:pPr>
            <w:r w:rsidRPr="00720EF1">
              <w:rPr>
                <w:kern w:val="0"/>
                <w:sz w:val="20"/>
              </w:rPr>
              <w:t>宝盈发展新动能</w:t>
            </w:r>
            <w:r w:rsidRPr="00720EF1">
              <w:rPr>
                <w:kern w:val="0"/>
                <w:sz w:val="20"/>
              </w:rPr>
              <w:t>A</w:t>
            </w:r>
          </w:p>
        </w:tc>
        <w:tc>
          <w:tcPr>
            <w:tcW w:w="766" w:type="dxa"/>
            <w:tcBorders>
              <w:top w:val="nil"/>
              <w:left w:val="nil"/>
              <w:bottom w:val="nil"/>
              <w:right w:val="nil"/>
            </w:tcBorders>
            <w:shd w:val="clear" w:color="auto" w:fill="auto"/>
            <w:noWrap/>
            <w:vAlign w:val="bottom"/>
            <w:hideMark/>
          </w:tcPr>
          <w:p w14:paraId="52B1A131"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381C3EC"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2445F686" w14:textId="77777777" w:rsidR="000F5BAD" w:rsidRPr="00720EF1" w:rsidRDefault="000F5BAD" w:rsidP="006A25C9">
            <w:pPr>
              <w:widowControl/>
              <w:jc w:val="right"/>
              <w:rPr>
                <w:kern w:val="0"/>
                <w:sz w:val="20"/>
              </w:rPr>
            </w:pPr>
            <w:r w:rsidRPr="00720EF1">
              <w:rPr>
                <w:kern w:val="0"/>
                <w:sz w:val="20"/>
              </w:rPr>
              <w:t>63.4</w:t>
            </w:r>
          </w:p>
        </w:tc>
        <w:tc>
          <w:tcPr>
            <w:tcW w:w="962" w:type="dxa"/>
            <w:tcBorders>
              <w:top w:val="nil"/>
              <w:left w:val="nil"/>
              <w:bottom w:val="nil"/>
              <w:right w:val="nil"/>
            </w:tcBorders>
            <w:shd w:val="clear" w:color="auto" w:fill="auto"/>
            <w:noWrap/>
            <w:vAlign w:val="bottom"/>
            <w:hideMark/>
          </w:tcPr>
          <w:p w14:paraId="2B0F3897" w14:textId="77777777" w:rsidR="000F5BAD" w:rsidRPr="00720EF1" w:rsidRDefault="000F5BAD" w:rsidP="006A25C9">
            <w:pPr>
              <w:widowControl/>
              <w:jc w:val="right"/>
              <w:rPr>
                <w:kern w:val="0"/>
                <w:sz w:val="20"/>
              </w:rPr>
            </w:pPr>
            <w:r w:rsidRPr="00720EF1">
              <w:rPr>
                <w:kern w:val="0"/>
                <w:sz w:val="20"/>
              </w:rPr>
              <w:t>79.9</w:t>
            </w:r>
          </w:p>
        </w:tc>
        <w:tc>
          <w:tcPr>
            <w:tcW w:w="962" w:type="dxa"/>
            <w:tcBorders>
              <w:top w:val="nil"/>
              <w:left w:val="nil"/>
              <w:bottom w:val="nil"/>
              <w:right w:val="nil"/>
            </w:tcBorders>
            <w:shd w:val="clear" w:color="auto" w:fill="auto"/>
            <w:noWrap/>
            <w:vAlign w:val="bottom"/>
            <w:hideMark/>
          </w:tcPr>
          <w:p w14:paraId="01FABE65" w14:textId="77777777" w:rsidR="000F5BAD" w:rsidRPr="00720EF1" w:rsidRDefault="000F5BAD" w:rsidP="006A25C9">
            <w:pPr>
              <w:widowControl/>
              <w:jc w:val="right"/>
              <w:rPr>
                <w:kern w:val="0"/>
                <w:sz w:val="20"/>
              </w:rPr>
            </w:pPr>
            <w:r w:rsidRPr="00720EF1">
              <w:rPr>
                <w:kern w:val="0"/>
                <w:sz w:val="20"/>
              </w:rPr>
              <w:t>80.27</w:t>
            </w:r>
          </w:p>
        </w:tc>
        <w:tc>
          <w:tcPr>
            <w:tcW w:w="1197" w:type="dxa"/>
            <w:tcBorders>
              <w:top w:val="nil"/>
              <w:left w:val="nil"/>
              <w:bottom w:val="nil"/>
              <w:right w:val="nil"/>
            </w:tcBorders>
            <w:shd w:val="clear" w:color="auto" w:fill="auto"/>
            <w:noWrap/>
            <w:vAlign w:val="bottom"/>
            <w:hideMark/>
          </w:tcPr>
          <w:p w14:paraId="0B66CB63" w14:textId="77777777" w:rsidR="000F5BAD" w:rsidRPr="00720EF1" w:rsidRDefault="000F5BAD" w:rsidP="006A25C9">
            <w:pPr>
              <w:widowControl/>
              <w:jc w:val="right"/>
              <w:rPr>
                <w:kern w:val="0"/>
                <w:sz w:val="20"/>
              </w:rPr>
            </w:pPr>
            <w:r w:rsidRPr="00720EF1">
              <w:rPr>
                <w:kern w:val="0"/>
                <w:sz w:val="20"/>
              </w:rPr>
              <w:t xml:space="preserve">      26.29 </w:t>
            </w:r>
          </w:p>
        </w:tc>
      </w:tr>
      <w:tr w:rsidR="000F5BAD" w:rsidRPr="00720EF1" w14:paraId="136CA202" w14:textId="77777777" w:rsidTr="006A25C9">
        <w:trPr>
          <w:trHeight w:val="258"/>
        </w:trPr>
        <w:tc>
          <w:tcPr>
            <w:tcW w:w="2810" w:type="dxa"/>
            <w:tcBorders>
              <w:top w:val="nil"/>
              <w:left w:val="nil"/>
              <w:bottom w:val="nil"/>
              <w:right w:val="nil"/>
            </w:tcBorders>
            <w:shd w:val="clear" w:color="auto" w:fill="auto"/>
            <w:noWrap/>
            <w:vAlign w:val="bottom"/>
            <w:hideMark/>
          </w:tcPr>
          <w:p w14:paraId="579B991F" w14:textId="77777777" w:rsidR="000F5BAD" w:rsidRPr="00720EF1" w:rsidRDefault="000F5BAD" w:rsidP="006A25C9">
            <w:pPr>
              <w:widowControl/>
              <w:jc w:val="left"/>
              <w:rPr>
                <w:kern w:val="0"/>
                <w:sz w:val="20"/>
              </w:rPr>
            </w:pPr>
            <w:r w:rsidRPr="00720EF1">
              <w:rPr>
                <w:kern w:val="0"/>
                <w:sz w:val="20"/>
              </w:rPr>
              <w:t>朱雀企业优选</w:t>
            </w:r>
            <w:r w:rsidRPr="00720EF1">
              <w:rPr>
                <w:kern w:val="0"/>
                <w:sz w:val="20"/>
              </w:rPr>
              <w:t>C</w:t>
            </w:r>
          </w:p>
        </w:tc>
        <w:tc>
          <w:tcPr>
            <w:tcW w:w="766" w:type="dxa"/>
            <w:tcBorders>
              <w:top w:val="nil"/>
              <w:left w:val="nil"/>
              <w:bottom w:val="nil"/>
              <w:right w:val="nil"/>
            </w:tcBorders>
            <w:shd w:val="clear" w:color="auto" w:fill="auto"/>
            <w:noWrap/>
            <w:vAlign w:val="bottom"/>
            <w:hideMark/>
          </w:tcPr>
          <w:p w14:paraId="074E0F57"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58AF22D1" w14:textId="77777777" w:rsidR="000F5BAD" w:rsidRPr="00720EF1" w:rsidRDefault="000F5BAD" w:rsidP="006A25C9">
            <w:pPr>
              <w:widowControl/>
              <w:jc w:val="right"/>
              <w:rPr>
                <w:kern w:val="0"/>
                <w:sz w:val="20"/>
              </w:rPr>
            </w:pPr>
            <w:r w:rsidRPr="00720EF1">
              <w:rPr>
                <w:kern w:val="0"/>
                <w:sz w:val="20"/>
              </w:rPr>
              <w:t xml:space="preserve">6.46 </w:t>
            </w:r>
          </w:p>
        </w:tc>
        <w:tc>
          <w:tcPr>
            <w:tcW w:w="981" w:type="dxa"/>
            <w:tcBorders>
              <w:top w:val="nil"/>
              <w:left w:val="nil"/>
              <w:bottom w:val="nil"/>
              <w:right w:val="nil"/>
            </w:tcBorders>
            <w:shd w:val="clear" w:color="auto" w:fill="auto"/>
            <w:noWrap/>
            <w:vAlign w:val="bottom"/>
            <w:hideMark/>
          </w:tcPr>
          <w:p w14:paraId="51D79E31" w14:textId="77777777" w:rsidR="000F5BAD" w:rsidRPr="00720EF1" w:rsidRDefault="000F5BAD" w:rsidP="006A25C9">
            <w:pPr>
              <w:widowControl/>
              <w:jc w:val="right"/>
              <w:rPr>
                <w:kern w:val="0"/>
                <w:sz w:val="20"/>
              </w:rPr>
            </w:pPr>
            <w:r w:rsidRPr="00720EF1">
              <w:rPr>
                <w:kern w:val="0"/>
                <w:sz w:val="20"/>
              </w:rPr>
              <w:t>64.94</w:t>
            </w:r>
          </w:p>
        </w:tc>
        <w:tc>
          <w:tcPr>
            <w:tcW w:w="962" w:type="dxa"/>
            <w:tcBorders>
              <w:top w:val="nil"/>
              <w:left w:val="nil"/>
              <w:bottom w:val="nil"/>
              <w:right w:val="nil"/>
            </w:tcBorders>
            <w:shd w:val="clear" w:color="auto" w:fill="auto"/>
            <w:noWrap/>
            <w:vAlign w:val="bottom"/>
            <w:hideMark/>
          </w:tcPr>
          <w:p w14:paraId="57DC97B7" w14:textId="77777777" w:rsidR="000F5BAD" w:rsidRPr="00720EF1" w:rsidRDefault="000F5BAD" w:rsidP="006A25C9">
            <w:pPr>
              <w:widowControl/>
              <w:jc w:val="right"/>
              <w:rPr>
                <w:kern w:val="0"/>
                <w:sz w:val="20"/>
              </w:rPr>
            </w:pPr>
            <w:r w:rsidRPr="00720EF1">
              <w:rPr>
                <w:kern w:val="0"/>
                <w:sz w:val="20"/>
              </w:rPr>
              <w:t>77.51</w:t>
            </w:r>
          </w:p>
        </w:tc>
        <w:tc>
          <w:tcPr>
            <w:tcW w:w="962" w:type="dxa"/>
            <w:tcBorders>
              <w:top w:val="nil"/>
              <w:left w:val="nil"/>
              <w:bottom w:val="nil"/>
              <w:right w:val="nil"/>
            </w:tcBorders>
            <w:shd w:val="clear" w:color="auto" w:fill="auto"/>
            <w:noWrap/>
            <w:vAlign w:val="bottom"/>
            <w:hideMark/>
          </w:tcPr>
          <w:p w14:paraId="44B5201F" w14:textId="77777777" w:rsidR="000F5BAD" w:rsidRPr="00720EF1" w:rsidRDefault="000F5BAD" w:rsidP="006A25C9">
            <w:pPr>
              <w:widowControl/>
              <w:jc w:val="right"/>
              <w:rPr>
                <w:kern w:val="0"/>
                <w:sz w:val="20"/>
              </w:rPr>
            </w:pPr>
            <w:r w:rsidRPr="00720EF1">
              <w:rPr>
                <w:kern w:val="0"/>
                <w:sz w:val="20"/>
              </w:rPr>
              <w:t>78.74</w:t>
            </w:r>
          </w:p>
        </w:tc>
        <w:tc>
          <w:tcPr>
            <w:tcW w:w="1197" w:type="dxa"/>
            <w:tcBorders>
              <w:top w:val="nil"/>
              <w:left w:val="nil"/>
              <w:bottom w:val="nil"/>
              <w:right w:val="nil"/>
            </w:tcBorders>
            <w:shd w:val="clear" w:color="auto" w:fill="auto"/>
            <w:noWrap/>
            <w:vAlign w:val="bottom"/>
            <w:hideMark/>
          </w:tcPr>
          <w:p w14:paraId="739E1A87" w14:textId="77777777" w:rsidR="000F5BAD" w:rsidRPr="00720EF1" w:rsidRDefault="000F5BAD" w:rsidP="006A25C9">
            <w:pPr>
              <w:widowControl/>
              <w:jc w:val="right"/>
              <w:rPr>
                <w:kern w:val="0"/>
                <w:sz w:val="20"/>
              </w:rPr>
            </w:pPr>
            <w:r w:rsidRPr="00720EF1">
              <w:rPr>
                <w:kern w:val="0"/>
                <w:sz w:val="20"/>
              </w:rPr>
              <w:t xml:space="preserve">      12.49 </w:t>
            </w:r>
          </w:p>
        </w:tc>
      </w:tr>
      <w:tr w:rsidR="000F5BAD" w:rsidRPr="00720EF1" w14:paraId="3818FF4C" w14:textId="77777777" w:rsidTr="006A25C9">
        <w:trPr>
          <w:trHeight w:val="258"/>
        </w:trPr>
        <w:tc>
          <w:tcPr>
            <w:tcW w:w="2810" w:type="dxa"/>
            <w:tcBorders>
              <w:top w:val="nil"/>
              <w:left w:val="nil"/>
              <w:bottom w:val="nil"/>
              <w:right w:val="nil"/>
            </w:tcBorders>
            <w:shd w:val="clear" w:color="auto" w:fill="auto"/>
            <w:noWrap/>
            <w:vAlign w:val="bottom"/>
            <w:hideMark/>
          </w:tcPr>
          <w:p w14:paraId="498FEF08" w14:textId="77777777" w:rsidR="000F5BAD" w:rsidRPr="00720EF1" w:rsidRDefault="000F5BAD" w:rsidP="006A25C9">
            <w:pPr>
              <w:widowControl/>
              <w:jc w:val="left"/>
              <w:rPr>
                <w:kern w:val="0"/>
                <w:sz w:val="20"/>
              </w:rPr>
            </w:pPr>
            <w:r w:rsidRPr="00720EF1">
              <w:rPr>
                <w:kern w:val="0"/>
                <w:sz w:val="20"/>
              </w:rPr>
              <w:t>广发高端制造</w:t>
            </w:r>
            <w:r w:rsidRPr="00720EF1">
              <w:rPr>
                <w:kern w:val="0"/>
                <w:sz w:val="20"/>
              </w:rPr>
              <w:t>C</w:t>
            </w:r>
          </w:p>
        </w:tc>
        <w:tc>
          <w:tcPr>
            <w:tcW w:w="766" w:type="dxa"/>
            <w:tcBorders>
              <w:top w:val="nil"/>
              <w:left w:val="nil"/>
              <w:bottom w:val="nil"/>
              <w:right w:val="nil"/>
            </w:tcBorders>
            <w:shd w:val="clear" w:color="auto" w:fill="auto"/>
            <w:noWrap/>
            <w:vAlign w:val="bottom"/>
            <w:hideMark/>
          </w:tcPr>
          <w:p w14:paraId="31D1EA9C"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5D22414E" w14:textId="77777777" w:rsidR="000F5BAD" w:rsidRPr="00720EF1" w:rsidRDefault="000F5BAD" w:rsidP="006A25C9">
            <w:pPr>
              <w:widowControl/>
              <w:jc w:val="right"/>
              <w:rPr>
                <w:kern w:val="0"/>
                <w:sz w:val="20"/>
              </w:rPr>
            </w:pPr>
            <w:r w:rsidRPr="00720EF1">
              <w:rPr>
                <w:kern w:val="0"/>
                <w:sz w:val="20"/>
              </w:rPr>
              <w:t xml:space="preserve">7.27 </w:t>
            </w:r>
          </w:p>
        </w:tc>
        <w:tc>
          <w:tcPr>
            <w:tcW w:w="981" w:type="dxa"/>
            <w:tcBorders>
              <w:top w:val="nil"/>
              <w:left w:val="nil"/>
              <w:bottom w:val="nil"/>
              <w:right w:val="nil"/>
            </w:tcBorders>
            <w:shd w:val="clear" w:color="auto" w:fill="auto"/>
            <w:noWrap/>
            <w:vAlign w:val="bottom"/>
            <w:hideMark/>
          </w:tcPr>
          <w:p w14:paraId="063036FD" w14:textId="77777777" w:rsidR="000F5BAD" w:rsidRPr="00720EF1" w:rsidRDefault="000F5BAD" w:rsidP="006A25C9">
            <w:pPr>
              <w:widowControl/>
              <w:jc w:val="right"/>
              <w:rPr>
                <w:kern w:val="0"/>
                <w:sz w:val="20"/>
              </w:rPr>
            </w:pPr>
            <w:r w:rsidRPr="00720EF1">
              <w:rPr>
                <w:kern w:val="0"/>
                <w:sz w:val="20"/>
              </w:rPr>
              <w:t>68.52</w:t>
            </w:r>
          </w:p>
        </w:tc>
        <w:tc>
          <w:tcPr>
            <w:tcW w:w="962" w:type="dxa"/>
            <w:tcBorders>
              <w:top w:val="nil"/>
              <w:left w:val="nil"/>
              <w:bottom w:val="nil"/>
              <w:right w:val="nil"/>
            </w:tcBorders>
            <w:shd w:val="clear" w:color="auto" w:fill="auto"/>
            <w:noWrap/>
            <w:vAlign w:val="bottom"/>
            <w:hideMark/>
          </w:tcPr>
          <w:p w14:paraId="02BA3FBC" w14:textId="77777777" w:rsidR="000F5BAD" w:rsidRPr="00720EF1" w:rsidRDefault="000F5BAD" w:rsidP="006A25C9">
            <w:pPr>
              <w:widowControl/>
              <w:jc w:val="right"/>
              <w:rPr>
                <w:kern w:val="0"/>
                <w:sz w:val="20"/>
              </w:rPr>
            </w:pPr>
            <w:r w:rsidRPr="00720EF1">
              <w:rPr>
                <w:kern w:val="0"/>
                <w:sz w:val="20"/>
              </w:rPr>
              <w:t>84.15</w:t>
            </w:r>
          </w:p>
        </w:tc>
        <w:tc>
          <w:tcPr>
            <w:tcW w:w="962" w:type="dxa"/>
            <w:tcBorders>
              <w:top w:val="nil"/>
              <w:left w:val="nil"/>
              <w:bottom w:val="nil"/>
              <w:right w:val="nil"/>
            </w:tcBorders>
            <w:shd w:val="clear" w:color="auto" w:fill="auto"/>
            <w:noWrap/>
            <w:vAlign w:val="bottom"/>
            <w:hideMark/>
          </w:tcPr>
          <w:p w14:paraId="3E2BCF23" w14:textId="77777777" w:rsidR="000F5BAD" w:rsidRPr="00720EF1" w:rsidRDefault="000F5BAD" w:rsidP="006A25C9">
            <w:pPr>
              <w:widowControl/>
              <w:jc w:val="right"/>
              <w:rPr>
                <w:kern w:val="0"/>
                <w:sz w:val="20"/>
              </w:rPr>
            </w:pPr>
            <w:r w:rsidRPr="00720EF1">
              <w:rPr>
                <w:kern w:val="0"/>
                <w:sz w:val="20"/>
              </w:rPr>
              <w:t>80.13</w:t>
            </w:r>
          </w:p>
        </w:tc>
        <w:tc>
          <w:tcPr>
            <w:tcW w:w="1197" w:type="dxa"/>
            <w:tcBorders>
              <w:top w:val="nil"/>
              <w:left w:val="nil"/>
              <w:bottom w:val="nil"/>
              <w:right w:val="nil"/>
            </w:tcBorders>
            <w:shd w:val="clear" w:color="auto" w:fill="auto"/>
            <w:noWrap/>
            <w:vAlign w:val="bottom"/>
            <w:hideMark/>
          </w:tcPr>
          <w:p w14:paraId="31B64244" w14:textId="77777777" w:rsidR="000F5BAD" w:rsidRPr="00720EF1" w:rsidRDefault="000F5BAD" w:rsidP="006A25C9">
            <w:pPr>
              <w:widowControl/>
              <w:jc w:val="right"/>
              <w:rPr>
                <w:kern w:val="0"/>
                <w:sz w:val="20"/>
              </w:rPr>
            </w:pPr>
            <w:r w:rsidRPr="00720EF1">
              <w:rPr>
                <w:kern w:val="0"/>
                <w:sz w:val="20"/>
              </w:rPr>
              <w:t xml:space="preserve">      23.10 </w:t>
            </w:r>
          </w:p>
        </w:tc>
      </w:tr>
      <w:tr w:rsidR="000F5BAD" w:rsidRPr="00720EF1" w14:paraId="11881226" w14:textId="77777777" w:rsidTr="006A25C9">
        <w:trPr>
          <w:trHeight w:val="258"/>
        </w:trPr>
        <w:tc>
          <w:tcPr>
            <w:tcW w:w="2810" w:type="dxa"/>
            <w:tcBorders>
              <w:top w:val="nil"/>
              <w:left w:val="nil"/>
              <w:bottom w:val="nil"/>
              <w:right w:val="nil"/>
            </w:tcBorders>
            <w:shd w:val="clear" w:color="auto" w:fill="auto"/>
            <w:noWrap/>
            <w:vAlign w:val="bottom"/>
            <w:hideMark/>
          </w:tcPr>
          <w:p w14:paraId="3206E339" w14:textId="77777777" w:rsidR="000F5BAD" w:rsidRPr="00720EF1" w:rsidRDefault="000F5BAD" w:rsidP="006A25C9">
            <w:pPr>
              <w:widowControl/>
              <w:jc w:val="left"/>
              <w:rPr>
                <w:kern w:val="0"/>
                <w:sz w:val="20"/>
              </w:rPr>
            </w:pPr>
            <w:r w:rsidRPr="00720EF1">
              <w:rPr>
                <w:kern w:val="0"/>
                <w:sz w:val="20"/>
              </w:rPr>
              <w:t>广发资源优选</w:t>
            </w:r>
            <w:r w:rsidRPr="00720EF1">
              <w:rPr>
                <w:kern w:val="0"/>
                <w:sz w:val="20"/>
              </w:rPr>
              <w:t>C</w:t>
            </w:r>
          </w:p>
        </w:tc>
        <w:tc>
          <w:tcPr>
            <w:tcW w:w="766" w:type="dxa"/>
            <w:tcBorders>
              <w:top w:val="nil"/>
              <w:left w:val="nil"/>
              <w:bottom w:val="nil"/>
              <w:right w:val="nil"/>
            </w:tcBorders>
            <w:shd w:val="clear" w:color="auto" w:fill="auto"/>
            <w:noWrap/>
            <w:vAlign w:val="bottom"/>
            <w:hideMark/>
          </w:tcPr>
          <w:p w14:paraId="4D47C8AA"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55E9FC1F" w14:textId="77777777" w:rsidR="000F5BAD" w:rsidRPr="00720EF1" w:rsidRDefault="000F5BAD" w:rsidP="006A25C9">
            <w:pPr>
              <w:widowControl/>
              <w:jc w:val="right"/>
              <w:rPr>
                <w:kern w:val="0"/>
                <w:sz w:val="20"/>
              </w:rPr>
            </w:pPr>
            <w:r w:rsidRPr="00720EF1">
              <w:rPr>
                <w:kern w:val="0"/>
                <w:sz w:val="20"/>
              </w:rPr>
              <w:t xml:space="preserve">7.19 </w:t>
            </w:r>
          </w:p>
        </w:tc>
        <w:tc>
          <w:tcPr>
            <w:tcW w:w="981" w:type="dxa"/>
            <w:tcBorders>
              <w:top w:val="nil"/>
              <w:left w:val="nil"/>
              <w:bottom w:val="nil"/>
              <w:right w:val="nil"/>
            </w:tcBorders>
            <w:shd w:val="clear" w:color="auto" w:fill="auto"/>
            <w:noWrap/>
            <w:vAlign w:val="bottom"/>
            <w:hideMark/>
          </w:tcPr>
          <w:p w14:paraId="0C7A0D5A" w14:textId="77777777" w:rsidR="000F5BAD" w:rsidRPr="00720EF1" w:rsidRDefault="000F5BAD" w:rsidP="006A25C9">
            <w:pPr>
              <w:widowControl/>
              <w:jc w:val="right"/>
              <w:rPr>
                <w:kern w:val="0"/>
                <w:sz w:val="20"/>
              </w:rPr>
            </w:pPr>
            <w:r w:rsidRPr="00720EF1">
              <w:rPr>
                <w:kern w:val="0"/>
                <w:sz w:val="20"/>
              </w:rPr>
              <w:t>67.02</w:t>
            </w:r>
          </w:p>
        </w:tc>
        <w:tc>
          <w:tcPr>
            <w:tcW w:w="962" w:type="dxa"/>
            <w:tcBorders>
              <w:top w:val="nil"/>
              <w:left w:val="nil"/>
              <w:bottom w:val="nil"/>
              <w:right w:val="nil"/>
            </w:tcBorders>
            <w:shd w:val="clear" w:color="auto" w:fill="auto"/>
            <w:noWrap/>
            <w:vAlign w:val="bottom"/>
            <w:hideMark/>
          </w:tcPr>
          <w:p w14:paraId="415EF23D" w14:textId="77777777" w:rsidR="000F5BAD" w:rsidRPr="00720EF1" w:rsidRDefault="000F5BAD" w:rsidP="006A25C9">
            <w:pPr>
              <w:widowControl/>
              <w:jc w:val="right"/>
              <w:rPr>
                <w:kern w:val="0"/>
                <w:sz w:val="20"/>
              </w:rPr>
            </w:pPr>
            <w:r w:rsidRPr="00720EF1">
              <w:rPr>
                <w:kern w:val="0"/>
                <w:sz w:val="20"/>
              </w:rPr>
              <w:t>82.47</w:t>
            </w:r>
          </w:p>
        </w:tc>
        <w:tc>
          <w:tcPr>
            <w:tcW w:w="962" w:type="dxa"/>
            <w:tcBorders>
              <w:top w:val="nil"/>
              <w:left w:val="nil"/>
              <w:bottom w:val="nil"/>
              <w:right w:val="nil"/>
            </w:tcBorders>
            <w:shd w:val="clear" w:color="auto" w:fill="auto"/>
            <w:noWrap/>
            <w:vAlign w:val="bottom"/>
            <w:hideMark/>
          </w:tcPr>
          <w:p w14:paraId="727FDF01" w14:textId="77777777" w:rsidR="000F5BAD" w:rsidRPr="00720EF1" w:rsidRDefault="000F5BAD" w:rsidP="006A25C9">
            <w:pPr>
              <w:widowControl/>
              <w:jc w:val="right"/>
              <w:rPr>
                <w:kern w:val="0"/>
                <w:sz w:val="20"/>
              </w:rPr>
            </w:pPr>
            <w:r w:rsidRPr="00720EF1">
              <w:rPr>
                <w:kern w:val="0"/>
                <w:sz w:val="20"/>
              </w:rPr>
              <w:t>76.81</w:t>
            </w:r>
          </w:p>
        </w:tc>
        <w:tc>
          <w:tcPr>
            <w:tcW w:w="1197" w:type="dxa"/>
            <w:tcBorders>
              <w:top w:val="nil"/>
              <w:left w:val="nil"/>
              <w:bottom w:val="nil"/>
              <w:right w:val="nil"/>
            </w:tcBorders>
            <w:shd w:val="clear" w:color="auto" w:fill="auto"/>
            <w:noWrap/>
            <w:vAlign w:val="bottom"/>
            <w:hideMark/>
          </w:tcPr>
          <w:p w14:paraId="2E9B2931" w14:textId="77777777" w:rsidR="000F5BAD" w:rsidRPr="00720EF1" w:rsidRDefault="000F5BAD" w:rsidP="006A25C9">
            <w:pPr>
              <w:widowControl/>
              <w:jc w:val="right"/>
              <w:rPr>
                <w:kern w:val="0"/>
                <w:sz w:val="20"/>
              </w:rPr>
            </w:pPr>
            <w:r w:rsidRPr="00720EF1">
              <w:rPr>
                <w:kern w:val="0"/>
                <w:sz w:val="20"/>
              </w:rPr>
              <w:t xml:space="preserve">      29.44 </w:t>
            </w:r>
          </w:p>
        </w:tc>
      </w:tr>
      <w:tr w:rsidR="000F5BAD" w:rsidRPr="00720EF1" w14:paraId="3F0EA1E4" w14:textId="77777777" w:rsidTr="006A25C9">
        <w:trPr>
          <w:trHeight w:val="258"/>
        </w:trPr>
        <w:tc>
          <w:tcPr>
            <w:tcW w:w="2810" w:type="dxa"/>
            <w:tcBorders>
              <w:top w:val="nil"/>
              <w:left w:val="nil"/>
              <w:bottom w:val="nil"/>
              <w:right w:val="nil"/>
            </w:tcBorders>
            <w:shd w:val="clear" w:color="auto" w:fill="auto"/>
            <w:noWrap/>
            <w:vAlign w:val="bottom"/>
            <w:hideMark/>
          </w:tcPr>
          <w:p w14:paraId="2C2CEB03" w14:textId="77777777" w:rsidR="000F5BAD" w:rsidRPr="00720EF1" w:rsidRDefault="000F5BAD" w:rsidP="006A25C9">
            <w:pPr>
              <w:widowControl/>
              <w:jc w:val="left"/>
              <w:rPr>
                <w:kern w:val="0"/>
                <w:sz w:val="20"/>
              </w:rPr>
            </w:pPr>
          </w:p>
          <w:p w14:paraId="52409633" w14:textId="77777777" w:rsidR="000F5BAD" w:rsidRPr="00720EF1" w:rsidRDefault="000F5BAD" w:rsidP="006A25C9">
            <w:pPr>
              <w:widowControl/>
              <w:jc w:val="left"/>
              <w:rPr>
                <w:kern w:val="0"/>
                <w:sz w:val="20"/>
              </w:rPr>
            </w:pPr>
            <w:r w:rsidRPr="00720EF1">
              <w:rPr>
                <w:kern w:val="0"/>
                <w:sz w:val="20"/>
              </w:rPr>
              <w:t>广发电子信息传媒产业精选</w:t>
            </w:r>
            <w:r w:rsidRPr="00720EF1">
              <w:rPr>
                <w:kern w:val="0"/>
                <w:sz w:val="20"/>
              </w:rPr>
              <w:t>C</w:t>
            </w:r>
          </w:p>
        </w:tc>
        <w:tc>
          <w:tcPr>
            <w:tcW w:w="766" w:type="dxa"/>
            <w:tcBorders>
              <w:top w:val="nil"/>
              <w:left w:val="nil"/>
              <w:bottom w:val="nil"/>
              <w:right w:val="nil"/>
            </w:tcBorders>
            <w:shd w:val="clear" w:color="auto" w:fill="auto"/>
            <w:noWrap/>
            <w:vAlign w:val="bottom"/>
            <w:hideMark/>
          </w:tcPr>
          <w:p w14:paraId="12CF00A4" w14:textId="77777777" w:rsidR="000F5BAD" w:rsidRPr="00720EF1" w:rsidRDefault="000F5BAD" w:rsidP="006A25C9">
            <w:pPr>
              <w:widowControl/>
              <w:jc w:val="center"/>
              <w:rPr>
                <w:kern w:val="0"/>
                <w:sz w:val="20"/>
              </w:rPr>
            </w:pPr>
          </w:p>
          <w:p w14:paraId="2A584C73"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1879AC73" w14:textId="77777777" w:rsidR="000F5BAD" w:rsidRPr="00720EF1" w:rsidRDefault="000F5BAD" w:rsidP="006A25C9">
            <w:pPr>
              <w:widowControl/>
              <w:jc w:val="right"/>
              <w:rPr>
                <w:kern w:val="0"/>
                <w:sz w:val="20"/>
              </w:rPr>
            </w:pPr>
          </w:p>
          <w:p w14:paraId="0ED974FF" w14:textId="77777777" w:rsidR="000F5BAD" w:rsidRPr="00720EF1" w:rsidRDefault="000F5BAD" w:rsidP="006A25C9">
            <w:pPr>
              <w:widowControl/>
              <w:jc w:val="right"/>
              <w:rPr>
                <w:kern w:val="0"/>
                <w:sz w:val="20"/>
              </w:rPr>
            </w:pPr>
            <w:r w:rsidRPr="00720EF1">
              <w:rPr>
                <w:kern w:val="0"/>
                <w:sz w:val="20"/>
              </w:rPr>
              <w:t xml:space="preserve">8.46 </w:t>
            </w:r>
          </w:p>
        </w:tc>
        <w:tc>
          <w:tcPr>
            <w:tcW w:w="981" w:type="dxa"/>
            <w:tcBorders>
              <w:top w:val="nil"/>
              <w:left w:val="nil"/>
              <w:bottom w:val="nil"/>
              <w:right w:val="nil"/>
            </w:tcBorders>
            <w:shd w:val="clear" w:color="auto" w:fill="auto"/>
            <w:noWrap/>
            <w:vAlign w:val="bottom"/>
            <w:hideMark/>
          </w:tcPr>
          <w:p w14:paraId="476A1D79" w14:textId="77777777" w:rsidR="000F5BAD" w:rsidRPr="00720EF1" w:rsidRDefault="000F5BAD" w:rsidP="006A25C9">
            <w:pPr>
              <w:widowControl/>
              <w:jc w:val="right"/>
              <w:rPr>
                <w:kern w:val="0"/>
                <w:sz w:val="20"/>
              </w:rPr>
            </w:pPr>
          </w:p>
          <w:p w14:paraId="4CF985B2" w14:textId="77777777" w:rsidR="000F5BAD" w:rsidRPr="00720EF1" w:rsidRDefault="000F5BAD" w:rsidP="006A25C9">
            <w:pPr>
              <w:widowControl/>
              <w:jc w:val="right"/>
              <w:rPr>
                <w:kern w:val="0"/>
                <w:sz w:val="20"/>
              </w:rPr>
            </w:pPr>
            <w:r w:rsidRPr="00720EF1">
              <w:rPr>
                <w:kern w:val="0"/>
                <w:sz w:val="20"/>
              </w:rPr>
              <w:t>69.11</w:t>
            </w:r>
          </w:p>
        </w:tc>
        <w:tc>
          <w:tcPr>
            <w:tcW w:w="962" w:type="dxa"/>
            <w:tcBorders>
              <w:top w:val="nil"/>
              <w:left w:val="nil"/>
              <w:bottom w:val="nil"/>
              <w:right w:val="nil"/>
            </w:tcBorders>
            <w:shd w:val="clear" w:color="auto" w:fill="auto"/>
            <w:noWrap/>
            <w:vAlign w:val="bottom"/>
            <w:hideMark/>
          </w:tcPr>
          <w:p w14:paraId="1B8AD63B" w14:textId="77777777" w:rsidR="000F5BAD" w:rsidRPr="00720EF1" w:rsidRDefault="000F5BAD" w:rsidP="006A25C9">
            <w:pPr>
              <w:widowControl/>
              <w:jc w:val="right"/>
              <w:rPr>
                <w:kern w:val="0"/>
                <w:sz w:val="20"/>
              </w:rPr>
            </w:pPr>
          </w:p>
          <w:p w14:paraId="384963BC" w14:textId="77777777" w:rsidR="000F5BAD" w:rsidRPr="00720EF1" w:rsidRDefault="000F5BAD" w:rsidP="006A25C9">
            <w:pPr>
              <w:widowControl/>
              <w:jc w:val="right"/>
              <w:rPr>
                <w:kern w:val="0"/>
                <w:sz w:val="20"/>
              </w:rPr>
            </w:pPr>
            <w:r w:rsidRPr="00720EF1">
              <w:rPr>
                <w:kern w:val="0"/>
                <w:sz w:val="20"/>
              </w:rPr>
              <w:t>82.52</w:t>
            </w:r>
          </w:p>
        </w:tc>
        <w:tc>
          <w:tcPr>
            <w:tcW w:w="962" w:type="dxa"/>
            <w:tcBorders>
              <w:top w:val="nil"/>
              <w:left w:val="nil"/>
              <w:bottom w:val="nil"/>
              <w:right w:val="nil"/>
            </w:tcBorders>
            <w:shd w:val="clear" w:color="auto" w:fill="auto"/>
            <w:noWrap/>
            <w:vAlign w:val="bottom"/>
            <w:hideMark/>
          </w:tcPr>
          <w:p w14:paraId="7283F604" w14:textId="77777777" w:rsidR="000F5BAD" w:rsidRPr="00720EF1" w:rsidRDefault="000F5BAD" w:rsidP="006A25C9">
            <w:pPr>
              <w:widowControl/>
              <w:jc w:val="right"/>
              <w:rPr>
                <w:kern w:val="0"/>
                <w:sz w:val="20"/>
              </w:rPr>
            </w:pPr>
          </w:p>
          <w:p w14:paraId="4B81E5AC" w14:textId="77777777" w:rsidR="000F5BAD" w:rsidRPr="00720EF1" w:rsidRDefault="000F5BAD" w:rsidP="006A25C9">
            <w:pPr>
              <w:widowControl/>
              <w:jc w:val="right"/>
              <w:rPr>
                <w:kern w:val="0"/>
                <w:sz w:val="20"/>
              </w:rPr>
            </w:pPr>
            <w:r w:rsidRPr="00720EF1">
              <w:rPr>
                <w:kern w:val="0"/>
                <w:sz w:val="20"/>
              </w:rPr>
              <w:t>81.64</w:t>
            </w:r>
          </w:p>
        </w:tc>
        <w:tc>
          <w:tcPr>
            <w:tcW w:w="1197" w:type="dxa"/>
            <w:tcBorders>
              <w:top w:val="nil"/>
              <w:left w:val="nil"/>
              <w:bottom w:val="nil"/>
              <w:right w:val="nil"/>
            </w:tcBorders>
            <w:shd w:val="clear" w:color="auto" w:fill="auto"/>
            <w:noWrap/>
            <w:vAlign w:val="bottom"/>
            <w:hideMark/>
          </w:tcPr>
          <w:p w14:paraId="5154D8D1" w14:textId="77777777" w:rsidR="000F5BAD" w:rsidRPr="00720EF1" w:rsidRDefault="000F5BAD" w:rsidP="006A25C9">
            <w:pPr>
              <w:widowControl/>
              <w:jc w:val="right"/>
              <w:rPr>
                <w:kern w:val="0"/>
                <w:sz w:val="20"/>
              </w:rPr>
            </w:pPr>
            <w:r w:rsidRPr="00720EF1">
              <w:rPr>
                <w:kern w:val="0"/>
                <w:sz w:val="20"/>
              </w:rPr>
              <w:t xml:space="preserve">      23.52 </w:t>
            </w:r>
          </w:p>
        </w:tc>
      </w:tr>
      <w:tr w:rsidR="000F5BAD" w:rsidRPr="00720EF1" w14:paraId="3A7EB1D2" w14:textId="77777777" w:rsidTr="006A25C9">
        <w:trPr>
          <w:trHeight w:val="258"/>
        </w:trPr>
        <w:tc>
          <w:tcPr>
            <w:tcW w:w="2810" w:type="dxa"/>
            <w:tcBorders>
              <w:top w:val="nil"/>
              <w:left w:val="nil"/>
              <w:bottom w:val="nil"/>
              <w:right w:val="nil"/>
            </w:tcBorders>
            <w:shd w:val="clear" w:color="auto" w:fill="auto"/>
            <w:noWrap/>
            <w:vAlign w:val="bottom"/>
            <w:hideMark/>
          </w:tcPr>
          <w:p w14:paraId="2F658B1C" w14:textId="77777777" w:rsidR="000F5BAD" w:rsidRPr="00720EF1" w:rsidRDefault="000F5BAD" w:rsidP="006A25C9">
            <w:pPr>
              <w:widowControl/>
              <w:jc w:val="left"/>
              <w:rPr>
                <w:kern w:val="0"/>
                <w:sz w:val="20"/>
              </w:rPr>
            </w:pPr>
            <w:r w:rsidRPr="00720EF1">
              <w:rPr>
                <w:kern w:val="0"/>
                <w:sz w:val="20"/>
              </w:rPr>
              <w:t>招商产业精选</w:t>
            </w:r>
            <w:r w:rsidRPr="00720EF1">
              <w:rPr>
                <w:kern w:val="0"/>
                <w:sz w:val="20"/>
              </w:rPr>
              <w:t>C</w:t>
            </w:r>
          </w:p>
        </w:tc>
        <w:tc>
          <w:tcPr>
            <w:tcW w:w="766" w:type="dxa"/>
            <w:tcBorders>
              <w:top w:val="nil"/>
              <w:left w:val="nil"/>
              <w:bottom w:val="nil"/>
              <w:right w:val="nil"/>
            </w:tcBorders>
            <w:shd w:val="clear" w:color="auto" w:fill="auto"/>
            <w:noWrap/>
            <w:vAlign w:val="bottom"/>
            <w:hideMark/>
          </w:tcPr>
          <w:p w14:paraId="65967E7F"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597FB95C" w14:textId="77777777" w:rsidR="000F5BAD" w:rsidRPr="00720EF1" w:rsidRDefault="000F5BAD" w:rsidP="006A25C9">
            <w:pPr>
              <w:widowControl/>
              <w:jc w:val="right"/>
              <w:rPr>
                <w:kern w:val="0"/>
                <w:sz w:val="20"/>
              </w:rPr>
            </w:pPr>
            <w:r w:rsidRPr="00720EF1">
              <w:rPr>
                <w:kern w:val="0"/>
                <w:sz w:val="20"/>
              </w:rPr>
              <w:t xml:space="preserve">6.41 </w:t>
            </w:r>
          </w:p>
        </w:tc>
        <w:tc>
          <w:tcPr>
            <w:tcW w:w="981" w:type="dxa"/>
            <w:tcBorders>
              <w:top w:val="nil"/>
              <w:left w:val="nil"/>
              <w:bottom w:val="nil"/>
              <w:right w:val="nil"/>
            </w:tcBorders>
            <w:shd w:val="clear" w:color="auto" w:fill="auto"/>
            <w:noWrap/>
            <w:vAlign w:val="bottom"/>
            <w:hideMark/>
          </w:tcPr>
          <w:p w14:paraId="13F6D57E" w14:textId="77777777" w:rsidR="000F5BAD" w:rsidRPr="00720EF1" w:rsidRDefault="000F5BAD" w:rsidP="006A25C9">
            <w:pPr>
              <w:widowControl/>
              <w:jc w:val="right"/>
              <w:rPr>
                <w:kern w:val="0"/>
                <w:sz w:val="20"/>
              </w:rPr>
            </w:pPr>
            <w:r w:rsidRPr="00720EF1">
              <w:rPr>
                <w:kern w:val="0"/>
                <w:sz w:val="20"/>
              </w:rPr>
              <w:t>68.13</w:t>
            </w:r>
          </w:p>
        </w:tc>
        <w:tc>
          <w:tcPr>
            <w:tcW w:w="962" w:type="dxa"/>
            <w:tcBorders>
              <w:top w:val="nil"/>
              <w:left w:val="nil"/>
              <w:bottom w:val="nil"/>
              <w:right w:val="nil"/>
            </w:tcBorders>
            <w:shd w:val="clear" w:color="auto" w:fill="auto"/>
            <w:noWrap/>
            <w:vAlign w:val="bottom"/>
            <w:hideMark/>
          </w:tcPr>
          <w:p w14:paraId="7F68F8CB" w14:textId="77777777" w:rsidR="000F5BAD" w:rsidRPr="00720EF1" w:rsidRDefault="000F5BAD" w:rsidP="006A25C9">
            <w:pPr>
              <w:widowControl/>
              <w:jc w:val="right"/>
              <w:rPr>
                <w:kern w:val="0"/>
                <w:sz w:val="20"/>
              </w:rPr>
            </w:pPr>
            <w:r w:rsidRPr="00720EF1">
              <w:rPr>
                <w:kern w:val="0"/>
                <w:sz w:val="20"/>
              </w:rPr>
              <w:t>73.24</w:t>
            </w:r>
          </w:p>
        </w:tc>
        <w:tc>
          <w:tcPr>
            <w:tcW w:w="962" w:type="dxa"/>
            <w:tcBorders>
              <w:top w:val="nil"/>
              <w:left w:val="nil"/>
              <w:bottom w:val="nil"/>
              <w:right w:val="nil"/>
            </w:tcBorders>
            <w:shd w:val="clear" w:color="auto" w:fill="auto"/>
            <w:noWrap/>
            <w:vAlign w:val="bottom"/>
            <w:hideMark/>
          </w:tcPr>
          <w:p w14:paraId="791D8286" w14:textId="77777777" w:rsidR="000F5BAD" w:rsidRPr="00720EF1" w:rsidRDefault="000F5BAD" w:rsidP="006A25C9">
            <w:pPr>
              <w:widowControl/>
              <w:jc w:val="right"/>
              <w:rPr>
                <w:kern w:val="0"/>
                <w:sz w:val="20"/>
              </w:rPr>
            </w:pPr>
            <w:r w:rsidRPr="00720EF1">
              <w:rPr>
                <w:kern w:val="0"/>
                <w:sz w:val="20"/>
              </w:rPr>
              <w:t>81.43</w:t>
            </w:r>
          </w:p>
        </w:tc>
        <w:tc>
          <w:tcPr>
            <w:tcW w:w="1197" w:type="dxa"/>
            <w:tcBorders>
              <w:top w:val="nil"/>
              <w:left w:val="nil"/>
              <w:bottom w:val="nil"/>
              <w:right w:val="nil"/>
            </w:tcBorders>
            <w:shd w:val="clear" w:color="auto" w:fill="auto"/>
            <w:noWrap/>
            <w:vAlign w:val="bottom"/>
            <w:hideMark/>
          </w:tcPr>
          <w:p w14:paraId="7C253567" w14:textId="77777777" w:rsidR="000F5BAD" w:rsidRPr="00720EF1" w:rsidRDefault="000F5BAD" w:rsidP="006A25C9">
            <w:pPr>
              <w:widowControl/>
              <w:jc w:val="right"/>
              <w:rPr>
                <w:kern w:val="0"/>
                <w:sz w:val="20"/>
              </w:rPr>
            </w:pPr>
            <w:r w:rsidRPr="00720EF1">
              <w:rPr>
                <w:kern w:val="0"/>
                <w:sz w:val="20"/>
              </w:rPr>
              <w:t xml:space="preserve">        9.01 </w:t>
            </w:r>
          </w:p>
        </w:tc>
      </w:tr>
      <w:tr w:rsidR="000F5BAD" w:rsidRPr="00720EF1" w14:paraId="15E30A1D" w14:textId="77777777" w:rsidTr="006A25C9">
        <w:trPr>
          <w:trHeight w:val="258"/>
        </w:trPr>
        <w:tc>
          <w:tcPr>
            <w:tcW w:w="2810" w:type="dxa"/>
            <w:tcBorders>
              <w:top w:val="nil"/>
              <w:left w:val="nil"/>
              <w:bottom w:val="nil"/>
              <w:right w:val="nil"/>
            </w:tcBorders>
            <w:shd w:val="clear" w:color="auto" w:fill="auto"/>
            <w:noWrap/>
            <w:vAlign w:val="bottom"/>
            <w:hideMark/>
          </w:tcPr>
          <w:p w14:paraId="29789371" w14:textId="77777777" w:rsidR="000F5BAD" w:rsidRPr="00720EF1" w:rsidRDefault="000F5BAD" w:rsidP="006A25C9">
            <w:pPr>
              <w:widowControl/>
              <w:jc w:val="left"/>
              <w:rPr>
                <w:kern w:val="0"/>
                <w:sz w:val="20"/>
              </w:rPr>
            </w:pPr>
            <w:r w:rsidRPr="00720EF1">
              <w:rPr>
                <w:kern w:val="0"/>
                <w:sz w:val="20"/>
              </w:rPr>
              <w:t>富国消费精选</w:t>
            </w:r>
            <w:r w:rsidRPr="00720EF1">
              <w:rPr>
                <w:kern w:val="0"/>
                <w:sz w:val="20"/>
              </w:rPr>
              <w:t>30</w:t>
            </w:r>
          </w:p>
        </w:tc>
        <w:tc>
          <w:tcPr>
            <w:tcW w:w="766" w:type="dxa"/>
            <w:tcBorders>
              <w:top w:val="nil"/>
              <w:left w:val="nil"/>
              <w:bottom w:val="nil"/>
              <w:right w:val="nil"/>
            </w:tcBorders>
            <w:shd w:val="clear" w:color="auto" w:fill="auto"/>
            <w:noWrap/>
            <w:vAlign w:val="bottom"/>
            <w:hideMark/>
          </w:tcPr>
          <w:p w14:paraId="11BD1AD7"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1EBB53D8" w14:textId="77777777" w:rsidR="000F5BAD" w:rsidRPr="00720EF1" w:rsidRDefault="000F5BAD" w:rsidP="006A25C9">
            <w:pPr>
              <w:widowControl/>
              <w:jc w:val="right"/>
              <w:rPr>
                <w:kern w:val="0"/>
                <w:sz w:val="20"/>
              </w:rPr>
            </w:pPr>
            <w:r w:rsidRPr="00720EF1">
              <w:rPr>
                <w:kern w:val="0"/>
                <w:sz w:val="20"/>
              </w:rPr>
              <w:t xml:space="preserve">8.11 </w:t>
            </w:r>
          </w:p>
        </w:tc>
        <w:tc>
          <w:tcPr>
            <w:tcW w:w="981" w:type="dxa"/>
            <w:tcBorders>
              <w:top w:val="nil"/>
              <w:left w:val="nil"/>
              <w:bottom w:val="nil"/>
              <w:right w:val="nil"/>
            </w:tcBorders>
            <w:shd w:val="clear" w:color="auto" w:fill="auto"/>
            <w:noWrap/>
            <w:vAlign w:val="bottom"/>
            <w:hideMark/>
          </w:tcPr>
          <w:p w14:paraId="138C3F9E" w14:textId="77777777" w:rsidR="000F5BAD" w:rsidRPr="00720EF1" w:rsidRDefault="000F5BAD" w:rsidP="006A25C9">
            <w:pPr>
              <w:widowControl/>
              <w:jc w:val="right"/>
              <w:rPr>
                <w:kern w:val="0"/>
                <w:sz w:val="20"/>
              </w:rPr>
            </w:pPr>
            <w:r w:rsidRPr="00720EF1">
              <w:rPr>
                <w:kern w:val="0"/>
                <w:sz w:val="20"/>
              </w:rPr>
              <w:t>65.4</w:t>
            </w:r>
          </w:p>
        </w:tc>
        <w:tc>
          <w:tcPr>
            <w:tcW w:w="962" w:type="dxa"/>
            <w:tcBorders>
              <w:top w:val="nil"/>
              <w:left w:val="nil"/>
              <w:bottom w:val="nil"/>
              <w:right w:val="nil"/>
            </w:tcBorders>
            <w:shd w:val="clear" w:color="auto" w:fill="auto"/>
            <w:noWrap/>
            <w:vAlign w:val="bottom"/>
            <w:hideMark/>
          </w:tcPr>
          <w:p w14:paraId="06714214" w14:textId="77777777" w:rsidR="000F5BAD" w:rsidRPr="00720EF1" w:rsidRDefault="000F5BAD" w:rsidP="006A25C9">
            <w:pPr>
              <w:widowControl/>
              <w:jc w:val="right"/>
              <w:rPr>
                <w:kern w:val="0"/>
                <w:sz w:val="20"/>
              </w:rPr>
            </w:pPr>
            <w:r w:rsidRPr="00720EF1">
              <w:rPr>
                <w:kern w:val="0"/>
                <w:sz w:val="20"/>
              </w:rPr>
              <w:t>82.04</w:t>
            </w:r>
          </w:p>
        </w:tc>
        <w:tc>
          <w:tcPr>
            <w:tcW w:w="962" w:type="dxa"/>
            <w:tcBorders>
              <w:top w:val="nil"/>
              <w:left w:val="nil"/>
              <w:bottom w:val="nil"/>
              <w:right w:val="nil"/>
            </w:tcBorders>
            <w:shd w:val="clear" w:color="auto" w:fill="auto"/>
            <w:noWrap/>
            <w:vAlign w:val="bottom"/>
            <w:hideMark/>
          </w:tcPr>
          <w:p w14:paraId="4200BD27" w14:textId="77777777" w:rsidR="000F5BAD" w:rsidRPr="00720EF1" w:rsidRDefault="000F5BAD" w:rsidP="006A25C9">
            <w:pPr>
              <w:widowControl/>
              <w:jc w:val="right"/>
              <w:rPr>
                <w:kern w:val="0"/>
                <w:sz w:val="20"/>
              </w:rPr>
            </w:pPr>
            <w:r w:rsidRPr="00720EF1">
              <w:rPr>
                <w:kern w:val="0"/>
                <w:sz w:val="20"/>
              </w:rPr>
              <w:t>83.52</w:t>
            </w:r>
          </w:p>
        </w:tc>
        <w:tc>
          <w:tcPr>
            <w:tcW w:w="1197" w:type="dxa"/>
            <w:tcBorders>
              <w:top w:val="nil"/>
              <w:left w:val="nil"/>
              <w:bottom w:val="nil"/>
              <w:right w:val="nil"/>
            </w:tcBorders>
            <w:shd w:val="clear" w:color="auto" w:fill="auto"/>
            <w:noWrap/>
            <w:vAlign w:val="bottom"/>
            <w:hideMark/>
          </w:tcPr>
          <w:p w14:paraId="31654A60" w14:textId="77777777" w:rsidR="000F5BAD" w:rsidRPr="00720EF1" w:rsidRDefault="000F5BAD" w:rsidP="006A25C9">
            <w:pPr>
              <w:widowControl/>
              <w:jc w:val="right"/>
              <w:rPr>
                <w:kern w:val="0"/>
                <w:sz w:val="20"/>
              </w:rPr>
            </w:pPr>
            <w:r w:rsidRPr="00720EF1">
              <w:rPr>
                <w:kern w:val="0"/>
                <w:sz w:val="20"/>
              </w:rPr>
              <w:t xml:space="preserve">        6.99 </w:t>
            </w:r>
          </w:p>
        </w:tc>
      </w:tr>
      <w:tr w:rsidR="000F5BAD" w:rsidRPr="00720EF1" w14:paraId="7EA562D9" w14:textId="77777777" w:rsidTr="006A25C9">
        <w:trPr>
          <w:trHeight w:val="258"/>
        </w:trPr>
        <w:tc>
          <w:tcPr>
            <w:tcW w:w="2810" w:type="dxa"/>
            <w:tcBorders>
              <w:top w:val="nil"/>
              <w:left w:val="nil"/>
              <w:bottom w:val="nil"/>
              <w:right w:val="nil"/>
            </w:tcBorders>
            <w:shd w:val="clear" w:color="auto" w:fill="auto"/>
            <w:noWrap/>
            <w:vAlign w:val="bottom"/>
            <w:hideMark/>
          </w:tcPr>
          <w:p w14:paraId="4207A7B8" w14:textId="77777777" w:rsidR="000F5BAD" w:rsidRPr="00720EF1" w:rsidRDefault="000F5BAD" w:rsidP="006A25C9">
            <w:pPr>
              <w:widowControl/>
              <w:jc w:val="left"/>
              <w:rPr>
                <w:kern w:val="0"/>
                <w:sz w:val="20"/>
              </w:rPr>
            </w:pPr>
            <w:r w:rsidRPr="00720EF1">
              <w:rPr>
                <w:kern w:val="0"/>
                <w:sz w:val="20"/>
              </w:rPr>
              <w:t>申万菱信中证环保产业</w:t>
            </w:r>
            <w:r w:rsidRPr="00720EF1">
              <w:rPr>
                <w:kern w:val="0"/>
                <w:sz w:val="20"/>
              </w:rPr>
              <w:t>C</w:t>
            </w:r>
          </w:p>
        </w:tc>
        <w:tc>
          <w:tcPr>
            <w:tcW w:w="766" w:type="dxa"/>
            <w:tcBorders>
              <w:top w:val="nil"/>
              <w:left w:val="nil"/>
              <w:bottom w:val="nil"/>
              <w:right w:val="nil"/>
            </w:tcBorders>
            <w:shd w:val="clear" w:color="auto" w:fill="auto"/>
            <w:noWrap/>
            <w:vAlign w:val="bottom"/>
            <w:hideMark/>
          </w:tcPr>
          <w:p w14:paraId="3ABA05A0"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0D76A56B" w14:textId="77777777" w:rsidR="000F5BAD" w:rsidRPr="00720EF1" w:rsidRDefault="000F5BAD" w:rsidP="006A25C9">
            <w:pPr>
              <w:widowControl/>
              <w:jc w:val="right"/>
              <w:rPr>
                <w:kern w:val="0"/>
                <w:sz w:val="20"/>
              </w:rPr>
            </w:pPr>
            <w:r w:rsidRPr="00720EF1">
              <w:rPr>
                <w:kern w:val="0"/>
                <w:sz w:val="20"/>
              </w:rPr>
              <w:t xml:space="preserve">7.65 </w:t>
            </w:r>
          </w:p>
        </w:tc>
        <w:tc>
          <w:tcPr>
            <w:tcW w:w="981" w:type="dxa"/>
            <w:tcBorders>
              <w:top w:val="nil"/>
              <w:left w:val="nil"/>
              <w:bottom w:val="nil"/>
              <w:right w:val="nil"/>
            </w:tcBorders>
            <w:shd w:val="clear" w:color="auto" w:fill="auto"/>
            <w:noWrap/>
            <w:vAlign w:val="bottom"/>
            <w:hideMark/>
          </w:tcPr>
          <w:p w14:paraId="1BB4A8A1" w14:textId="77777777" w:rsidR="000F5BAD" w:rsidRPr="00720EF1" w:rsidRDefault="000F5BAD" w:rsidP="006A25C9">
            <w:pPr>
              <w:widowControl/>
              <w:jc w:val="right"/>
              <w:rPr>
                <w:kern w:val="0"/>
                <w:sz w:val="20"/>
              </w:rPr>
            </w:pPr>
            <w:r w:rsidRPr="00720EF1">
              <w:rPr>
                <w:kern w:val="0"/>
                <w:sz w:val="20"/>
              </w:rPr>
              <w:t>69.08</w:t>
            </w:r>
          </w:p>
        </w:tc>
        <w:tc>
          <w:tcPr>
            <w:tcW w:w="962" w:type="dxa"/>
            <w:tcBorders>
              <w:top w:val="nil"/>
              <w:left w:val="nil"/>
              <w:bottom w:val="nil"/>
              <w:right w:val="nil"/>
            </w:tcBorders>
            <w:shd w:val="clear" w:color="auto" w:fill="auto"/>
            <w:noWrap/>
            <w:vAlign w:val="bottom"/>
            <w:hideMark/>
          </w:tcPr>
          <w:p w14:paraId="7CB5E926" w14:textId="77777777" w:rsidR="000F5BAD" w:rsidRPr="00720EF1" w:rsidRDefault="000F5BAD" w:rsidP="006A25C9">
            <w:pPr>
              <w:widowControl/>
              <w:jc w:val="right"/>
              <w:rPr>
                <w:kern w:val="0"/>
                <w:sz w:val="20"/>
              </w:rPr>
            </w:pPr>
            <w:r w:rsidRPr="00720EF1">
              <w:rPr>
                <w:kern w:val="0"/>
                <w:sz w:val="20"/>
              </w:rPr>
              <w:t>82.95</w:t>
            </w:r>
          </w:p>
        </w:tc>
        <w:tc>
          <w:tcPr>
            <w:tcW w:w="962" w:type="dxa"/>
            <w:tcBorders>
              <w:top w:val="nil"/>
              <w:left w:val="nil"/>
              <w:bottom w:val="nil"/>
              <w:right w:val="nil"/>
            </w:tcBorders>
            <w:shd w:val="clear" w:color="auto" w:fill="auto"/>
            <w:noWrap/>
            <w:vAlign w:val="bottom"/>
            <w:hideMark/>
          </w:tcPr>
          <w:p w14:paraId="69BE4DA4" w14:textId="77777777" w:rsidR="000F5BAD" w:rsidRPr="00720EF1" w:rsidRDefault="000F5BAD" w:rsidP="006A25C9">
            <w:pPr>
              <w:widowControl/>
              <w:jc w:val="right"/>
              <w:rPr>
                <w:kern w:val="0"/>
                <w:sz w:val="20"/>
              </w:rPr>
            </w:pPr>
            <w:r w:rsidRPr="00720EF1">
              <w:rPr>
                <w:kern w:val="0"/>
                <w:sz w:val="20"/>
              </w:rPr>
              <w:t>83.5</w:t>
            </w:r>
          </w:p>
        </w:tc>
        <w:tc>
          <w:tcPr>
            <w:tcW w:w="1197" w:type="dxa"/>
            <w:tcBorders>
              <w:top w:val="nil"/>
              <w:left w:val="nil"/>
              <w:bottom w:val="nil"/>
              <w:right w:val="nil"/>
            </w:tcBorders>
            <w:shd w:val="clear" w:color="auto" w:fill="auto"/>
            <w:noWrap/>
            <w:vAlign w:val="bottom"/>
            <w:hideMark/>
          </w:tcPr>
          <w:p w14:paraId="44B569B7" w14:textId="77777777" w:rsidR="000F5BAD" w:rsidRPr="00720EF1" w:rsidRDefault="000F5BAD" w:rsidP="006A25C9">
            <w:pPr>
              <w:widowControl/>
              <w:jc w:val="right"/>
              <w:rPr>
                <w:kern w:val="0"/>
                <w:sz w:val="20"/>
              </w:rPr>
            </w:pPr>
            <w:r w:rsidRPr="00720EF1">
              <w:rPr>
                <w:kern w:val="0"/>
                <w:sz w:val="20"/>
              </w:rPr>
              <w:t xml:space="preserve">      33.86 </w:t>
            </w:r>
          </w:p>
        </w:tc>
      </w:tr>
      <w:tr w:rsidR="000F5BAD" w:rsidRPr="00720EF1" w14:paraId="1E35C3FF" w14:textId="77777777" w:rsidTr="006A25C9">
        <w:trPr>
          <w:trHeight w:val="258"/>
        </w:trPr>
        <w:tc>
          <w:tcPr>
            <w:tcW w:w="2810" w:type="dxa"/>
            <w:tcBorders>
              <w:top w:val="nil"/>
              <w:left w:val="nil"/>
              <w:bottom w:val="nil"/>
              <w:right w:val="nil"/>
            </w:tcBorders>
            <w:shd w:val="clear" w:color="auto" w:fill="auto"/>
            <w:noWrap/>
            <w:vAlign w:val="bottom"/>
            <w:hideMark/>
          </w:tcPr>
          <w:p w14:paraId="29CE2914" w14:textId="77777777" w:rsidR="000F5BAD" w:rsidRPr="00720EF1" w:rsidRDefault="000F5BAD" w:rsidP="006A25C9">
            <w:pPr>
              <w:widowControl/>
              <w:jc w:val="left"/>
              <w:rPr>
                <w:kern w:val="0"/>
                <w:sz w:val="20"/>
              </w:rPr>
            </w:pPr>
            <w:r w:rsidRPr="00720EF1">
              <w:rPr>
                <w:kern w:val="0"/>
                <w:sz w:val="20"/>
              </w:rPr>
              <w:t>民生加银成长优选</w:t>
            </w:r>
          </w:p>
        </w:tc>
        <w:tc>
          <w:tcPr>
            <w:tcW w:w="766" w:type="dxa"/>
            <w:tcBorders>
              <w:top w:val="nil"/>
              <w:left w:val="nil"/>
              <w:bottom w:val="nil"/>
              <w:right w:val="nil"/>
            </w:tcBorders>
            <w:shd w:val="clear" w:color="auto" w:fill="auto"/>
            <w:noWrap/>
            <w:vAlign w:val="bottom"/>
            <w:hideMark/>
          </w:tcPr>
          <w:p w14:paraId="650A9CAF"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6329DD28"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581643D6" w14:textId="77777777" w:rsidR="000F5BAD" w:rsidRPr="00720EF1" w:rsidRDefault="000F5BAD" w:rsidP="006A25C9">
            <w:pPr>
              <w:widowControl/>
              <w:jc w:val="right"/>
              <w:rPr>
                <w:kern w:val="0"/>
                <w:sz w:val="20"/>
              </w:rPr>
            </w:pPr>
            <w:r w:rsidRPr="00720EF1">
              <w:rPr>
                <w:kern w:val="0"/>
                <w:sz w:val="20"/>
              </w:rPr>
              <w:t>63.34</w:t>
            </w:r>
          </w:p>
        </w:tc>
        <w:tc>
          <w:tcPr>
            <w:tcW w:w="962" w:type="dxa"/>
            <w:tcBorders>
              <w:top w:val="nil"/>
              <w:left w:val="nil"/>
              <w:bottom w:val="nil"/>
              <w:right w:val="nil"/>
            </w:tcBorders>
            <w:shd w:val="clear" w:color="auto" w:fill="auto"/>
            <w:noWrap/>
            <w:vAlign w:val="bottom"/>
            <w:hideMark/>
          </w:tcPr>
          <w:p w14:paraId="69354FB1" w14:textId="77777777" w:rsidR="000F5BAD" w:rsidRPr="00720EF1" w:rsidRDefault="000F5BAD" w:rsidP="006A25C9">
            <w:pPr>
              <w:widowControl/>
              <w:jc w:val="right"/>
              <w:rPr>
                <w:kern w:val="0"/>
                <w:sz w:val="20"/>
              </w:rPr>
            </w:pPr>
            <w:r w:rsidRPr="00720EF1">
              <w:rPr>
                <w:kern w:val="0"/>
                <w:sz w:val="20"/>
              </w:rPr>
              <w:t>78.11</w:t>
            </w:r>
          </w:p>
        </w:tc>
        <w:tc>
          <w:tcPr>
            <w:tcW w:w="962" w:type="dxa"/>
            <w:tcBorders>
              <w:top w:val="nil"/>
              <w:left w:val="nil"/>
              <w:bottom w:val="nil"/>
              <w:right w:val="nil"/>
            </w:tcBorders>
            <w:shd w:val="clear" w:color="auto" w:fill="auto"/>
            <w:noWrap/>
            <w:vAlign w:val="bottom"/>
            <w:hideMark/>
          </w:tcPr>
          <w:p w14:paraId="3D3F292B" w14:textId="77777777" w:rsidR="000F5BAD" w:rsidRPr="00720EF1" w:rsidRDefault="000F5BAD" w:rsidP="006A25C9">
            <w:pPr>
              <w:widowControl/>
              <w:jc w:val="right"/>
              <w:rPr>
                <w:kern w:val="0"/>
                <w:sz w:val="20"/>
              </w:rPr>
            </w:pPr>
            <w:r w:rsidRPr="00720EF1">
              <w:rPr>
                <w:kern w:val="0"/>
                <w:sz w:val="20"/>
              </w:rPr>
              <w:t>82.26</w:t>
            </w:r>
          </w:p>
        </w:tc>
        <w:tc>
          <w:tcPr>
            <w:tcW w:w="1197" w:type="dxa"/>
            <w:tcBorders>
              <w:top w:val="nil"/>
              <w:left w:val="nil"/>
              <w:bottom w:val="nil"/>
              <w:right w:val="nil"/>
            </w:tcBorders>
            <w:shd w:val="clear" w:color="auto" w:fill="auto"/>
            <w:noWrap/>
            <w:vAlign w:val="bottom"/>
            <w:hideMark/>
          </w:tcPr>
          <w:p w14:paraId="3B1B37BB" w14:textId="77777777" w:rsidR="000F5BAD" w:rsidRPr="00720EF1" w:rsidRDefault="000F5BAD" w:rsidP="006A25C9">
            <w:pPr>
              <w:widowControl/>
              <w:jc w:val="right"/>
              <w:rPr>
                <w:kern w:val="0"/>
                <w:sz w:val="20"/>
              </w:rPr>
            </w:pPr>
            <w:r w:rsidRPr="00720EF1">
              <w:rPr>
                <w:kern w:val="0"/>
                <w:sz w:val="20"/>
              </w:rPr>
              <w:t xml:space="preserve">        8.70 </w:t>
            </w:r>
          </w:p>
        </w:tc>
      </w:tr>
      <w:tr w:rsidR="000F5BAD" w:rsidRPr="00720EF1" w14:paraId="79058868" w14:textId="77777777" w:rsidTr="006A25C9">
        <w:trPr>
          <w:trHeight w:val="258"/>
        </w:trPr>
        <w:tc>
          <w:tcPr>
            <w:tcW w:w="2810" w:type="dxa"/>
            <w:tcBorders>
              <w:top w:val="nil"/>
              <w:left w:val="nil"/>
              <w:bottom w:val="nil"/>
              <w:right w:val="nil"/>
            </w:tcBorders>
            <w:shd w:val="clear" w:color="auto" w:fill="auto"/>
            <w:noWrap/>
            <w:vAlign w:val="bottom"/>
            <w:hideMark/>
          </w:tcPr>
          <w:p w14:paraId="0FACD6EB" w14:textId="77777777" w:rsidR="000F5BAD" w:rsidRPr="00720EF1" w:rsidRDefault="000F5BAD" w:rsidP="006A25C9">
            <w:pPr>
              <w:widowControl/>
              <w:jc w:val="left"/>
              <w:rPr>
                <w:kern w:val="0"/>
                <w:sz w:val="20"/>
              </w:rPr>
            </w:pPr>
            <w:r w:rsidRPr="00720EF1">
              <w:rPr>
                <w:kern w:val="0"/>
                <w:sz w:val="20"/>
              </w:rPr>
              <w:t>西藏东财中证新能源汽车</w:t>
            </w:r>
            <w:r w:rsidRPr="00720EF1">
              <w:rPr>
                <w:kern w:val="0"/>
                <w:sz w:val="20"/>
              </w:rPr>
              <w:t>C</w:t>
            </w:r>
          </w:p>
        </w:tc>
        <w:tc>
          <w:tcPr>
            <w:tcW w:w="766" w:type="dxa"/>
            <w:tcBorders>
              <w:top w:val="nil"/>
              <w:left w:val="nil"/>
              <w:bottom w:val="nil"/>
              <w:right w:val="nil"/>
            </w:tcBorders>
            <w:shd w:val="clear" w:color="auto" w:fill="auto"/>
            <w:noWrap/>
            <w:vAlign w:val="bottom"/>
            <w:hideMark/>
          </w:tcPr>
          <w:p w14:paraId="74BDC192"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2EB7F3D4"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6211D42B" w14:textId="77777777" w:rsidR="000F5BAD" w:rsidRPr="00720EF1" w:rsidRDefault="000F5BAD" w:rsidP="006A25C9">
            <w:pPr>
              <w:widowControl/>
              <w:jc w:val="right"/>
              <w:rPr>
                <w:kern w:val="0"/>
                <w:sz w:val="20"/>
              </w:rPr>
            </w:pPr>
            <w:r w:rsidRPr="00720EF1">
              <w:rPr>
                <w:kern w:val="0"/>
                <w:sz w:val="20"/>
              </w:rPr>
              <w:t>68.1</w:t>
            </w:r>
          </w:p>
        </w:tc>
        <w:tc>
          <w:tcPr>
            <w:tcW w:w="962" w:type="dxa"/>
            <w:tcBorders>
              <w:top w:val="nil"/>
              <w:left w:val="nil"/>
              <w:bottom w:val="nil"/>
              <w:right w:val="nil"/>
            </w:tcBorders>
            <w:shd w:val="clear" w:color="auto" w:fill="auto"/>
            <w:noWrap/>
            <w:vAlign w:val="bottom"/>
            <w:hideMark/>
          </w:tcPr>
          <w:p w14:paraId="610572C0" w14:textId="77777777" w:rsidR="000F5BAD" w:rsidRPr="00720EF1" w:rsidRDefault="000F5BAD" w:rsidP="006A25C9">
            <w:pPr>
              <w:widowControl/>
              <w:jc w:val="right"/>
              <w:rPr>
                <w:kern w:val="0"/>
                <w:sz w:val="20"/>
              </w:rPr>
            </w:pPr>
            <w:r w:rsidRPr="00720EF1">
              <w:rPr>
                <w:kern w:val="0"/>
                <w:sz w:val="20"/>
              </w:rPr>
              <w:t>79.94</w:t>
            </w:r>
          </w:p>
        </w:tc>
        <w:tc>
          <w:tcPr>
            <w:tcW w:w="962" w:type="dxa"/>
            <w:tcBorders>
              <w:top w:val="nil"/>
              <w:left w:val="nil"/>
              <w:bottom w:val="nil"/>
              <w:right w:val="nil"/>
            </w:tcBorders>
            <w:shd w:val="clear" w:color="auto" w:fill="auto"/>
            <w:noWrap/>
            <w:vAlign w:val="bottom"/>
            <w:hideMark/>
          </w:tcPr>
          <w:p w14:paraId="291016A1" w14:textId="77777777" w:rsidR="000F5BAD" w:rsidRPr="00720EF1" w:rsidRDefault="000F5BAD" w:rsidP="006A25C9">
            <w:pPr>
              <w:widowControl/>
              <w:jc w:val="right"/>
              <w:rPr>
                <w:kern w:val="0"/>
                <w:sz w:val="20"/>
              </w:rPr>
            </w:pPr>
            <w:r w:rsidRPr="00720EF1">
              <w:rPr>
                <w:kern w:val="0"/>
                <w:sz w:val="20"/>
              </w:rPr>
              <w:t>82.45</w:t>
            </w:r>
          </w:p>
        </w:tc>
        <w:tc>
          <w:tcPr>
            <w:tcW w:w="1197" w:type="dxa"/>
            <w:tcBorders>
              <w:top w:val="nil"/>
              <w:left w:val="nil"/>
              <w:bottom w:val="nil"/>
              <w:right w:val="nil"/>
            </w:tcBorders>
            <w:shd w:val="clear" w:color="auto" w:fill="auto"/>
            <w:noWrap/>
            <w:vAlign w:val="bottom"/>
            <w:hideMark/>
          </w:tcPr>
          <w:p w14:paraId="6940E106" w14:textId="77777777" w:rsidR="000F5BAD" w:rsidRPr="00720EF1" w:rsidRDefault="000F5BAD" w:rsidP="006A25C9">
            <w:pPr>
              <w:widowControl/>
              <w:jc w:val="right"/>
              <w:rPr>
                <w:kern w:val="0"/>
                <w:sz w:val="20"/>
              </w:rPr>
            </w:pPr>
            <w:r w:rsidRPr="00720EF1">
              <w:rPr>
                <w:kern w:val="0"/>
                <w:sz w:val="20"/>
              </w:rPr>
              <w:t xml:space="preserve">      35.94 </w:t>
            </w:r>
          </w:p>
        </w:tc>
      </w:tr>
      <w:tr w:rsidR="000F5BAD" w:rsidRPr="00720EF1" w14:paraId="2B098E26" w14:textId="77777777" w:rsidTr="006A25C9">
        <w:trPr>
          <w:trHeight w:val="258"/>
        </w:trPr>
        <w:tc>
          <w:tcPr>
            <w:tcW w:w="2810" w:type="dxa"/>
            <w:tcBorders>
              <w:top w:val="nil"/>
              <w:left w:val="nil"/>
              <w:bottom w:val="nil"/>
              <w:right w:val="nil"/>
            </w:tcBorders>
            <w:shd w:val="clear" w:color="auto" w:fill="auto"/>
            <w:noWrap/>
            <w:vAlign w:val="bottom"/>
            <w:hideMark/>
          </w:tcPr>
          <w:p w14:paraId="644EE6D4" w14:textId="77777777" w:rsidR="000F5BAD" w:rsidRPr="00720EF1" w:rsidRDefault="000F5BAD" w:rsidP="006A25C9">
            <w:pPr>
              <w:widowControl/>
              <w:jc w:val="left"/>
              <w:rPr>
                <w:kern w:val="0"/>
                <w:sz w:val="20"/>
              </w:rPr>
            </w:pPr>
            <w:r w:rsidRPr="00720EF1">
              <w:rPr>
                <w:kern w:val="0"/>
                <w:sz w:val="20"/>
              </w:rPr>
              <w:t>中银战略新兴产业</w:t>
            </w:r>
            <w:r w:rsidRPr="00720EF1">
              <w:rPr>
                <w:kern w:val="0"/>
                <w:sz w:val="20"/>
              </w:rPr>
              <w:t>C</w:t>
            </w:r>
          </w:p>
        </w:tc>
        <w:tc>
          <w:tcPr>
            <w:tcW w:w="766" w:type="dxa"/>
            <w:tcBorders>
              <w:top w:val="nil"/>
              <w:left w:val="nil"/>
              <w:bottom w:val="nil"/>
              <w:right w:val="nil"/>
            </w:tcBorders>
            <w:shd w:val="clear" w:color="auto" w:fill="auto"/>
            <w:noWrap/>
            <w:vAlign w:val="bottom"/>
            <w:hideMark/>
          </w:tcPr>
          <w:p w14:paraId="41FA4655"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3968F343"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0A4916A7" w14:textId="77777777" w:rsidR="000F5BAD" w:rsidRPr="00720EF1" w:rsidRDefault="000F5BAD" w:rsidP="006A25C9">
            <w:pPr>
              <w:widowControl/>
              <w:jc w:val="right"/>
              <w:rPr>
                <w:kern w:val="0"/>
                <w:sz w:val="20"/>
              </w:rPr>
            </w:pPr>
            <w:r w:rsidRPr="00720EF1">
              <w:rPr>
                <w:kern w:val="0"/>
                <w:sz w:val="20"/>
              </w:rPr>
              <w:t>69.51</w:t>
            </w:r>
          </w:p>
        </w:tc>
        <w:tc>
          <w:tcPr>
            <w:tcW w:w="962" w:type="dxa"/>
            <w:tcBorders>
              <w:top w:val="nil"/>
              <w:left w:val="nil"/>
              <w:bottom w:val="nil"/>
              <w:right w:val="nil"/>
            </w:tcBorders>
            <w:shd w:val="clear" w:color="auto" w:fill="auto"/>
            <w:noWrap/>
            <w:vAlign w:val="bottom"/>
            <w:hideMark/>
          </w:tcPr>
          <w:p w14:paraId="30F6B8D2" w14:textId="77777777" w:rsidR="000F5BAD" w:rsidRPr="00720EF1" w:rsidRDefault="000F5BAD" w:rsidP="006A25C9">
            <w:pPr>
              <w:widowControl/>
              <w:jc w:val="right"/>
              <w:rPr>
                <w:kern w:val="0"/>
                <w:sz w:val="20"/>
              </w:rPr>
            </w:pPr>
            <w:r w:rsidRPr="00720EF1">
              <w:rPr>
                <w:kern w:val="0"/>
                <w:sz w:val="20"/>
              </w:rPr>
              <w:t>81.99</w:t>
            </w:r>
          </w:p>
        </w:tc>
        <w:tc>
          <w:tcPr>
            <w:tcW w:w="962" w:type="dxa"/>
            <w:tcBorders>
              <w:top w:val="nil"/>
              <w:left w:val="nil"/>
              <w:bottom w:val="nil"/>
              <w:right w:val="nil"/>
            </w:tcBorders>
            <w:shd w:val="clear" w:color="auto" w:fill="auto"/>
            <w:noWrap/>
            <w:vAlign w:val="bottom"/>
            <w:hideMark/>
          </w:tcPr>
          <w:p w14:paraId="041D13F4" w14:textId="77777777" w:rsidR="000F5BAD" w:rsidRPr="00720EF1" w:rsidRDefault="000F5BAD" w:rsidP="006A25C9">
            <w:pPr>
              <w:widowControl/>
              <w:jc w:val="right"/>
              <w:rPr>
                <w:kern w:val="0"/>
                <w:sz w:val="20"/>
              </w:rPr>
            </w:pPr>
            <w:r w:rsidRPr="00720EF1">
              <w:rPr>
                <w:kern w:val="0"/>
                <w:sz w:val="20"/>
              </w:rPr>
              <w:t>84.02</w:t>
            </w:r>
          </w:p>
        </w:tc>
        <w:tc>
          <w:tcPr>
            <w:tcW w:w="1197" w:type="dxa"/>
            <w:tcBorders>
              <w:top w:val="nil"/>
              <w:left w:val="nil"/>
              <w:bottom w:val="nil"/>
              <w:right w:val="nil"/>
            </w:tcBorders>
            <w:shd w:val="clear" w:color="auto" w:fill="auto"/>
            <w:noWrap/>
            <w:vAlign w:val="bottom"/>
            <w:hideMark/>
          </w:tcPr>
          <w:p w14:paraId="6A932BF0" w14:textId="77777777" w:rsidR="000F5BAD" w:rsidRPr="00720EF1" w:rsidRDefault="000F5BAD" w:rsidP="006A25C9">
            <w:pPr>
              <w:widowControl/>
              <w:jc w:val="right"/>
              <w:rPr>
                <w:kern w:val="0"/>
                <w:sz w:val="20"/>
              </w:rPr>
            </w:pPr>
            <w:r w:rsidRPr="00720EF1">
              <w:rPr>
                <w:kern w:val="0"/>
                <w:sz w:val="20"/>
              </w:rPr>
              <w:t xml:space="preserve">      23.65 </w:t>
            </w:r>
          </w:p>
        </w:tc>
      </w:tr>
      <w:tr w:rsidR="000F5BAD" w:rsidRPr="00720EF1" w14:paraId="1011AA4C" w14:textId="77777777" w:rsidTr="006A25C9">
        <w:trPr>
          <w:trHeight w:val="258"/>
        </w:trPr>
        <w:tc>
          <w:tcPr>
            <w:tcW w:w="2810" w:type="dxa"/>
            <w:tcBorders>
              <w:top w:val="nil"/>
              <w:left w:val="nil"/>
              <w:bottom w:val="nil"/>
              <w:right w:val="nil"/>
            </w:tcBorders>
            <w:shd w:val="clear" w:color="auto" w:fill="auto"/>
            <w:noWrap/>
            <w:vAlign w:val="bottom"/>
            <w:hideMark/>
          </w:tcPr>
          <w:p w14:paraId="289F1A3A" w14:textId="77777777" w:rsidR="000F5BAD" w:rsidRPr="00720EF1" w:rsidRDefault="000F5BAD" w:rsidP="006A25C9">
            <w:pPr>
              <w:widowControl/>
              <w:jc w:val="left"/>
              <w:rPr>
                <w:kern w:val="0"/>
                <w:sz w:val="20"/>
              </w:rPr>
            </w:pPr>
            <w:r w:rsidRPr="00720EF1">
              <w:rPr>
                <w:kern w:val="0"/>
                <w:sz w:val="20"/>
              </w:rPr>
              <w:t>富国互联科技</w:t>
            </w:r>
            <w:r w:rsidRPr="00720EF1">
              <w:rPr>
                <w:kern w:val="0"/>
                <w:sz w:val="20"/>
              </w:rPr>
              <w:t>C</w:t>
            </w:r>
          </w:p>
        </w:tc>
        <w:tc>
          <w:tcPr>
            <w:tcW w:w="766" w:type="dxa"/>
            <w:tcBorders>
              <w:top w:val="nil"/>
              <w:left w:val="nil"/>
              <w:bottom w:val="nil"/>
              <w:right w:val="nil"/>
            </w:tcBorders>
            <w:shd w:val="clear" w:color="auto" w:fill="auto"/>
            <w:noWrap/>
            <w:vAlign w:val="bottom"/>
            <w:hideMark/>
          </w:tcPr>
          <w:p w14:paraId="7ABDF56A"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647CD53F"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240DC7E7" w14:textId="77777777" w:rsidR="000F5BAD" w:rsidRPr="00720EF1" w:rsidRDefault="000F5BAD" w:rsidP="006A25C9">
            <w:pPr>
              <w:widowControl/>
              <w:jc w:val="right"/>
              <w:rPr>
                <w:kern w:val="0"/>
                <w:sz w:val="20"/>
              </w:rPr>
            </w:pPr>
            <w:r w:rsidRPr="00720EF1">
              <w:rPr>
                <w:kern w:val="0"/>
                <w:sz w:val="20"/>
              </w:rPr>
              <w:t>60.67</w:t>
            </w:r>
          </w:p>
        </w:tc>
        <w:tc>
          <w:tcPr>
            <w:tcW w:w="962" w:type="dxa"/>
            <w:tcBorders>
              <w:top w:val="nil"/>
              <w:left w:val="nil"/>
              <w:bottom w:val="nil"/>
              <w:right w:val="nil"/>
            </w:tcBorders>
            <w:shd w:val="clear" w:color="auto" w:fill="auto"/>
            <w:noWrap/>
            <w:vAlign w:val="bottom"/>
            <w:hideMark/>
          </w:tcPr>
          <w:p w14:paraId="3FBA9F9E" w14:textId="77777777" w:rsidR="000F5BAD" w:rsidRPr="00720EF1" w:rsidRDefault="000F5BAD" w:rsidP="006A25C9">
            <w:pPr>
              <w:widowControl/>
              <w:jc w:val="right"/>
              <w:rPr>
                <w:kern w:val="0"/>
                <w:sz w:val="20"/>
              </w:rPr>
            </w:pPr>
            <w:r w:rsidRPr="00720EF1">
              <w:rPr>
                <w:kern w:val="0"/>
                <w:sz w:val="20"/>
              </w:rPr>
              <w:t>79.89</w:t>
            </w:r>
          </w:p>
        </w:tc>
        <w:tc>
          <w:tcPr>
            <w:tcW w:w="962" w:type="dxa"/>
            <w:tcBorders>
              <w:top w:val="nil"/>
              <w:left w:val="nil"/>
              <w:bottom w:val="nil"/>
              <w:right w:val="nil"/>
            </w:tcBorders>
            <w:shd w:val="clear" w:color="auto" w:fill="auto"/>
            <w:noWrap/>
            <w:vAlign w:val="bottom"/>
            <w:hideMark/>
          </w:tcPr>
          <w:p w14:paraId="758A3ACD" w14:textId="77777777" w:rsidR="000F5BAD" w:rsidRPr="00720EF1" w:rsidRDefault="000F5BAD" w:rsidP="006A25C9">
            <w:pPr>
              <w:widowControl/>
              <w:jc w:val="right"/>
              <w:rPr>
                <w:kern w:val="0"/>
                <w:sz w:val="20"/>
              </w:rPr>
            </w:pPr>
            <w:r w:rsidRPr="00720EF1">
              <w:rPr>
                <w:kern w:val="0"/>
                <w:sz w:val="20"/>
              </w:rPr>
              <w:t>82.04</w:t>
            </w:r>
          </w:p>
        </w:tc>
        <w:tc>
          <w:tcPr>
            <w:tcW w:w="1197" w:type="dxa"/>
            <w:tcBorders>
              <w:top w:val="nil"/>
              <w:left w:val="nil"/>
              <w:bottom w:val="nil"/>
              <w:right w:val="nil"/>
            </w:tcBorders>
            <w:shd w:val="clear" w:color="auto" w:fill="auto"/>
            <w:noWrap/>
            <w:vAlign w:val="bottom"/>
            <w:hideMark/>
          </w:tcPr>
          <w:p w14:paraId="52FEB279" w14:textId="77777777" w:rsidR="000F5BAD" w:rsidRPr="00720EF1" w:rsidRDefault="000F5BAD" w:rsidP="006A25C9">
            <w:pPr>
              <w:widowControl/>
              <w:jc w:val="right"/>
              <w:rPr>
                <w:kern w:val="0"/>
                <w:sz w:val="20"/>
              </w:rPr>
            </w:pPr>
            <w:r w:rsidRPr="00720EF1">
              <w:rPr>
                <w:kern w:val="0"/>
                <w:sz w:val="20"/>
              </w:rPr>
              <w:t xml:space="preserve">      18.04 </w:t>
            </w:r>
          </w:p>
        </w:tc>
      </w:tr>
      <w:tr w:rsidR="000F5BAD" w:rsidRPr="00720EF1" w14:paraId="6F3E33D6" w14:textId="77777777" w:rsidTr="006A25C9">
        <w:trPr>
          <w:trHeight w:val="258"/>
        </w:trPr>
        <w:tc>
          <w:tcPr>
            <w:tcW w:w="2810" w:type="dxa"/>
            <w:tcBorders>
              <w:top w:val="nil"/>
              <w:left w:val="nil"/>
              <w:bottom w:val="nil"/>
              <w:right w:val="nil"/>
            </w:tcBorders>
            <w:shd w:val="clear" w:color="auto" w:fill="auto"/>
            <w:noWrap/>
            <w:vAlign w:val="bottom"/>
            <w:hideMark/>
          </w:tcPr>
          <w:p w14:paraId="10BECD06" w14:textId="77777777" w:rsidR="000F5BAD" w:rsidRPr="00720EF1" w:rsidRDefault="000F5BAD" w:rsidP="006A25C9">
            <w:pPr>
              <w:widowControl/>
              <w:jc w:val="left"/>
              <w:rPr>
                <w:kern w:val="0"/>
                <w:sz w:val="20"/>
              </w:rPr>
            </w:pPr>
            <w:r w:rsidRPr="00720EF1">
              <w:rPr>
                <w:kern w:val="0"/>
                <w:sz w:val="20"/>
              </w:rPr>
              <w:t>创金合信新材料新能源</w:t>
            </w:r>
            <w:r w:rsidRPr="00720EF1">
              <w:rPr>
                <w:kern w:val="0"/>
                <w:sz w:val="20"/>
              </w:rPr>
              <w:t>C</w:t>
            </w:r>
          </w:p>
        </w:tc>
        <w:tc>
          <w:tcPr>
            <w:tcW w:w="766" w:type="dxa"/>
            <w:tcBorders>
              <w:top w:val="nil"/>
              <w:left w:val="nil"/>
              <w:bottom w:val="nil"/>
              <w:right w:val="nil"/>
            </w:tcBorders>
            <w:shd w:val="clear" w:color="auto" w:fill="auto"/>
            <w:noWrap/>
            <w:vAlign w:val="bottom"/>
            <w:hideMark/>
          </w:tcPr>
          <w:p w14:paraId="02CC277D"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6D13A4C0" w14:textId="77777777" w:rsidR="000F5BAD" w:rsidRPr="00720EF1" w:rsidRDefault="000F5BAD" w:rsidP="006A25C9">
            <w:pPr>
              <w:widowControl/>
              <w:jc w:val="right"/>
              <w:rPr>
                <w:kern w:val="0"/>
                <w:sz w:val="20"/>
              </w:rPr>
            </w:pPr>
            <w:r w:rsidRPr="00720EF1">
              <w:rPr>
                <w:kern w:val="0"/>
                <w:sz w:val="20"/>
              </w:rPr>
              <w:t xml:space="preserve">7.65 </w:t>
            </w:r>
          </w:p>
        </w:tc>
        <w:tc>
          <w:tcPr>
            <w:tcW w:w="981" w:type="dxa"/>
            <w:tcBorders>
              <w:top w:val="nil"/>
              <w:left w:val="nil"/>
              <w:bottom w:val="nil"/>
              <w:right w:val="nil"/>
            </w:tcBorders>
            <w:shd w:val="clear" w:color="auto" w:fill="auto"/>
            <w:noWrap/>
            <w:vAlign w:val="bottom"/>
            <w:hideMark/>
          </w:tcPr>
          <w:p w14:paraId="25A43864" w14:textId="77777777" w:rsidR="000F5BAD" w:rsidRPr="00720EF1" w:rsidRDefault="000F5BAD" w:rsidP="006A25C9">
            <w:pPr>
              <w:widowControl/>
              <w:jc w:val="right"/>
              <w:rPr>
                <w:kern w:val="0"/>
                <w:sz w:val="20"/>
              </w:rPr>
            </w:pPr>
            <w:r w:rsidRPr="00720EF1">
              <w:rPr>
                <w:kern w:val="0"/>
                <w:sz w:val="20"/>
              </w:rPr>
              <w:t>67.22</w:t>
            </w:r>
          </w:p>
        </w:tc>
        <w:tc>
          <w:tcPr>
            <w:tcW w:w="962" w:type="dxa"/>
            <w:tcBorders>
              <w:top w:val="nil"/>
              <w:left w:val="nil"/>
              <w:bottom w:val="nil"/>
              <w:right w:val="nil"/>
            </w:tcBorders>
            <w:shd w:val="clear" w:color="auto" w:fill="auto"/>
            <w:noWrap/>
            <w:vAlign w:val="bottom"/>
            <w:hideMark/>
          </w:tcPr>
          <w:p w14:paraId="28140841" w14:textId="77777777" w:rsidR="000F5BAD" w:rsidRPr="00720EF1" w:rsidRDefault="000F5BAD" w:rsidP="006A25C9">
            <w:pPr>
              <w:widowControl/>
              <w:jc w:val="right"/>
              <w:rPr>
                <w:kern w:val="0"/>
                <w:sz w:val="20"/>
              </w:rPr>
            </w:pPr>
            <w:r w:rsidRPr="00720EF1">
              <w:rPr>
                <w:kern w:val="0"/>
                <w:sz w:val="20"/>
              </w:rPr>
              <w:t>79.92</w:t>
            </w:r>
          </w:p>
        </w:tc>
        <w:tc>
          <w:tcPr>
            <w:tcW w:w="962" w:type="dxa"/>
            <w:tcBorders>
              <w:top w:val="nil"/>
              <w:left w:val="nil"/>
              <w:bottom w:val="nil"/>
              <w:right w:val="nil"/>
            </w:tcBorders>
            <w:shd w:val="clear" w:color="auto" w:fill="auto"/>
            <w:noWrap/>
            <w:vAlign w:val="bottom"/>
            <w:hideMark/>
          </w:tcPr>
          <w:p w14:paraId="238D7ABC" w14:textId="77777777" w:rsidR="000F5BAD" w:rsidRPr="00720EF1" w:rsidRDefault="000F5BAD" w:rsidP="006A25C9">
            <w:pPr>
              <w:widowControl/>
              <w:jc w:val="right"/>
              <w:rPr>
                <w:kern w:val="0"/>
                <w:sz w:val="20"/>
              </w:rPr>
            </w:pPr>
            <w:r w:rsidRPr="00720EF1">
              <w:rPr>
                <w:kern w:val="0"/>
                <w:sz w:val="20"/>
              </w:rPr>
              <w:t>80.92</w:t>
            </w:r>
          </w:p>
        </w:tc>
        <w:tc>
          <w:tcPr>
            <w:tcW w:w="1197" w:type="dxa"/>
            <w:tcBorders>
              <w:top w:val="nil"/>
              <w:left w:val="nil"/>
              <w:bottom w:val="nil"/>
              <w:right w:val="nil"/>
            </w:tcBorders>
            <w:shd w:val="clear" w:color="auto" w:fill="auto"/>
            <w:noWrap/>
            <w:vAlign w:val="bottom"/>
            <w:hideMark/>
          </w:tcPr>
          <w:p w14:paraId="05AA3EF7" w14:textId="77777777" w:rsidR="000F5BAD" w:rsidRPr="00720EF1" w:rsidRDefault="000F5BAD" w:rsidP="006A25C9">
            <w:pPr>
              <w:widowControl/>
              <w:jc w:val="right"/>
              <w:rPr>
                <w:kern w:val="0"/>
                <w:sz w:val="20"/>
              </w:rPr>
            </w:pPr>
            <w:r w:rsidRPr="00720EF1">
              <w:rPr>
                <w:kern w:val="0"/>
                <w:sz w:val="20"/>
              </w:rPr>
              <w:t xml:space="preserve">      30.51 </w:t>
            </w:r>
          </w:p>
        </w:tc>
      </w:tr>
      <w:tr w:rsidR="000F5BAD" w:rsidRPr="00720EF1" w14:paraId="3345D663" w14:textId="77777777" w:rsidTr="006A25C9">
        <w:trPr>
          <w:trHeight w:val="258"/>
        </w:trPr>
        <w:tc>
          <w:tcPr>
            <w:tcW w:w="2810" w:type="dxa"/>
            <w:tcBorders>
              <w:top w:val="nil"/>
              <w:left w:val="nil"/>
              <w:bottom w:val="nil"/>
              <w:right w:val="nil"/>
            </w:tcBorders>
            <w:shd w:val="clear" w:color="auto" w:fill="auto"/>
            <w:noWrap/>
            <w:vAlign w:val="bottom"/>
            <w:hideMark/>
          </w:tcPr>
          <w:p w14:paraId="40579C17" w14:textId="77777777" w:rsidR="000F5BAD" w:rsidRPr="00720EF1" w:rsidRDefault="000F5BAD" w:rsidP="006A25C9">
            <w:pPr>
              <w:widowControl/>
              <w:jc w:val="left"/>
              <w:rPr>
                <w:kern w:val="0"/>
                <w:sz w:val="20"/>
              </w:rPr>
            </w:pPr>
            <w:r w:rsidRPr="00720EF1">
              <w:rPr>
                <w:kern w:val="0"/>
                <w:sz w:val="20"/>
              </w:rPr>
              <w:t>创金合信气候变化</w:t>
            </w:r>
            <w:r w:rsidRPr="00720EF1">
              <w:rPr>
                <w:kern w:val="0"/>
                <w:sz w:val="20"/>
              </w:rPr>
              <w:t>A</w:t>
            </w:r>
          </w:p>
        </w:tc>
        <w:tc>
          <w:tcPr>
            <w:tcW w:w="766" w:type="dxa"/>
            <w:tcBorders>
              <w:top w:val="nil"/>
              <w:left w:val="nil"/>
              <w:bottom w:val="nil"/>
              <w:right w:val="nil"/>
            </w:tcBorders>
            <w:shd w:val="clear" w:color="auto" w:fill="auto"/>
            <w:noWrap/>
            <w:vAlign w:val="bottom"/>
            <w:hideMark/>
          </w:tcPr>
          <w:p w14:paraId="7C0C083A"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74A48C28" w14:textId="77777777" w:rsidR="000F5BAD" w:rsidRPr="00720EF1" w:rsidRDefault="000F5BAD" w:rsidP="006A25C9">
            <w:pPr>
              <w:widowControl/>
              <w:jc w:val="right"/>
              <w:rPr>
                <w:kern w:val="0"/>
                <w:sz w:val="20"/>
              </w:rPr>
            </w:pPr>
            <w:r w:rsidRPr="00720EF1">
              <w:rPr>
                <w:kern w:val="0"/>
                <w:sz w:val="20"/>
              </w:rPr>
              <w:t xml:space="preserve">5.56 </w:t>
            </w:r>
          </w:p>
        </w:tc>
        <w:tc>
          <w:tcPr>
            <w:tcW w:w="981" w:type="dxa"/>
            <w:tcBorders>
              <w:top w:val="nil"/>
              <w:left w:val="nil"/>
              <w:bottom w:val="nil"/>
              <w:right w:val="nil"/>
            </w:tcBorders>
            <w:shd w:val="clear" w:color="auto" w:fill="auto"/>
            <w:noWrap/>
            <w:vAlign w:val="bottom"/>
            <w:hideMark/>
          </w:tcPr>
          <w:p w14:paraId="67A1DABB" w14:textId="77777777" w:rsidR="000F5BAD" w:rsidRPr="00720EF1" w:rsidRDefault="000F5BAD" w:rsidP="006A25C9">
            <w:pPr>
              <w:widowControl/>
              <w:jc w:val="right"/>
              <w:rPr>
                <w:kern w:val="0"/>
                <w:sz w:val="20"/>
              </w:rPr>
            </w:pPr>
            <w:r w:rsidRPr="00720EF1">
              <w:rPr>
                <w:kern w:val="0"/>
                <w:sz w:val="20"/>
              </w:rPr>
              <w:t>67.63</w:t>
            </w:r>
          </w:p>
        </w:tc>
        <w:tc>
          <w:tcPr>
            <w:tcW w:w="962" w:type="dxa"/>
            <w:tcBorders>
              <w:top w:val="nil"/>
              <w:left w:val="nil"/>
              <w:bottom w:val="nil"/>
              <w:right w:val="nil"/>
            </w:tcBorders>
            <w:shd w:val="clear" w:color="auto" w:fill="auto"/>
            <w:noWrap/>
            <w:vAlign w:val="bottom"/>
            <w:hideMark/>
          </w:tcPr>
          <w:p w14:paraId="4751300B" w14:textId="77777777" w:rsidR="000F5BAD" w:rsidRPr="00720EF1" w:rsidRDefault="000F5BAD" w:rsidP="006A25C9">
            <w:pPr>
              <w:widowControl/>
              <w:jc w:val="right"/>
              <w:rPr>
                <w:kern w:val="0"/>
                <w:sz w:val="20"/>
              </w:rPr>
            </w:pPr>
            <w:r w:rsidRPr="00720EF1">
              <w:rPr>
                <w:kern w:val="0"/>
                <w:sz w:val="20"/>
              </w:rPr>
              <w:t>79.58</w:t>
            </w:r>
          </w:p>
        </w:tc>
        <w:tc>
          <w:tcPr>
            <w:tcW w:w="962" w:type="dxa"/>
            <w:tcBorders>
              <w:top w:val="nil"/>
              <w:left w:val="nil"/>
              <w:bottom w:val="nil"/>
              <w:right w:val="nil"/>
            </w:tcBorders>
            <w:shd w:val="clear" w:color="auto" w:fill="auto"/>
            <w:noWrap/>
            <w:vAlign w:val="bottom"/>
            <w:hideMark/>
          </w:tcPr>
          <w:p w14:paraId="10ACF65B" w14:textId="77777777" w:rsidR="000F5BAD" w:rsidRPr="00720EF1" w:rsidRDefault="000F5BAD" w:rsidP="006A25C9">
            <w:pPr>
              <w:widowControl/>
              <w:jc w:val="right"/>
              <w:rPr>
                <w:kern w:val="0"/>
                <w:sz w:val="20"/>
              </w:rPr>
            </w:pPr>
            <w:r w:rsidRPr="00720EF1">
              <w:rPr>
                <w:kern w:val="0"/>
                <w:sz w:val="20"/>
              </w:rPr>
              <w:t>77.56</w:t>
            </w:r>
          </w:p>
        </w:tc>
        <w:tc>
          <w:tcPr>
            <w:tcW w:w="1197" w:type="dxa"/>
            <w:tcBorders>
              <w:top w:val="nil"/>
              <w:left w:val="nil"/>
              <w:bottom w:val="nil"/>
              <w:right w:val="nil"/>
            </w:tcBorders>
            <w:shd w:val="clear" w:color="auto" w:fill="auto"/>
            <w:noWrap/>
            <w:vAlign w:val="bottom"/>
            <w:hideMark/>
          </w:tcPr>
          <w:p w14:paraId="5673CB29" w14:textId="77777777" w:rsidR="000F5BAD" w:rsidRPr="00720EF1" w:rsidRDefault="000F5BAD" w:rsidP="006A25C9">
            <w:pPr>
              <w:widowControl/>
              <w:jc w:val="right"/>
              <w:rPr>
                <w:kern w:val="0"/>
                <w:sz w:val="20"/>
              </w:rPr>
            </w:pPr>
            <w:r w:rsidRPr="00720EF1">
              <w:rPr>
                <w:kern w:val="0"/>
                <w:sz w:val="20"/>
              </w:rPr>
              <w:t xml:space="preserve">      39.12 </w:t>
            </w:r>
          </w:p>
        </w:tc>
      </w:tr>
      <w:tr w:rsidR="000F5BAD" w:rsidRPr="00720EF1" w14:paraId="0EBD0B26" w14:textId="77777777" w:rsidTr="006A25C9">
        <w:trPr>
          <w:trHeight w:val="258"/>
        </w:trPr>
        <w:tc>
          <w:tcPr>
            <w:tcW w:w="2810" w:type="dxa"/>
            <w:tcBorders>
              <w:top w:val="nil"/>
              <w:left w:val="nil"/>
              <w:bottom w:val="nil"/>
              <w:right w:val="nil"/>
            </w:tcBorders>
            <w:shd w:val="clear" w:color="auto" w:fill="auto"/>
            <w:noWrap/>
            <w:vAlign w:val="bottom"/>
            <w:hideMark/>
          </w:tcPr>
          <w:p w14:paraId="193E5C6C" w14:textId="77777777" w:rsidR="000F5BAD" w:rsidRPr="00720EF1" w:rsidRDefault="000F5BAD" w:rsidP="006A25C9">
            <w:pPr>
              <w:widowControl/>
              <w:jc w:val="left"/>
              <w:rPr>
                <w:kern w:val="0"/>
                <w:sz w:val="20"/>
              </w:rPr>
            </w:pPr>
            <w:r w:rsidRPr="00720EF1">
              <w:rPr>
                <w:kern w:val="0"/>
                <w:sz w:val="20"/>
              </w:rPr>
              <w:t>南方新兴消费</w:t>
            </w:r>
            <w:r w:rsidRPr="00720EF1">
              <w:rPr>
                <w:kern w:val="0"/>
                <w:sz w:val="20"/>
              </w:rPr>
              <w:t>C</w:t>
            </w:r>
          </w:p>
        </w:tc>
        <w:tc>
          <w:tcPr>
            <w:tcW w:w="766" w:type="dxa"/>
            <w:tcBorders>
              <w:top w:val="nil"/>
              <w:left w:val="nil"/>
              <w:bottom w:val="nil"/>
              <w:right w:val="nil"/>
            </w:tcBorders>
            <w:shd w:val="clear" w:color="auto" w:fill="auto"/>
            <w:noWrap/>
            <w:vAlign w:val="bottom"/>
            <w:hideMark/>
          </w:tcPr>
          <w:p w14:paraId="086C6784" w14:textId="77777777" w:rsidR="000F5BAD" w:rsidRPr="00720EF1" w:rsidRDefault="000F5BAD" w:rsidP="006A25C9">
            <w:pPr>
              <w:widowControl/>
              <w:jc w:val="center"/>
              <w:rPr>
                <w:kern w:val="0"/>
                <w:sz w:val="20"/>
              </w:rPr>
            </w:pPr>
            <w:r w:rsidRPr="00720EF1">
              <w:rPr>
                <w:kern w:val="0"/>
                <w:sz w:val="20"/>
              </w:rPr>
              <w:t xml:space="preserve">1 </w:t>
            </w:r>
          </w:p>
        </w:tc>
        <w:tc>
          <w:tcPr>
            <w:tcW w:w="962" w:type="dxa"/>
            <w:tcBorders>
              <w:top w:val="nil"/>
              <w:left w:val="nil"/>
              <w:bottom w:val="nil"/>
              <w:right w:val="nil"/>
            </w:tcBorders>
            <w:shd w:val="clear" w:color="auto" w:fill="auto"/>
            <w:noWrap/>
            <w:vAlign w:val="bottom"/>
            <w:hideMark/>
          </w:tcPr>
          <w:p w14:paraId="41CBE2FB" w14:textId="77777777" w:rsidR="000F5BAD" w:rsidRPr="00720EF1" w:rsidRDefault="000F5BAD" w:rsidP="006A25C9">
            <w:pPr>
              <w:widowControl/>
              <w:jc w:val="right"/>
              <w:rPr>
                <w:kern w:val="0"/>
                <w:sz w:val="20"/>
              </w:rPr>
            </w:pPr>
            <w:r w:rsidRPr="00720EF1">
              <w:rPr>
                <w:kern w:val="0"/>
                <w:sz w:val="20"/>
              </w:rPr>
              <w:t xml:space="preserve">6.99 </w:t>
            </w:r>
          </w:p>
        </w:tc>
        <w:tc>
          <w:tcPr>
            <w:tcW w:w="981" w:type="dxa"/>
            <w:tcBorders>
              <w:top w:val="nil"/>
              <w:left w:val="nil"/>
              <w:bottom w:val="nil"/>
              <w:right w:val="nil"/>
            </w:tcBorders>
            <w:shd w:val="clear" w:color="auto" w:fill="auto"/>
            <w:noWrap/>
            <w:vAlign w:val="bottom"/>
            <w:hideMark/>
          </w:tcPr>
          <w:p w14:paraId="45CFA195" w14:textId="77777777" w:rsidR="000F5BAD" w:rsidRPr="00720EF1" w:rsidRDefault="000F5BAD" w:rsidP="006A25C9">
            <w:pPr>
              <w:widowControl/>
              <w:jc w:val="right"/>
              <w:rPr>
                <w:kern w:val="0"/>
                <w:sz w:val="20"/>
              </w:rPr>
            </w:pPr>
            <w:r w:rsidRPr="00720EF1">
              <w:rPr>
                <w:kern w:val="0"/>
                <w:sz w:val="20"/>
              </w:rPr>
              <w:t>65.16</w:t>
            </w:r>
          </w:p>
        </w:tc>
        <w:tc>
          <w:tcPr>
            <w:tcW w:w="962" w:type="dxa"/>
            <w:tcBorders>
              <w:top w:val="nil"/>
              <w:left w:val="nil"/>
              <w:bottom w:val="nil"/>
              <w:right w:val="nil"/>
            </w:tcBorders>
            <w:shd w:val="clear" w:color="auto" w:fill="auto"/>
            <w:noWrap/>
            <w:vAlign w:val="bottom"/>
            <w:hideMark/>
          </w:tcPr>
          <w:p w14:paraId="4976A845" w14:textId="77777777" w:rsidR="000F5BAD" w:rsidRPr="00720EF1" w:rsidRDefault="000F5BAD" w:rsidP="006A25C9">
            <w:pPr>
              <w:widowControl/>
              <w:jc w:val="right"/>
              <w:rPr>
                <w:kern w:val="0"/>
                <w:sz w:val="20"/>
              </w:rPr>
            </w:pPr>
            <w:r w:rsidRPr="00720EF1">
              <w:rPr>
                <w:kern w:val="0"/>
                <w:sz w:val="20"/>
              </w:rPr>
              <w:t>81.64</w:t>
            </w:r>
          </w:p>
        </w:tc>
        <w:tc>
          <w:tcPr>
            <w:tcW w:w="962" w:type="dxa"/>
            <w:tcBorders>
              <w:top w:val="nil"/>
              <w:left w:val="nil"/>
              <w:bottom w:val="nil"/>
              <w:right w:val="nil"/>
            </w:tcBorders>
            <w:shd w:val="clear" w:color="auto" w:fill="auto"/>
            <w:noWrap/>
            <w:vAlign w:val="bottom"/>
            <w:hideMark/>
          </w:tcPr>
          <w:p w14:paraId="6822426B" w14:textId="77777777" w:rsidR="000F5BAD" w:rsidRPr="00720EF1" w:rsidRDefault="000F5BAD" w:rsidP="006A25C9">
            <w:pPr>
              <w:widowControl/>
              <w:jc w:val="right"/>
              <w:rPr>
                <w:kern w:val="0"/>
                <w:sz w:val="20"/>
              </w:rPr>
            </w:pPr>
            <w:r w:rsidRPr="00720EF1">
              <w:rPr>
                <w:kern w:val="0"/>
                <w:sz w:val="20"/>
              </w:rPr>
              <w:t>80.24</w:t>
            </w:r>
          </w:p>
        </w:tc>
        <w:tc>
          <w:tcPr>
            <w:tcW w:w="1197" w:type="dxa"/>
            <w:tcBorders>
              <w:top w:val="nil"/>
              <w:left w:val="nil"/>
              <w:bottom w:val="nil"/>
              <w:right w:val="nil"/>
            </w:tcBorders>
            <w:shd w:val="clear" w:color="auto" w:fill="auto"/>
            <w:noWrap/>
            <w:vAlign w:val="bottom"/>
            <w:hideMark/>
          </w:tcPr>
          <w:p w14:paraId="055AFD88" w14:textId="77777777" w:rsidR="000F5BAD" w:rsidRPr="00720EF1" w:rsidRDefault="000F5BAD" w:rsidP="006A25C9">
            <w:pPr>
              <w:widowControl/>
              <w:jc w:val="right"/>
              <w:rPr>
                <w:kern w:val="0"/>
                <w:sz w:val="20"/>
              </w:rPr>
            </w:pPr>
            <w:r w:rsidRPr="00720EF1">
              <w:rPr>
                <w:kern w:val="0"/>
                <w:sz w:val="20"/>
              </w:rPr>
              <w:t xml:space="preserve">        5.35 </w:t>
            </w:r>
          </w:p>
        </w:tc>
      </w:tr>
      <w:tr w:rsidR="000F5BAD" w:rsidRPr="00720EF1" w14:paraId="22EA01C6" w14:textId="77777777" w:rsidTr="006A25C9">
        <w:trPr>
          <w:trHeight w:val="258"/>
        </w:trPr>
        <w:tc>
          <w:tcPr>
            <w:tcW w:w="2810" w:type="dxa"/>
            <w:tcBorders>
              <w:top w:val="nil"/>
              <w:left w:val="nil"/>
              <w:bottom w:val="nil"/>
              <w:right w:val="nil"/>
            </w:tcBorders>
            <w:shd w:val="clear" w:color="auto" w:fill="auto"/>
            <w:noWrap/>
            <w:vAlign w:val="bottom"/>
            <w:hideMark/>
          </w:tcPr>
          <w:p w14:paraId="056161E3" w14:textId="77777777" w:rsidR="000F5BAD" w:rsidRPr="00720EF1" w:rsidRDefault="000F5BAD" w:rsidP="006A25C9">
            <w:pPr>
              <w:widowControl/>
              <w:jc w:val="left"/>
              <w:rPr>
                <w:kern w:val="0"/>
                <w:sz w:val="20"/>
              </w:rPr>
            </w:pPr>
            <w:r w:rsidRPr="00720EF1">
              <w:rPr>
                <w:kern w:val="0"/>
                <w:sz w:val="20"/>
              </w:rPr>
              <w:lastRenderedPageBreak/>
              <w:t>申万菱信医药先锋</w:t>
            </w:r>
            <w:r w:rsidRPr="00720EF1">
              <w:rPr>
                <w:kern w:val="0"/>
                <w:sz w:val="20"/>
              </w:rPr>
              <w:t>A</w:t>
            </w:r>
          </w:p>
        </w:tc>
        <w:tc>
          <w:tcPr>
            <w:tcW w:w="766" w:type="dxa"/>
            <w:tcBorders>
              <w:top w:val="nil"/>
              <w:left w:val="nil"/>
              <w:bottom w:val="nil"/>
              <w:right w:val="nil"/>
            </w:tcBorders>
            <w:shd w:val="clear" w:color="auto" w:fill="auto"/>
            <w:noWrap/>
            <w:vAlign w:val="bottom"/>
            <w:hideMark/>
          </w:tcPr>
          <w:p w14:paraId="03F4F3F8"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674034E7" w14:textId="77777777" w:rsidR="000F5BAD" w:rsidRPr="00720EF1" w:rsidRDefault="000F5BAD" w:rsidP="006A25C9">
            <w:pPr>
              <w:widowControl/>
              <w:jc w:val="right"/>
              <w:rPr>
                <w:kern w:val="0"/>
                <w:sz w:val="20"/>
              </w:rPr>
            </w:pPr>
            <w:r w:rsidRPr="00720EF1">
              <w:rPr>
                <w:kern w:val="0"/>
                <w:sz w:val="20"/>
              </w:rPr>
              <w:t xml:space="preserve">5.65 </w:t>
            </w:r>
          </w:p>
        </w:tc>
        <w:tc>
          <w:tcPr>
            <w:tcW w:w="981" w:type="dxa"/>
            <w:tcBorders>
              <w:top w:val="nil"/>
              <w:left w:val="nil"/>
              <w:bottom w:val="nil"/>
              <w:right w:val="nil"/>
            </w:tcBorders>
            <w:shd w:val="clear" w:color="auto" w:fill="auto"/>
            <w:noWrap/>
            <w:vAlign w:val="bottom"/>
            <w:hideMark/>
          </w:tcPr>
          <w:p w14:paraId="253A6A85" w14:textId="77777777" w:rsidR="000F5BAD" w:rsidRPr="00720EF1" w:rsidRDefault="000F5BAD" w:rsidP="006A25C9">
            <w:pPr>
              <w:widowControl/>
              <w:jc w:val="right"/>
              <w:rPr>
                <w:kern w:val="0"/>
                <w:sz w:val="20"/>
              </w:rPr>
            </w:pPr>
            <w:r w:rsidRPr="00720EF1">
              <w:rPr>
                <w:kern w:val="0"/>
                <w:sz w:val="20"/>
              </w:rPr>
              <w:t>62.4</w:t>
            </w:r>
          </w:p>
        </w:tc>
        <w:tc>
          <w:tcPr>
            <w:tcW w:w="962" w:type="dxa"/>
            <w:tcBorders>
              <w:top w:val="nil"/>
              <w:left w:val="nil"/>
              <w:bottom w:val="nil"/>
              <w:right w:val="nil"/>
            </w:tcBorders>
            <w:shd w:val="clear" w:color="auto" w:fill="auto"/>
            <w:noWrap/>
            <w:vAlign w:val="bottom"/>
            <w:hideMark/>
          </w:tcPr>
          <w:p w14:paraId="4D1539AC" w14:textId="77777777" w:rsidR="000F5BAD" w:rsidRPr="00720EF1" w:rsidRDefault="000F5BAD" w:rsidP="006A25C9">
            <w:pPr>
              <w:widowControl/>
              <w:jc w:val="right"/>
              <w:rPr>
                <w:kern w:val="0"/>
                <w:sz w:val="20"/>
              </w:rPr>
            </w:pPr>
            <w:r w:rsidRPr="00720EF1">
              <w:rPr>
                <w:kern w:val="0"/>
                <w:sz w:val="20"/>
              </w:rPr>
              <w:t>75.24</w:t>
            </w:r>
          </w:p>
        </w:tc>
        <w:tc>
          <w:tcPr>
            <w:tcW w:w="962" w:type="dxa"/>
            <w:tcBorders>
              <w:top w:val="nil"/>
              <w:left w:val="nil"/>
              <w:bottom w:val="nil"/>
              <w:right w:val="nil"/>
            </w:tcBorders>
            <w:shd w:val="clear" w:color="auto" w:fill="auto"/>
            <w:noWrap/>
            <w:vAlign w:val="bottom"/>
            <w:hideMark/>
          </w:tcPr>
          <w:p w14:paraId="42524EA8" w14:textId="77777777" w:rsidR="000F5BAD" w:rsidRPr="00720EF1" w:rsidRDefault="000F5BAD" w:rsidP="006A25C9">
            <w:pPr>
              <w:widowControl/>
              <w:jc w:val="right"/>
              <w:rPr>
                <w:kern w:val="0"/>
                <w:sz w:val="20"/>
              </w:rPr>
            </w:pPr>
            <w:r w:rsidRPr="00720EF1">
              <w:rPr>
                <w:kern w:val="0"/>
                <w:sz w:val="20"/>
              </w:rPr>
              <w:t>82.37</w:t>
            </w:r>
          </w:p>
        </w:tc>
        <w:tc>
          <w:tcPr>
            <w:tcW w:w="1197" w:type="dxa"/>
            <w:tcBorders>
              <w:top w:val="nil"/>
              <w:left w:val="nil"/>
              <w:bottom w:val="nil"/>
              <w:right w:val="nil"/>
            </w:tcBorders>
            <w:shd w:val="clear" w:color="auto" w:fill="auto"/>
            <w:noWrap/>
            <w:vAlign w:val="bottom"/>
            <w:hideMark/>
          </w:tcPr>
          <w:p w14:paraId="6AA04E55" w14:textId="77777777" w:rsidR="000F5BAD" w:rsidRPr="00720EF1" w:rsidRDefault="000F5BAD" w:rsidP="006A25C9">
            <w:pPr>
              <w:widowControl/>
              <w:jc w:val="right"/>
              <w:rPr>
                <w:kern w:val="0"/>
                <w:sz w:val="20"/>
              </w:rPr>
            </w:pPr>
            <w:r w:rsidRPr="00720EF1">
              <w:rPr>
                <w:kern w:val="0"/>
                <w:sz w:val="20"/>
              </w:rPr>
              <w:t xml:space="preserve">      12.19 </w:t>
            </w:r>
          </w:p>
        </w:tc>
      </w:tr>
      <w:tr w:rsidR="000F5BAD" w:rsidRPr="00720EF1" w14:paraId="14D42156" w14:textId="77777777" w:rsidTr="006A25C9">
        <w:trPr>
          <w:trHeight w:val="258"/>
        </w:trPr>
        <w:tc>
          <w:tcPr>
            <w:tcW w:w="2810" w:type="dxa"/>
            <w:tcBorders>
              <w:top w:val="nil"/>
              <w:left w:val="nil"/>
              <w:bottom w:val="nil"/>
              <w:right w:val="nil"/>
            </w:tcBorders>
            <w:shd w:val="clear" w:color="auto" w:fill="auto"/>
            <w:noWrap/>
            <w:vAlign w:val="bottom"/>
            <w:hideMark/>
          </w:tcPr>
          <w:p w14:paraId="0652DC2E" w14:textId="77777777" w:rsidR="000F5BAD" w:rsidRPr="00720EF1" w:rsidRDefault="000F5BAD" w:rsidP="006A25C9">
            <w:pPr>
              <w:widowControl/>
              <w:jc w:val="left"/>
              <w:rPr>
                <w:kern w:val="0"/>
                <w:sz w:val="20"/>
              </w:rPr>
            </w:pPr>
            <w:r w:rsidRPr="00720EF1">
              <w:rPr>
                <w:kern w:val="0"/>
                <w:sz w:val="20"/>
              </w:rPr>
              <w:t>景顺长城量化小盘</w:t>
            </w:r>
          </w:p>
        </w:tc>
        <w:tc>
          <w:tcPr>
            <w:tcW w:w="766" w:type="dxa"/>
            <w:tcBorders>
              <w:top w:val="nil"/>
              <w:left w:val="nil"/>
              <w:bottom w:val="nil"/>
              <w:right w:val="nil"/>
            </w:tcBorders>
            <w:shd w:val="clear" w:color="auto" w:fill="auto"/>
            <w:noWrap/>
            <w:vAlign w:val="bottom"/>
            <w:hideMark/>
          </w:tcPr>
          <w:p w14:paraId="33D57C9F"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201AA42C" w14:textId="77777777" w:rsidR="000F5BAD" w:rsidRPr="00720EF1" w:rsidRDefault="000F5BAD" w:rsidP="006A25C9">
            <w:pPr>
              <w:widowControl/>
              <w:jc w:val="right"/>
              <w:rPr>
                <w:kern w:val="0"/>
                <w:sz w:val="20"/>
              </w:rPr>
            </w:pPr>
            <w:r w:rsidRPr="00720EF1">
              <w:rPr>
                <w:kern w:val="0"/>
                <w:sz w:val="20"/>
              </w:rPr>
              <w:t xml:space="preserve">7.07 </w:t>
            </w:r>
          </w:p>
        </w:tc>
        <w:tc>
          <w:tcPr>
            <w:tcW w:w="981" w:type="dxa"/>
            <w:tcBorders>
              <w:top w:val="nil"/>
              <w:left w:val="nil"/>
              <w:bottom w:val="nil"/>
              <w:right w:val="nil"/>
            </w:tcBorders>
            <w:shd w:val="clear" w:color="auto" w:fill="auto"/>
            <w:noWrap/>
            <w:vAlign w:val="bottom"/>
            <w:hideMark/>
          </w:tcPr>
          <w:p w14:paraId="3918FF9B" w14:textId="77777777" w:rsidR="000F5BAD" w:rsidRPr="00720EF1" w:rsidRDefault="000F5BAD" w:rsidP="006A25C9">
            <w:pPr>
              <w:widowControl/>
              <w:jc w:val="right"/>
              <w:rPr>
                <w:kern w:val="0"/>
                <w:sz w:val="20"/>
              </w:rPr>
            </w:pPr>
            <w:r w:rsidRPr="00720EF1">
              <w:rPr>
                <w:kern w:val="0"/>
                <w:sz w:val="20"/>
              </w:rPr>
              <w:t>60.75</w:t>
            </w:r>
          </w:p>
        </w:tc>
        <w:tc>
          <w:tcPr>
            <w:tcW w:w="962" w:type="dxa"/>
            <w:tcBorders>
              <w:top w:val="nil"/>
              <w:left w:val="nil"/>
              <w:bottom w:val="nil"/>
              <w:right w:val="nil"/>
            </w:tcBorders>
            <w:shd w:val="clear" w:color="auto" w:fill="auto"/>
            <w:noWrap/>
            <w:vAlign w:val="bottom"/>
            <w:hideMark/>
          </w:tcPr>
          <w:p w14:paraId="0F12AC10" w14:textId="77777777" w:rsidR="000F5BAD" w:rsidRPr="00720EF1" w:rsidRDefault="000F5BAD" w:rsidP="006A25C9">
            <w:pPr>
              <w:widowControl/>
              <w:jc w:val="right"/>
              <w:rPr>
                <w:kern w:val="0"/>
                <w:sz w:val="20"/>
              </w:rPr>
            </w:pPr>
            <w:r w:rsidRPr="00720EF1">
              <w:rPr>
                <w:kern w:val="0"/>
                <w:sz w:val="20"/>
              </w:rPr>
              <w:t>76.99</w:t>
            </w:r>
          </w:p>
        </w:tc>
        <w:tc>
          <w:tcPr>
            <w:tcW w:w="962" w:type="dxa"/>
            <w:tcBorders>
              <w:top w:val="nil"/>
              <w:left w:val="nil"/>
              <w:bottom w:val="nil"/>
              <w:right w:val="nil"/>
            </w:tcBorders>
            <w:shd w:val="clear" w:color="auto" w:fill="auto"/>
            <w:noWrap/>
            <w:vAlign w:val="bottom"/>
            <w:hideMark/>
          </w:tcPr>
          <w:p w14:paraId="5A5F919E" w14:textId="77777777" w:rsidR="000F5BAD" w:rsidRPr="00720EF1" w:rsidRDefault="000F5BAD" w:rsidP="006A25C9">
            <w:pPr>
              <w:widowControl/>
              <w:jc w:val="right"/>
              <w:rPr>
                <w:kern w:val="0"/>
                <w:sz w:val="20"/>
              </w:rPr>
            </w:pPr>
            <w:r w:rsidRPr="00720EF1">
              <w:rPr>
                <w:kern w:val="0"/>
                <w:sz w:val="20"/>
              </w:rPr>
              <w:t>79.89</w:t>
            </w:r>
          </w:p>
        </w:tc>
        <w:tc>
          <w:tcPr>
            <w:tcW w:w="1197" w:type="dxa"/>
            <w:tcBorders>
              <w:top w:val="nil"/>
              <w:left w:val="nil"/>
              <w:bottom w:val="nil"/>
              <w:right w:val="nil"/>
            </w:tcBorders>
            <w:shd w:val="clear" w:color="auto" w:fill="auto"/>
            <w:noWrap/>
            <w:vAlign w:val="bottom"/>
            <w:hideMark/>
          </w:tcPr>
          <w:p w14:paraId="1F622FE5" w14:textId="77777777" w:rsidR="000F5BAD" w:rsidRPr="00720EF1" w:rsidRDefault="000F5BAD" w:rsidP="006A25C9">
            <w:pPr>
              <w:widowControl/>
              <w:jc w:val="right"/>
              <w:rPr>
                <w:kern w:val="0"/>
                <w:sz w:val="20"/>
              </w:rPr>
            </w:pPr>
            <w:r w:rsidRPr="00720EF1">
              <w:rPr>
                <w:kern w:val="0"/>
                <w:sz w:val="20"/>
              </w:rPr>
              <w:t xml:space="preserve">      22.03 </w:t>
            </w:r>
          </w:p>
        </w:tc>
      </w:tr>
      <w:tr w:rsidR="000F5BAD" w:rsidRPr="00720EF1" w14:paraId="31A8BAE3" w14:textId="77777777" w:rsidTr="006A25C9">
        <w:trPr>
          <w:trHeight w:val="258"/>
        </w:trPr>
        <w:tc>
          <w:tcPr>
            <w:tcW w:w="2810" w:type="dxa"/>
            <w:tcBorders>
              <w:top w:val="nil"/>
              <w:left w:val="nil"/>
              <w:bottom w:val="nil"/>
              <w:right w:val="nil"/>
            </w:tcBorders>
            <w:shd w:val="clear" w:color="auto" w:fill="auto"/>
            <w:noWrap/>
            <w:vAlign w:val="bottom"/>
            <w:hideMark/>
          </w:tcPr>
          <w:p w14:paraId="290F9C1D" w14:textId="77777777" w:rsidR="000F5BAD" w:rsidRPr="00720EF1" w:rsidRDefault="000F5BAD" w:rsidP="006A25C9">
            <w:pPr>
              <w:widowControl/>
              <w:jc w:val="left"/>
              <w:rPr>
                <w:kern w:val="0"/>
                <w:sz w:val="20"/>
              </w:rPr>
            </w:pPr>
            <w:r w:rsidRPr="00720EF1">
              <w:rPr>
                <w:kern w:val="0"/>
                <w:sz w:val="20"/>
              </w:rPr>
              <w:t>华泰紫金智能量化</w:t>
            </w:r>
            <w:r w:rsidRPr="00720EF1">
              <w:rPr>
                <w:kern w:val="0"/>
                <w:sz w:val="20"/>
              </w:rPr>
              <w:t>A</w:t>
            </w:r>
          </w:p>
        </w:tc>
        <w:tc>
          <w:tcPr>
            <w:tcW w:w="766" w:type="dxa"/>
            <w:tcBorders>
              <w:top w:val="nil"/>
              <w:left w:val="nil"/>
              <w:bottom w:val="nil"/>
              <w:right w:val="nil"/>
            </w:tcBorders>
            <w:shd w:val="clear" w:color="auto" w:fill="auto"/>
            <w:noWrap/>
            <w:vAlign w:val="bottom"/>
            <w:hideMark/>
          </w:tcPr>
          <w:p w14:paraId="56E4BD08"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2034B419"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20EDF4E8" w14:textId="77777777" w:rsidR="000F5BAD" w:rsidRPr="00720EF1" w:rsidRDefault="000F5BAD" w:rsidP="006A25C9">
            <w:pPr>
              <w:widowControl/>
              <w:jc w:val="right"/>
              <w:rPr>
                <w:kern w:val="0"/>
                <w:sz w:val="20"/>
              </w:rPr>
            </w:pPr>
            <w:r w:rsidRPr="00720EF1">
              <w:rPr>
                <w:kern w:val="0"/>
                <w:sz w:val="20"/>
              </w:rPr>
              <w:t>64.78</w:t>
            </w:r>
          </w:p>
        </w:tc>
        <w:tc>
          <w:tcPr>
            <w:tcW w:w="962" w:type="dxa"/>
            <w:tcBorders>
              <w:top w:val="nil"/>
              <w:left w:val="nil"/>
              <w:bottom w:val="nil"/>
              <w:right w:val="nil"/>
            </w:tcBorders>
            <w:shd w:val="clear" w:color="auto" w:fill="auto"/>
            <w:noWrap/>
            <w:vAlign w:val="bottom"/>
            <w:hideMark/>
          </w:tcPr>
          <w:p w14:paraId="63D9293E" w14:textId="77777777" w:rsidR="000F5BAD" w:rsidRPr="00720EF1" w:rsidRDefault="000F5BAD" w:rsidP="006A25C9">
            <w:pPr>
              <w:widowControl/>
              <w:jc w:val="right"/>
              <w:rPr>
                <w:kern w:val="0"/>
                <w:sz w:val="20"/>
              </w:rPr>
            </w:pPr>
            <w:r w:rsidRPr="00720EF1">
              <w:rPr>
                <w:kern w:val="0"/>
                <w:sz w:val="20"/>
              </w:rPr>
              <w:t>79.56</w:t>
            </w:r>
          </w:p>
        </w:tc>
        <w:tc>
          <w:tcPr>
            <w:tcW w:w="962" w:type="dxa"/>
            <w:tcBorders>
              <w:top w:val="nil"/>
              <w:left w:val="nil"/>
              <w:bottom w:val="nil"/>
              <w:right w:val="nil"/>
            </w:tcBorders>
            <w:shd w:val="clear" w:color="auto" w:fill="auto"/>
            <w:noWrap/>
            <w:vAlign w:val="bottom"/>
            <w:hideMark/>
          </w:tcPr>
          <w:p w14:paraId="1D101BDF" w14:textId="77777777" w:rsidR="000F5BAD" w:rsidRPr="00720EF1" w:rsidRDefault="000F5BAD" w:rsidP="006A25C9">
            <w:pPr>
              <w:widowControl/>
              <w:jc w:val="right"/>
              <w:rPr>
                <w:kern w:val="0"/>
                <w:sz w:val="20"/>
              </w:rPr>
            </w:pPr>
            <w:r w:rsidRPr="00720EF1">
              <w:rPr>
                <w:kern w:val="0"/>
                <w:sz w:val="20"/>
              </w:rPr>
              <w:t>82.42</w:t>
            </w:r>
          </w:p>
        </w:tc>
        <w:tc>
          <w:tcPr>
            <w:tcW w:w="1197" w:type="dxa"/>
            <w:tcBorders>
              <w:top w:val="nil"/>
              <w:left w:val="nil"/>
              <w:bottom w:val="nil"/>
              <w:right w:val="nil"/>
            </w:tcBorders>
            <w:shd w:val="clear" w:color="auto" w:fill="auto"/>
            <w:noWrap/>
            <w:vAlign w:val="bottom"/>
            <w:hideMark/>
          </w:tcPr>
          <w:p w14:paraId="0E0A0684" w14:textId="77777777" w:rsidR="000F5BAD" w:rsidRPr="00720EF1" w:rsidRDefault="000F5BAD" w:rsidP="006A25C9">
            <w:pPr>
              <w:widowControl/>
              <w:jc w:val="right"/>
              <w:rPr>
                <w:kern w:val="0"/>
                <w:sz w:val="20"/>
              </w:rPr>
            </w:pPr>
            <w:r w:rsidRPr="00720EF1">
              <w:rPr>
                <w:kern w:val="0"/>
                <w:sz w:val="20"/>
              </w:rPr>
              <w:t xml:space="preserve">        7.31 </w:t>
            </w:r>
          </w:p>
        </w:tc>
      </w:tr>
      <w:tr w:rsidR="000F5BAD" w:rsidRPr="00720EF1" w14:paraId="5DDD497F" w14:textId="77777777" w:rsidTr="006A25C9">
        <w:trPr>
          <w:trHeight w:val="258"/>
        </w:trPr>
        <w:tc>
          <w:tcPr>
            <w:tcW w:w="2810" w:type="dxa"/>
            <w:tcBorders>
              <w:top w:val="nil"/>
              <w:left w:val="nil"/>
              <w:bottom w:val="nil"/>
              <w:right w:val="nil"/>
            </w:tcBorders>
            <w:shd w:val="clear" w:color="auto" w:fill="auto"/>
            <w:noWrap/>
            <w:vAlign w:val="bottom"/>
            <w:hideMark/>
          </w:tcPr>
          <w:p w14:paraId="31167480" w14:textId="77777777" w:rsidR="000F5BAD" w:rsidRPr="00720EF1" w:rsidRDefault="000F5BAD" w:rsidP="006A25C9">
            <w:pPr>
              <w:widowControl/>
              <w:jc w:val="left"/>
              <w:rPr>
                <w:kern w:val="0"/>
                <w:sz w:val="20"/>
              </w:rPr>
            </w:pPr>
            <w:r w:rsidRPr="00720EF1">
              <w:rPr>
                <w:kern w:val="0"/>
                <w:sz w:val="20"/>
              </w:rPr>
              <w:t>前海开源中药研究精选</w:t>
            </w:r>
            <w:r w:rsidRPr="00720EF1">
              <w:rPr>
                <w:kern w:val="0"/>
                <w:sz w:val="20"/>
              </w:rPr>
              <w:t>C</w:t>
            </w:r>
          </w:p>
        </w:tc>
        <w:tc>
          <w:tcPr>
            <w:tcW w:w="766" w:type="dxa"/>
            <w:tcBorders>
              <w:top w:val="nil"/>
              <w:left w:val="nil"/>
              <w:bottom w:val="nil"/>
              <w:right w:val="nil"/>
            </w:tcBorders>
            <w:shd w:val="clear" w:color="auto" w:fill="auto"/>
            <w:noWrap/>
            <w:vAlign w:val="bottom"/>
            <w:hideMark/>
          </w:tcPr>
          <w:p w14:paraId="45802AC4"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60F579FE" w14:textId="77777777" w:rsidR="000F5BAD" w:rsidRPr="00720EF1" w:rsidRDefault="000F5BAD" w:rsidP="006A25C9">
            <w:pPr>
              <w:widowControl/>
              <w:jc w:val="right"/>
              <w:rPr>
                <w:kern w:val="0"/>
                <w:sz w:val="20"/>
              </w:rPr>
            </w:pPr>
            <w:r w:rsidRPr="00720EF1">
              <w:rPr>
                <w:kern w:val="0"/>
                <w:sz w:val="20"/>
              </w:rPr>
              <w:t xml:space="preserve">6.53 </w:t>
            </w:r>
          </w:p>
        </w:tc>
        <w:tc>
          <w:tcPr>
            <w:tcW w:w="981" w:type="dxa"/>
            <w:tcBorders>
              <w:top w:val="nil"/>
              <w:left w:val="nil"/>
              <w:bottom w:val="nil"/>
              <w:right w:val="nil"/>
            </w:tcBorders>
            <w:shd w:val="clear" w:color="auto" w:fill="auto"/>
            <w:noWrap/>
            <w:vAlign w:val="bottom"/>
            <w:hideMark/>
          </w:tcPr>
          <w:p w14:paraId="4455E87B" w14:textId="77777777" w:rsidR="000F5BAD" w:rsidRPr="00720EF1" w:rsidRDefault="000F5BAD" w:rsidP="006A25C9">
            <w:pPr>
              <w:widowControl/>
              <w:jc w:val="right"/>
              <w:rPr>
                <w:kern w:val="0"/>
                <w:sz w:val="20"/>
              </w:rPr>
            </w:pPr>
            <w:r w:rsidRPr="00720EF1">
              <w:rPr>
                <w:kern w:val="0"/>
                <w:sz w:val="20"/>
              </w:rPr>
              <w:t>63.75</w:t>
            </w:r>
          </w:p>
        </w:tc>
        <w:tc>
          <w:tcPr>
            <w:tcW w:w="962" w:type="dxa"/>
            <w:tcBorders>
              <w:top w:val="nil"/>
              <w:left w:val="nil"/>
              <w:bottom w:val="nil"/>
              <w:right w:val="nil"/>
            </w:tcBorders>
            <w:shd w:val="clear" w:color="auto" w:fill="auto"/>
            <w:noWrap/>
            <w:vAlign w:val="bottom"/>
            <w:hideMark/>
          </w:tcPr>
          <w:p w14:paraId="2EC47D0B" w14:textId="77777777" w:rsidR="000F5BAD" w:rsidRPr="00720EF1" w:rsidRDefault="000F5BAD" w:rsidP="006A25C9">
            <w:pPr>
              <w:widowControl/>
              <w:jc w:val="right"/>
              <w:rPr>
                <w:kern w:val="0"/>
                <w:sz w:val="20"/>
              </w:rPr>
            </w:pPr>
            <w:r w:rsidRPr="00720EF1">
              <w:rPr>
                <w:kern w:val="0"/>
                <w:sz w:val="20"/>
              </w:rPr>
              <w:t>76.71</w:t>
            </w:r>
          </w:p>
        </w:tc>
        <w:tc>
          <w:tcPr>
            <w:tcW w:w="962" w:type="dxa"/>
            <w:tcBorders>
              <w:top w:val="nil"/>
              <w:left w:val="nil"/>
              <w:bottom w:val="nil"/>
              <w:right w:val="nil"/>
            </w:tcBorders>
            <w:shd w:val="clear" w:color="auto" w:fill="auto"/>
            <w:noWrap/>
            <w:vAlign w:val="bottom"/>
            <w:hideMark/>
          </w:tcPr>
          <w:p w14:paraId="42FDD7FA" w14:textId="77777777" w:rsidR="000F5BAD" w:rsidRPr="00720EF1" w:rsidRDefault="000F5BAD" w:rsidP="006A25C9">
            <w:pPr>
              <w:widowControl/>
              <w:jc w:val="right"/>
              <w:rPr>
                <w:kern w:val="0"/>
                <w:sz w:val="20"/>
              </w:rPr>
            </w:pPr>
            <w:r w:rsidRPr="00720EF1">
              <w:rPr>
                <w:kern w:val="0"/>
                <w:sz w:val="20"/>
              </w:rPr>
              <w:t>82.56</w:t>
            </w:r>
          </w:p>
        </w:tc>
        <w:tc>
          <w:tcPr>
            <w:tcW w:w="1197" w:type="dxa"/>
            <w:tcBorders>
              <w:top w:val="nil"/>
              <w:left w:val="nil"/>
              <w:bottom w:val="nil"/>
              <w:right w:val="nil"/>
            </w:tcBorders>
            <w:shd w:val="clear" w:color="auto" w:fill="auto"/>
            <w:noWrap/>
            <w:vAlign w:val="bottom"/>
            <w:hideMark/>
          </w:tcPr>
          <w:p w14:paraId="1F536884" w14:textId="77777777" w:rsidR="000F5BAD" w:rsidRPr="00720EF1" w:rsidRDefault="000F5BAD" w:rsidP="006A25C9">
            <w:pPr>
              <w:widowControl/>
              <w:jc w:val="right"/>
              <w:rPr>
                <w:kern w:val="0"/>
                <w:sz w:val="20"/>
              </w:rPr>
            </w:pPr>
            <w:r w:rsidRPr="00720EF1">
              <w:rPr>
                <w:kern w:val="0"/>
                <w:sz w:val="20"/>
              </w:rPr>
              <w:t xml:space="preserve">      29.65 </w:t>
            </w:r>
          </w:p>
        </w:tc>
      </w:tr>
      <w:tr w:rsidR="000F5BAD" w:rsidRPr="00720EF1" w14:paraId="1FBF71F9" w14:textId="77777777" w:rsidTr="006A25C9">
        <w:trPr>
          <w:trHeight w:val="258"/>
        </w:trPr>
        <w:tc>
          <w:tcPr>
            <w:tcW w:w="2810" w:type="dxa"/>
            <w:tcBorders>
              <w:top w:val="nil"/>
              <w:left w:val="nil"/>
              <w:bottom w:val="nil"/>
              <w:right w:val="nil"/>
            </w:tcBorders>
            <w:shd w:val="clear" w:color="auto" w:fill="auto"/>
            <w:noWrap/>
            <w:vAlign w:val="bottom"/>
            <w:hideMark/>
          </w:tcPr>
          <w:p w14:paraId="0D597A29" w14:textId="77777777" w:rsidR="000F5BAD" w:rsidRPr="00720EF1" w:rsidRDefault="000F5BAD" w:rsidP="006A25C9">
            <w:pPr>
              <w:widowControl/>
              <w:jc w:val="left"/>
              <w:rPr>
                <w:kern w:val="0"/>
                <w:sz w:val="20"/>
              </w:rPr>
            </w:pPr>
            <w:r w:rsidRPr="00720EF1">
              <w:rPr>
                <w:kern w:val="0"/>
                <w:sz w:val="20"/>
              </w:rPr>
              <w:t>嘉实核心优势</w:t>
            </w:r>
          </w:p>
        </w:tc>
        <w:tc>
          <w:tcPr>
            <w:tcW w:w="766" w:type="dxa"/>
            <w:tcBorders>
              <w:top w:val="nil"/>
              <w:left w:val="nil"/>
              <w:bottom w:val="nil"/>
              <w:right w:val="nil"/>
            </w:tcBorders>
            <w:shd w:val="clear" w:color="auto" w:fill="auto"/>
            <w:noWrap/>
            <w:vAlign w:val="bottom"/>
            <w:hideMark/>
          </w:tcPr>
          <w:p w14:paraId="3CB03563"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4EFCDD2C"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55BDC264" w14:textId="77777777" w:rsidR="000F5BAD" w:rsidRPr="00720EF1" w:rsidRDefault="000F5BAD" w:rsidP="006A25C9">
            <w:pPr>
              <w:widowControl/>
              <w:jc w:val="right"/>
              <w:rPr>
                <w:kern w:val="0"/>
                <w:sz w:val="20"/>
              </w:rPr>
            </w:pPr>
            <w:r w:rsidRPr="00720EF1">
              <w:rPr>
                <w:kern w:val="0"/>
                <w:sz w:val="20"/>
              </w:rPr>
              <w:t>63.61</w:t>
            </w:r>
          </w:p>
        </w:tc>
        <w:tc>
          <w:tcPr>
            <w:tcW w:w="962" w:type="dxa"/>
            <w:tcBorders>
              <w:top w:val="nil"/>
              <w:left w:val="nil"/>
              <w:bottom w:val="nil"/>
              <w:right w:val="nil"/>
            </w:tcBorders>
            <w:shd w:val="clear" w:color="auto" w:fill="auto"/>
            <w:noWrap/>
            <w:vAlign w:val="bottom"/>
            <w:hideMark/>
          </w:tcPr>
          <w:p w14:paraId="6BD75543" w14:textId="77777777" w:rsidR="000F5BAD" w:rsidRPr="00720EF1" w:rsidRDefault="000F5BAD" w:rsidP="006A25C9">
            <w:pPr>
              <w:widowControl/>
              <w:jc w:val="right"/>
              <w:rPr>
                <w:kern w:val="0"/>
                <w:sz w:val="20"/>
              </w:rPr>
            </w:pPr>
            <w:r w:rsidRPr="00720EF1">
              <w:rPr>
                <w:kern w:val="0"/>
                <w:sz w:val="20"/>
              </w:rPr>
              <w:t>76.88</w:t>
            </w:r>
          </w:p>
        </w:tc>
        <w:tc>
          <w:tcPr>
            <w:tcW w:w="962" w:type="dxa"/>
            <w:tcBorders>
              <w:top w:val="nil"/>
              <w:left w:val="nil"/>
              <w:bottom w:val="nil"/>
              <w:right w:val="nil"/>
            </w:tcBorders>
            <w:shd w:val="clear" w:color="auto" w:fill="auto"/>
            <w:noWrap/>
            <w:vAlign w:val="bottom"/>
            <w:hideMark/>
          </w:tcPr>
          <w:p w14:paraId="3EEECA80" w14:textId="77777777" w:rsidR="000F5BAD" w:rsidRPr="00720EF1" w:rsidRDefault="000F5BAD" w:rsidP="006A25C9">
            <w:pPr>
              <w:widowControl/>
              <w:jc w:val="right"/>
              <w:rPr>
                <w:kern w:val="0"/>
                <w:sz w:val="20"/>
              </w:rPr>
            </w:pPr>
            <w:r w:rsidRPr="00720EF1">
              <w:rPr>
                <w:kern w:val="0"/>
                <w:sz w:val="20"/>
              </w:rPr>
              <w:t>82.95</w:t>
            </w:r>
          </w:p>
        </w:tc>
        <w:tc>
          <w:tcPr>
            <w:tcW w:w="1197" w:type="dxa"/>
            <w:tcBorders>
              <w:top w:val="nil"/>
              <w:left w:val="nil"/>
              <w:bottom w:val="nil"/>
              <w:right w:val="nil"/>
            </w:tcBorders>
            <w:shd w:val="clear" w:color="auto" w:fill="auto"/>
            <w:noWrap/>
            <w:vAlign w:val="bottom"/>
            <w:hideMark/>
          </w:tcPr>
          <w:p w14:paraId="69DB5E59" w14:textId="77777777" w:rsidR="000F5BAD" w:rsidRPr="00720EF1" w:rsidRDefault="000F5BAD" w:rsidP="006A25C9">
            <w:pPr>
              <w:widowControl/>
              <w:jc w:val="right"/>
              <w:rPr>
                <w:kern w:val="0"/>
                <w:sz w:val="20"/>
              </w:rPr>
            </w:pPr>
            <w:r w:rsidRPr="00720EF1">
              <w:rPr>
                <w:kern w:val="0"/>
                <w:sz w:val="20"/>
              </w:rPr>
              <w:t xml:space="preserve">        7.09 </w:t>
            </w:r>
          </w:p>
        </w:tc>
      </w:tr>
      <w:tr w:rsidR="000F5BAD" w:rsidRPr="00720EF1" w14:paraId="74A5D454" w14:textId="77777777" w:rsidTr="006A25C9">
        <w:trPr>
          <w:trHeight w:val="258"/>
        </w:trPr>
        <w:tc>
          <w:tcPr>
            <w:tcW w:w="2810" w:type="dxa"/>
            <w:tcBorders>
              <w:top w:val="nil"/>
              <w:left w:val="nil"/>
              <w:bottom w:val="nil"/>
              <w:right w:val="nil"/>
            </w:tcBorders>
            <w:shd w:val="clear" w:color="auto" w:fill="auto"/>
            <w:noWrap/>
            <w:vAlign w:val="bottom"/>
            <w:hideMark/>
          </w:tcPr>
          <w:p w14:paraId="0E8417AE" w14:textId="77777777" w:rsidR="000F5BAD" w:rsidRPr="00720EF1" w:rsidRDefault="000F5BAD" w:rsidP="006A25C9">
            <w:pPr>
              <w:widowControl/>
              <w:jc w:val="left"/>
              <w:rPr>
                <w:kern w:val="0"/>
                <w:sz w:val="20"/>
              </w:rPr>
            </w:pPr>
            <w:r w:rsidRPr="00720EF1">
              <w:rPr>
                <w:kern w:val="0"/>
                <w:sz w:val="20"/>
              </w:rPr>
              <w:t>中欧品质消费</w:t>
            </w:r>
            <w:r w:rsidRPr="00720EF1">
              <w:rPr>
                <w:kern w:val="0"/>
                <w:sz w:val="20"/>
              </w:rPr>
              <w:t>C</w:t>
            </w:r>
          </w:p>
        </w:tc>
        <w:tc>
          <w:tcPr>
            <w:tcW w:w="766" w:type="dxa"/>
            <w:tcBorders>
              <w:top w:val="nil"/>
              <w:left w:val="nil"/>
              <w:bottom w:val="nil"/>
              <w:right w:val="nil"/>
            </w:tcBorders>
            <w:shd w:val="clear" w:color="auto" w:fill="auto"/>
            <w:noWrap/>
            <w:vAlign w:val="bottom"/>
            <w:hideMark/>
          </w:tcPr>
          <w:p w14:paraId="7C8D26DA"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4E1885AF" w14:textId="77777777" w:rsidR="000F5BAD" w:rsidRPr="00720EF1" w:rsidRDefault="000F5BAD" w:rsidP="006A25C9">
            <w:pPr>
              <w:widowControl/>
              <w:jc w:val="right"/>
              <w:rPr>
                <w:kern w:val="0"/>
                <w:sz w:val="20"/>
              </w:rPr>
            </w:pPr>
            <w:r w:rsidRPr="00720EF1">
              <w:rPr>
                <w:kern w:val="0"/>
                <w:sz w:val="20"/>
              </w:rPr>
              <w:t xml:space="preserve">5.31 </w:t>
            </w:r>
          </w:p>
        </w:tc>
        <w:tc>
          <w:tcPr>
            <w:tcW w:w="981" w:type="dxa"/>
            <w:tcBorders>
              <w:top w:val="nil"/>
              <w:left w:val="nil"/>
              <w:bottom w:val="nil"/>
              <w:right w:val="nil"/>
            </w:tcBorders>
            <w:shd w:val="clear" w:color="auto" w:fill="auto"/>
            <w:noWrap/>
            <w:vAlign w:val="bottom"/>
            <w:hideMark/>
          </w:tcPr>
          <w:p w14:paraId="1DCD7A98" w14:textId="77777777" w:rsidR="000F5BAD" w:rsidRPr="00720EF1" w:rsidRDefault="000F5BAD" w:rsidP="006A25C9">
            <w:pPr>
              <w:widowControl/>
              <w:jc w:val="right"/>
              <w:rPr>
                <w:kern w:val="0"/>
                <w:sz w:val="20"/>
              </w:rPr>
            </w:pPr>
            <w:r w:rsidRPr="00720EF1">
              <w:rPr>
                <w:kern w:val="0"/>
                <w:sz w:val="20"/>
              </w:rPr>
              <w:t>62.93</w:t>
            </w:r>
          </w:p>
        </w:tc>
        <w:tc>
          <w:tcPr>
            <w:tcW w:w="962" w:type="dxa"/>
            <w:tcBorders>
              <w:top w:val="nil"/>
              <w:left w:val="nil"/>
              <w:bottom w:val="nil"/>
              <w:right w:val="nil"/>
            </w:tcBorders>
            <w:shd w:val="clear" w:color="auto" w:fill="auto"/>
            <w:noWrap/>
            <w:vAlign w:val="bottom"/>
            <w:hideMark/>
          </w:tcPr>
          <w:p w14:paraId="6EE4E1E6" w14:textId="77777777" w:rsidR="000F5BAD" w:rsidRPr="00720EF1" w:rsidRDefault="000F5BAD" w:rsidP="006A25C9">
            <w:pPr>
              <w:widowControl/>
              <w:jc w:val="right"/>
              <w:rPr>
                <w:kern w:val="0"/>
                <w:sz w:val="20"/>
              </w:rPr>
            </w:pPr>
            <w:r w:rsidRPr="00720EF1">
              <w:rPr>
                <w:kern w:val="0"/>
                <w:sz w:val="20"/>
              </w:rPr>
              <w:t>76.1</w:t>
            </w:r>
          </w:p>
        </w:tc>
        <w:tc>
          <w:tcPr>
            <w:tcW w:w="962" w:type="dxa"/>
            <w:tcBorders>
              <w:top w:val="nil"/>
              <w:left w:val="nil"/>
              <w:bottom w:val="nil"/>
              <w:right w:val="nil"/>
            </w:tcBorders>
            <w:shd w:val="clear" w:color="auto" w:fill="auto"/>
            <w:noWrap/>
            <w:vAlign w:val="bottom"/>
            <w:hideMark/>
          </w:tcPr>
          <w:p w14:paraId="5DBB15BC" w14:textId="77777777" w:rsidR="000F5BAD" w:rsidRPr="00720EF1" w:rsidRDefault="000F5BAD" w:rsidP="006A25C9">
            <w:pPr>
              <w:widowControl/>
              <w:jc w:val="right"/>
              <w:rPr>
                <w:kern w:val="0"/>
                <w:sz w:val="20"/>
              </w:rPr>
            </w:pPr>
            <w:r w:rsidRPr="00720EF1">
              <w:rPr>
                <w:kern w:val="0"/>
                <w:sz w:val="20"/>
              </w:rPr>
              <w:t>82.18</w:t>
            </w:r>
          </w:p>
        </w:tc>
        <w:tc>
          <w:tcPr>
            <w:tcW w:w="1197" w:type="dxa"/>
            <w:tcBorders>
              <w:top w:val="nil"/>
              <w:left w:val="nil"/>
              <w:bottom w:val="nil"/>
              <w:right w:val="nil"/>
            </w:tcBorders>
            <w:shd w:val="clear" w:color="auto" w:fill="auto"/>
            <w:noWrap/>
            <w:vAlign w:val="bottom"/>
            <w:hideMark/>
          </w:tcPr>
          <w:p w14:paraId="6D3DBDC3" w14:textId="77777777" w:rsidR="000F5BAD" w:rsidRPr="00720EF1" w:rsidRDefault="000F5BAD" w:rsidP="006A25C9">
            <w:pPr>
              <w:widowControl/>
              <w:jc w:val="right"/>
              <w:rPr>
                <w:kern w:val="0"/>
                <w:sz w:val="20"/>
              </w:rPr>
            </w:pPr>
            <w:r w:rsidRPr="00720EF1">
              <w:rPr>
                <w:kern w:val="0"/>
                <w:sz w:val="20"/>
              </w:rPr>
              <w:t xml:space="preserve">      10.97 </w:t>
            </w:r>
          </w:p>
        </w:tc>
      </w:tr>
      <w:tr w:rsidR="000F5BAD" w:rsidRPr="00720EF1" w14:paraId="49D85F3B" w14:textId="77777777" w:rsidTr="006A25C9">
        <w:trPr>
          <w:trHeight w:val="258"/>
        </w:trPr>
        <w:tc>
          <w:tcPr>
            <w:tcW w:w="2810" w:type="dxa"/>
            <w:tcBorders>
              <w:top w:val="nil"/>
              <w:left w:val="nil"/>
              <w:bottom w:val="nil"/>
              <w:right w:val="nil"/>
            </w:tcBorders>
            <w:shd w:val="clear" w:color="auto" w:fill="auto"/>
            <w:noWrap/>
            <w:vAlign w:val="bottom"/>
            <w:hideMark/>
          </w:tcPr>
          <w:p w14:paraId="18CF8956" w14:textId="77777777" w:rsidR="000F5BAD" w:rsidRPr="00720EF1" w:rsidRDefault="000F5BAD" w:rsidP="006A25C9">
            <w:pPr>
              <w:widowControl/>
              <w:jc w:val="left"/>
              <w:rPr>
                <w:kern w:val="0"/>
                <w:sz w:val="20"/>
              </w:rPr>
            </w:pPr>
            <w:r w:rsidRPr="00720EF1">
              <w:rPr>
                <w:kern w:val="0"/>
                <w:sz w:val="20"/>
              </w:rPr>
              <w:t>嘉实金融精选</w:t>
            </w:r>
            <w:r w:rsidRPr="00720EF1">
              <w:rPr>
                <w:kern w:val="0"/>
                <w:sz w:val="20"/>
              </w:rPr>
              <w:t>A</w:t>
            </w:r>
          </w:p>
        </w:tc>
        <w:tc>
          <w:tcPr>
            <w:tcW w:w="766" w:type="dxa"/>
            <w:tcBorders>
              <w:top w:val="nil"/>
              <w:left w:val="nil"/>
              <w:bottom w:val="nil"/>
              <w:right w:val="nil"/>
            </w:tcBorders>
            <w:shd w:val="clear" w:color="auto" w:fill="auto"/>
            <w:noWrap/>
            <w:vAlign w:val="bottom"/>
            <w:hideMark/>
          </w:tcPr>
          <w:p w14:paraId="6CD47497"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2D89C895" w14:textId="77777777" w:rsidR="000F5BAD" w:rsidRPr="00720EF1" w:rsidRDefault="000F5BAD" w:rsidP="006A25C9">
            <w:pPr>
              <w:widowControl/>
              <w:jc w:val="right"/>
              <w:rPr>
                <w:kern w:val="0"/>
                <w:sz w:val="20"/>
              </w:rPr>
            </w:pPr>
            <w:r w:rsidRPr="00720EF1">
              <w:rPr>
                <w:kern w:val="0"/>
                <w:sz w:val="20"/>
              </w:rPr>
              <w:t xml:space="preserve">6.05 </w:t>
            </w:r>
          </w:p>
        </w:tc>
        <w:tc>
          <w:tcPr>
            <w:tcW w:w="981" w:type="dxa"/>
            <w:tcBorders>
              <w:top w:val="nil"/>
              <w:left w:val="nil"/>
              <w:bottom w:val="nil"/>
              <w:right w:val="nil"/>
            </w:tcBorders>
            <w:shd w:val="clear" w:color="auto" w:fill="auto"/>
            <w:noWrap/>
            <w:vAlign w:val="bottom"/>
            <w:hideMark/>
          </w:tcPr>
          <w:p w14:paraId="19E0BC32" w14:textId="77777777" w:rsidR="000F5BAD" w:rsidRPr="00720EF1" w:rsidRDefault="000F5BAD" w:rsidP="006A25C9">
            <w:pPr>
              <w:widowControl/>
              <w:jc w:val="right"/>
              <w:rPr>
                <w:kern w:val="0"/>
                <w:sz w:val="20"/>
              </w:rPr>
            </w:pPr>
            <w:r w:rsidRPr="00720EF1">
              <w:rPr>
                <w:kern w:val="0"/>
                <w:sz w:val="20"/>
              </w:rPr>
              <w:t>63.95</w:t>
            </w:r>
          </w:p>
        </w:tc>
        <w:tc>
          <w:tcPr>
            <w:tcW w:w="962" w:type="dxa"/>
            <w:tcBorders>
              <w:top w:val="nil"/>
              <w:left w:val="nil"/>
              <w:bottom w:val="nil"/>
              <w:right w:val="nil"/>
            </w:tcBorders>
            <w:shd w:val="clear" w:color="auto" w:fill="auto"/>
            <w:noWrap/>
            <w:vAlign w:val="bottom"/>
            <w:hideMark/>
          </w:tcPr>
          <w:p w14:paraId="5DA08941" w14:textId="77777777" w:rsidR="000F5BAD" w:rsidRPr="00720EF1" w:rsidRDefault="000F5BAD" w:rsidP="006A25C9">
            <w:pPr>
              <w:widowControl/>
              <w:jc w:val="right"/>
              <w:rPr>
                <w:kern w:val="0"/>
                <w:sz w:val="20"/>
              </w:rPr>
            </w:pPr>
            <w:r w:rsidRPr="00720EF1">
              <w:rPr>
                <w:kern w:val="0"/>
                <w:sz w:val="20"/>
              </w:rPr>
              <w:t>75.77</w:t>
            </w:r>
          </w:p>
        </w:tc>
        <w:tc>
          <w:tcPr>
            <w:tcW w:w="962" w:type="dxa"/>
            <w:tcBorders>
              <w:top w:val="nil"/>
              <w:left w:val="nil"/>
              <w:bottom w:val="nil"/>
              <w:right w:val="nil"/>
            </w:tcBorders>
            <w:shd w:val="clear" w:color="auto" w:fill="auto"/>
            <w:noWrap/>
            <w:vAlign w:val="bottom"/>
            <w:hideMark/>
          </w:tcPr>
          <w:p w14:paraId="72BE5A34" w14:textId="77777777" w:rsidR="000F5BAD" w:rsidRPr="00720EF1" w:rsidRDefault="000F5BAD" w:rsidP="006A25C9">
            <w:pPr>
              <w:widowControl/>
              <w:jc w:val="right"/>
              <w:rPr>
                <w:kern w:val="0"/>
                <w:sz w:val="20"/>
              </w:rPr>
            </w:pPr>
            <w:r w:rsidRPr="00720EF1">
              <w:rPr>
                <w:kern w:val="0"/>
                <w:sz w:val="20"/>
              </w:rPr>
              <w:t>83.46</w:t>
            </w:r>
          </w:p>
        </w:tc>
        <w:tc>
          <w:tcPr>
            <w:tcW w:w="1197" w:type="dxa"/>
            <w:tcBorders>
              <w:top w:val="nil"/>
              <w:left w:val="nil"/>
              <w:bottom w:val="nil"/>
              <w:right w:val="nil"/>
            </w:tcBorders>
            <w:shd w:val="clear" w:color="auto" w:fill="auto"/>
            <w:noWrap/>
            <w:vAlign w:val="bottom"/>
            <w:hideMark/>
          </w:tcPr>
          <w:p w14:paraId="0B9763B2" w14:textId="77777777" w:rsidR="000F5BAD" w:rsidRPr="00720EF1" w:rsidRDefault="000F5BAD" w:rsidP="006A25C9">
            <w:pPr>
              <w:widowControl/>
              <w:jc w:val="right"/>
              <w:rPr>
                <w:kern w:val="0"/>
                <w:sz w:val="20"/>
              </w:rPr>
            </w:pPr>
            <w:r w:rsidRPr="00720EF1">
              <w:rPr>
                <w:kern w:val="0"/>
                <w:sz w:val="20"/>
              </w:rPr>
              <w:t xml:space="preserve">      11.56 </w:t>
            </w:r>
          </w:p>
        </w:tc>
      </w:tr>
      <w:tr w:rsidR="000F5BAD" w:rsidRPr="00720EF1" w14:paraId="5754E43B" w14:textId="77777777" w:rsidTr="006A25C9">
        <w:trPr>
          <w:trHeight w:val="258"/>
        </w:trPr>
        <w:tc>
          <w:tcPr>
            <w:tcW w:w="2810" w:type="dxa"/>
            <w:tcBorders>
              <w:top w:val="nil"/>
              <w:left w:val="nil"/>
              <w:bottom w:val="nil"/>
              <w:right w:val="nil"/>
            </w:tcBorders>
            <w:shd w:val="clear" w:color="auto" w:fill="auto"/>
            <w:noWrap/>
            <w:vAlign w:val="bottom"/>
            <w:hideMark/>
          </w:tcPr>
          <w:p w14:paraId="0CCA43C9" w14:textId="77777777" w:rsidR="000F5BAD" w:rsidRPr="00720EF1" w:rsidRDefault="000F5BAD" w:rsidP="006A25C9">
            <w:pPr>
              <w:widowControl/>
              <w:jc w:val="left"/>
              <w:rPr>
                <w:kern w:val="0"/>
                <w:sz w:val="20"/>
              </w:rPr>
            </w:pPr>
            <w:r w:rsidRPr="00720EF1">
              <w:rPr>
                <w:kern w:val="0"/>
                <w:sz w:val="20"/>
              </w:rPr>
              <w:t>南方中证</w:t>
            </w:r>
            <w:r w:rsidRPr="00720EF1">
              <w:rPr>
                <w:kern w:val="0"/>
                <w:sz w:val="20"/>
              </w:rPr>
              <w:t>100C</w:t>
            </w:r>
          </w:p>
        </w:tc>
        <w:tc>
          <w:tcPr>
            <w:tcW w:w="766" w:type="dxa"/>
            <w:tcBorders>
              <w:top w:val="nil"/>
              <w:left w:val="nil"/>
              <w:bottom w:val="nil"/>
              <w:right w:val="nil"/>
            </w:tcBorders>
            <w:shd w:val="clear" w:color="auto" w:fill="auto"/>
            <w:noWrap/>
            <w:vAlign w:val="bottom"/>
            <w:hideMark/>
          </w:tcPr>
          <w:p w14:paraId="46973855"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3258E534"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175DCAF1" w14:textId="77777777" w:rsidR="000F5BAD" w:rsidRPr="00720EF1" w:rsidRDefault="000F5BAD" w:rsidP="006A25C9">
            <w:pPr>
              <w:widowControl/>
              <w:jc w:val="right"/>
              <w:rPr>
                <w:kern w:val="0"/>
                <w:sz w:val="20"/>
              </w:rPr>
            </w:pPr>
            <w:r w:rsidRPr="00720EF1">
              <w:rPr>
                <w:kern w:val="0"/>
                <w:sz w:val="20"/>
              </w:rPr>
              <w:t>66.22</w:t>
            </w:r>
          </w:p>
        </w:tc>
        <w:tc>
          <w:tcPr>
            <w:tcW w:w="962" w:type="dxa"/>
            <w:tcBorders>
              <w:top w:val="nil"/>
              <w:left w:val="nil"/>
              <w:bottom w:val="nil"/>
              <w:right w:val="nil"/>
            </w:tcBorders>
            <w:shd w:val="clear" w:color="auto" w:fill="auto"/>
            <w:noWrap/>
            <w:vAlign w:val="bottom"/>
            <w:hideMark/>
          </w:tcPr>
          <w:p w14:paraId="043F4B3B" w14:textId="77777777" w:rsidR="000F5BAD" w:rsidRPr="00720EF1" w:rsidRDefault="000F5BAD" w:rsidP="006A25C9">
            <w:pPr>
              <w:widowControl/>
              <w:jc w:val="right"/>
              <w:rPr>
                <w:kern w:val="0"/>
                <w:sz w:val="20"/>
              </w:rPr>
            </w:pPr>
            <w:r w:rsidRPr="00720EF1">
              <w:rPr>
                <w:kern w:val="0"/>
                <w:sz w:val="20"/>
              </w:rPr>
              <w:t>78.19</w:t>
            </w:r>
          </w:p>
        </w:tc>
        <w:tc>
          <w:tcPr>
            <w:tcW w:w="962" w:type="dxa"/>
            <w:tcBorders>
              <w:top w:val="nil"/>
              <w:left w:val="nil"/>
              <w:bottom w:val="nil"/>
              <w:right w:val="nil"/>
            </w:tcBorders>
            <w:shd w:val="clear" w:color="auto" w:fill="auto"/>
            <w:noWrap/>
            <w:vAlign w:val="bottom"/>
            <w:hideMark/>
          </w:tcPr>
          <w:p w14:paraId="0B35DB72" w14:textId="77777777" w:rsidR="000F5BAD" w:rsidRPr="00720EF1" w:rsidRDefault="000F5BAD" w:rsidP="006A25C9">
            <w:pPr>
              <w:widowControl/>
              <w:jc w:val="right"/>
              <w:rPr>
                <w:kern w:val="0"/>
                <w:sz w:val="20"/>
              </w:rPr>
            </w:pPr>
            <w:r w:rsidRPr="00720EF1">
              <w:rPr>
                <w:kern w:val="0"/>
                <w:sz w:val="20"/>
              </w:rPr>
              <w:t>83.9</w:t>
            </w:r>
          </w:p>
        </w:tc>
        <w:tc>
          <w:tcPr>
            <w:tcW w:w="1197" w:type="dxa"/>
            <w:tcBorders>
              <w:top w:val="nil"/>
              <w:left w:val="nil"/>
              <w:bottom w:val="nil"/>
              <w:right w:val="nil"/>
            </w:tcBorders>
            <w:shd w:val="clear" w:color="auto" w:fill="auto"/>
            <w:noWrap/>
            <w:vAlign w:val="bottom"/>
            <w:hideMark/>
          </w:tcPr>
          <w:p w14:paraId="2C30630E" w14:textId="77777777" w:rsidR="000F5BAD" w:rsidRPr="00720EF1" w:rsidRDefault="000F5BAD" w:rsidP="006A25C9">
            <w:pPr>
              <w:widowControl/>
              <w:jc w:val="right"/>
              <w:rPr>
                <w:kern w:val="0"/>
                <w:sz w:val="20"/>
              </w:rPr>
            </w:pPr>
            <w:r w:rsidRPr="00720EF1">
              <w:rPr>
                <w:kern w:val="0"/>
                <w:sz w:val="20"/>
              </w:rPr>
              <w:t xml:space="preserve">        6.24 </w:t>
            </w:r>
          </w:p>
        </w:tc>
      </w:tr>
      <w:tr w:rsidR="000F5BAD" w:rsidRPr="00720EF1" w14:paraId="1308E4C0" w14:textId="77777777" w:rsidTr="006A25C9">
        <w:trPr>
          <w:trHeight w:val="258"/>
        </w:trPr>
        <w:tc>
          <w:tcPr>
            <w:tcW w:w="2810" w:type="dxa"/>
            <w:tcBorders>
              <w:top w:val="nil"/>
              <w:left w:val="nil"/>
              <w:bottom w:val="nil"/>
              <w:right w:val="nil"/>
            </w:tcBorders>
            <w:shd w:val="clear" w:color="auto" w:fill="auto"/>
            <w:noWrap/>
            <w:vAlign w:val="bottom"/>
            <w:hideMark/>
          </w:tcPr>
          <w:p w14:paraId="6EC48499" w14:textId="77777777" w:rsidR="000F5BAD" w:rsidRPr="00720EF1" w:rsidRDefault="000F5BAD" w:rsidP="006A25C9">
            <w:pPr>
              <w:widowControl/>
              <w:jc w:val="left"/>
              <w:rPr>
                <w:kern w:val="0"/>
                <w:sz w:val="20"/>
              </w:rPr>
            </w:pPr>
            <w:r w:rsidRPr="00720EF1">
              <w:rPr>
                <w:kern w:val="0"/>
                <w:sz w:val="20"/>
              </w:rPr>
              <w:t>中欧电子信息产业</w:t>
            </w:r>
            <w:r w:rsidRPr="00720EF1">
              <w:rPr>
                <w:kern w:val="0"/>
                <w:sz w:val="20"/>
              </w:rPr>
              <w:t>C</w:t>
            </w:r>
          </w:p>
        </w:tc>
        <w:tc>
          <w:tcPr>
            <w:tcW w:w="766" w:type="dxa"/>
            <w:tcBorders>
              <w:top w:val="nil"/>
              <w:left w:val="nil"/>
              <w:bottom w:val="nil"/>
              <w:right w:val="nil"/>
            </w:tcBorders>
            <w:shd w:val="clear" w:color="auto" w:fill="auto"/>
            <w:noWrap/>
            <w:vAlign w:val="bottom"/>
            <w:hideMark/>
          </w:tcPr>
          <w:p w14:paraId="041FC145"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514625E5" w14:textId="77777777" w:rsidR="000F5BAD" w:rsidRPr="00720EF1" w:rsidRDefault="000F5BAD" w:rsidP="006A25C9">
            <w:pPr>
              <w:widowControl/>
              <w:jc w:val="right"/>
              <w:rPr>
                <w:kern w:val="0"/>
                <w:sz w:val="20"/>
              </w:rPr>
            </w:pPr>
            <w:r w:rsidRPr="00720EF1">
              <w:rPr>
                <w:kern w:val="0"/>
                <w:sz w:val="20"/>
              </w:rPr>
              <w:t xml:space="preserve">6.43 </w:t>
            </w:r>
          </w:p>
        </w:tc>
        <w:tc>
          <w:tcPr>
            <w:tcW w:w="981" w:type="dxa"/>
            <w:tcBorders>
              <w:top w:val="nil"/>
              <w:left w:val="nil"/>
              <w:bottom w:val="nil"/>
              <w:right w:val="nil"/>
            </w:tcBorders>
            <w:shd w:val="clear" w:color="auto" w:fill="auto"/>
            <w:noWrap/>
            <w:vAlign w:val="bottom"/>
            <w:hideMark/>
          </w:tcPr>
          <w:p w14:paraId="0B289404" w14:textId="77777777" w:rsidR="000F5BAD" w:rsidRPr="00720EF1" w:rsidRDefault="000F5BAD" w:rsidP="006A25C9">
            <w:pPr>
              <w:widowControl/>
              <w:jc w:val="right"/>
              <w:rPr>
                <w:kern w:val="0"/>
                <w:sz w:val="20"/>
              </w:rPr>
            </w:pPr>
            <w:r w:rsidRPr="00720EF1">
              <w:rPr>
                <w:kern w:val="0"/>
                <w:sz w:val="20"/>
              </w:rPr>
              <w:t>62.4</w:t>
            </w:r>
          </w:p>
        </w:tc>
        <w:tc>
          <w:tcPr>
            <w:tcW w:w="962" w:type="dxa"/>
            <w:tcBorders>
              <w:top w:val="nil"/>
              <w:left w:val="nil"/>
              <w:bottom w:val="nil"/>
              <w:right w:val="nil"/>
            </w:tcBorders>
            <w:shd w:val="clear" w:color="auto" w:fill="auto"/>
            <w:noWrap/>
            <w:vAlign w:val="bottom"/>
            <w:hideMark/>
          </w:tcPr>
          <w:p w14:paraId="2EC31E6B" w14:textId="77777777" w:rsidR="000F5BAD" w:rsidRPr="00720EF1" w:rsidRDefault="000F5BAD" w:rsidP="006A25C9">
            <w:pPr>
              <w:widowControl/>
              <w:jc w:val="right"/>
              <w:rPr>
                <w:kern w:val="0"/>
                <w:sz w:val="20"/>
              </w:rPr>
            </w:pPr>
            <w:r w:rsidRPr="00720EF1">
              <w:rPr>
                <w:kern w:val="0"/>
                <w:sz w:val="20"/>
              </w:rPr>
              <w:t>76.76</w:t>
            </w:r>
          </w:p>
        </w:tc>
        <w:tc>
          <w:tcPr>
            <w:tcW w:w="962" w:type="dxa"/>
            <w:tcBorders>
              <w:top w:val="nil"/>
              <w:left w:val="nil"/>
              <w:bottom w:val="nil"/>
              <w:right w:val="nil"/>
            </w:tcBorders>
            <w:shd w:val="clear" w:color="auto" w:fill="auto"/>
            <w:noWrap/>
            <w:vAlign w:val="bottom"/>
            <w:hideMark/>
          </w:tcPr>
          <w:p w14:paraId="0E72B4DC" w14:textId="77777777" w:rsidR="000F5BAD" w:rsidRPr="00720EF1" w:rsidRDefault="000F5BAD" w:rsidP="006A25C9">
            <w:pPr>
              <w:widowControl/>
              <w:jc w:val="right"/>
              <w:rPr>
                <w:kern w:val="0"/>
                <w:sz w:val="20"/>
              </w:rPr>
            </w:pPr>
            <w:r w:rsidRPr="00720EF1">
              <w:rPr>
                <w:kern w:val="0"/>
                <w:sz w:val="20"/>
              </w:rPr>
              <w:t>82.8</w:t>
            </w:r>
          </w:p>
        </w:tc>
        <w:tc>
          <w:tcPr>
            <w:tcW w:w="1197" w:type="dxa"/>
            <w:tcBorders>
              <w:top w:val="nil"/>
              <w:left w:val="nil"/>
              <w:bottom w:val="nil"/>
              <w:right w:val="nil"/>
            </w:tcBorders>
            <w:shd w:val="clear" w:color="auto" w:fill="auto"/>
            <w:noWrap/>
            <w:vAlign w:val="bottom"/>
            <w:hideMark/>
          </w:tcPr>
          <w:p w14:paraId="6191020F" w14:textId="77777777" w:rsidR="000F5BAD" w:rsidRPr="00720EF1" w:rsidRDefault="000F5BAD" w:rsidP="006A25C9">
            <w:pPr>
              <w:widowControl/>
              <w:jc w:val="right"/>
              <w:rPr>
                <w:kern w:val="0"/>
                <w:sz w:val="20"/>
              </w:rPr>
            </w:pPr>
            <w:r w:rsidRPr="00720EF1">
              <w:rPr>
                <w:kern w:val="0"/>
                <w:sz w:val="20"/>
              </w:rPr>
              <w:t xml:space="preserve">      27.51 </w:t>
            </w:r>
          </w:p>
        </w:tc>
      </w:tr>
      <w:tr w:rsidR="000F5BAD" w:rsidRPr="00720EF1" w14:paraId="70253CEE" w14:textId="77777777" w:rsidTr="006A25C9">
        <w:trPr>
          <w:trHeight w:val="258"/>
        </w:trPr>
        <w:tc>
          <w:tcPr>
            <w:tcW w:w="2810" w:type="dxa"/>
            <w:tcBorders>
              <w:top w:val="nil"/>
              <w:left w:val="nil"/>
              <w:bottom w:val="nil"/>
              <w:right w:val="nil"/>
            </w:tcBorders>
            <w:shd w:val="clear" w:color="auto" w:fill="auto"/>
            <w:noWrap/>
            <w:vAlign w:val="bottom"/>
            <w:hideMark/>
          </w:tcPr>
          <w:p w14:paraId="573C516C" w14:textId="77777777" w:rsidR="000F5BAD" w:rsidRPr="00720EF1" w:rsidRDefault="000F5BAD" w:rsidP="006A25C9">
            <w:pPr>
              <w:widowControl/>
              <w:jc w:val="left"/>
              <w:rPr>
                <w:kern w:val="0"/>
                <w:sz w:val="20"/>
              </w:rPr>
            </w:pPr>
            <w:r w:rsidRPr="00720EF1">
              <w:rPr>
                <w:kern w:val="0"/>
                <w:sz w:val="20"/>
              </w:rPr>
              <w:t>国泰消费优选</w:t>
            </w:r>
          </w:p>
        </w:tc>
        <w:tc>
          <w:tcPr>
            <w:tcW w:w="766" w:type="dxa"/>
            <w:tcBorders>
              <w:top w:val="nil"/>
              <w:left w:val="nil"/>
              <w:bottom w:val="nil"/>
              <w:right w:val="nil"/>
            </w:tcBorders>
            <w:shd w:val="clear" w:color="auto" w:fill="auto"/>
            <w:noWrap/>
            <w:vAlign w:val="bottom"/>
            <w:hideMark/>
          </w:tcPr>
          <w:p w14:paraId="400C7480"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38DE2B4A" w14:textId="77777777" w:rsidR="000F5BAD" w:rsidRPr="00720EF1" w:rsidRDefault="000F5BAD" w:rsidP="006A25C9">
            <w:pPr>
              <w:widowControl/>
              <w:jc w:val="right"/>
              <w:rPr>
                <w:kern w:val="0"/>
                <w:sz w:val="20"/>
              </w:rPr>
            </w:pPr>
            <w:r w:rsidRPr="00720EF1">
              <w:rPr>
                <w:kern w:val="0"/>
                <w:sz w:val="20"/>
              </w:rPr>
              <w:t xml:space="preserve">8.31 </w:t>
            </w:r>
          </w:p>
        </w:tc>
        <w:tc>
          <w:tcPr>
            <w:tcW w:w="981" w:type="dxa"/>
            <w:tcBorders>
              <w:top w:val="nil"/>
              <w:left w:val="nil"/>
              <w:bottom w:val="nil"/>
              <w:right w:val="nil"/>
            </w:tcBorders>
            <w:shd w:val="clear" w:color="auto" w:fill="auto"/>
            <w:noWrap/>
            <w:vAlign w:val="bottom"/>
            <w:hideMark/>
          </w:tcPr>
          <w:p w14:paraId="3E2F9917" w14:textId="77777777" w:rsidR="000F5BAD" w:rsidRPr="00720EF1" w:rsidRDefault="000F5BAD" w:rsidP="006A25C9">
            <w:pPr>
              <w:widowControl/>
              <w:jc w:val="right"/>
              <w:rPr>
                <w:kern w:val="0"/>
                <w:sz w:val="20"/>
              </w:rPr>
            </w:pPr>
            <w:r w:rsidRPr="00720EF1">
              <w:rPr>
                <w:kern w:val="0"/>
                <w:sz w:val="20"/>
              </w:rPr>
              <w:t>61.76</w:t>
            </w:r>
          </w:p>
        </w:tc>
        <w:tc>
          <w:tcPr>
            <w:tcW w:w="962" w:type="dxa"/>
            <w:tcBorders>
              <w:top w:val="nil"/>
              <w:left w:val="nil"/>
              <w:bottom w:val="nil"/>
              <w:right w:val="nil"/>
            </w:tcBorders>
            <w:shd w:val="clear" w:color="auto" w:fill="auto"/>
            <w:noWrap/>
            <w:vAlign w:val="bottom"/>
            <w:hideMark/>
          </w:tcPr>
          <w:p w14:paraId="4310CDB7" w14:textId="77777777" w:rsidR="000F5BAD" w:rsidRPr="00720EF1" w:rsidRDefault="000F5BAD" w:rsidP="006A25C9">
            <w:pPr>
              <w:widowControl/>
              <w:jc w:val="right"/>
              <w:rPr>
                <w:kern w:val="0"/>
                <w:sz w:val="20"/>
              </w:rPr>
            </w:pPr>
            <w:r w:rsidRPr="00720EF1">
              <w:rPr>
                <w:kern w:val="0"/>
                <w:sz w:val="20"/>
              </w:rPr>
              <w:t>73.54</w:t>
            </w:r>
          </w:p>
        </w:tc>
        <w:tc>
          <w:tcPr>
            <w:tcW w:w="962" w:type="dxa"/>
            <w:tcBorders>
              <w:top w:val="nil"/>
              <w:left w:val="nil"/>
              <w:bottom w:val="nil"/>
              <w:right w:val="nil"/>
            </w:tcBorders>
            <w:shd w:val="clear" w:color="auto" w:fill="auto"/>
            <w:noWrap/>
            <w:vAlign w:val="bottom"/>
            <w:hideMark/>
          </w:tcPr>
          <w:p w14:paraId="76B0AE75" w14:textId="77777777" w:rsidR="000F5BAD" w:rsidRPr="00720EF1" w:rsidRDefault="000F5BAD" w:rsidP="006A25C9">
            <w:pPr>
              <w:widowControl/>
              <w:jc w:val="right"/>
              <w:rPr>
                <w:kern w:val="0"/>
                <w:sz w:val="20"/>
              </w:rPr>
            </w:pPr>
            <w:r w:rsidRPr="00720EF1">
              <w:rPr>
                <w:kern w:val="0"/>
                <w:sz w:val="20"/>
              </w:rPr>
              <w:t>83.14</w:t>
            </w:r>
          </w:p>
        </w:tc>
        <w:tc>
          <w:tcPr>
            <w:tcW w:w="1197" w:type="dxa"/>
            <w:tcBorders>
              <w:top w:val="nil"/>
              <w:left w:val="nil"/>
              <w:bottom w:val="nil"/>
              <w:right w:val="nil"/>
            </w:tcBorders>
            <w:shd w:val="clear" w:color="auto" w:fill="auto"/>
            <w:noWrap/>
            <w:vAlign w:val="bottom"/>
            <w:hideMark/>
          </w:tcPr>
          <w:p w14:paraId="7321BB8E" w14:textId="77777777" w:rsidR="000F5BAD" w:rsidRPr="00720EF1" w:rsidRDefault="000F5BAD" w:rsidP="006A25C9">
            <w:pPr>
              <w:widowControl/>
              <w:jc w:val="right"/>
              <w:rPr>
                <w:kern w:val="0"/>
                <w:sz w:val="20"/>
              </w:rPr>
            </w:pPr>
            <w:r w:rsidRPr="00720EF1">
              <w:rPr>
                <w:kern w:val="0"/>
                <w:sz w:val="20"/>
              </w:rPr>
              <w:t xml:space="preserve">      10.30 </w:t>
            </w:r>
          </w:p>
        </w:tc>
      </w:tr>
      <w:tr w:rsidR="000F5BAD" w:rsidRPr="00720EF1" w14:paraId="6650E036" w14:textId="77777777" w:rsidTr="006A25C9">
        <w:trPr>
          <w:trHeight w:val="258"/>
        </w:trPr>
        <w:tc>
          <w:tcPr>
            <w:tcW w:w="2810" w:type="dxa"/>
            <w:tcBorders>
              <w:top w:val="nil"/>
              <w:left w:val="nil"/>
              <w:bottom w:val="nil"/>
              <w:right w:val="nil"/>
            </w:tcBorders>
            <w:shd w:val="clear" w:color="auto" w:fill="auto"/>
            <w:noWrap/>
            <w:vAlign w:val="bottom"/>
            <w:hideMark/>
          </w:tcPr>
          <w:p w14:paraId="5F9F6A86" w14:textId="77777777" w:rsidR="000F5BAD" w:rsidRPr="00720EF1" w:rsidRDefault="000F5BAD" w:rsidP="006A25C9">
            <w:pPr>
              <w:widowControl/>
              <w:jc w:val="left"/>
              <w:rPr>
                <w:kern w:val="0"/>
                <w:sz w:val="20"/>
              </w:rPr>
            </w:pPr>
            <w:r w:rsidRPr="00720EF1">
              <w:rPr>
                <w:kern w:val="0"/>
                <w:sz w:val="20"/>
              </w:rPr>
              <w:t>工银瑞信医药健康</w:t>
            </w:r>
            <w:r w:rsidRPr="00720EF1">
              <w:rPr>
                <w:kern w:val="0"/>
                <w:sz w:val="20"/>
              </w:rPr>
              <w:t>C</w:t>
            </w:r>
          </w:p>
        </w:tc>
        <w:tc>
          <w:tcPr>
            <w:tcW w:w="766" w:type="dxa"/>
            <w:tcBorders>
              <w:top w:val="nil"/>
              <w:left w:val="nil"/>
              <w:bottom w:val="nil"/>
              <w:right w:val="nil"/>
            </w:tcBorders>
            <w:shd w:val="clear" w:color="auto" w:fill="auto"/>
            <w:noWrap/>
            <w:vAlign w:val="bottom"/>
            <w:hideMark/>
          </w:tcPr>
          <w:p w14:paraId="01C67E76"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36EE17EF" w14:textId="77777777" w:rsidR="000F5BAD" w:rsidRPr="00720EF1" w:rsidRDefault="000F5BAD" w:rsidP="006A25C9">
            <w:pPr>
              <w:widowControl/>
              <w:jc w:val="right"/>
              <w:rPr>
                <w:kern w:val="0"/>
                <w:sz w:val="20"/>
              </w:rPr>
            </w:pPr>
            <w:r w:rsidRPr="00720EF1">
              <w:rPr>
                <w:kern w:val="0"/>
                <w:sz w:val="20"/>
              </w:rPr>
              <w:t xml:space="preserve">8.35 </w:t>
            </w:r>
          </w:p>
        </w:tc>
        <w:tc>
          <w:tcPr>
            <w:tcW w:w="981" w:type="dxa"/>
            <w:tcBorders>
              <w:top w:val="nil"/>
              <w:left w:val="nil"/>
              <w:bottom w:val="nil"/>
              <w:right w:val="nil"/>
            </w:tcBorders>
            <w:shd w:val="clear" w:color="auto" w:fill="auto"/>
            <w:noWrap/>
            <w:vAlign w:val="bottom"/>
            <w:hideMark/>
          </w:tcPr>
          <w:p w14:paraId="671905F7" w14:textId="77777777" w:rsidR="000F5BAD" w:rsidRPr="00720EF1" w:rsidRDefault="000F5BAD" w:rsidP="006A25C9">
            <w:pPr>
              <w:widowControl/>
              <w:jc w:val="right"/>
              <w:rPr>
                <w:kern w:val="0"/>
                <w:sz w:val="20"/>
              </w:rPr>
            </w:pPr>
            <w:r w:rsidRPr="00720EF1">
              <w:rPr>
                <w:kern w:val="0"/>
                <w:sz w:val="20"/>
              </w:rPr>
              <w:t>60.7</w:t>
            </w:r>
          </w:p>
        </w:tc>
        <w:tc>
          <w:tcPr>
            <w:tcW w:w="962" w:type="dxa"/>
            <w:tcBorders>
              <w:top w:val="nil"/>
              <w:left w:val="nil"/>
              <w:bottom w:val="nil"/>
              <w:right w:val="nil"/>
            </w:tcBorders>
            <w:shd w:val="clear" w:color="auto" w:fill="auto"/>
            <w:noWrap/>
            <w:vAlign w:val="bottom"/>
            <w:hideMark/>
          </w:tcPr>
          <w:p w14:paraId="4606B2EA" w14:textId="77777777" w:rsidR="000F5BAD" w:rsidRPr="00720EF1" w:rsidRDefault="000F5BAD" w:rsidP="006A25C9">
            <w:pPr>
              <w:widowControl/>
              <w:jc w:val="right"/>
              <w:rPr>
                <w:kern w:val="0"/>
                <w:sz w:val="20"/>
              </w:rPr>
            </w:pPr>
            <w:r w:rsidRPr="00720EF1">
              <w:rPr>
                <w:kern w:val="0"/>
                <w:sz w:val="20"/>
              </w:rPr>
              <w:t>75.55</w:t>
            </w:r>
          </w:p>
        </w:tc>
        <w:tc>
          <w:tcPr>
            <w:tcW w:w="962" w:type="dxa"/>
            <w:tcBorders>
              <w:top w:val="nil"/>
              <w:left w:val="nil"/>
              <w:bottom w:val="nil"/>
              <w:right w:val="nil"/>
            </w:tcBorders>
            <w:shd w:val="clear" w:color="auto" w:fill="auto"/>
            <w:noWrap/>
            <w:vAlign w:val="bottom"/>
            <w:hideMark/>
          </w:tcPr>
          <w:p w14:paraId="0A0AA137" w14:textId="77777777" w:rsidR="000F5BAD" w:rsidRPr="00720EF1" w:rsidRDefault="000F5BAD" w:rsidP="006A25C9">
            <w:pPr>
              <w:widowControl/>
              <w:jc w:val="right"/>
              <w:rPr>
                <w:kern w:val="0"/>
                <w:sz w:val="20"/>
              </w:rPr>
            </w:pPr>
            <w:r w:rsidRPr="00720EF1">
              <w:rPr>
                <w:kern w:val="0"/>
                <w:sz w:val="20"/>
              </w:rPr>
              <w:t>82.88</w:t>
            </w:r>
          </w:p>
        </w:tc>
        <w:tc>
          <w:tcPr>
            <w:tcW w:w="1197" w:type="dxa"/>
            <w:tcBorders>
              <w:top w:val="nil"/>
              <w:left w:val="nil"/>
              <w:bottom w:val="nil"/>
              <w:right w:val="nil"/>
            </w:tcBorders>
            <w:shd w:val="clear" w:color="auto" w:fill="auto"/>
            <w:noWrap/>
            <w:vAlign w:val="bottom"/>
            <w:hideMark/>
          </w:tcPr>
          <w:p w14:paraId="54D7652A" w14:textId="77777777" w:rsidR="000F5BAD" w:rsidRPr="00720EF1" w:rsidRDefault="000F5BAD" w:rsidP="006A25C9">
            <w:pPr>
              <w:widowControl/>
              <w:jc w:val="right"/>
              <w:rPr>
                <w:kern w:val="0"/>
                <w:sz w:val="20"/>
              </w:rPr>
            </w:pPr>
            <w:r w:rsidRPr="00720EF1">
              <w:rPr>
                <w:kern w:val="0"/>
                <w:sz w:val="20"/>
              </w:rPr>
              <w:t xml:space="preserve">      22.25 </w:t>
            </w:r>
          </w:p>
        </w:tc>
      </w:tr>
      <w:tr w:rsidR="000F5BAD" w:rsidRPr="00720EF1" w14:paraId="4A34B0DB" w14:textId="77777777" w:rsidTr="006A25C9">
        <w:trPr>
          <w:trHeight w:val="258"/>
        </w:trPr>
        <w:tc>
          <w:tcPr>
            <w:tcW w:w="2810" w:type="dxa"/>
            <w:tcBorders>
              <w:top w:val="nil"/>
              <w:left w:val="nil"/>
              <w:bottom w:val="nil"/>
              <w:right w:val="nil"/>
            </w:tcBorders>
            <w:shd w:val="clear" w:color="auto" w:fill="auto"/>
            <w:noWrap/>
            <w:vAlign w:val="bottom"/>
            <w:hideMark/>
          </w:tcPr>
          <w:p w14:paraId="47B65D4B" w14:textId="77777777" w:rsidR="000F5BAD" w:rsidRPr="00720EF1" w:rsidRDefault="000F5BAD" w:rsidP="006A25C9">
            <w:pPr>
              <w:widowControl/>
              <w:jc w:val="left"/>
              <w:rPr>
                <w:kern w:val="0"/>
                <w:sz w:val="20"/>
              </w:rPr>
            </w:pPr>
            <w:r w:rsidRPr="00720EF1">
              <w:rPr>
                <w:kern w:val="0"/>
                <w:sz w:val="20"/>
              </w:rPr>
              <w:t>鑫元核心资产</w:t>
            </w:r>
            <w:r w:rsidRPr="00720EF1">
              <w:rPr>
                <w:kern w:val="0"/>
                <w:sz w:val="20"/>
              </w:rPr>
              <w:t>A</w:t>
            </w:r>
          </w:p>
        </w:tc>
        <w:tc>
          <w:tcPr>
            <w:tcW w:w="766" w:type="dxa"/>
            <w:tcBorders>
              <w:top w:val="nil"/>
              <w:left w:val="nil"/>
              <w:bottom w:val="nil"/>
              <w:right w:val="nil"/>
            </w:tcBorders>
            <w:shd w:val="clear" w:color="auto" w:fill="auto"/>
            <w:noWrap/>
            <w:vAlign w:val="bottom"/>
            <w:hideMark/>
          </w:tcPr>
          <w:p w14:paraId="3A25F2BE"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5CDE3D76" w14:textId="77777777" w:rsidR="000F5BAD" w:rsidRPr="00720EF1" w:rsidRDefault="000F5BAD" w:rsidP="006A25C9">
            <w:pPr>
              <w:widowControl/>
              <w:jc w:val="right"/>
              <w:rPr>
                <w:kern w:val="0"/>
                <w:sz w:val="20"/>
              </w:rPr>
            </w:pPr>
            <w:r w:rsidRPr="00720EF1">
              <w:rPr>
                <w:kern w:val="0"/>
                <w:sz w:val="20"/>
              </w:rPr>
              <w:t xml:space="preserve">5.85 </w:t>
            </w:r>
          </w:p>
        </w:tc>
        <w:tc>
          <w:tcPr>
            <w:tcW w:w="981" w:type="dxa"/>
            <w:tcBorders>
              <w:top w:val="nil"/>
              <w:left w:val="nil"/>
              <w:bottom w:val="nil"/>
              <w:right w:val="nil"/>
            </w:tcBorders>
            <w:shd w:val="clear" w:color="auto" w:fill="auto"/>
            <w:noWrap/>
            <w:vAlign w:val="bottom"/>
            <w:hideMark/>
          </w:tcPr>
          <w:p w14:paraId="54E8BAEC" w14:textId="77777777" w:rsidR="000F5BAD" w:rsidRPr="00720EF1" w:rsidRDefault="000F5BAD" w:rsidP="006A25C9">
            <w:pPr>
              <w:widowControl/>
              <w:jc w:val="right"/>
              <w:rPr>
                <w:kern w:val="0"/>
                <w:sz w:val="20"/>
              </w:rPr>
            </w:pPr>
            <w:r w:rsidRPr="00720EF1">
              <w:rPr>
                <w:kern w:val="0"/>
                <w:sz w:val="20"/>
              </w:rPr>
              <w:t>70.28</w:t>
            </w:r>
          </w:p>
        </w:tc>
        <w:tc>
          <w:tcPr>
            <w:tcW w:w="962" w:type="dxa"/>
            <w:tcBorders>
              <w:top w:val="nil"/>
              <w:left w:val="nil"/>
              <w:bottom w:val="nil"/>
              <w:right w:val="nil"/>
            </w:tcBorders>
            <w:shd w:val="clear" w:color="auto" w:fill="auto"/>
            <w:noWrap/>
            <w:vAlign w:val="bottom"/>
            <w:hideMark/>
          </w:tcPr>
          <w:p w14:paraId="7F57CE84" w14:textId="77777777" w:rsidR="000F5BAD" w:rsidRPr="00720EF1" w:rsidRDefault="000F5BAD" w:rsidP="006A25C9">
            <w:pPr>
              <w:widowControl/>
              <w:jc w:val="right"/>
              <w:rPr>
                <w:kern w:val="0"/>
                <w:sz w:val="20"/>
              </w:rPr>
            </w:pPr>
            <w:r w:rsidRPr="00720EF1">
              <w:rPr>
                <w:kern w:val="0"/>
                <w:sz w:val="20"/>
              </w:rPr>
              <w:t>81.4</w:t>
            </w:r>
          </w:p>
        </w:tc>
        <w:tc>
          <w:tcPr>
            <w:tcW w:w="962" w:type="dxa"/>
            <w:tcBorders>
              <w:top w:val="nil"/>
              <w:left w:val="nil"/>
              <w:bottom w:val="nil"/>
              <w:right w:val="nil"/>
            </w:tcBorders>
            <w:shd w:val="clear" w:color="auto" w:fill="auto"/>
            <w:noWrap/>
            <w:vAlign w:val="bottom"/>
            <w:hideMark/>
          </w:tcPr>
          <w:p w14:paraId="669A9589" w14:textId="77777777" w:rsidR="000F5BAD" w:rsidRPr="00720EF1" w:rsidRDefault="000F5BAD" w:rsidP="006A25C9">
            <w:pPr>
              <w:widowControl/>
              <w:jc w:val="right"/>
              <w:rPr>
                <w:kern w:val="0"/>
                <w:sz w:val="20"/>
              </w:rPr>
            </w:pPr>
            <w:r w:rsidRPr="00720EF1">
              <w:rPr>
                <w:kern w:val="0"/>
                <w:sz w:val="20"/>
              </w:rPr>
              <w:t>83.09</w:t>
            </w:r>
          </w:p>
        </w:tc>
        <w:tc>
          <w:tcPr>
            <w:tcW w:w="1197" w:type="dxa"/>
            <w:tcBorders>
              <w:top w:val="nil"/>
              <w:left w:val="nil"/>
              <w:bottom w:val="nil"/>
              <w:right w:val="nil"/>
            </w:tcBorders>
            <w:shd w:val="clear" w:color="auto" w:fill="auto"/>
            <w:noWrap/>
            <w:vAlign w:val="bottom"/>
            <w:hideMark/>
          </w:tcPr>
          <w:p w14:paraId="5367A513" w14:textId="77777777" w:rsidR="000F5BAD" w:rsidRPr="00720EF1" w:rsidRDefault="000F5BAD" w:rsidP="006A25C9">
            <w:pPr>
              <w:widowControl/>
              <w:jc w:val="right"/>
              <w:rPr>
                <w:kern w:val="0"/>
                <w:sz w:val="20"/>
              </w:rPr>
            </w:pPr>
            <w:r w:rsidRPr="00720EF1">
              <w:rPr>
                <w:kern w:val="0"/>
                <w:sz w:val="20"/>
              </w:rPr>
              <w:t xml:space="preserve">      12.89 </w:t>
            </w:r>
          </w:p>
        </w:tc>
      </w:tr>
      <w:tr w:rsidR="000F5BAD" w:rsidRPr="00720EF1" w14:paraId="19DD258A" w14:textId="77777777" w:rsidTr="006A25C9">
        <w:trPr>
          <w:trHeight w:val="258"/>
        </w:trPr>
        <w:tc>
          <w:tcPr>
            <w:tcW w:w="2810" w:type="dxa"/>
            <w:tcBorders>
              <w:top w:val="nil"/>
              <w:left w:val="nil"/>
              <w:bottom w:val="nil"/>
              <w:right w:val="nil"/>
            </w:tcBorders>
            <w:shd w:val="clear" w:color="auto" w:fill="auto"/>
            <w:noWrap/>
            <w:vAlign w:val="bottom"/>
            <w:hideMark/>
          </w:tcPr>
          <w:p w14:paraId="62718B10" w14:textId="77777777" w:rsidR="000F5BAD" w:rsidRPr="00720EF1" w:rsidRDefault="000F5BAD" w:rsidP="006A25C9">
            <w:pPr>
              <w:widowControl/>
              <w:jc w:val="left"/>
              <w:rPr>
                <w:kern w:val="0"/>
                <w:sz w:val="20"/>
              </w:rPr>
            </w:pPr>
            <w:r w:rsidRPr="00720EF1">
              <w:rPr>
                <w:kern w:val="0"/>
                <w:sz w:val="20"/>
              </w:rPr>
              <w:t>国金量化多因子</w:t>
            </w:r>
          </w:p>
        </w:tc>
        <w:tc>
          <w:tcPr>
            <w:tcW w:w="766" w:type="dxa"/>
            <w:tcBorders>
              <w:top w:val="nil"/>
              <w:left w:val="nil"/>
              <w:bottom w:val="nil"/>
              <w:right w:val="nil"/>
            </w:tcBorders>
            <w:shd w:val="clear" w:color="auto" w:fill="auto"/>
            <w:noWrap/>
            <w:vAlign w:val="bottom"/>
            <w:hideMark/>
          </w:tcPr>
          <w:p w14:paraId="38F0C5EC"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07E5B1CD" w14:textId="77777777" w:rsidR="000F5BAD" w:rsidRPr="00720EF1" w:rsidRDefault="000F5BAD" w:rsidP="006A25C9">
            <w:pPr>
              <w:widowControl/>
              <w:jc w:val="right"/>
              <w:rPr>
                <w:kern w:val="0"/>
                <w:sz w:val="20"/>
              </w:rPr>
            </w:pPr>
            <w:r w:rsidRPr="00720EF1">
              <w:rPr>
                <w:kern w:val="0"/>
                <w:sz w:val="20"/>
              </w:rPr>
              <w:t xml:space="preserve">6.04 </w:t>
            </w:r>
          </w:p>
        </w:tc>
        <w:tc>
          <w:tcPr>
            <w:tcW w:w="981" w:type="dxa"/>
            <w:tcBorders>
              <w:top w:val="nil"/>
              <w:left w:val="nil"/>
              <w:bottom w:val="nil"/>
              <w:right w:val="nil"/>
            </w:tcBorders>
            <w:shd w:val="clear" w:color="auto" w:fill="auto"/>
            <w:noWrap/>
            <w:vAlign w:val="bottom"/>
            <w:hideMark/>
          </w:tcPr>
          <w:p w14:paraId="11E2A864" w14:textId="77777777" w:rsidR="000F5BAD" w:rsidRPr="00720EF1" w:rsidRDefault="000F5BAD" w:rsidP="006A25C9">
            <w:pPr>
              <w:widowControl/>
              <w:jc w:val="right"/>
              <w:rPr>
                <w:kern w:val="0"/>
                <w:sz w:val="20"/>
              </w:rPr>
            </w:pPr>
            <w:r w:rsidRPr="00720EF1">
              <w:rPr>
                <w:kern w:val="0"/>
                <w:sz w:val="20"/>
              </w:rPr>
              <w:t>60.63</w:t>
            </w:r>
          </w:p>
        </w:tc>
        <w:tc>
          <w:tcPr>
            <w:tcW w:w="962" w:type="dxa"/>
            <w:tcBorders>
              <w:top w:val="nil"/>
              <w:left w:val="nil"/>
              <w:bottom w:val="nil"/>
              <w:right w:val="nil"/>
            </w:tcBorders>
            <w:shd w:val="clear" w:color="auto" w:fill="auto"/>
            <w:noWrap/>
            <w:vAlign w:val="bottom"/>
            <w:hideMark/>
          </w:tcPr>
          <w:p w14:paraId="3F62D088" w14:textId="77777777" w:rsidR="000F5BAD" w:rsidRPr="00720EF1" w:rsidRDefault="000F5BAD" w:rsidP="006A25C9">
            <w:pPr>
              <w:widowControl/>
              <w:jc w:val="right"/>
              <w:rPr>
                <w:kern w:val="0"/>
                <w:sz w:val="20"/>
              </w:rPr>
            </w:pPr>
            <w:r w:rsidRPr="00720EF1">
              <w:rPr>
                <w:kern w:val="0"/>
                <w:sz w:val="20"/>
              </w:rPr>
              <w:t>75.23</w:t>
            </w:r>
          </w:p>
        </w:tc>
        <w:tc>
          <w:tcPr>
            <w:tcW w:w="962" w:type="dxa"/>
            <w:tcBorders>
              <w:top w:val="nil"/>
              <w:left w:val="nil"/>
              <w:bottom w:val="nil"/>
              <w:right w:val="nil"/>
            </w:tcBorders>
            <w:shd w:val="clear" w:color="auto" w:fill="auto"/>
            <w:noWrap/>
            <w:vAlign w:val="bottom"/>
            <w:hideMark/>
          </w:tcPr>
          <w:p w14:paraId="4CE6C0D4" w14:textId="77777777" w:rsidR="000F5BAD" w:rsidRPr="00720EF1" w:rsidRDefault="000F5BAD" w:rsidP="006A25C9">
            <w:pPr>
              <w:widowControl/>
              <w:jc w:val="right"/>
              <w:rPr>
                <w:kern w:val="0"/>
                <w:sz w:val="20"/>
              </w:rPr>
            </w:pPr>
            <w:r w:rsidRPr="00720EF1">
              <w:rPr>
                <w:kern w:val="0"/>
                <w:sz w:val="20"/>
              </w:rPr>
              <w:t>78.71</w:t>
            </w:r>
          </w:p>
        </w:tc>
        <w:tc>
          <w:tcPr>
            <w:tcW w:w="1197" w:type="dxa"/>
            <w:tcBorders>
              <w:top w:val="nil"/>
              <w:left w:val="nil"/>
              <w:bottom w:val="nil"/>
              <w:right w:val="nil"/>
            </w:tcBorders>
            <w:shd w:val="clear" w:color="auto" w:fill="auto"/>
            <w:noWrap/>
            <w:vAlign w:val="bottom"/>
            <w:hideMark/>
          </w:tcPr>
          <w:p w14:paraId="4B807389" w14:textId="77777777" w:rsidR="000F5BAD" w:rsidRPr="00720EF1" w:rsidRDefault="000F5BAD" w:rsidP="006A25C9">
            <w:pPr>
              <w:widowControl/>
              <w:jc w:val="right"/>
              <w:rPr>
                <w:kern w:val="0"/>
                <w:sz w:val="20"/>
              </w:rPr>
            </w:pPr>
            <w:r w:rsidRPr="00720EF1">
              <w:rPr>
                <w:kern w:val="0"/>
                <w:sz w:val="20"/>
              </w:rPr>
              <w:t xml:space="preserve">      14.26 </w:t>
            </w:r>
          </w:p>
        </w:tc>
      </w:tr>
      <w:tr w:rsidR="000F5BAD" w:rsidRPr="00720EF1" w14:paraId="67C020D2" w14:textId="77777777" w:rsidTr="006A25C9">
        <w:trPr>
          <w:trHeight w:val="258"/>
        </w:trPr>
        <w:tc>
          <w:tcPr>
            <w:tcW w:w="2810" w:type="dxa"/>
            <w:tcBorders>
              <w:top w:val="nil"/>
              <w:left w:val="nil"/>
              <w:bottom w:val="nil"/>
              <w:right w:val="nil"/>
            </w:tcBorders>
            <w:shd w:val="clear" w:color="auto" w:fill="auto"/>
            <w:noWrap/>
            <w:vAlign w:val="bottom"/>
            <w:hideMark/>
          </w:tcPr>
          <w:p w14:paraId="53F5DFA5" w14:textId="77777777" w:rsidR="000F5BAD" w:rsidRPr="00720EF1" w:rsidRDefault="000F5BAD" w:rsidP="006A25C9">
            <w:pPr>
              <w:widowControl/>
              <w:jc w:val="left"/>
              <w:rPr>
                <w:kern w:val="0"/>
                <w:sz w:val="20"/>
              </w:rPr>
            </w:pPr>
            <w:r w:rsidRPr="00720EF1">
              <w:rPr>
                <w:kern w:val="0"/>
                <w:sz w:val="20"/>
              </w:rPr>
              <w:t>中金</w:t>
            </w:r>
            <w:r w:rsidRPr="00720EF1">
              <w:rPr>
                <w:kern w:val="0"/>
                <w:sz w:val="20"/>
              </w:rPr>
              <w:t>MSCI</w:t>
            </w:r>
            <w:r w:rsidRPr="00720EF1">
              <w:rPr>
                <w:kern w:val="0"/>
                <w:sz w:val="20"/>
              </w:rPr>
              <w:t>中国</w:t>
            </w:r>
            <w:r w:rsidRPr="00720EF1">
              <w:rPr>
                <w:kern w:val="0"/>
                <w:sz w:val="20"/>
              </w:rPr>
              <w:t>A</w:t>
            </w:r>
            <w:r w:rsidRPr="00720EF1">
              <w:rPr>
                <w:kern w:val="0"/>
                <w:sz w:val="20"/>
              </w:rPr>
              <w:t>股质量</w:t>
            </w:r>
            <w:r w:rsidRPr="00720EF1">
              <w:rPr>
                <w:kern w:val="0"/>
                <w:sz w:val="20"/>
              </w:rPr>
              <w:t>C</w:t>
            </w:r>
          </w:p>
        </w:tc>
        <w:tc>
          <w:tcPr>
            <w:tcW w:w="766" w:type="dxa"/>
            <w:tcBorders>
              <w:top w:val="nil"/>
              <w:left w:val="nil"/>
              <w:bottom w:val="nil"/>
              <w:right w:val="nil"/>
            </w:tcBorders>
            <w:shd w:val="clear" w:color="auto" w:fill="auto"/>
            <w:noWrap/>
            <w:vAlign w:val="bottom"/>
            <w:hideMark/>
          </w:tcPr>
          <w:p w14:paraId="1A91A5D8"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60940E55" w14:textId="77777777" w:rsidR="000F5BAD" w:rsidRPr="00720EF1" w:rsidRDefault="000F5BAD" w:rsidP="006A25C9">
            <w:pPr>
              <w:widowControl/>
              <w:jc w:val="right"/>
              <w:rPr>
                <w:kern w:val="0"/>
                <w:sz w:val="20"/>
              </w:rPr>
            </w:pPr>
            <w:r w:rsidRPr="00720EF1">
              <w:rPr>
                <w:kern w:val="0"/>
                <w:sz w:val="20"/>
              </w:rPr>
              <w:t xml:space="preserve">8.02 </w:t>
            </w:r>
          </w:p>
        </w:tc>
        <w:tc>
          <w:tcPr>
            <w:tcW w:w="981" w:type="dxa"/>
            <w:tcBorders>
              <w:top w:val="nil"/>
              <w:left w:val="nil"/>
              <w:bottom w:val="nil"/>
              <w:right w:val="nil"/>
            </w:tcBorders>
            <w:shd w:val="clear" w:color="auto" w:fill="auto"/>
            <w:noWrap/>
            <w:vAlign w:val="bottom"/>
            <w:hideMark/>
          </w:tcPr>
          <w:p w14:paraId="2AF6BBEE" w14:textId="77777777" w:rsidR="000F5BAD" w:rsidRPr="00720EF1" w:rsidRDefault="000F5BAD" w:rsidP="006A25C9">
            <w:pPr>
              <w:widowControl/>
              <w:jc w:val="right"/>
              <w:rPr>
                <w:kern w:val="0"/>
                <w:sz w:val="20"/>
              </w:rPr>
            </w:pPr>
            <w:r w:rsidRPr="00720EF1">
              <w:rPr>
                <w:kern w:val="0"/>
                <w:sz w:val="20"/>
              </w:rPr>
              <w:t>62.32</w:t>
            </w:r>
          </w:p>
        </w:tc>
        <w:tc>
          <w:tcPr>
            <w:tcW w:w="962" w:type="dxa"/>
            <w:tcBorders>
              <w:top w:val="nil"/>
              <w:left w:val="nil"/>
              <w:bottom w:val="nil"/>
              <w:right w:val="nil"/>
            </w:tcBorders>
            <w:shd w:val="clear" w:color="auto" w:fill="auto"/>
            <w:noWrap/>
            <w:vAlign w:val="bottom"/>
            <w:hideMark/>
          </w:tcPr>
          <w:p w14:paraId="56946643" w14:textId="77777777" w:rsidR="000F5BAD" w:rsidRPr="00720EF1" w:rsidRDefault="000F5BAD" w:rsidP="006A25C9">
            <w:pPr>
              <w:widowControl/>
              <w:jc w:val="right"/>
              <w:rPr>
                <w:kern w:val="0"/>
                <w:sz w:val="20"/>
              </w:rPr>
            </w:pPr>
            <w:r w:rsidRPr="00720EF1">
              <w:rPr>
                <w:kern w:val="0"/>
                <w:sz w:val="20"/>
              </w:rPr>
              <w:t>77.53</w:t>
            </w:r>
          </w:p>
        </w:tc>
        <w:tc>
          <w:tcPr>
            <w:tcW w:w="962" w:type="dxa"/>
            <w:tcBorders>
              <w:top w:val="nil"/>
              <w:left w:val="nil"/>
              <w:bottom w:val="nil"/>
              <w:right w:val="nil"/>
            </w:tcBorders>
            <w:shd w:val="clear" w:color="auto" w:fill="auto"/>
            <w:noWrap/>
            <w:vAlign w:val="bottom"/>
            <w:hideMark/>
          </w:tcPr>
          <w:p w14:paraId="1623F926" w14:textId="77777777" w:rsidR="000F5BAD" w:rsidRPr="00720EF1" w:rsidRDefault="000F5BAD" w:rsidP="006A25C9">
            <w:pPr>
              <w:widowControl/>
              <w:jc w:val="right"/>
              <w:rPr>
                <w:kern w:val="0"/>
                <w:sz w:val="20"/>
              </w:rPr>
            </w:pPr>
            <w:r w:rsidRPr="00720EF1">
              <w:rPr>
                <w:kern w:val="0"/>
                <w:sz w:val="20"/>
              </w:rPr>
              <w:t>82.42</w:t>
            </w:r>
          </w:p>
        </w:tc>
        <w:tc>
          <w:tcPr>
            <w:tcW w:w="1197" w:type="dxa"/>
            <w:tcBorders>
              <w:top w:val="nil"/>
              <w:left w:val="nil"/>
              <w:bottom w:val="nil"/>
              <w:right w:val="nil"/>
            </w:tcBorders>
            <w:shd w:val="clear" w:color="auto" w:fill="auto"/>
            <w:noWrap/>
            <w:vAlign w:val="bottom"/>
            <w:hideMark/>
          </w:tcPr>
          <w:p w14:paraId="7D19F45A" w14:textId="77777777" w:rsidR="000F5BAD" w:rsidRPr="00720EF1" w:rsidRDefault="000F5BAD" w:rsidP="006A25C9">
            <w:pPr>
              <w:widowControl/>
              <w:jc w:val="right"/>
              <w:rPr>
                <w:kern w:val="0"/>
                <w:sz w:val="20"/>
              </w:rPr>
            </w:pPr>
            <w:r w:rsidRPr="00720EF1">
              <w:rPr>
                <w:kern w:val="0"/>
                <w:sz w:val="20"/>
              </w:rPr>
              <w:t xml:space="preserve">        9.07 </w:t>
            </w:r>
          </w:p>
        </w:tc>
      </w:tr>
      <w:tr w:rsidR="000F5BAD" w:rsidRPr="00720EF1" w14:paraId="1159F920" w14:textId="77777777" w:rsidTr="006A25C9">
        <w:trPr>
          <w:trHeight w:val="258"/>
        </w:trPr>
        <w:tc>
          <w:tcPr>
            <w:tcW w:w="2810" w:type="dxa"/>
            <w:tcBorders>
              <w:top w:val="nil"/>
              <w:left w:val="nil"/>
              <w:bottom w:val="nil"/>
              <w:right w:val="nil"/>
            </w:tcBorders>
            <w:shd w:val="clear" w:color="auto" w:fill="auto"/>
            <w:noWrap/>
            <w:vAlign w:val="bottom"/>
            <w:hideMark/>
          </w:tcPr>
          <w:p w14:paraId="50B80981" w14:textId="77777777" w:rsidR="000F5BAD" w:rsidRPr="00720EF1" w:rsidRDefault="000F5BAD" w:rsidP="006A25C9">
            <w:pPr>
              <w:widowControl/>
              <w:jc w:val="left"/>
              <w:rPr>
                <w:kern w:val="0"/>
                <w:sz w:val="20"/>
              </w:rPr>
            </w:pPr>
            <w:r w:rsidRPr="00720EF1">
              <w:rPr>
                <w:kern w:val="0"/>
                <w:sz w:val="20"/>
              </w:rPr>
              <w:t>安信量化优选</w:t>
            </w:r>
            <w:r w:rsidRPr="00720EF1">
              <w:rPr>
                <w:kern w:val="0"/>
                <w:sz w:val="20"/>
              </w:rPr>
              <w:t>A</w:t>
            </w:r>
          </w:p>
        </w:tc>
        <w:tc>
          <w:tcPr>
            <w:tcW w:w="766" w:type="dxa"/>
            <w:tcBorders>
              <w:top w:val="nil"/>
              <w:left w:val="nil"/>
              <w:bottom w:val="nil"/>
              <w:right w:val="nil"/>
            </w:tcBorders>
            <w:shd w:val="clear" w:color="auto" w:fill="auto"/>
            <w:noWrap/>
            <w:vAlign w:val="bottom"/>
            <w:hideMark/>
          </w:tcPr>
          <w:p w14:paraId="3F518550"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357413AC" w14:textId="77777777" w:rsidR="000F5BAD" w:rsidRPr="00720EF1" w:rsidRDefault="000F5BAD" w:rsidP="006A25C9">
            <w:pPr>
              <w:widowControl/>
              <w:jc w:val="right"/>
              <w:rPr>
                <w:kern w:val="0"/>
                <w:sz w:val="20"/>
              </w:rPr>
            </w:pPr>
            <w:r w:rsidRPr="00720EF1">
              <w:rPr>
                <w:kern w:val="0"/>
                <w:sz w:val="20"/>
              </w:rPr>
              <w:t xml:space="preserve">7.89 </w:t>
            </w:r>
          </w:p>
        </w:tc>
        <w:tc>
          <w:tcPr>
            <w:tcW w:w="981" w:type="dxa"/>
            <w:tcBorders>
              <w:top w:val="nil"/>
              <w:left w:val="nil"/>
              <w:bottom w:val="nil"/>
              <w:right w:val="nil"/>
            </w:tcBorders>
            <w:shd w:val="clear" w:color="auto" w:fill="auto"/>
            <w:noWrap/>
            <w:vAlign w:val="bottom"/>
            <w:hideMark/>
          </w:tcPr>
          <w:p w14:paraId="41237D82" w14:textId="77777777" w:rsidR="000F5BAD" w:rsidRPr="00720EF1" w:rsidRDefault="000F5BAD" w:rsidP="006A25C9">
            <w:pPr>
              <w:widowControl/>
              <w:jc w:val="right"/>
              <w:rPr>
                <w:kern w:val="0"/>
                <w:sz w:val="20"/>
              </w:rPr>
            </w:pPr>
            <w:r w:rsidRPr="00720EF1">
              <w:rPr>
                <w:kern w:val="0"/>
                <w:sz w:val="20"/>
              </w:rPr>
              <w:t>62.3</w:t>
            </w:r>
          </w:p>
        </w:tc>
        <w:tc>
          <w:tcPr>
            <w:tcW w:w="962" w:type="dxa"/>
            <w:tcBorders>
              <w:top w:val="nil"/>
              <w:left w:val="nil"/>
              <w:bottom w:val="nil"/>
              <w:right w:val="nil"/>
            </w:tcBorders>
            <w:shd w:val="clear" w:color="auto" w:fill="auto"/>
            <w:noWrap/>
            <w:vAlign w:val="bottom"/>
            <w:hideMark/>
          </w:tcPr>
          <w:p w14:paraId="0992BDC5" w14:textId="77777777" w:rsidR="000F5BAD" w:rsidRPr="00720EF1" w:rsidRDefault="000F5BAD" w:rsidP="006A25C9">
            <w:pPr>
              <w:widowControl/>
              <w:jc w:val="right"/>
              <w:rPr>
                <w:kern w:val="0"/>
                <w:sz w:val="20"/>
              </w:rPr>
            </w:pPr>
            <w:r w:rsidRPr="00720EF1">
              <w:rPr>
                <w:kern w:val="0"/>
                <w:sz w:val="20"/>
              </w:rPr>
              <w:t>78.09</w:t>
            </w:r>
          </w:p>
        </w:tc>
        <w:tc>
          <w:tcPr>
            <w:tcW w:w="962" w:type="dxa"/>
            <w:tcBorders>
              <w:top w:val="nil"/>
              <w:left w:val="nil"/>
              <w:bottom w:val="nil"/>
              <w:right w:val="nil"/>
            </w:tcBorders>
            <w:shd w:val="clear" w:color="auto" w:fill="auto"/>
            <w:noWrap/>
            <w:vAlign w:val="bottom"/>
            <w:hideMark/>
          </w:tcPr>
          <w:p w14:paraId="5D86E45D" w14:textId="77777777" w:rsidR="000F5BAD" w:rsidRPr="00720EF1" w:rsidRDefault="000F5BAD" w:rsidP="006A25C9">
            <w:pPr>
              <w:widowControl/>
              <w:jc w:val="right"/>
              <w:rPr>
                <w:kern w:val="0"/>
                <w:sz w:val="20"/>
              </w:rPr>
            </w:pPr>
            <w:r w:rsidRPr="00720EF1">
              <w:rPr>
                <w:kern w:val="0"/>
                <w:sz w:val="20"/>
              </w:rPr>
              <w:t>80.28</w:t>
            </w:r>
          </w:p>
        </w:tc>
        <w:tc>
          <w:tcPr>
            <w:tcW w:w="1197" w:type="dxa"/>
            <w:tcBorders>
              <w:top w:val="nil"/>
              <w:left w:val="nil"/>
              <w:bottom w:val="nil"/>
              <w:right w:val="nil"/>
            </w:tcBorders>
            <w:shd w:val="clear" w:color="auto" w:fill="auto"/>
            <w:noWrap/>
            <w:vAlign w:val="bottom"/>
            <w:hideMark/>
          </w:tcPr>
          <w:p w14:paraId="1AF3ADA9" w14:textId="77777777" w:rsidR="000F5BAD" w:rsidRPr="00720EF1" w:rsidRDefault="000F5BAD" w:rsidP="006A25C9">
            <w:pPr>
              <w:widowControl/>
              <w:jc w:val="right"/>
              <w:rPr>
                <w:kern w:val="0"/>
                <w:sz w:val="20"/>
              </w:rPr>
            </w:pPr>
            <w:r w:rsidRPr="00720EF1">
              <w:rPr>
                <w:kern w:val="0"/>
                <w:sz w:val="20"/>
              </w:rPr>
              <w:t xml:space="preserve">      16.12 </w:t>
            </w:r>
          </w:p>
        </w:tc>
      </w:tr>
      <w:tr w:rsidR="000F5BAD" w:rsidRPr="00720EF1" w14:paraId="15FF47CC" w14:textId="77777777" w:rsidTr="006A25C9">
        <w:trPr>
          <w:trHeight w:val="258"/>
        </w:trPr>
        <w:tc>
          <w:tcPr>
            <w:tcW w:w="2810" w:type="dxa"/>
            <w:tcBorders>
              <w:top w:val="nil"/>
              <w:left w:val="nil"/>
              <w:bottom w:val="nil"/>
              <w:right w:val="nil"/>
            </w:tcBorders>
            <w:shd w:val="clear" w:color="auto" w:fill="auto"/>
            <w:noWrap/>
            <w:vAlign w:val="bottom"/>
            <w:hideMark/>
          </w:tcPr>
          <w:p w14:paraId="43B6F41A" w14:textId="77777777" w:rsidR="000F5BAD" w:rsidRPr="00720EF1" w:rsidRDefault="000F5BAD" w:rsidP="006A25C9">
            <w:pPr>
              <w:widowControl/>
              <w:jc w:val="left"/>
              <w:rPr>
                <w:kern w:val="0"/>
                <w:sz w:val="20"/>
              </w:rPr>
            </w:pPr>
            <w:r w:rsidRPr="00720EF1">
              <w:rPr>
                <w:kern w:val="0"/>
                <w:sz w:val="20"/>
              </w:rPr>
              <w:t>嘉实消费精选</w:t>
            </w:r>
            <w:r w:rsidRPr="00720EF1">
              <w:rPr>
                <w:kern w:val="0"/>
                <w:sz w:val="20"/>
              </w:rPr>
              <w:t>C</w:t>
            </w:r>
          </w:p>
        </w:tc>
        <w:tc>
          <w:tcPr>
            <w:tcW w:w="766" w:type="dxa"/>
            <w:tcBorders>
              <w:top w:val="nil"/>
              <w:left w:val="nil"/>
              <w:bottom w:val="nil"/>
              <w:right w:val="nil"/>
            </w:tcBorders>
            <w:shd w:val="clear" w:color="auto" w:fill="auto"/>
            <w:noWrap/>
            <w:vAlign w:val="bottom"/>
            <w:hideMark/>
          </w:tcPr>
          <w:p w14:paraId="5CBF5B1E"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3417674A" w14:textId="77777777" w:rsidR="000F5BAD" w:rsidRPr="00720EF1" w:rsidRDefault="000F5BAD" w:rsidP="006A25C9">
            <w:pPr>
              <w:widowControl/>
              <w:jc w:val="right"/>
              <w:rPr>
                <w:kern w:val="0"/>
                <w:sz w:val="20"/>
              </w:rPr>
            </w:pPr>
            <w:r w:rsidRPr="00720EF1">
              <w:rPr>
                <w:kern w:val="0"/>
                <w:sz w:val="20"/>
              </w:rPr>
              <w:t xml:space="preserve">8.11 </w:t>
            </w:r>
          </w:p>
        </w:tc>
        <w:tc>
          <w:tcPr>
            <w:tcW w:w="981" w:type="dxa"/>
            <w:tcBorders>
              <w:top w:val="nil"/>
              <w:left w:val="nil"/>
              <w:bottom w:val="nil"/>
              <w:right w:val="nil"/>
            </w:tcBorders>
            <w:shd w:val="clear" w:color="auto" w:fill="auto"/>
            <w:noWrap/>
            <w:vAlign w:val="bottom"/>
            <w:hideMark/>
          </w:tcPr>
          <w:p w14:paraId="00E2501D" w14:textId="77777777" w:rsidR="000F5BAD" w:rsidRPr="00720EF1" w:rsidRDefault="000F5BAD" w:rsidP="006A25C9">
            <w:pPr>
              <w:widowControl/>
              <w:jc w:val="right"/>
              <w:rPr>
                <w:kern w:val="0"/>
                <w:sz w:val="20"/>
              </w:rPr>
            </w:pPr>
            <w:r w:rsidRPr="00720EF1">
              <w:rPr>
                <w:kern w:val="0"/>
                <w:sz w:val="20"/>
              </w:rPr>
              <w:t>63.13</w:t>
            </w:r>
          </w:p>
        </w:tc>
        <w:tc>
          <w:tcPr>
            <w:tcW w:w="962" w:type="dxa"/>
            <w:tcBorders>
              <w:top w:val="nil"/>
              <w:left w:val="nil"/>
              <w:bottom w:val="nil"/>
              <w:right w:val="nil"/>
            </w:tcBorders>
            <w:shd w:val="clear" w:color="auto" w:fill="auto"/>
            <w:noWrap/>
            <w:vAlign w:val="bottom"/>
            <w:hideMark/>
          </w:tcPr>
          <w:p w14:paraId="05280DEE" w14:textId="77777777" w:rsidR="000F5BAD" w:rsidRPr="00720EF1" w:rsidRDefault="000F5BAD" w:rsidP="006A25C9">
            <w:pPr>
              <w:widowControl/>
              <w:jc w:val="right"/>
              <w:rPr>
                <w:kern w:val="0"/>
                <w:sz w:val="20"/>
              </w:rPr>
            </w:pPr>
            <w:r w:rsidRPr="00720EF1">
              <w:rPr>
                <w:kern w:val="0"/>
                <w:sz w:val="20"/>
              </w:rPr>
              <w:t>77.04</w:t>
            </w:r>
          </w:p>
        </w:tc>
        <w:tc>
          <w:tcPr>
            <w:tcW w:w="962" w:type="dxa"/>
            <w:tcBorders>
              <w:top w:val="nil"/>
              <w:left w:val="nil"/>
              <w:bottom w:val="nil"/>
              <w:right w:val="nil"/>
            </w:tcBorders>
            <w:shd w:val="clear" w:color="auto" w:fill="auto"/>
            <w:noWrap/>
            <w:vAlign w:val="bottom"/>
            <w:hideMark/>
          </w:tcPr>
          <w:p w14:paraId="6CAB0913" w14:textId="77777777" w:rsidR="000F5BAD" w:rsidRPr="00720EF1" w:rsidRDefault="000F5BAD" w:rsidP="006A25C9">
            <w:pPr>
              <w:widowControl/>
              <w:jc w:val="right"/>
              <w:rPr>
                <w:kern w:val="0"/>
                <w:sz w:val="20"/>
              </w:rPr>
            </w:pPr>
            <w:r w:rsidRPr="00720EF1">
              <w:rPr>
                <w:kern w:val="0"/>
                <w:sz w:val="20"/>
              </w:rPr>
              <w:t>81.72</w:t>
            </w:r>
          </w:p>
        </w:tc>
        <w:tc>
          <w:tcPr>
            <w:tcW w:w="1197" w:type="dxa"/>
            <w:tcBorders>
              <w:top w:val="nil"/>
              <w:left w:val="nil"/>
              <w:bottom w:val="nil"/>
              <w:right w:val="nil"/>
            </w:tcBorders>
            <w:shd w:val="clear" w:color="auto" w:fill="auto"/>
            <w:noWrap/>
            <w:vAlign w:val="bottom"/>
            <w:hideMark/>
          </w:tcPr>
          <w:p w14:paraId="78880A47" w14:textId="77777777" w:rsidR="000F5BAD" w:rsidRPr="00720EF1" w:rsidRDefault="000F5BAD" w:rsidP="006A25C9">
            <w:pPr>
              <w:widowControl/>
              <w:jc w:val="right"/>
              <w:rPr>
                <w:kern w:val="0"/>
                <w:sz w:val="20"/>
              </w:rPr>
            </w:pPr>
            <w:r w:rsidRPr="00720EF1">
              <w:rPr>
                <w:kern w:val="0"/>
                <w:sz w:val="20"/>
              </w:rPr>
              <w:t xml:space="preserve">      13.00 </w:t>
            </w:r>
          </w:p>
        </w:tc>
      </w:tr>
      <w:tr w:rsidR="000F5BAD" w:rsidRPr="00720EF1" w14:paraId="01DDAFAF" w14:textId="77777777" w:rsidTr="006A25C9">
        <w:trPr>
          <w:trHeight w:val="258"/>
        </w:trPr>
        <w:tc>
          <w:tcPr>
            <w:tcW w:w="2810" w:type="dxa"/>
            <w:tcBorders>
              <w:top w:val="nil"/>
              <w:left w:val="nil"/>
              <w:bottom w:val="nil"/>
              <w:right w:val="nil"/>
            </w:tcBorders>
            <w:shd w:val="clear" w:color="auto" w:fill="auto"/>
            <w:noWrap/>
            <w:vAlign w:val="bottom"/>
            <w:hideMark/>
          </w:tcPr>
          <w:p w14:paraId="7D721647" w14:textId="77777777" w:rsidR="000F5BAD" w:rsidRPr="00720EF1" w:rsidRDefault="000F5BAD" w:rsidP="006A25C9">
            <w:pPr>
              <w:widowControl/>
              <w:jc w:val="left"/>
              <w:rPr>
                <w:kern w:val="0"/>
                <w:sz w:val="20"/>
              </w:rPr>
            </w:pPr>
            <w:r w:rsidRPr="00720EF1">
              <w:rPr>
                <w:kern w:val="0"/>
                <w:sz w:val="20"/>
              </w:rPr>
              <w:t>广发消费升级</w:t>
            </w:r>
          </w:p>
        </w:tc>
        <w:tc>
          <w:tcPr>
            <w:tcW w:w="766" w:type="dxa"/>
            <w:tcBorders>
              <w:top w:val="nil"/>
              <w:left w:val="nil"/>
              <w:bottom w:val="nil"/>
              <w:right w:val="nil"/>
            </w:tcBorders>
            <w:shd w:val="clear" w:color="auto" w:fill="auto"/>
            <w:noWrap/>
            <w:vAlign w:val="bottom"/>
            <w:hideMark/>
          </w:tcPr>
          <w:p w14:paraId="1CCD9256"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1573C07E"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14AC4DAF" w14:textId="77777777" w:rsidR="000F5BAD" w:rsidRPr="00720EF1" w:rsidRDefault="000F5BAD" w:rsidP="006A25C9">
            <w:pPr>
              <w:widowControl/>
              <w:jc w:val="right"/>
              <w:rPr>
                <w:kern w:val="0"/>
                <w:sz w:val="20"/>
              </w:rPr>
            </w:pPr>
            <w:r w:rsidRPr="00720EF1">
              <w:rPr>
                <w:kern w:val="0"/>
                <w:sz w:val="20"/>
              </w:rPr>
              <w:t>63.9</w:t>
            </w:r>
          </w:p>
        </w:tc>
        <w:tc>
          <w:tcPr>
            <w:tcW w:w="962" w:type="dxa"/>
            <w:tcBorders>
              <w:top w:val="nil"/>
              <w:left w:val="nil"/>
              <w:bottom w:val="nil"/>
              <w:right w:val="nil"/>
            </w:tcBorders>
            <w:shd w:val="clear" w:color="auto" w:fill="auto"/>
            <w:noWrap/>
            <w:vAlign w:val="bottom"/>
            <w:hideMark/>
          </w:tcPr>
          <w:p w14:paraId="312CF6FC" w14:textId="77777777" w:rsidR="000F5BAD" w:rsidRPr="00720EF1" w:rsidRDefault="000F5BAD" w:rsidP="006A25C9">
            <w:pPr>
              <w:widowControl/>
              <w:jc w:val="right"/>
              <w:rPr>
                <w:kern w:val="0"/>
                <w:sz w:val="20"/>
              </w:rPr>
            </w:pPr>
            <w:r w:rsidRPr="00720EF1">
              <w:rPr>
                <w:kern w:val="0"/>
                <w:sz w:val="20"/>
              </w:rPr>
              <w:t>77.47</w:t>
            </w:r>
          </w:p>
        </w:tc>
        <w:tc>
          <w:tcPr>
            <w:tcW w:w="962" w:type="dxa"/>
            <w:tcBorders>
              <w:top w:val="nil"/>
              <w:left w:val="nil"/>
              <w:bottom w:val="nil"/>
              <w:right w:val="nil"/>
            </w:tcBorders>
            <w:shd w:val="clear" w:color="auto" w:fill="auto"/>
            <w:noWrap/>
            <w:vAlign w:val="bottom"/>
            <w:hideMark/>
          </w:tcPr>
          <w:p w14:paraId="250BF52B" w14:textId="77777777" w:rsidR="000F5BAD" w:rsidRPr="00720EF1" w:rsidRDefault="000F5BAD" w:rsidP="006A25C9">
            <w:pPr>
              <w:widowControl/>
              <w:jc w:val="right"/>
              <w:rPr>
                <w:kern w:val="0"/>
                <w:sz w:val="20"/>
              </w:rPr>
            </w:pPr>
            <w:r w:rsidRPr="00720EF1">
              <w:rPr>
                <w:kern w:val="0"/>
                <w:sz w:val="20"/>
              </w:rPr>
              <w:t>82.45</w:t>
            </w:r>
          </w:p>
        </w:tc>
        <w:tc>
          <w:tcPr>
            <w:tcW w:w="1197" w:type="dxa"/>
            <w:tcBorders>
              <w:top w:val="nil"/>
              <w:left w:val="nil"/>
              <w:bottom w:val="nil"/>
              <w:right w:val="nil"/>
            </w:tcBorders>
            <w:shd w:val="clear" w:color="auto" w:fill="auto"/>
            <w:noWrap/>
            <w:vAlign w:val="bottom"/>
            <w:hideMark/>
          </w:tcPr>
          <w:p w14:paraId="56C9415F" w14:textId="77777777" w:rsidR="000F5BAD" w:rsidRPr="00720EF1" w:rsidRDefault="000F5BAD" w:rsidP="006A25C9">
            <w:pPr>
              <w:widowControl/>
              <w:jc w:val="right"/>
              <w:rPr>
                <w:kern w:val="0"/>
                <w:sz w:val="20"/>
              </w:rPr>
            </w:pPr>
            <w:r w:rsidRPr="00720EF1">
              <w:rPr>
                <w:kern w:val="0"/>
                <w:sz w:val="20"/>
              </w:rPr>
              <w:t xml:space="preserve">        6.00 </w:t>
            </w:r>
          </w:p>
        </w:tc>
      </w:tr>
      <w:tr w:rsidR="000F5BAD" w:rsidRPr="00720EF1" w14:paraId="237EBF27" w14:textId="77777777" w:rsidTr="006A25C9">
        <w:trPr>
          <w:trHeight w:val="258"/>
        </w:trPr>
        <w:tc>
          <w:tcPr>
            <w:tcW w:w="2810" w:type="dxa"/>
            <w:tcBorders>
              <w:top w:val="nil"/>
              <w:left w:val="nil"/>
              <w:bottom w:val="nil"/>
              <w:right w:val="nil"/>
            </w:tcBorders>
            <w:shd w:val="clear" w:color="auto" w:fill="auto"/>
            <w:noWrap/>
            <w:vAlign w:val="bottom"/>
            <w:hideMark/>
          </w:tcPr>
          <w:p w14:paraId="30A97BB5" w14:textId="77777777" w:rsidR="000F5BAD" w:rsidRPr="00720EF1" w:rsidRDefault="000F5BAD" w:rsidP="006A25C9">
            <w:pPr>
              <w:widowControl/>
              <w:jc w:val="left"/>
              <w:rPr>
                <w:kern w:val="0"/>
                <w:sz w:val="20"/>
              </w:rPr>
            </w:pPr>
            <w:r w:rsidRPr="00720EF1">
              <w:rPr>
                <w:kern w:val="0"/>
                <w:sz w:val="20"/>
              </w:rPr>
              <w:t>宝盈品牌消费</w:t>
            </w:r>
            <w:r w:rsidRPr="00720EF1">
              <w:rPr>
                <w:kern w:val="0"/>
                <w:sz w:val="20"/>
              </w:rPr>
              <w:t>C</w:t>
            </w:r>
          </w:p>
        </w:tc>
        <w:tc>
          <w:tcPr>
            <w:tcW w:w="766" w:type="dxa"/>
            <w:tcBorders>
              <w:top w:val="nil"/>
              <w:left w:val="nil"/>
              <w:bottom w:val="nil"/>
              <w:right w:val="nil"/>
            </w:tcBorders>
            <w:shd w:val="clear" w:color="auto" w:fill="auto"/>
            <w:noWrap/>
            <w:vAlign w:val="bottom"/>
            <w:hideMark/>
          </w:tcPr>
          <w:p w14:paraId="70FB8BE5"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7D32C96C"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2066308B" w14:textId="77777777" w:rsidR="000F5BAD" w:rsidRPr="00720EF1" w:rsidRDefault="000F5BAD" w:rsidP="006A25C9">
            <w:pPr>
              <w:widowControl/>
              <w:jc w:val="right"/>
              <w:rPr>
                <w:kern w:val="0"/>
                <w:sz w:val="20"/>
              </w:rPr>
            </w:pPr>
            <w:r w:rsidRPr="00720EF1">
              <w:rPr>
                <w:kern w:val="0"/>
                <w:sz w:val="20"/>
              </w:rPr>
              <w:t>67.4</w:t>
            </w:r>
          </w:p>
        </w:tc>
        <w:tc>
          <w:tcPr>
            <w:tcW w:w="962" w:type="dxa"/>
            <w:tcBorders>
              <w:top w:val="nil"/>
              <w:left w:val="nil"/>
              <w:bottom w:val="nil"/>
              <w:right w:val="nil"/>
            </w:tcBorders>
            <w:shd w:val="clear" w:color="auto" w:fill="auto"/>
            <w:noWrap/>
            <w:vAlign w:val="bottom"/>
            <w:hideMark/>
          </w:tcPr>
          <w:p w14:paraId="0B61052A" w14:textId="77777777" w:rsidR="000F5BAD" w:rsidRPr="00720EF1" w:rsidRDefault="000F5BAD" w:rsidP="006A25C9">
            <w:pPr>
              <w:widowControl/>
              <w:jc w:val="right"/>
              <w:rPr>
                <w:kern w:val="0"/>
                <w:sz w:val="20"/>
              </w:rPr>
            </w:pPr>
            <w:r w:rsidRPr="00720EF1">
              <w:rPr>
                <w:kern w:val="0"/>
                <w:sz w:val="20"/>
              </w:rPr>
              <w:t>81.89</w:t>
            </w:r>
          </w:p>
        </w:tc>
        <w:tc>
          <w:tcPr>
            <w:tcW w:w="962" w:type="dxa"/>
            <w:tcBorders>
              <w:top w:val="nil"/>
              <w:left w:val="nil"/>
              <w:bottom w:val="nil"/>
              <w:right w:val="nil"/>
            </w:tcBorders>
            <w:shd w:val="clear" w:color="auto" w:fill="auto"/>
            <w:noWrap/>
            <w:vAlign w:val="bottom"/>
            <w:hideMark/>
          </w:tcPr>
          <w:p w14:paraId="240FC65F" w14:textId="77777777" w:rsidR="000F5BAD" w:rsidRPr="00720EF1" w:rsidRDefault="000F5BAD" w:rsidP="006A25C9">
            <w:pPr>
              <w:widowControl/>
              <w:jc w:val="right"/>
              <w:rPr>
                <w:kern w:val="0"/>
                <w:sz w:val="20"/>
              </w:rPr>
            </w:pPr>
            <w:r w:rsidRPr="00720EF1">
              <w:rPr>
                <w:kern w:val="0"/>
                <w:sz w:val="20"/>
              </w:rPr>
              <w:t>82.03</w:t>
            </w:r>
          </w:p>
        </w:tc>
        <w:tc>
          <w:tcPr>
            <w:tcW w:w="1197" w:type="dxa"/>
            <w:tcBorders>
              <w:top w:val="nil"/>
              <w:left w:val="nil"/>
              <w:bottom w:val="nil"/>
              <w:right w:val="nil"/>
            </w:tcBorders>
            <w:shd w:val="clear" w:color="auto" w:fill="auto"/>
            <w:noWrap/>
            <w:vAlign w:val="bottom"/>
            <w:hideMark/>
          </w:tcPr>
          <w:p w14:paraId="0C39E123" w14:textId="77777777" w:rsidR="000F5BAD" w:rsidRPr="00720EF1" w:rsidRDefault="000F5BAD" w:rsidP="006A25C9">
            <w:pPr>
              <w:widowControl/>
              <w:jc w:val="right"/>
              <w:rPr>
                <w:kern w:val="0"/>
                <w:sz w:val="20"/>
              </w:rPr>
            </w:pPr>
            <w:r w:rsidRPr="00720EF1">
              <w:rPr>
                <w:kern w:val="0"/>
                <w:sz w:val="20"/>
              </w:rPr>
              <w:t xml:space="preserve">        8.79 </w:t>
            </w:r>
          </w:p>
        </w:tc>
      </w:tr>
      <w:tr w:rsidR="000F5BAD" w:rsidRPr="00720EF1" w14:paraId="40DC7D2E" w14:textId="77777777" w:rsidTr="006A25C9">
        <w:trPr>
          <w:trHeight w:val="258"/>
        </w:trPr>
        <w:tc>
          <w:tcPr>
            <w:tcW w:w="2810" w:type="dxa"/>
            <w:tcBorders>
              <w:top w:val="nil"/>
              <w:left w:val="nil"/>
              <w:bottom w:val="nil"/>
              <w:right w:val="nil"/>
            </w:tcBorders>
            <w:shd w:val="clear" w:color="auto" w:fill="auto"/>
            <w:noWrap/>
            <w:vAlign w:val="bottom"/>
            <w:hideMark/>
          </w:tcPr>
          <w:p w14:paraId="507800ED" w14:textId="77777777" w:rsidR="000F5BAD" w:rsidRPr="00720EF1" w:rsidRDefault="000F5BAD" w:rsidP="006A25C9">
            <w:pPr>
              <w:widowControl/>
              <w:jc w:val="left"/>
              <w:rPr>
                <w:kern w:val="0"/>
                <w:sz w:val="20"/>
              </w:rPr>
            </w:pPr>
            <w:r w:rsidRPr="00720EF1">
              <w:rPr>
                <w:kern w:val="0"/>
                <w:sz w:val="20"/>
              </w:rPr>
              <w:t>红土创新中证</w:t>
            </w:r>
            <w:r w:rsidRPr="00720EF1">
              <w:rPr>
                <w:kern w:val="0"/>
                <w:sz w:val="20"/>
              </w:rPr>
              <w:t>500</w:t>
            </w:r>
            <w:r w:rsidRPr="00720EF1">
              <w:rPr>
                <w:kern w:val="0"/>
                <w:sz w:val="20"/>
              </w:rPr>
              <w:t>指数增强</w:t>
            </w:r>
            <w:r w:rsidRPr="00720EF1">
              <w:rPr>
                <w:kern w:val="0"/>
                <w:sz w:val="20"/>
              </w:rPr>
              <w:t>A</w:t>
            </w:r>
          </w:p>
        </w:tc>
        <w:tc>
          <w:tcPr>
            <w:tcW w:w="766" w:type="dxa"/>
            <w:tcBorders>
              <w:top w:val="nil"/>
              <w:left w:val="nil"/>
              <w:bottom w:val="nil"/>
              <w:right w:val="nil"/>
            </w:tcBorders>
            <w:shd w:val="clear" w:color="auto" w:fill="auto"/>
            <w:noWrap/>
            <w:vAlign w:val="bottom"/>
            <w:hideMark/>
          </w:tcPr>
          <w:p w14:paraId="26C8620F"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7066AABE" w14:textId="77777777" w:rsidR="000F5BAD" w:rsidRPr="00720EF1" w:rsidRDefault="000F5BAD" w:rsidP="006A25C9">
            <w:pPr>
              <w:widowControl/>
              <w:jc w:val="right"/>
              <w:rPr>
                <w:kern w:val="0"/>
                <w:sz w:val="20"/>
              </w:rPr>
            </w:pPr>
            <w:r w:rsidRPr="00720EF1">
              <w:rPr>
                <w:kern w:val="0"/>
                <w:sz w:val="20"/>
              </w:rPr>
              <w:t>5.52</w:t>
            </w:r>
          </w:p>
        </w:tc>
        <w:tc>
          <w:tcPr>
            <w:tcW w:w="981" w:type="dxa"/>
            <w:tcBorders>
              <w:top w:val="nil"/>
              <w:left w:val="nil"/>
              <w:bottom w:val="nil"/>
              <w:right w:val="nil"/>
            </w:tcBorders>
            <w:shd w:val="clear" w:color="auto" w:fill="auto"/>
            <w:noWrap/>
            <w:vAlign w:val="bottom"/>
            <w:hideMark/>
          </w:tcPr>
          <w:p w14:paraId="2DB13E4D" w14:textId="77777777" w:rsidR="000F5BAD" w:rsidRPr="00720EF1" w:rsidRDefault="000F5BAD" w:rsidP="006A25C9">
            <w:pPr>
              <w:widowControl/>
              <w:jc w:val="right"/>
              <w:rPr>
                <w:kern w:val="0"/>
                <w:sz w:val="20"/>
              </w:rPr>
            </w:pPr>
            <w:r w:rsidRPr="00720EF1">
              <w:rPr>
                <w:kern w:val="0"/>
                <w:sz w:val="20"/>
              </w:rPr>
              <w:t>61.76</w:t>
            </w:r>
          </w:p>
        </w:tc>
        <w:tc>
          <w:tcPr>
            <w:tcW w:w="962" w:type="dxa"/>
            <w:tcBorders>
              <w:top w:val="nil"/>
              <w:left w:val="nil"/>
              <w:bottom w:val="nil"/>
              <w:right w:val="nil"/>
            </w:tcBorders>
            <w:shd w:val="clear" w:color="auto" w:fill="auto"/>
            <w:noWrap/>
            <w:vAlign w:val="bottom"/>
            <w:hideMark/>
          </w:tcPr>
          <w:p w14:paraId="03AFCC72" w14:textId="77777777" w:rsidR="000F5BAD" w:rsidRPr="00720EF1" w:rsidRDefault="000F5BAD" w:rsidP="006A25C9">
            <w:pPr>
              <w:widowControl/>
              <w:jc w:val="right"/>
              <w:rPr>
                <w:kern w:val="0"/>
                <w:sz w:val="20"/>
              </w:rPr>
            </w:pPr>
            <w:r w:rsidRPr="00720EF1">
              <w:rPr>
                <w:kern w:val="0"/>
                <w:sz w:val="20"/>
              </w:rPr>
              <w:t>76.46</w:t>
            </w:r>
          </w:p>
        </w:tc>
        <w:tc>
          <w:tcPr>
            <w:tcW w:w="962" w:type="dxa"/>
            <w:tcBorders>
              <w:top w:val="nil"/>
              <w:left w:val="nil"/>
              <w:bottom w:val="nil"/>
              <w:right w:val="nil"/>
            </w:tcBorders>
            <w:shd w:val="clear" w:color="auto" w:fill="auto"/>
            <w:noWrap/>
            <w:vAlign w:val="bottom"/>
            <w:hideMark/>
          </w:tcPr>
          <w:p w14:paraId="0A42D4EF" w14:textId="77777777" w:rsidR="000F5BAD" w:rsidRPr="00720EF1" w:rsidRDefault="000F5BAD" w:rsidP="006A25C9">
            <w:pPr>
              <w:widowControl/>
              <w:jc w:val="right"/>
              <w:rPr>
                <w:kern w:val="0"/>
                <w:sz w:val="20"/>
              </w:rPr>
            </w:pPr>
            <w:r w:rsidRPr="00720EF1">
              <w:rPr>
                <w:kern w:val="0"/>
                <w:sz w:val="20"/>
              </w:rPr>
              <w:t>81.26</w:t>
            </w:r>
          </w:p>
        </w:tc>
        <w:tc>
          <w:tcPr>
            <w:tcW w:w="1197" w:type="dxa"/>
            <w:tcBorders>
              <w:top w:val="nil"/>
              <w:left w:val="nil"/>
              <w:bottom w:val="nil"/>
              <w:right w:val="nil"/>
            </w:tcBorders>
            <w:shd w:val="clear" w:color="auto" w:fill="auto"/>
            <w:noWrap/>
            <w:vAlign w:val="bottom"/>
            <w:hideMark/>
          </w:tcPr>
          <w:p w14:paraId="40EF8C0C" w14:textId="77777777" w:rsidR="000F5BAD" w:rsidRPr="00720EF1" w:rsidRDefault="000F5BAD" w:rsidP="006A25C9">
            <w:pPr>
              <w:widowControl/>
              <w:jc w:val="right"/>
              <w:rPr>
                <w:kern w:val="0"/>
                <w:sz w:val="20"/>
              </w:rPr>
            </w:pPr>
            <w:r w:rsidRPr="00720EF1">
              <w:rPr>
                <w:kern w:val="0"/>
                <w:sz w:val="20"/>
              </w:rPr>
              <w:t xml:space="preserve">      17.02 </w:t>
            </w:r>
          </w:p>
        </w:tc>
      </w:tr>
      <w:tr w:rsidR="000F5BAD" w:rsidRPr="00720EF1" w14:paraId="56FE8A0B" w14:textId="77777777" w:rsidTr="006A25C9">
        <w:trPr>
          <w:trHeight w:val="258"/>
        </w:trPr>
        <w:tc>
          <w:tcPr>
            <w:tcW w:w="2810" w:type="dxa"/>
            <w:tcBorders>
              <w:top w:val="nil"/>
              <w:left w:val="nil"/>
              <w:bottom w:val="nil"/>
              <w:right w:val="nil"/>
            </w:tcBorders>
            <w:shd w:val="clear" w:color="auto" w:fill="auto"/>
            <w:noWrap/>
            <w:vAlign w:val="bottom"/>
            <w:hideMark/>
          </w:tcPr>
          <w:p w14:paraId="65BB18DD" w14:textId="77777777" w:rsidR="000F5BAD" w:rsidRPr="00720EF1" w:rsidRDefault="000F5BAD" w:rsidP="006A25C9">
            <w:pPr>
              <w:widowControl/>
              <w:jc w:val="left"/>
              <w:rPr>
                <w:kern w:val="0"/>
                <w:sz w:val="20"/>
              </w:rPr>
            </w:pPr>
            <w:r w:rsidRPr="00720EF1">
              <w:rPr>
                <w:kern w:val="0"/>
                <w:sz w:val="20"/>
              </w:rPr>
              <w:t>华宝沪港深中国增强价值</w:t>
            </w:r>
            <w:r w:rsidRPr="00720EF1">
              <w:rPr>
                <w:kern w:val="0"/>
                <w:sz w:val="20"/>
              </w:rPr>
              <w:t>C</w:t>
            </w:r>
          </w:p>
        </w:tc>
        <w:tc>
          <w:tcPr>
            <w:tcW w:w="766" w:type="dxa"/>
            <w:tcBorders>
              <w:top w:val="nil"/>
              <w:left w:val="nil"/>
              <w:bottom w:val="nil"/>
              <w:right w:val="nil"/>
            </w:tcBorders>
            <w:shd w:val="clear" w:color="auto" w:fill="auto"/>
            <w:noWrap/>
            <w:vAlign w:val="bottom"/>
            <w:hideMark/>
          </w:tcPr>
          <w:p w14:paraId="55B5B73E"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3743A103" w14:textId="77777777" w:rsidR="000F5BAD" w:rsidRPr="00720EF1" w:rsidRDefault="000F5BAD" w:rsidP="006A25C9">
            <w:pPr>
              <w:widowControl/>
              <w:jc w:val="right"/>
              <w:rPr>
                <w:kern w:val="0"/>
                <w:sz w:val="20"/>
              </w:rPr>
            </w:pPr>
            <w:r w:rsidRPr="00720EF1">
              <w:rPr>
                <w:kern w:val="0"/>
                <w:sz w:val="20"/>
              </w:rPr>
              <w:t>6.89</w:t>
            </w:r>
          </w:p>
        </w:tc>
        <w:tc>
          <w:tcPr>
            <w:tcW w:w="981" w:type="dxa"/>
            <w:tcBorders>
              <w:top w:val="nil"/>
              <w:left w:val="nil"/>
              <w:bottom w:val="nil"/>
              <w:right w:val="nil"/>
            </w:tcBorders>
            <w:shd w:val="clear" w:color="auto" w:fill="auto"/>
            <w:noWrap/>
            <w:vAlign w:val="bottom"/>
            <w:hideMark/>
          </w:tcPr>
          <w:p w14:paraId="3884C19D" w14:textId="77777777" w:rsidR="000F5BAD" w:rsidRPr="00720EF1" w:rsidRDefault="000F5BAD" w:rsidP="006A25C9">
            <w:pPr>
              <w:widowControl/>
              <w:jc w:val="right"/>
              <w:rPr>
                <w:kern w:val="0"/>
                <w:sz w:val="20"/>
              </w:rPr>
            </w:pPr>
            <w:r w:rsidRPr="00720EF1">
              <w:rPr>
                <w:kern w:val="0"/>
                <w:sz w:val="20"/>
              </w:rPr>
              <w:t>65.28</w:t>
            </w:r>
          </w:p>
        </w:tc>
        <w:tc>
          <w:tcPr>
            <w:tcW w:w="962" w:type="dxa"/>
            <w:tcBorders>
              <w:top w:val="nil"/>
              <w:left w:val="nil"/>
              <w:bottom w:val="nil"/>
              <w:right w:val="nil"/>
            </w:tcBorders>
            <w:shd w:val="clear" w:color="auto" w:fill="auto"/>
            <w:noWrap/>
            <w:vAlign w:val="bottom"/>
            <w:hideMark/>
          </w:tcPr>
          <w:p w14:paraId="58046F7D" w14:textId="77777777" w:rsidR="000F5BAD" w:rsidRPr="00720EF1" w:rsidRDefault="000F5BAD" w:rsidP="006A25C9">
            <w:pPr>
              <w:widowControl/>
              <w:jc w:val="right"/>
              <w:rPr>
                <w:kern w:val="0"/>
                <w:sz w:val="20"/>
              </w:rPr>
            </w:pPr>
            <w:r w:rsidRPr="00720EF1">
              <w:rPr>
                <w:kern w:val="0"/>
                <w:sz w:val="20"/>
              </w:rPr>
              <w:t>80.29</w:t>
            </w:r>
          </w:p>
        </w:tc>
        <w:tc>
          <w:tcPr>
            <w:tcW w:w="962" w:type="dxa"/>
            <w:tcBorders>
              <w:top w:val="nil"/>
              <w:left w:val="nil"/>
              <w:bottom w:val="nil"/>
              <w:right w:val="nil"/>
            </w:tcBorders>
            <w:shd w:val="clear" w:color="auto" w:fill="auto"/>
            <w:noWrap/>
            <w:vAlign w:val="bottom"/>
            <w:hideMark/>
          </w:tcPr>
          <w:p w14:paraId="3D35E4E1" w14:textId="77777777" w:rsidR="000F5BAD" w:rsidRPr="00720EF1" w:rsidRDefault="000F5BAD" w:rsidP="006A25C9">
            <w:pPr>
              <w:widowControl/>
              <w:jc w:val="right"/>
              <w:rPr>
                <w:kern w:val="0"/>
                <w:sz w:val="20"/>
              </w:rPr>
            </w:pPr>
            <w:r w:rsidRPr="00720EF1">
              <w:rPr>
                <w:kern w:val="0"/>
                <w:sz w:val="20"/>
              </w:rPr>
              <w:t>83.5</w:t>
            </w:r>
          </w:p>
        </w:tc>
        <w:tc>
          <w:tcPr>
            <w:tcW w:w="1197" w:type="dxa"/>
            <w:tcBorders>
              <w:top w:val="nil"/>
              <w:left w:val="nil"/>
              <w:bottom w:val="nil"/>
              <w:right w:val="nil"/>
            </w:tcBorders>
            <w:shd w:val="clear" w:color="auto" w:fill="auto"/>
            <w:noWrap/>
            <w:vAlign w:val="bottom"/>
            <w:hideMark/>
          </w:tcPr>
          <w:p w14:paraId="579A56BE" w14:textId="77777777" w:rsidR="000F5BAD" w:rsidRPr="00720EF1" w:rsidRDefault="000F5BAD" w:rsidP="006A25C9">
            <w:pPr>
              <w:widowControl/>
              <w:jc w:val="right"/>
              <w:rPr>
                <w:kern w:val="0"/>
                <w:sz w:val="20"/>
              </w:rPr>
            </w:pPr>
            <w:r w:rsidRPr="00720EF1">
              <w:rPr>
                <w:kern w:val="0"/>
                <w:sz w:val="20"/>
              </w:rPr>
              <w:t xml:space="preserve">      11.19 </w:t>
            </w:r>
          </w:p>
        </w:tc>
      </w:tr>
      <w:tr w:rsidR="000F5BAD" w:rsidRPr="00720EF1" w14:paraId="19100286" w14:textId="77777777" w:rsidTr="006A25C9">
        <w:trPr>
          <w:trHeight w:val="258"/>
        </w:trPr>
        <w:tc>
          <w:tcPr>
            <w:tcW w:w="2810" w:type="dxa"/>
            <w:tcBorders>
              <w:top w:val="nil"/>
              <w:left w:val="nil"/>
              <w:bottom w:val="nil"/>
              <w:right w:val="nil"/>
            </w:tcBorders>
            <w:shd w:val="clear" w:color="auto" w:fill="auto"/>
            <w:noWrap/>
            <w:vAlign w:val="bottom"/>
            <w:hideMark/>
          </w:tcPr>
          <w:p w14:paraId="7E02ABB9" w14:textId="77777777" w:rsidR="000F5BAD" w:rsidRPr="00720EF1" w:rsidRDefault="000F5BAD" w:rsidP="006A25C9">
            <w:pPr>
              <w:widowControl/>
              <w:jc w:val="left"/>
              <w:rPr>
                <w:kern w:val="0"/>
                <w:sz w:val="20"/>
              </w:rPr>
            </w:pPr>
            <w:r w:rsidRPr="00720EF1">
              <w:rPr>
                <w:kern w:val="0"/>
                <w:sz w:val="20"/>
              </w:rPr>
              <w:t>工银瑞信消费行业</w:t>
            </w:r>
            <w:r w:rsidRPr="00720EF1">
              <w:rPr>
                <w:kern w:val="0"/>
                <w:sz w:val="20"/>
              </w:rPr>
              <w:t>A</w:t>
            </w:r>
          </w:p>
        </w:tc>
        <w:tc>
          <w:tcPr>
            <w:tcW w:w="766" w:type="dxa"/>
            <w:tcBorders>
              <w:top w:val="nil"/>
              <w:left w:val="nil"/>
              <w:bottom w:val="nil"/>
              <w:right w:val="nil"/>
            </w:tcBorders>
            <w:shd w:val="clear" w:color="auto" w:fill="auto"/>
            <w:noWrap/>
            <w:vAlign w:val="bottom"/>
            <w:hideMark/>
          </w:tcPr>
          <w:p w14:paraId="4782CF58"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0059359E" w14:textId="77777777" w:rsidR="000F5BAD" w:rsidRPr="00720EF1" w:rsidRDefault="000F5BAD" w:rsidP="006A25C9">
            <w:pPr>
              <w:widowControl/>
              <w:jc w:val="right"/>
              <w:rPr>
                <w:kern w:val="0"/>
                <w:sz w:val="20"/>
              </w:rPr>
            </w:pPr>
            <w:r w:rsidRPr="00720EF1">
              <w:rPr>
                <w:kern w:val="0"/>
                <w:sz w:val="20"/>
              </w:rPr>
              <w:t>5.91</w:t>
            </w:r>
          </w:p>
        </w:tc>
        <w:tc>
          <w:tcPr>
            <w:tcW w:w="981" w:type="dxa"/>
            <w:tcBorders>
              <w:top w:val="nil"/>
              <w:left w:val="nil"/>
              <w:bottom w:val="nil"/>
              <w:right w:val="nil"/>
            </w:tcBorders>
            <w:shd w:val="clear" w:color="auto" w:fill="auto"/>
            <w:noWrap/>
            <w:vAlign w:val="bottom"/>
            <w:hideMark/>
          </w:tcPr>
          <w:p w14:paraId="796AAF48" w14:textId="77777777" w:rsidR="000F5BAD" w:rsidRPr="00720EF1" w:rsidRDefault="000F5BAD" w:rsidP="006A25C9">
            <w:pPr>
              <w:widowControl/>
              <w:jc w:val="right"/>
              <w:rPr>
                <w:kern w:val="0"/>
                <w:sz w:val="20"/>
              </w:rPr>
            </w:pPr>
            <w:r w:rsidRPr="00720EF1">
              <w:rPr>
                <w:kern w:val="0"/>
                <w:sz w:val="20"/>
              </w:rPr>
              <w:t>64.1</w:t>
            </w:r>
          </w:p>
        </w:tc>
        <w:tc>
          <w:tcPr>
            <w:tcW w:w="962" w:type="dxa"/>
            <w:tcBorders>
              <w:top w:val="nil"/>
              <w:left w:val="nil"/>
              <w:bottom w:val="nil"/>
              <w:right w:val="nil"/>
            </w:tcBorders>
            <w:shd w:val="clear" w:color="auto" w:fill="auto"/>
            <w:noWrap/>
            <w:vAlign w:val="bottom"/>
            <w:hideMark/>
          </w:tcPr>
          <w:p w14:paraId="0CD368E7" w14:textId="77777777" w:rsidR="000F5BAD" w:rsidRPr="00720EF1" w:rsidRDefault="000F5BAD" w:rsidP="006A25C9">
            <w:pPr>
              <w:widowControl/>
              <w:jc w:val="right"/>
              <w:rPr>
                <w:kern w:val="0"/>
                <w:sz w:val="20"/>
              </w:rPr>
            </w:pPr>
            <w:r w:rsidRPr="00720EF1">
              <w:rPr>
                <w:kern w:val="0"/>
                <w:sz w:val="20"/>
              </w:rPr>
              <w:t>76.79</w:t>
            </w:r>
          </w:p>
        </w:tc>
        <w:tc>
          <w:tcPr>
            <w:tcW w:w="962" w:type="dxa"/>
            <w:tcBorders>
              <w:top w:val="nil"/>
              <w:left w:val="nil"/>
              <w:bottom w:val="nil"/>
              <w:right w:val="nil"/>
            </w:tcBorders>
            <w:shd w:val="clear" w:color="auto" w:fill="auto"/>
            <w:noWrap/>
            <w:vAlign w:val="bottom"/>
            <w:hideMark/>
          </w:tcPr>
          <w:p w14:paraId="256C1EA4" w14:textId="77777777" w:rsidR="000F5BAD" w:rsidRPr="00720EF1" w:rsidRDefault="000F5BAD" w:rsidP="006A25C9">
            <w:pPr>
              <w:widowControl/>
              <w:jc w:val="right"/>
              <w:rPr>
                <w:kern w:val="0"/>
                <w:sz w:val="20"/>
              </w:rPr>
            </w:pPr>
            <w:r w:rsidRPr="00720EF1">
              <w:rPr>
                <w:kern w:val="0"/>
                <w:sz w:val="20"/>
              </w:rPr>
              <w:t>82.92</w:t>
            </w:r>
          </w:p>
        </w:tc>
        <w:tc>
          <w:tcPr>
            <w:tcW w:w="1197" w:type="dxa"/>
            <w:tcBorders>
              <w:top w:val="nil"/>
              <w:left w:val="nil"/>
              <w:bottom w:val="nil"/>
              <w:right w:val="nil"/>
            </w:tcBorders>
            <w:shd w:val="clear" w:color="auto" w:fill="auto"/>
            <w:noWrap/>
            <w:vAlign w:val="bottom"/>
            <w:hideMark/>
          </w:tcPr>
          <w:p w14:paraId="3FE04050" w14:textId="77777777" w:rsidR="000F5BAD" w:rsidRPr="00720EF1" w:rsidRDefault="000F5BAD" w:rsidP="006A25C9">
            <w:pPr>
              <w:widowControl/>
              <w:jc w:val="right"/>
              <w:rPr>
                <w:kern w:val="0"/>
                <w:sz w:val="20"/>
              </w:rPr>
            </w:pPr>
            <w:r w:rsidRPr="00720EF1">
              <w:rPr>
                <w:kern w:val="0"/>
                <w:sz w:val="20"/>
              </w:rPr>
              <w:t xml:space="preserve">        8.96 </w:t>
            </w:r>
          </w:p>
        </w:tc>
      </w:tr>
      <w:tr w:rsidR="000F5BAD" w:rsidRPr="00720EF1" w14:paraId="2DA3BE7A" w14:textId="77777777" w:rsidTr="006A25C9">
        <w:trPr>
          <w:trHeight w:val="258"/>
        </w:trPr>
        <w:tc>
          <w:tcPr>
            <w:tcW w:w="2810" w:type="dxa"/>
            <w:tcBorders>
              <w:top w:val="nil"/>
              <w:left w:val="nil"/>
              <w:bottom w:val="nil"/>
              <w:right w:val="nil"/>
            </w:tcBorders>
            <w:shd w:val="clear" w:color="auto" w:fill="auto"/>
            <w:noWrap/>
            <w:vAlign w:val="bottom"/>
            <w:hideMark/>
          </w:tcPr>
          <w:p w14:paraId="163D90C5" w14:textId="77777777" w:rsidR="000F5BAD" w:rsidRPr="00720EF1" w:rsidRDefault="000F5BAD" w:rsidP="006A25C9">
            <w:pPr>
              <w:widowControl/>
              <w:jc w:val="left"/>
              <w:rPr>
                <w:kern w:val="0"/>
                <w:sz w:val="20"/>
              </w:rPr>
            </w:pPr>
            <w:r w:rsidRPr="00720EF1">
              <w:rPr>
                <w:kern w:val="0"/>
                <w:sz w:val="20"/>
              </w:rPr>
              <w:t>光大保德信消费主题</w:t>
            </w:r>
          </w:p>
        </w:tc>
        <w:tc>
          <w:tcPr>
            <w:tcW w:w="766" w:type="dxa"/>
            <w:tcBorders>
              <w:top w:val="nil"/>
              <w:left w:val="nil"/>
              <w:bottom w:val="nil"/>
              <w:right w:val="nil"/>
            </w:tcBorders>
            <w:shd w:val="clear" w:color="auto" w:fill="auto"/>
            <w:noWrap/>
            <w:vAlign w:val="bottom"/>
            <w:hideMark/>
          </w:tcPr>
          <w:p w14:paraId="52E790FC"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18B1EEF6" w14:textId="77777777" w:rsidR="000F5BAD" w:rsidRPr="00720EF1" w:rsidRDefault="000F5BAD" w:rsidP="006A25C9">
            <w:pPr>
              <w:widowControl/>
              <w:jc w:val="right"/>
              <w:rPr>
                <w:kern w:val="0"/>
                <w:sz w:val="20"/>
              </w:rPr>
            </w:pPr>
            <w:r w:rsidRPr="00720EF1">
              <w:rPr>
                <w:kern w:val="0"/>
                <w:sz w:val="20"/>
              </w:rPr>
              <w:t xml:space="preserve">7.19 </w:t>
            </w:r>
          </w:p>
        </w:tc>
        <w:tc>
          <w:tcPr>
            <w:tcW w:w="981" w:type="dxa"/>
            <w:tcBorders>
              <w:top w:val="nil"/>
              <w:left w:val="nil"/>
              <w:bottom w:val="nil"/>
              <w:right w:val="nil"/>
            </w:tcBorders>
            <w:shd w:val="clear" w:color="auto" w:fill="auto"/>
            <w:noWrap/>
            <w:vAlign w:val="bottom"/>
            <w:hideMark/>
          </w:tcPr>
          <w:p w14:paraId="7D291DEB" w14:textId="77777777" w:rsidR="000F5BAD" w:rsidRPr="00720EF1" w:rsidRDefault="000F5BAD" w:rsidP="006A25C9">
            <w:pPr>
              <w:widowControl/>
              <w:jc w:val="right"/>
              <w:rPr>
                <w:kern w:val="0"/>
                <w:sz w:val="20"/>
              </w:rPr>
            </w:pPr>
            <w:r w:rsidRPr="00720EF1">
              <w:rPr>
                <w:kern w:val="0"/>
                <w:sz w:val="20"/>
              </w:rPr>
              <w:t>63.09</w:t>
            </w:r>
          </w:p>
        </w:tc>
        <w:tc>
          <w:tcPr>
            <w:tcW w:w="962" w:type="dxa"/>
            <w:tcBorders>
              <w:top w:val="nil"/>
              <w:left w:val="nil"/>
              <w:bottom w:val="nil"/>
              <w:right w:val="nil"/>
            </w:tcBorders>
            <w:shd w:val="clear" w:color="auto" w:fill="auto"/>
            <w:noWrap/>
            <w:vAlign w:val="bottom"/>
            <w:hideMark/>
          </w:tcPr>
          <w:p w14:paraId="2D6DB64F" w14:textId="77777777" w:rsidR="000F5BAD" w:rsidRPr="00720EF1" w:rsidRDefault="000F5BAD" w:rsidP="006A25C9">
            <w:pPr>
              <w:widowControl/>
              <w:jc w:val="right"/>
              <w:rPr>
                <w:kern w:val="0"/>
                <w:sz w:val="20"/>
              </w:rPr>
            </w:pPr>
            <w:r w:rsidRPr="00720EF1">
              <w:rPr>
                <w:kern w:val="0"/>
                <w:sz w:val="20"/>
              </w:rPr>
              <w:t>75.52</w:t>
            </w:r>
          </w:p>
        </w:tc>
        <w:tc>
          <w:tcPr>
            <w:tcW w:w="962" w:type="dxa"/>
            <w:tcBorders>
              <w:top w:val="nil"/>
              <w:left w:val="nil"/>
              <w:bottom w:val="nil"/>
              <w:right w:val="nil"/>
            </w:tcBorders>
            <w:shd w:val="clear" w:color="auto" w:fill="auto"/>
            <w:noWrap/>
            <w:vAlign w:val="bottom"/>
            <w:hideMark/>
          </w:tcPr>
          <w:p w14:paraId="64F7CAF1" w14:textId="77777777" w:rsidR="000F5BAD" w:rsidRPr="00720EF1" w:rsidRDefault="000F5BAD" w:rsidP="006A25C9">
            <w:pPr>
              <w:widowControl/>
              <w:jc w:val="right"/>
              <w:rPr>
                <w:kern w:val="0"/>
                <w:sz w:val="20"/>
              </w:rPr>
            </w:pPr>
            <w:r w:rsidRPr="00720EF1">
              <w:rPr>
                <w:kern w:val="0"/>
                <w:sz w:val="20"/>
              </w:rPr>
              <w:t>82.29</w:t>
            </w:r>
          </w:p>
        </w:tc>
        <w:tc>
          <w:tcPr>
            <w:tcW w:w="1197" w:type="dxa"/>
            <w:tcBorders>
              <w:top w:val="nil"/>
              <w:left w:val="nil"/>
              <w:bottom w:val="nil"/>
              <w:right w:val="nil"/>
            </w:tcBorders>
            <w:shd w:val="clear" w:color="auto" w:fill="auto"/>
            <w:noWrap/>
            <w:vAlign w:val="bottom"/>
            <w:hideMark/>
          </w:tcPr>
          <w:p w14:paraId="11315C04" w14:textId="77777777" w:rsidR="000F5BAD" w:rsidRPr="00720EF1" w:rsidRDefault="000F5BAD" w:rsidP="006A25C9">
            <w:pPr>
              <w:widowControl/>
              <w:jc w:val="right"/>
              <w:rPr>
                <w:kern w:val="0"/>
                <w:sz w:val="20"/>
              </w:rPr>
            </w:pPr>
            <w:r w:rsidRPr="00720EF1">
              <w:rPr>
                <w:kern w:val="0"/>
                <w:sz w:val="20"/>
              </w:rPr>
              <w:t xml:space="preserve">        9.86 </w:t>
            </w:r>
          </w:p>
        </w:tc>
      </w:tr>
      <w:tr w:rsidR="000F5BAD" w:rsidRPr="00720EF1" w14:paraId="36099220" w14:textId="77777777" w:rsidTr="006A25C9">
        <w:trPr>
          <w:trHeight w:val="258"/>
        </w:trPr>
        <w:tc>
          <w:tcPr>
            <w:tcW w:w="2810" w:type="dxa"/>
            <w:tcBorders>
              <w:top w:val="nil"/>
              <w:left w:val="nil"/>
              <w:bottom w:val="nil"/>
              <w:right w:val="nil"/>
            </w:tcBorders>
            <w:shd w:val="clear" w:color="auto" w:fill="auto"/>
            <w:noWrap/>
            <w:vAlign w:val="bottom"/>
            <w:hideMark/>
          </w:tcPr>
          <w:p w14:paraId="7DCF0A8F" w14:textId="77777777" w:rsidR="000F5BAD" w:rsidRPr="00720EF1" w:rsidRDefault="000F5BAD" w:rsidP="006A25C9">
            <w:pPr>
              <w:widowControl/>
              <w:jc w:val="left"/>
              <w:rPr>
                <w:kern w:val="0"/>
                <w:sz w:val="20"/>
              </w:rPr>
            </w:pPr>
            <w:r w:rsidRPr="00720EF1">
              <w:rPr>
                <w:kern w:val="0"/>
                <w:sz w:val="20"/>
              </w:rPr>
              <w:lastRenderedPageBreak/>
              <w:t>易方达金融行业</w:t>
            </w:r>
          </w:p>
        </w:tc>
        <w:tc>
          <w:tcPr>
            <w:tcW w:w="766" w:type="dxa"/>
            <w:tcBorders>
              <w:top w:val="nil"/>
              <w:left w:val="nil"/>
              <w:bottom w:val="nil"/>
              <w:right w:val="nil"/>
            </w:tcBorders>
            <w:shd w:val="clear" w:color="auto" w:fill="auto"/>
            <w:noWrap/>
            <w:vAlign w:val="bottom"/>
            <w:hideMark/>
          </w:tcPr>
          <w:p w14:paraId="0AD511A7"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2B12F754" w14:textId="77777777" w:rsidR="000F5BAD" w:rsidRPr="00720EF1" w:rsidRDefault="000F5BAD" w:rsidP="006A25C9">
            <w:pPr>
              <w:widowControl/>
              <w:jc w:val="right"/>
              <w:rPr>
                <w:kern w:val="0"/>
                <w:sz w:val="20"/>
              </w:rPr>
            </w:pPr>
            <w:r w:rsidRPr="00720EF1">
              <w:rPr>
                <w:kern w:val="0"/>
                <w:sz w:val="20"/>
              </w:rPr>
              <w:t xml:space="preserve">7.84 </w:t>
            </w:r>
          </w:p>
        </w:tc>
        <w:tc>
          <w:tcPr>
            <w:tcW w:w="981" w:type="dxa"/>
            <w:tcBorders>
              <w:top w:val="nil"/>
              <w:left w:val="nil"/>
              <w:bottom w:val="nil"/>
              <w:right w:val="nil"/>
            </w:tcBorders>
            <w:shd w:val="clear" w:color="auto" w:fill="auto"/>
            <w:noWrap/>
            <w:vAlign w:val="bottom"/>
            <w:hideMark/>
          </w:tcPr>
          <w:p w14:paraId="11A72C2F" w14:textId="77777777" w:rsidR="000F5BAD" w:rsidRPr="00720EF1" w:rsidRDefault="000F5BAD" w:rsidP="006A25C9">
            <w:pPr>
              <w:widowControl/>
              <w:jc w:val="right"/>
              <w:rPr>
                <w:kern w:val="0"/>
                <w:sz w:val="20"/>
              </w:rPr>
            </w:pPr>
            <w:r w:rsidRPr="00720EF1">
              <w:rPr>
                <w:kern w:val="0"/>
                <w:sz w:val="20"/>
              </w:rPr>
              <w:t>63.89</w:t>
            </w:r>
          </w:p>
        </w:tc>
        <w:tc>
          <w:tcPr>
            <w:tcW w:w="962" w:type="dxa"/>
            <w:tcBorders>
              <w:top w:val="nil"/>
              <w:left w:val="nil"/>
              <w:bottom w:val="nil"/>
              <w:right w:val="nil"/>
            </w:tcBorders>
            <w:shd w:val="clear" w:color="auto" w:fill="auto"/>
            <w:noWrap/>
            <w:vAlign w:val="bottom"/>
            <w:hideMark/>
          </w:tcPr>
          <w:p w14:paraId="5556B24F" w14:textId="77777777" w:rsidR="000F5BAD" w:rsidRPr="00720EF1" w:rsidRDefault="000F5BAD" w:rsidP="006A25C9">
            <w:pPr>
              <w:widowControl/>
              <w:jc w:val="right"/>
              <w:rPr>
                <w:kern w:val="0"/>
                <w:sz w:val="20"/>
              </w:rPr>
            </w:pPr>
            <w:r w:rsidRPr="00720EF1">
              <w:rPr>
                <w:kern w:val="0"/>
                <w:sz w:val="20"/>
              </w:rPr>
              <w:t>77.04</w:t>
            </w:r>
          </w:p>
        </w:tc>
        <w:tc>
          <w:tcPr>
            <w:tcW w:w="962" w:type="dxa"/>
            <w:tcBorders>
              <w:top w:val="nil"/>
              <w:left w:val="nil"/>
              <w:bottom w:val="nil"/>
              <w:right w:val="nil"/>
            </w:tcBorders>
            <w:shd w:val="clear" w:color="auto" w:fill="auto"/>
            <w:noWrap/>
            <w:vAlign w:val="bottom"/>
            <w:hideMark/>
          </w:tcPr>
          <w:p w14:paraId="7A03531E" w14:textId="77777777" w:rsidR="000F5BAD" w:rsidRPr="00720EF1" w:rsidRDefault="000F5BAD" w:rsidP="006A25C9">
            <w:pPr>
              <w:widowControl/>
              <w:jc w:val="right"/>
              <w:rPr>
                <w:kern w:val="0"/>
                <w:sz w:val="20"/>
              </w:rPr>
            </w:pPr>
            <w:r w:rsidRPr="00720EF1">
              <w:rPr>
                <w:kern w:val="0"/>
                <w:sz w:val="20"/>
              </w:rPr>
              <w:t>82.76</w:t>
            </w:r>
          </w:p>
        </w:tc>
        <w:tc>
          <w:tcPr>
            <w:tcW w:w="1197" w:type="dxa"/>
            <w:tcBorders>
              <w:top w:val="nil"/>
              <w:left w:val="nil"/>
              <w:bottom w:val="nil"/>
              <w:right w:val="nil"/>
            </w:tcBorders>
            <w:shd w:val="clear" w:color="auto" w:fill="auto"/>
            <w:noWrap/>
            <w:vAlign w:val="bottom"/>
            <w:hideMark/>
          </w:tcPr>
          <w:p w14:paraId="6C989E9B" w14:textId="77777777" w:rsidR="000F5BAD" w:rsidRPr="00720EF1" w:rsidRDefault="000F5BAD" w:rsidP="006A25C9">
            <w:pPr>
              <w:widowControl/>
              <w:jc w:val="right"/>
              <w:rPr>
                <w:kern w:val="0"/>
                <w:sz w:val="20"/>
              </w:rPr>
            </w:pPr>
            <w:r w:rsidRPr="00720EF1">
              <w:rPr>
                <w:kern w:val="0"/>
                <w:sz w:val="20"/>
              </w:rPr>
              <w:t xml:space="preserve">      13.59 </w:t>
            </w:r>
          </w:p>
        </w:tc>
      </w:tr>
      <w:tr w:rsidR="000F5BAD" w:rsidRPr="00720EF1" w14:paraId="40166A12" w14:textId="77777777" w:rsidTr="006A25C9">
        <w:trPr>
          <w:trHeight w:val="258"/>
        </w:trPr>
        <w:tc>
          <w:tcPr>
            <w:tcW w:w="2810" w:type="dxa"/>
            <w:tcBorders>
              <w:top w:val="nil"/>
              <w:left w:val="nil"/>
              <w:bottom w:val="nil"/>
              <w:right w:val="nil"/>
            </w:tcBorders>
            <w:shd w:val="clear" w:color="auto" w:fill="auto"/>
            <w:noWrap/>
            <w:vAlign w:val="bottom"/>
            <w:hideMark/>
          </w:tcPr>
          <w:p w14:paraId="2837AC2B" w14:textId="77777777" w:rsidR="000F5BAD" w:rsidRPr="00720EF1" w:rsidRDefault="000F5BAD" w:rsidP="006A25C9">
            <w:pPr>
              <w:widowControl/>
              <w:jc w:val="left"/>
              <w:rPr>
                <w:kern w:val="0"/>
                <w:sz w:val="20"/>
              </w:rPr>
            </w:pPr>
            <w:r w:rsidRPr="00720EF1">
              <w:rPr>
                <w:kern w:val="0"/>
                <w:sz w:val="20"/>
              </w:rPr>
              <w:t>宝盈龙头优选</w:t>
            </w:r>
            <w:r w:rsidRPr="00720EF1">
              <w:rPr>
                <w:kern w:val="0"/>
                <w:sz w:val="20"/>
              </w:rPr>
              <w:t>C</w:t>
            </w:r>
          </w:p>
        </w:tc>
        <w:tc>
          <w:tcPr>
            <w:tcW w:w="766" w:type="dxa"/>
            <w:tcBorders>
              <w:top w:val="nil"/>
              <w:left w:val="nil"/>
              <w:bottom w:val="nil"/>
              <w:right w:val="nil"/>
            </w:tcBorders>
            <w:shd w:val="clear" w:color="auto" w:fill="auto"/>
            <w:noWrap/>
            <w:vAlign w:val="bottom"/>
            <w:hideMark/>
          </w:tcPr>
          <w:p w14:paraId="7AD4BF97"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4EC6F91E"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424FD814" w14:textId="77777777" w:rsidR="000F5BAD" w:rsidRPr="00720EF1" w:rsidRDefault="000F5BAD" w:rsidP="006A25C9">
            <w:pPr>
              <w:widowControl/>
              <w:jc w:val="right"/>
              <w:rPr>
                <w:kern w:val="0"/>
                <w:sz w:val="20"/>
              </w:rPr>
            </w:pPr>
            <w:r w:rsidRPr="00720EF1">
              <w:rPr>
                <w:kern w:val="0"/>
                <w:sz w:val="20"/>
              </w:rPr>
              <w:t>64.27</w:t>
            </w:r>
          </w:p>
        </w:tc>
        <w:tc>
          <w:tcPr>
            <w:tcW w:w="962" w:type="dxa"/>
            <w:tcBorders>
              <w:top w:val="nil"/>
              <w:left w:val="nil"/>
              <w:bottom w:val="nil"/>
              <w:right w:val="nil"/>
            </w:tcBorders>
            <w:shd w:val="clear" w:color="auto" w:fill="auto"/>
            <w:noWrap/>
            <w:vAlign w:val="bottom"/>
            <w:hideMark/>
          </w:tcPr>
          <w:p w14:paraId="0C214B7D" w14:textId="77777777" w:rsidR="000F5BAD" w:rsidRPr="00720EF1" w:rsidRDefault="000F5BAD" w:rsidP="006A25C9">
            <w:pPr>
              <w:widowControl/>
              <w:jc w:val="right"/>
              <w:rPr>
                <w:kern w:val="0"/>
                <w:sz w:val="20"/>
              </w:rPr>
            </w:pPr>
            <w:r w:rsidRPr="00720EF1">
              <w:rPr>
                <w:kern w:val="0"/>
                <w:sz w:val="20"/>
              </w:rPr>
              <w:t>81.75</w:t>
            </w:r>
          </w:p>
        </w:tc>
        <w:tc>
          <w:tcPr>
            <w:tcW w:w="962" w:type="dxa"/>
            <w:tcBorders>
              <w:top w:val="nil"/>
              <w:left w:val="nil"/>
              <w:bottom w:val="nil"/>
              <w:right w:val="nil"/>
            </w:tcBorders>
            <w:shd w:val="clear" w:color="auto" w:fill="auto"/>
            <w:noWrap/>
            <w:vAlign w:val="bottom"/>
            <w:hideMark/>
          </w:tcPr>
          <w:p w14:paraId="7459B42D" w14:textId="77777777" w:rsidR="000F5BAD" w:rsidRPr="00720EF1" w:rsidRDefault="000F5BAD" w:rsidP="006A25C9">
            <w:pPr>
              <w:widowControl/>
              <w:jc w:val="right"/>
              <w:rPr>
                <w:kern w:val="0"/>
                <w:sz w:val="20"/>
              </w:rPr>
            </w:pPr>
            <w:r w:rsidRPr="00720EF1">
              <w:rPr>
                <w:kern w:val="0"/>
                <w:sz w:val="20"/>
              </w:rPr>
              <w:t>82.33</w:t>
            </w:r>
          </w:p>
        </w:tc>
        <w:tc>
          <w:tcPr>
            <w:tcW w:w="1197" w:type="dxa"/>
            <w:tcBorders>
              <w:top w:val="nil"/>
              <w:left w:val="nil"/>
              <w:bottom w:val="nil"/>
              <w:right w:val="nil"/>
            </w:tcBorders>
            <w:shd w:val="clear" w:color="auto" w:fill="auto"/>
            <w:noWrap/>
            <w:vAlign w:val="bottom"/>
            <w:hideMark/>
          </w:tcPr>
          <w:p w14:paraId="30622446" w14:textId="77777777" w:rsidR="000F5BAD" w:rsidRPr="00720EF1" w:rsidRDefault="000F5BAD" w:rsidP="006A25C9">
            <w:pPr>
              <w:widowControl/>
              <w:jc w:val="right"/>
              <w:rPr>
                <w:kern w:val="0"/>
                <w:sz w:val="20"/>
              </w:rPr>
            </w:pPr>
            <w:r w:rsidRPr="00720EF1">
              <w:rPr>
                <w:kern w:val="0"/>
                <w:sz w:val="20"/>
              </w:rPr>
              <w:t xml:space="preserve">      10.16 </w:t>
            </w:r>
          </w:p>
        </w:tc>
      </w:tr>
      <w:tr w:rsidR="000F5BAD" w:rsidRPr="00720EF1" w14:paraId="46D5160E" w14:textId="77777777" w:rsidTr="006A25C9">
        <w:trPr>
          <w:trHeight w:val="258"/>
        </w:trPr>
        <w:tc>
          <w:tcPr>
            <w:tcW w:w="2810" w:type="dxa"/>
            <w:tcBorders>
              <w:top w:val="nil"/>
              <w:left w:val="nil"/>
              <w:bottom w:val="nil"/>
              <w:right w:val="nil"/>
            </w:tcBorders>
            <w:shd w:val="clear" w:color="auto" w:fill="auto"/>
            <w:noWrap/>
            <w:vAlign w:val="bottom"/>
            <w:hideMark/>
          </w:tcPr>
          <w:p w14:paraId="36F009CF" w14:textId="77777777" w:rsidR="000F5BAD" w:rsidRPr="00720EF1" w:rsidRDefault="000F5BAD" w:rsidP="006A25C9">
            <w:pPr>
              <w:widowControl/>
              <w:jc w:val="left"/>
              <w:rPr>
                <w:kern w:val="0"/>
                <w:sz w:val="20"/>
              </w:rPr>
            </w:pPr>
            <w:r w:rsidRPr="00720EF1">
              <w:rPr>
                <w:kern w:val="0"/>
                <w:sz w:val="20"/>
              </w:rPr>
              <w:t>长盛竞争优势</w:t>
            </w:r>
            <w:r w:rsidRPr="00720EF1">
              <w:rPr>
                <w:kern w:val="0"/>
                <w:sz w:val="20"/>
              </w:rPr>
              <w:t>C</w:t>
            </w:r>
          </w:p>
        </w:tc>
        <w:tc>
          <w:tcPr>
            <w:tcW w:w="766" w:type="dxa"/>
            <w:tcBorders>
              <w:top w:val="nil"/>
              <w:left w:val="nil"/>
              <w:bottom w:val="nil"/>
              <w:right w:val="nil"/>
            </w:tcBorders>
            <w:shd w:val="clear" w:color="auto" w:fill="auto"/>
            <w:noWrap/>
            <w:vAlign w:val="bottom"/>
            <w:hideMark/>
          </w:tcPr>
          <w:p w14:paraId="31B518CD"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0B8538B5" w14:textId="77777777" w:rsidR="000F5BAD" w:rsidRPr="00720EF1" w:rsidRDefault="000F5BAD" w:rsidP="006A25C9">
            <w:pPr>
              <w:widowControl/>
              <w:jc w:val="right"/>
              <w:rPr>
                <w:kern w:val="0"/>
                <w:sz w:val="20"/>
              </w:rPr>
            </w:pPr>
            <w:r w:rsidRPr="00720EF1">
              <w:rPr>
                <w:kern w:val="0"/>
                <w:sz w:val="20"/>
              </w:rPr>
              <w:t xml:space="preserve">6.98 </w:t>
            </w:r>
          </w:p>
        </w:tc>
        <w:tc>
          <w:tcPr>
            <w:tcW w:w="981" w:type="dxa"/>
            <w:tcBorders>
              <w:top w:val="nil"/>
              <w:left w:val="nil"/>
              <w:bottom w:val="nil"/>
              <w:right w:val="nil"/>
            </w:tcBorders>
            <w:shd w:val="clear" w:color="auto" w:fill="auto"/>
            <w:noWrap/>
            <w:vAlign w:val="bottom"/>
            <w:hideMark/>
          </w:tcPr>
          <w:p w14:paraId="10DD2F21" w14:textId="77777777" w:rsidR="000F5BAD" w:rsidRPr="00720EF1" w:rsidRDefault="000F5BAD" w:rsidP="006A25C9">
            <w:pPr>
              <w:widowControl/>
              <w:jc w:val="right"/>
              <w:rPr>
                <w:kern w:val="0"/>
                <w:sz w:val="20"/>
              </w:rPr>
            </w:pPr>
            <w:r w:rsidRPr="00720EF1">
              <w:rPr>
                <w:kern w:val="0"/>
                <w:sz w:val="20"/>
              </w:rPr>
              <w:t>62.31</w:t>
            </w:r>
          </w:p>
        </w:tc>
        <w:tc>
          <w:tcPr>
            <w:tcW w:w="962" w:type="dxa"/>
            <w:tcBorders>
              <w:top w:val="nil"/>
              <w:left w:val="nil"/>
              <w:bottom w:val="nil"/>
              <w:right w:val="nil"/>
            </w:tcBorders>
            <w:shd w:val="clear" w:color="auto" w:fill="auto"/>
            <w:noWrap/>
            <w:vAlign w:val="bottom"/>
            <w:hideMark/>
          </w:tcPr>
          <w:p w14:paraId="1065C162" w14:textId="77777777" w:rsidR="000F5BAD" w:rsidRPr="00720EF1" w:rsidRDefault="000F5BAD" w:rsidP="006A25C9">
            <w:pPr>
              <w:widowControl/>
              <w:jc w:val="right"/>
              <w:rPr>
                <w:kern w:val="0"/>
                <w:sz w:val="20"/>
              </w:rPr>
            </w:pPr>
            <w:r w:rsidRPr="00720EF1">
              <w:rPr>
                <w:kern w:val="0"/>
                <w:sz w:val="20"/>
              </w:rPr>
              <w:t>76.09</w:t>
            </w:r>
          </w:p>
        </w:tc>
        <w:tc>
          <w:tcPr>
            <w:tcW w:w="962" w:type="dxa"/>
            <w:tcBorders>
              <w:top w:val="nil"/>
              <w:left w:val="nil"/>
              <w:bottom w:val="nil"/>
              <w:right w:val="nil"/>
            </w:tcBorders>
            <w:shd w:val="clear" w:color="auto" w:fill="auto"/>
            <w:noWrap/>
            <w:vAlign w:val="bottom"/>
            <w:hideMark/>
          </w:tcPr>
          <w:p w14:paraId="2AB88F84" w14:textId="77777777" w:rsidR="000F5BAD" w:rsidRPr="00720EF1" w:rsidRDefault="000F5BAD" w:rsidP="006A25C9">
            <w:pPr>
              <w:widowControl/>
              <w:jc w:val="right"/>
              <w:rPr>
                <w:kern w:val="0"/>
                <w:sz w:val="20"/>
              </w:rPr>
            </w:pPr>
            <w:r w:rsidRPr="00720EF1">
              <w:rPr>
                <w:kern w:val="0"/>
                <w:sz w:val="20"/>
              </w:rPr>
              <w:t>81.99</w:t>
            </w:r>
          </w:p>
        </w:tc>
        <w:tc>
          <w:tcPr>
            <w:tcW w:w="1197" w:type="dxa"/>
            <w:tcBorders>
              <w:top w:val="nil"/>
              <w:left w:val="nil"/>
              <w:bottom w:val="nil"/>
              <w:right w:val="nil"/>
            </w:tcBorders>
            <w:shd w:val="clear" w:color="auto" w:fill="auto"/>
            <w:noWrap/>
            <w:vAlign w:val="bottom"/>
            <w:hideMark/>
          </w:tcPr>
          <w:p w14:paraId="0566764D" w14:textId="77777777" w:rsidR="000F5BAD" w:rsidRPr="00720EF1" w:rsidRDefault="000F5BAD" w:rsidP="006A25C9">
            <w:pPr>
              <w:widowControl/>
              <w:jc w:val="right"/>
              <w:rPr>
                <w:kern w:val="0"/>
                <w:sz w:val="20"/>
              </w:rPr>
            </w:pPr>
            <w:r w:rsidRPr="00720EF1">
              <w:rPr>
                <w:kern w:val="0"/>
                <w:sz w:val="20"/>
              </w:rPr>
              <w:t xml:space="preserve">      13.09 </w:t>
            </w:r>
          </w:p>
        </w:tc>
      </w:tr>
      <w:tr w:rsidR="000F5BAD" w:rsidRPr="00720EF1" w14:paraId="361B88BB" w14:textId="77777777" w:rsidTr="006A25C9">
        <w:trPr>
          <w:trHeight w:val="258"/>
        </w:trPr>
        <w:tc>
          <w:tcPr>
            <w:tcW w:w="2810" w:type="dxa"/>
            <w:tcBorders>
              <w:top w:val="nil"/>
              <w:left w:val="nil"/>
              <w:bottom w:val="nil"/>
              <w:right w:val="nil"/>
            </w:tcBorders>
            <w:shd w:val="clear" w:color="auto" w:fill="auto"/>
            <w:noWrap/>
            <w:vAlign w:val="bottom"/>
            <w:hideMark/>
          </w:tcPr>
          <w:p w14:paraId="77BBE5C2" w14:textId="77777777" w:rsidR="000F5BAD" w:rsidRPr="00720EF1" w:rsidRDefault="000F5BAD" w:rsidP="006A25C9">
            <w:pPr>
              <w:widowControl/>
              <w:jc w:val="left"/>
              <w:rPr>
                <w:kern w:val="0"/>
                <w:sz w:val="20"/>
              </w:rPr>
            </w:pPr>
            <w:r w:rsidRPr="00720EF1">
              <w:rPr>
                <w:kern w:val="0"/>
                <w:sz w:val="20"/>
              </w:rPr>
              <w:t>西藏东财中证医药卫生</w:t>
            </w:r>
            <w:r w:rsidRPr="00720EF1">
              <w:rPr>
                <w:kern w:val="0"/>
                <w:sz w:val="20"/>
              </w:rPr>
              <w:t>C</w:t>
            </w:r>
          </w:p>
        </w:tc>
        <w:tc>
          <w:tcPr>
            <w:tcW w:w="766" w:type="dxa"/>
            <w:tcBorders>
              <w:top w:val="nil"/>
              <w:left w:val="nil"/>
              <w:bottom w:val="nil"/>
              <w:right w:val="nil"/>
            </w:tcBorders>
            <w:shd w:val="clear" w:color="auto" w:fill="auto"/>
            <w:noWrap/>
            <w:vAlign w:val="bottom"/>
            <w:hideMark/>
          </w:tcPr>
          <w:p w14:paraId="7E6A3909"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4C1B0E52" w14:textId="77777777" w:rsidR="000F5BAD" w:rsidRPr="00720EF1" w:rsidRDefault="000F5BAD" w:rsidP="006A25C9">
            <w:pPr>
              <w:widowControl/>
              <w:jc w:val="right"/>
              <w:rPr>
                <w:kern w:val="0"/>
                <w:sz w:val="20"/>
              </w:rPr>
            </w:pPr>
            <w:r w:rsidRPr="00720EF1">
              <w:rPr>
                <w:kern w:val="0"/>
                <w:sz w:val="20"/>
              </w:rPr>
              <w:t xml:space="preserve">8.35 </w:t>
            </w:r>
          </w:p>
        </w:tc>
        <w:tc>
          <w:tcPr>
            <w:tcW w:w="981" w:type="dxa"/>
            <w:tcBorders>
              <w:top w:val="nil"/>
              <w:left w:val="nil"/>
              <w:bottom w:val="nil"/>
              <w:right w:val="nil"/>
            </w:tcBorders>
            <w:shd w:val="clear" w:color="auto" w:fill="auto"/>
            <w:noWrap/>
            <w:vAlign w:val="bottom"/>
            <w:hideMark/>
          </w:tcPr>
          <w:p w14:paraId="450149F6" w14:textId="77777777" w:rsidR="000F5BAD" w:rsidRPr="00720EF1" w:rsidRDefault="000F5BAD" w:rsidP="006A25C9">
            <w:pPr>
              <w:widowControl/>
              <w:jc w:val="right"/>
              <w:rPr>
                <w:kern w:val="0"/>
                <w:sz w:val="20"/>
              </w:rPr>
            </w:pPr>
            <w:r w:rsidRPr="00720EF1">
              <w:rPr>
                <w:kern w:val="0"/>
                <w:sz w:val="20"/>
              </w:rPr>
              <w:t>61.07</w:t>
            </w:r>
          </w:p>
        </w:tc>
        <w:tc>
          <w:tcPr>
            <w:tcW w:w="962" w:type="dxa"/>
            <w:tcBorders>
              <w:top w:val="nil"/>
              <w:left w:val="nil"/>
              <w:bottom w:val="nil"/>
              <w:right w:val="nil"/>
            </w:tcBorders>
            <w:shd w:val="clear" w:color="auto" w:fill="auto"/>
            <w:noWrap/>
            <w:vAlign w:val="bottom"/>
            <w:hideMark/>
          </w:tcPr>
          <w:p w14:paraId="5D7F4AF7" w14:textId="77777777" w:rsidR="000F5BAD" w:rsidRPr="00720EF1" w:rsidRDefault="000F5BAD" w:rsidP="006A25C9">
            <w:pPr>
              <w:widowControl/>
              <w:jc w:val="right"/>
              <w:rPr>
                <w:kern w:val="0"/>
                <w:sz w:val="20"/>
              </w:rPr>
            </w:pPr>
            <w:r w:rsidRPr="00720EF1">
              <w:rPr>
                <w:kern w:val="0"/>
                <w:sz w:val="20"/>
              </w:rPr>
              <w:t>78.34</w:t>
            </w:r>
          </w:p>
        </w:tc>
        <w:tc>
          <w:tcPr>
            <w:tcW w:w="962" w:type="dxa"/>
            <w:tcBorders>
              <w:top w:val="nil"/>
              <w:left w:val="nil"/>
              <w:bottom w:val="nil"/>
              <w:right w:val="nil"/>
            </w:tcBorders>
            <w:shd w:val="clear" w:color="auto" w:fill="auto"/>
            <w:noWrap/>
            <w:vAlign w:val="bottom"/>
            <w:hideMark/>
          </w:tcPr>
          <w:p w14:paraId="776BD572" w14:textId="77777777" w:rsidR="000F5BAD" w:rsidRPr="00720EF1" w:rsidRDefault="000F5BAD" w:rsidP="006A25C9">
            <w:pPr>
              <w:widowControl/>
              <w:jc w:val="right"/>
              <w:rPr>
                <w:kern w:val="0"/>
                <w:sz w:val="20"/>
              </w:rPr>
            </w:pPr>
            <w:r w:rsidRPr="00720EF1">
              <w:rPr>
                <w:kern w:val="0"/>
                <w:sz w:val="20"/>
              </w:rPr>
              <w:t>81.16</w:t>
            </w:r>
          </w:p>
        </w:tc>
        <w:tc>
          <w:tcPr>
            <w:tcW w:w="1197" w:type="dxa"/>
            <w:tcBorders>
              <w:top w:val="nil"/>
              <w:left w:val="nil"/>
              <w:bottom w:val="nil"/>
              <w:right w:val="nil"/>
            </w:tcBorders>
            <w:shd w:val="clear" w:color="auto" w:fill="auto"/>
            <w:noWrap/>
            <w:vAlign w:val="bottom"/>
            <w:hideMark/>
          </w:tcPr>
          <w:p w14:paraId="7EE86FF2" w14:textId="77777777" w:rsidR="000F5BAD" w:rsidRPr="00720EF1" w:rsidRDefault="000F5BAD" w:rsidP="006A25C9">
            <w:pPr>
              <w:widowControl/>
              <w:jc w:val="right"/>
              <w:rPr>
                <w:kern w:val="0"/>
                <w:sz w:val="20"/>
              </w:rPr>
            </w:pPr>
            <w:r w:rsidRPr="00720EF1">
              <w:rPr>
                <w:kern w:val="0"/>
                <w:sz w:val="20"/>
              </w:rPr>
              <w:t xml:space="preserve">      12.25 </w:t>
            </w:r>
          </w:p>
        </w:tc>
      </w:tr>
      <w:tr w:rsidR="000F5BAD" w:rsidRPr="00720EF1" w14:paraId="6DB77207" w14:textId="77777777" w:rsidTr="006A25C9">
        <w:trPr>
          <w:trHeight w:val="258"/>
        </w:trPr>
        <w:tc>
          <w:tcPr>
            <w:tcW w:w="2810" w:type="dxa"/>
            <w:tcBorders>
              <w:top w:val="nil"/>
              <w:left w:val="nil"/>
              <w:bottom w:val="nil"/>
              <w:right w:val="nil"/>
            </w:tcBorders>
            <w:shd w:val="clear" w:color="auto" w:fill="auto"/>
            <w:noWrap/>
            <w:vAlign w:val="bottom"/>
            <w:hideMark/>
          </w:tcPr>
          <w:p w14:paraId="59594479" w14:textId="77777777" w:rsidR="000F5BAD" w:rsidRPr="00720EF1" w:rsidRDefault="000F5BAD" w:rsidP="006A25C9">
            <w:pPr>
              <w:widowControl/>
              <w:jc w:val="left"/>
              <w:rPr>
                <w:kern w:val="0"/>
                <w:sz w:val="20"/>
              </w:rPr>
            </w:pPr>
            <w:r w:rsidRPr="00720EF1">
              <w:rPr>
                <w:kern w:val="0"/>
                <w:sz w:val="20"/>
              </w:rPr>
              <w:t>永赢医药健康</w:t>
            </w:r>
            <w:r w:rsidRPr="00720EF1">
              <w:rPr>
                <w:kern w:val="0"/>
                <w:sz w:val="20"/>
              </w:rPr>
              <w:t>A</w:t>
            </w:r>
          </w:p>
        </w:tc>
        <w:tc>
          <w:tcPr>
            <w:tcW w:w="766" w:type="dxa"/>
            <w:tcBorders>
              <w:top w:val="nil"/>
              <w:left w:val="nil"/>
              <w:bottom w:val="nil"/>
              <w:right w:val="nil"/>
            </w:tcBorders>
            <w:shd w:val="clear" w:color="auto" w:fill="auto"/>
            <w:noWrap/>
            <w:vAlign w:val="bottom"/>
            <w:hideMark/>
          </w:tcPr>
          <w:p w14:paraId="50A4CE4B"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5D8AE225" w14:textId="77777777" w:rsidR="000F5BAD" w:rsidRPr="00720EF1" w:rsidRDefault="000F5BAD" w:rsidP="006A25C9">
            <w:pPr>
              <w:widowControl/>
              <w:jc w:val="right"/>
              <w:rPr>
                <w:kern w:val="0"/>
                <w:sz w:val="20"/>
              </w:rPr>
            </w:pPr>
            <w:r w:rsidRPr="00720EF1">
              <w:rPr>
                <w:kern w:val="0"/>
                <w:sz w:val="20"/>
              </w:rPr>
              <w:t xml:space="preserve">8.08 </w:t>
            </w:r>
          </w:p>
        </w:tc>
        <w:tc>
          <w:tcPr>
            <w:tcW w:w="981" w:type="dxa"/>
            <w:tcBorders>
              <w:top w:val="nil"/>
              <w:left w:val="nil"/>
              <w:bottom w:val="nil"/>
              <w:right w:val="nil"/>
            </w:tcBorders>
            <w:shd w:val="clear" w:color="auto" w:fill="auto"/>
            <w:noWrap/>
            <w:vAlign w:val="bottom"/>
            <w:hideMark/>
          </w:tcPr>
          <w:p w14:paraId="3412898C" w14:textId="77777777" w:rsidR="000F5BAD" w:rsidRPr="00720EF1" w:rsidRDefault="000F5BAD" w:rsidP="006A25C9">
            <w:pPr>
              <w:widowControl/>
              <w:jc w:val="right"/>
              <w:rPr>
                <w:kern w:val="0"/>
                <w:sz w:val="20"/>
              </w:rPr>
            </w:pPr>
            <w:r w:rsidRPr="00720EF1">
              <w:rPr>
                <w:kern w:val="0"/>
                <w:sz w:val="20"/>
              </w:rPr>
              <w:t>58.37</w:t>
            </w:r>
          </w:p>
        </w:tc>
        <w:tc>
          <w:tcPr>
            <w:tcW w:w="962" w:type="dxa"/>
            <w:tcBorders>
              <w:top w:val="nil"/>
              <w:left w:val="nil"/>
              <w:bottom w:val="nil"/>
              <w:right w:val="nil"/>
            </w:tcBorders>
            <w:shd w:val="clear" w:color="auto" w:fill="auto"/>
            <w:noWrap/>
            <w:vAlign w:val="bottom"/>
            <w:hideMark/>
          </w:tcPr>
          <w:p w14:paraId="46338D1C" w14:textId="77777777" w:rsidR="000F5BAD" w:rsidRPr="00720EF1" w:rsidRDefault="000F5BAD" w:rsidP="006A25C9">
            <w:pPr>
              <w:widowControl/>
              <w:jc w:val="right"/>
              <w:rPr>
                <w:kern w:val="0"/>
                <w:sz w:val="20"/>
              </w:rPr>
            </w:pPr>
            <w:r w:rsidRPr="00720EF1">
              <w:rPr>
                <w:kern w:val="0"/>
                <w:sz w:val="20"/>
              </w:rPr>
              <w:t>77.91</w:t>
            </w:r>
          </w:p>
        </w:tc>
        <w:tc>
          <w:tcPr>
            <w:tcW w:w="962" w:type="dxa"/>
            <w:tcBorders>
              <w:top w:val="nil"/>
              <w:left w:val="nil"/>
              <w:bottom w:val="nil"/>
              <w:right w:val="nil"/>
            </w:tcBorders>
            <w:shd w:val="clear" w:color="auto" w:fill="auto"/>
            <w:noWrap/>
            <w:vAlign w:val="bottom"/>
            <w:hideMark/>
          </w:tcPr>
          <w:p w14:paraId="42B94F6D" w14:textId="77777777" w:rsidR="000F5BAD" w:rsidRPr="00720EF1" w:rsidRDefault="000F5BAD" w:rsidP="006A25C9">
            <w:pPr>
              <w:widowControl/>
              <w:jc w:val="right"/>
              <w:rPr>
                <w:kern w:val="0"/>
                <w:sz w:val="20"/>
              </w:rPr>
            </w:pPr>
            <w:r w:rsidRPr="00720EF1">
              <w:rPr>
                <w:kern w:val="0"/>
                <w:sz w:val="20"/>
              </w:rPr>
              <w:t>79.67</w:t>
            </w:r>
          </w:p>
        </w:tc>
        <w:tc>
          <w:tcPr>
            <w:tcW w:w="1197" w:type="dxa"/>
            <w:tcBorders>
              <w:top w:val="nil"/>
              <w:left w:val="nil"/>
              <w:bottom w:val="nil"/>
              <w:right w:val="nil"/>
            </w:tcBorders>
            <w:shd w:val="clear" w:color="auto" w:fill="auto"/>
            <w:noWrap/>
            <w:vAlign w:val="bottom"/>
            <w:hideMark/>
          </w:tcPr>
          <w:p w14:paraId="5A28E3C9" w14:textId="77777777" w:rsidR="000F5BAD" w:rsidRPr="00720EF1" w:rsidRDefault="000F5BAD" w:rsidP="006A25C9">
            <w:pPr>
              <w:widowControl/>
              <w:jc w:val="right"/>
              <w:rPr>
                <w:kern w:val="0"/>
                <w:sz w:val="20"/>
              </w:rPr>
            </w:pPr>
            <w:r w:rsidRPr="00720EF1">
              <w:rPr>
                <w:kern w:val="0"/>
                <w:sz w:val="20"/>
              </w:rPr>
              <w:t xml:space="preserve">      14.73 </w:t>
            </w:r>
          </w:p>
        </w:tc>
      </w:tr>
      <w:tr w:rsidR="000F5BAD" w:rsidRPr="00720EF1" w14:paraId="79E08612" w14:textId="77777777" w:rsidTr="006A25C9">
        <w:trPr>
          <w:trHeight w:val="258"/>
        </w:trPr>
        <w:tc>
          <w:tcPr>
            <w:tcW w:w="2810" w:type="dxa"/>
            <w:tcBorders>
              <w:top w:val="nil"/>
              <w:left w:val="nil"/>
              <w:bottom w:val="nil"/>
              <w:right w:val="nil"/>
            </w:tcBorders>
            <w:shd w:val="clear" w:color="auto" w:fill="auto"/>
            <w:noWrap/>
            <w:vAlign w:val="bottom"/>
            <w:hideMark/>
          </w:tcPr>
          <w:p w14:paraId="319E78D8" w14:textId="77777777" w:rsidR="000F5BAD" w:rsidRPr="00720EF1" w:rsidRDefault="000F5BAD" w:rsidP="006A25C9">
            <w:pPr>
              <w:widowControl/>
              <w:jc w:val="left"/>
              <w:rPr>
                <w:kern w:val="0"/>
                <w:sz w:val="20"/>
              </w:rPr>
            </w:pPr>
            <w:r w:rsidRPr="00720EF1">
              <w:rPr>
                <w:kern w:val="0"/>
                <w:sz w:val="20"/>
              </w:rPr>
              <w:t>大成科技消费</w:t>
            </w:r>
            <w:r w:rsidRPr="00720EF1">
              <w:rPr>
                <w:kern w:val="0"/>
                <w:sz w:val="20"/>
              </w:rPr>
              <w:t>C</w:t>
            </w:r>
          </w:p>
        </w:tc>
        <w:tc>
          <w:tcPr>
            <w:tcW w:w="766" w:type="dxa"/>
            <w:tcBorders>
              <w:top w:val="nil"/>
              <w:left w:val="nil"/>
              <w:bottom w:val="nil"/>
              <w:right w:val="nil"/>
            </w:tcBorders>
            <w:shd w:val="clear" w:color="auto" w:fill="auto"/>
            <w:noWrap/>
            <w:vAlign w:val="bottom"/>
            <w:hideMark/>
          </w:tcPr>
          <w:p w14:paraId="278ECB84"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2C2240A6" w14:textId="77777777" w:rsidR="000F5BAD" w:rsidRPr="00720EF1" w:rsidRDefault="000F5BAD" w:rsidP="006A25C9">
            <w:pPr>
              <w:widowControl/>
              <w:jc w:val="right"/>
              <w:rPr>
                <w:kern w:val="0"/>
                <w:sz w:val="20"/>
              </w:rPr>
            </w:pPr>
            <w:r w:rsidRPr="00720EF1">
              <w:rPr>
                <w:kern w:val="0"/>
                <w:sz w:val="20"/>
              </w:rPr>
              <w:t xml:space="preserve">5.75 </w:t>
            </w:r>
          </w:p>
        </w:tc>
        <w:tc>
          <w:tcPr>
            <w:tcW w:w="981" w:type="dxa"/>
            <w:tcBorders>
              <w:top w:val="nil"/>
              <w:left w:val="nil"/>
              <w:bottom w:val="nil"/>
              <w:right w:val="nil"/>
            </w:tcBorders>
            <w:shd w:val="clear" w:color="auto" w:fill="auto"/>
            <w:noWrap/>
            <w:vAlign w:val="bottom"/>
            <w:hideMark/>
          </w:tcPr>
          <w:p w14:paraId="3916F4E6" w14:textId="77777777" w:rsidR="000F5BAD" w:rsidRPr="00720EF1" w:rsidRDefault="000F5BAD" w:rsidP="006A25C9">
            <w:pPr>
              <w:widowControl/>
              <w:jc w:val="right"/>
              <w:rPr>
                <w:kern w:val="0"/>
                <w:sz w:val="20"/>
              </w:rPr>
            </w:pPr>
            <w:r w:rsidRPr="00720EF1">
              <w:rPr>
                <w:kern w:val="0"/>
                <w:sz w:val="20"/>
              </w:rPr>
              <w:t>61.71</w:t>
            </w:r>
          </w:p>
        </w:tc>
        <w:tc>
          <w:tcPr>
            <w:tcW w:w="962" w:type="dxa"/>
            <w:tcBorders>
              <w:top w:val="nil"/>
              <w:left w:val="nil"/>
              <w:bottom w:val="nil"/>
              <w:right w:val="nil"/>
            </w:tcBorders>
            <w:shd w:val="clear" w:color="auto" w:fill="auto"/>
            <w:noWrap/>
            <w:vAlign w:val="bottom"/>
            <w:hideMark/>
          </w:tcPr>
          <w:p w14:paraId="40BDF82B" w14:textId="77777777" w:rsidR="000F5BAD" w:rsidRPr="00720EF1" w:rsidRDefault="000F5BAD" w:rsidP="006A25C9">
            <w:pPr>
              <w:widowControl/>
              <w:jc w:val="right"/>
              <w:rPr>
                <w:kern w:val="0"/>
                <w:sz w:val="20"/>
              </w:rPr>
            </w:pPr>
            <w:r w:rsidRPr="00720EF1">
              <w:rPr>
                <w:kern w:val="0"/>
                <w:sz w:val="20"/>
              </w:rPr>
              <w:t>77.03</w:t>
            </w:r>
          </w:p>
        </w:tc>
        <w:tc>
          <w:tcPr>
            <w:tcW w:w="962" w:type="dxa"/>
            <w:tcBorders>
              <w:top w:val="nil"/>
              <w:left w:val="nil"/>
              <w:bottom w:val="nil"/>
              <w:right w:val="nil"/>
            </w:tcBorders>
            <w:shd w:val="clear" w:color="auto" w:fill="auto"/>
            <w:noWrap/>
            <w:vAlign w:val="bottom"/>
            <w:hideMark/>
          </w:tcPr>
          <w:p w14:paraId="52E65094" w14:textId="77777777" w:rsidR="000F5BAD" w:rsidRPr="00720EF1" w:rsidRDefault="000F5BAD" w:rsidP="006A25C9">
            <w:pPr>
              <w:widowControl/>
              <w:jc w:val="right"/>
              <w:rPr>
                <w:kern w:val="0"/>
                <w:sz w:val="20"/>
              </w:rPr>
            </w:pPr>
            <w:r w:rsidRPr="00720EF1">
              <w:rPr>
                <w:kern w:val="0"/>
                <w:sz w:val="20"/>
              </w:rPr>
              <w:t>82.03</w:t>
            </w:r>
          </w:p>
        </w:tc>
        <w:tc>
          <w:tcPr>
            <w:tcW w:w="1197" w:type="dxa"/>
            <w:tcBorders>
              <w:top w:val="nil"/>
              <w:left w:val="nil"/>
              <w:bottom w:val="nil"/>
              <w:right w:val="nil"/>
            </w:tcBorders>
            <w:shd w:val="clear" w:color="auto" w:fill="auto"/>
            <w:noWrap/>
            <w:vAlign w:val="bottom"/>
            <w:hideMark/>
          </w:tcPr>
          <w:p w14:paraId="68AE1821" w14:textId="77777777" w:rsidR="000F5BAD" w:rsidRPr="00720EF1" w:rsidRDefault="000F5BAD" w:rsidP="006A25C9">
            <w:pPr>
              <w:widowControl/>
              <w:jc w:val="right"/>
              <w:rPr>
                <w:kern w:val="0"/>
                <w:sz w:val="20"/>
              </w:rPr>
            </w:pPr>
            <w:r w:rsidRPr="00720EF1">
              <w:rPr>
                <w:kern w:val="0"/>
                <w:sz w:val="20"/>
              </w:rPr>
              <w:t xml:space="preserve">        7.59 </w:t>
            </w:r>
          </w:p>
        </w:tc>
      </w:tr>
      <w:tr w:rsidR="000F5BAD" w:rsidRPr="00720EF1" w14:paraId="60CD06A4" w14:textId="77777777" w:rsidTr="006A25C9">
        <w:trPr>
          <w:trHeight w:val="258"/>
        </w:trPr>
        <w:tc>
          <w:tcPr>
            <w:tcW w:w="2810" w:type="dxa"/>
            <w:tcBorders>
              <w:top w:val="nil"/>
              <w:left w:val="nil"/>
              <w:bottom w:val="nil"/>
              <w:right w:val="nil"/>
            </w:tcBorders>
            <w:shd w:val="clear" w:color="auto" w:fill="auto"/>
            <w:noWrap/>
            <w:vAlign w:val="bottom"/>
            <w:hideMark/>
          </w:tcPr>
          <w:p w14:paraId="358469CF" w14:textId="77777777" w:rsidR="000F5BAD" w:rsidRPr="00720EF1" w:rsidRDefault="000F5BAD" w:rsidP="006A25C9">
            <w:pPr>
              <w:widowControl/>
              <w:jc w:val="left"/>
              <w:rPr>
                <w:kern w:val="0"/>
                <w:sz w:val="20"/>
              </w:rPr>
            </w:pPr>
            <w:r w:rsidRPr="00720EF1">
              <w:rPr>
                <w:kern w:val="0"/>
                <w:sz w:val="20"/>
              </w:rPr>
              <w:t>嘉实基础产业优选</w:t>
            </w:r>
            <w:r w:rsidRPr="00720EF1">
              <w:rPr>
                <w:kern w:val="0"/>
                <w:sz w:val="20"/>
              </w:rPr>
              <w:t>A</w:t>
            </w:r>
          </w:p>
        </w:tc>
        <w:tc>
          <w:tcPr>
            <w:tcW w:w="766" w:type="dxa"/>
            <w:tcBorders>
              <w:top w:val="nil"/>
              <w:left w:val="nil"/>
              <w:bottom w:val="nil"/>
              <w:right w:val="nil"/>
            </w:tcBorders>
            <w:shd w:val="clear" w:color="auto" w:fill="auto"/>
            <w:noWrap/>
            <w:vAlign w:val="bottom"/>
            <w:hideMark/>
          </w:tcPr>
          <w:p w14:paraId="33DBFB0C"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193AD4D4" w14:textId="77777777" w:rsidR="000F5BAD" w:rsidRPr="00720EF1" w:rsidRDefault="000F5BAD" w:rsidP="006A25C9">
            <w:pPr>
              <w:widowControl/>
              <w:jc w:val="right"/>
              <w:rPr>
                <w:kern w:val="0"/>
                <w:sz w:val="20"/>
              </w:rPr>
            </w:pPr>
            <w:r w:rsidRPr="00720EF1">
              <w:rPr>
                <w:kern w:val="0"/>
                <w:sz w:val="20"/>
              </w:rPr>
              <w:t xml:space="preserve">6.89 </w:t>
            </w:r>
          </w:p>
        </w:tc>
        <w:tc>
          <w:tcPr>
            <w:tcW w:w="981" w:type="dxa"/>
            <w:tcBorders>
              <w:top w:val="nil"/>
              <w:left w:val="nil"/>
              <w:bottom w:val="nil"/>
              <w:right w:val="nil"/>
            </w:tcBorders>
            <w:shd w:val="clear" w:color="auto" w:fill="auto"/>
            <w:noWrap/>
            <w:vAlign w:val="bottom"/>
            <w:hideMark/>
          </w:tcPr>
          <w:p w14:paraId="010377DA" w14:textId="77777777" w:rsidR="000F5BAD" w:rsidRPr="00720EF1" w:rsidRDefault="000F5BAD" w:rsidP="006A25C9">
            <w:pPr>
              <w:widowControl/>
              <w:jc w:val="right"/>
              <w:rPr>
                <w:kern w:val="0"/>
                <w:sz w:val="20"/>
              </w:rPr>
            </w:pPr>
            <w:r w:rsidRPr="00720EF1">
              <w:rPr>
                <w:kern w:val="0"/>
                <w:sz w:val="20"/>
              </w:rPr>
              <w:t>64.07</w:t>
            </w:r>
          </w:p>
        </w:tc>
        <w:tc>
          <w:tcPr>
            <w:tcW w:w="962" w:type="dxa"/>
            <w:tcBorders>
              <w:top w:val="nil"/>
              <w:left w:val="nil"/>
              <w:bottom w:val="nil"/>
              <w:right w:val="nil"/>
            </w:tcBorders>
            <w:shd w:val="clear" w:color="auto" w:fill="auto"/>
            <w:noWrap/>
            <w:vAlign w:val="bottom"/>
            <w:hideMark/>
          </w:tcPr>
          <w:p w14:paraId="7D198776" w14:textId="77777777" w:rsidR="000F5BAD" w:rsidRPr="00720EF1" w:rsidRDefault="000F5BAD" w:rsidP="006A25C9">
            <w:pPr>
              <w:widowControl/>
              <w:jc w:val="right"/>
              <w:rPr>
                <w:kern w:val="0"/>
                <w:sz w:val="20"/>
              </w:rPr>
            </w:pPr>
            <w:r w:rsidRPr="00720EF1">
              <w:rPr>
                <w:kern w:val="0"/>
                <w:sz w:val="20"/>
              </w:rPr>
              <w:t>74.79</w:t>
            </w:r>
          </w:p>
        </w:tc>
        <w:tc>
          <w:tcPr>
            <w:tcW w:w="962" w:type="dxa"/>
            <w:tcBorders>
              <w:top w:val="nil"/>
              <w:left w:val="nil"/>
              <w:bottom w:val="nil"/>
              <w:right w:val="nil"/>
            </w:tcBorders>
            <w:shd w:val="clear" w:color="auto" w:fill="auto"/>
            <w:noWrap/>
            <w:vAlign w:val="bottom"/>
            <w:hideMark/>
          </w:tcPr>
          <w:p w14:paraId="576EAC95" w14:textId="77777777" w:rsidR="000F5BAD" w:rsidRPr="00720EF1" w:rsidRDefault="000F5BAD" w:rsidP="006A25C9">
            <w:pPr>
              <w:widowControl/>
              <w:jc w:val="right"/>
              <w:rPr>
                <w:kern w:val="0"/>
                <w:sz w:val="20"/>
              </w:rPr>
            </w:pPr>
            <w:r w:rsidRPr="00720EF1">
              <w:rPr>
                <w:kern w:val="0"/>
                <w:sz w:val="20"/>
              </w:rPr>
              <w:t>80.44</w:t>
            </w:r>
          </w:p>
        </w:tc>
        <w:tc>
          <w:tcPr>
            <w:tcW w:w="1197" w:type="dxa"/>
            <w:tcBorders>
              <w:top w:val="nil"/>
              <w:left w:val="nil"/>
              <w:bottom w:val="nil"/>
              <w:right w:val="nil"/>
            </w:tcBorders>
            <w:shd w:val="clear" w:color="auto" w:fill="auto"/>
            <w:noWrap/>
            <w:vAlign w:val="bottom"/>
            <w:hideMark/>
          </w:tcPr>
          <w:p w14:paraId="4BDFB91A" w14:textId="77777777" w:rsidR="000F5BAD" w:rsidRPr="00720EF1" w:rsidRDefault="000F5BAD" w:rsidP="006A25C9">
            <w:pPr>
              <w:widowControl/>
              <w:jc w:val="right"/>
              <w:rPr>
                <w:kern w:val="0"/>
                <w:sz w:val="20"/>
              </w:rPr>
            </w:pPr>
            <w:r w:rsidRPr="00720EF1">
              <w:rPr>
                <w:kern w:val="0"/>
                <w:sz w:val="20"/>
              </w:rPr>
              <w:t xml:space="preserve">      15.74 </w:t>
            </w:r>
          </w:p>
        </w:tc>
      </w:tr>
      <w:tr w:rsidR="000F5BAD" w:rsidRPr="00720EF1" w14:paraId="409D54B2" w14:textId="77777777" w:rsidTr="006A25C9">
        <w:trPr>
          <w:trHeight w:val="258"/>
        </w:trPr>
        <w:tc>
          <w:tcPr>
            <w:tcW w:w="2810" w:type="dxa"/>
            <w:tcBorders>
              <w:top w:val="nil"/>
              <w:left w:val="nil"/>
              <w:bottom w:val="nil"/>
              <w:right w:val="nil"/>
            </w:tcBorders>
            <w:shd w:val="clear" w:color="auto" w:fill="auto"/>
            <w:noWrap/>
            <w:vAlign w:val="bottom"/>
            <w:hideMark/>
          </w:tcPr>
          <w:p w14:paraId="3484A682" w14:textId="77777777" w:rsidR="000F5BAD" w:rsidRPr="00720EF1" w:rsidRDefault="000F5BAD" w:rsidP="006A25C9">
            <w:pPr>
              <w:widowControl/>
              <w:jc w:val="left"/>
              <w:rPr>
                <w:kern w:val="0"/>
                <w:sz w:val="20"/>
              </w:rPr>
            </w:pPr>
            <w:r w:rsidRPr="00720EF1">
              <w:rPr>
                <w:kern w:val="0"/>
                <w:sz w:val="20"/>
              </w:rPr>
              <w:t>易方达均衡成长</w:t>
            </w:r>
          </w:p>
        </w:tc>
        <w:tc>
          <w:tcPr>
            <w:tcW w:w="766" w:type="dxa"/>
            <w:tcBorders>
              <w:top w:val="nil"/>
              <w:left w:val="nil"/>
              <w:bottom w:val="nil"/>
              <w:right w:val="nil"/>
            </w:tcBorders>
            <w:shd w:val="clear" w:color="auto" w:fill="auto"/>
            <w:noWrap/>
            <w:vAlign w:val="bottom"/>
            <w:hideMark/>
          </w:tcPr>
          <w:p w14:paraId="5FF49667"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453ACAB4" w14:textId="77777777" w:rsidR="000F5BAD" w:rsidRPr="00720EF1" w:rsidRDefault="000F5BAD" w:rsidP="006A25C9">
            <w:pPr>
              <w:widowControl/>
              <w:jc w:val="right"/>
              <w:rPr>
                <w:kern w:val="0"/>
                <w:sz w:val="20"/>
              </w:rPr>
            </w:pPr>
            <w:r w:rsidRPr="00720EF1">
              <w:rPr>
                <w:kern w:val="0"/>
                <w:sz w:val="20"/>
              </w:rPr>
              <w:t xml:space="preserve">7.19 </w:t>
            </w:r>
          </w:p>
        </w:tc>
        <w:tc>
          <w:tcPr>
            <w:tcW w:w="981" w:type="dxa"/>
            <w:tcBorders>
              <w:top w:val="nil"/>
              <w:left w:val="nil"/>
              <w:bottom w:val="nil"/>
              <w:right w:val="nil"/>
            </w:tcBorders>
            <w:shd w:val="clear" w:color="auto" w:fill="auto"/>
            <w:noWrap/>
            <w:vAlign w:val="bottom"/>
            <w:hideMark/>
          </w:tcPr>
          <w:p w14:paraId="7B7F3AB2" w14:textId="77777777" w:rsidR="000F5BAD" w:rsidRPr="00720EF1" w:rsidRDefault="000F5BAD" w:rsidP="006A25C9">
            <w:pPr>
              <w:widowControl/>
              <w:jc w:val="right"/>
              <w:rPr>
                <w:kern w:val="0"/>
                <w:sz w:val="20"/>
              </w:rPr>
            </w:pPr>
            <w:r w:rsidRPr="00720EF1">
              <w:rPr>
                <w:kern w:val="0"/>
                <w:sz w:val="20"/>
              </w:rPr>
              <w:t>63.18</w:t>
            </w:r>
          </w:p>
        </w:tc>
        <w:tc>
          <w:tcPr>
            <w:tcW w:w="962" w:type="dxa"/>
            <w:tcBorders>
              <w:top w:val="nil"/>
              <w:left w:val="nil"/>
              <w:bottom w:val="nil"/>
              <w:right w:val="nil"/>
            </w:tcBorders>
            <w:shd w:val="clear" w:color="auto" w:fill="auto"/>
            <w:noWrap/>
            <w:vAlign w:val="bottom"/>
            <w:hideMark/>
          </w:tcPr>
          <w:p w14:paraId="5AFBC0AA" w14:textId="77777777" w:rsidR="000F5BAD" w:rsidRPr="00720EF1" w:rsidRDefault="000F5BAD" w:rsidP="006A25C9">
            <w:pPr>
              <w:widowControl/>
              <w:jc w:val="right"/>
              <w:rPr>
                <w:kern w:val="0"/>
                <w:sz w:val="20"/>
              </w:rPr>
            </w:pPr>
            <w:r w:rsidRPr="00720EF1">
              <w:rPr>
                <w:kern w:val="0"/>
                <w:sz w:val="20"/>
              </w:rPr>
              <w:t>75.52</w:t>
            </w:r>
          </w:p>
        </w:tc>
        <w:tc>
          <w:tcPr>
            <w:tcW w:w="962" w:type="dxa"/>
            <w:tcBorders>
              <w:top w:val="nil"/>
              <w:left w:val="nil"/>
              <w:bottom w:val="nil"/>
              <w:right w:val="nil"/>
            </w:tcBorders>
            <w:shd w:val="clear" w:color="auto" w:fill="auto"/>
            <w:noWrap/>
            <w:vAlign w:val="bottom"/>
            <w:hideMark/>
          </w:tcPr>
          <w:p w14:paraId="071B194C" w14:textId="77777777" w:rsidR="000F5BAD" w:rsidRPr="00720EF1" w:rsidRDefault="000F5BAD" w:rsidP="006A25C9">
            <w:pPr>
              <w:widowControl/>
              <w:jc w:val="right"/>
              <w:rPr>
                <w:kern w:val="0"/>
                <w:sz w:val="20"/>
              </w:rPr>
            </w:pPr>
            <w:r w:rsidRPr="00720EF1">
              <w:rPr>
                <w:kern w:val="0"/>
                <w:sz w:val="20"/>
              </w:rPr>
              <w:t>81.03</w:t>
            </w:r>
          </w:p>
        </w:tc>
        <w:tc>
          <w:tcPr>
            <w:tcW w:w="1197" w:type="dxa"/>
            <w:tcBorders>
              <w:top w:val="nil"/>
              <w:left w:val="nil"/>
              <w:bottom w:val="nil"/>
              <w:right w:val="nil"/>
            </w:tcBorders>
            <w:shd w:val="clear" w:color="auto" w:fill="auto"/>
            <w:noWrap/>
            <w:vAlign w:val="bottom"/>
            <w:hideMark/>
          </w:tcPr>
          <w:p w14:paraId="35A61C6D" w14:textId="77777777" w:rsidR="000F5BAD" w:rsidRPr="00720EF1" w:rsidRDefault="000F5BAD" w:rsidP="006A25C9">
            <w:pPr>
              <w:widowControl/>
              <w:jc w:val="right"/>
              <w:rPr>
                <w:kern w:val="0"/>
                <w:sz w:val="20"/>
              </w:rPr>
            </w:pPr>
            <w:r w:rsidRPr="00720EF1">
              <w:rPr>
                <w:kern w:val="0"/>
                <w:sz w:val="20"/>
              </w:rPr>
              <w:t xml:space="preserve">      21.76 </w:t>
            </w:r>
          </w:p>
        </w:tc>
      </w:tr>
      <w:tr w:rsidR="000F5BAD" w:rsidRPr="00720EF1" w14:paraId="71E057AA" w14:textId="77777777" w:rsidTr="006A25C9">
        <w:trPr>
          <w:trHeight w:val="258"/>
        </w:trPr>
        <w:tc>
          <w:tcPr>
            <w:tcW w:w="2810" w:type="dxa"/>
            <w:tcBorders>
              <w:top w:val="nil"/>
              <w:left w:val="nil"/>
              <w:bottom w:val="nil"/>
              <w:right w:val="nil"/>
            </w:tcBorders>
            <w:shd w:val="clear" w:color="auto" w:fill="auto"/>
            <w:noWrap/>
            <w:vAlign w:val="bottom"/>
            <w:hideMark/>
          </w:tcPr>
          <w:p w14:paraId="6EC6F4FF" w14:textId="77777777" w:rsidR="000F5BAD" w:rsidRPr="00720EF1" w:rsidRDefault="000F5BAD" w:rsidP="006A25C9">
            <w:pPr>
              <w:widowControl/>
              <w:jc w:val="left"/>
              <w:rPr>
                <w:kern w:val="0"/>
                <w:sz w:val="20"/>
              </w:rPr>
            </w:pPr>
            <w:r w:rsidRPr="00720EF1">
              <w:rPr>
                <w:kern w:val="0"/>
                <w:sz w:val="20"/>
              </w:rPr>
              <w:t>中银大健康</w:t>
            </w:r>
            <w:r w:rsidRPr="00720EF1">
              <w:rPr>
                <w:kern w:val="0"/>
                <w:sz w:val="20"/>
              </w:rPr>
              <w:t>A</w:t>
            </w:r>
          </w:p>
        </w:tc>
        <w:tc>
          <w:tcPr>
            <w:tcW w:w="766" w:type="dxa"/>
            <w:tcBorders>
              <w:top w:val="nil"/>
              <w:left w:val="nil"/>
              <w:bottom w:val="nil"/>
              <w:right w:val="nil"/>
            </w:tcBorders>
            <w:shd w:val="clear" w:color="auto" w:fill="auto"/>
            <w:noWrap/>
            <w:vAlign w:val="bottom"/>
            <w:hideMark/>
          </w:tcPr>
          <w:p w14:paraId="61B1CDA6"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7D2B529C" w14:textId="77777777" w:rsidR="000F5BAD" w:rsidRPr="00720EF1" w:rsidRDefault="000F5BAD" w:rsidP="006A25C9">
            <w:pPr>
              <w:widowControl/>
              <w:jc w:val="right"/>
              <w:rPr>
                <w:kern w:val="0"/>
                <w:sz w:val="20"/>
              </w:rPr>
            </w:pPr>
            <w:r w:rsidRPr="00720EF1">
              <w:rPr>
                <w:kern w:val="0"/>
                <w:sz w:val="20"/>
              </w:rPr>
              <w:t xml:space="preserve">5.65 </w:t>
            </w:r>
          </w:p>
        </w:tc>
        <w:tc>
          <w:tcPr>
            <w:tcW w:w="981" w:type="dxa"/>
            <w:tcBorders>
              <w:top w:val="nil"/>
              <w:left w:val="nil"/>
              <w:bottom w:val="nil"/>
              <w:right w:val="nil"/>
            </w:tcBorders>
            <w:shd w:val="clear" w:color="auto" w:fill="auto"/>
            <w:noWrap/>
            <w:vAlign w:val="bottom"/>
            <w:hideMark/>
          </w:tcPr>
          <w:p w14:paraId="020D2DCD" w14:textId="77777777" w:rsidR="000F5BAD" w:rsidRPr="00720EF1" w:rsidRDefault="000F5BAD" w:rsidP="006A25C9">
            <w:pPr>
              <w:widowControl/>
              <w:jc w:val="right"/>
              <w:rPr>
                <w:kern w:val="0"/>
                <w:sz w:val="20"/>
              </w:rPr>
            </w:pPr>
            <w:r w:rsidRPr="00720EF1">
              <w:rPr>
                <w:kern w:val="0"/>
                <w:sz w:val="20"/>
              </w:rPr>
              <w:t>60.35</w:t>
            </w:r>
          </w:p>
        </w:tc>
        <w:tc>
          <w:tcPr>
            <w:tcW w:w="962" w:type="dxa"/>
            <w:tcBorders>
              <w:top w:val="nil"/>
              <w:left w:val="nil"/>
              <w:bottom w:val="nil"/>
              <w:right w:val="nil"/>
            </w:tcBorders>
            <w:shd w:val="clear" w:color="auto" w:fill="auto"/>
            <w:noWrap/>
            <w:vAlign w:val="bottom"/>
            <w:hideMark/>
          </w:tcPr>
          <w:p w14:paraId="4EA2C027" w14:textId="77777777" w:rsidR="000F5BAD" w:rsidRPr="00720EF1" w:rsidRDefault="000F5BAD" w:rsidP="006A25C9">
            <w:pPr>
              <w:widowControl/>
              <w:jc w:val="right"/>
              <w:rPr>
                <w:kern w:val="0"/>
                <w:sz w:val="20"/>
              </w:rPr>
            </w:pPr>
            <w:r w:rsidRPr="00720EF1">
              <w:rPr>
                <w:kern w:val="0"/>
                <w:sz w:val="20"/>
              </w:rPr>
              <w:t>76.94</w:t>
            </w:r>
          </w:p>
        </w:tc>
        <w:tc>
          <w:tcPr>
            <w:tcW w:w="962" w:type="dxa"/>
            <w:tcBorders>
              <w:top w:val="nil"/>
              <w:left w:val="nil"/>
              <w:bottom w:val="nil"/>
              <w:right w:val="nil"/>
            </w:tcBorders>
            <w:shd w:val="clear" w:color="auto" w:fill="auto"/>
            <w:noWrap/>
            <w:vAlign w:val="bottom"/>
            <w:hideMark/>
          </w:tcPr>
          <w:p w14:paraId="54B2783A" w14:textId="77777777" w:rsidR="000F5BAD" w:rsidRPr="00720EF1" w:rsidRDefault="000F5BAD" w:rsidP="006A25C9">
            <w:pPr>
              <w:widowControl/>
              <w:jc w:val="right"/>
              <w:rPr>
                <w:kern w:val="0"/>
                <w:sz w:val="20"/>
              </w:rPr>
            </w:pPr>
            <w:r w:rsidRPr="00720EF1">
              <w:rPr>
                <w:kern w:val="0"/>
                <w:sz w:val="20"/>
              </w:rPr>
              <w:t>81.32</w:t>
            </w:r>
          </w:p>
        </w:tc>
        <w:tc>
          <w:tcPr>
            <w:tcW w:w="1197" w:type="dxa"/>
            <w:tcBorders>
              <w:top w:val="nil"/>
              <w:left w:val="nil"/>
              <w:bottom w:val="nil"/>
              <w:right w:val="nil"/>
            </w:tcBorders>
            <w:shd w:val="clear" w:color="auto" w:fill="auto"/>
            <w:noWrap/>
            <w:vAlign w:val="bottom"/>
            <w:hideMark/>
          </w:tcPr>
          <w:p w14:paraId="5DBB34AA" w14:textId="77777777" w:rsidR="000F5BAD" w:rsidRPr="00720EF1" w:rsidRDefault="000F5BAD" w:rsidP="006A25C9">
            <w:pPr>
              <w:widowControl/>
              <w:jc w:val="right"/>
              <w:rPr>
                <w:kern w:val="0"/>
                <w:sz w:val="20"/>
              </w:rPr>
            </w:pPr>
            <w:r w:rsidRPr="00720EF1">
              <w:rPr>
                <w:kern w:val="0"/>
                <w:sz w:val="20"/>
              </w:rPr>
              <w:t xml:space="preserve">        8.26 </w:t>
            </w:r>
          </w:p>
        </w:tc>
      </w:tr>
      <w:tr w:rsidR="000F5BAD" w:rsidRPr="00720EF1" w14:paraId="47A1856D" w14:textId="77777777" w:rsidTr="006A25C9">
        <w:trPr>
          <w:trHeight w:val="258"/>
        </w:trPr>
        <w:tc>
          <w:tcPr>
            <w:tcW w:w="2810" w:type="dxa"/>
            <w:tcBorders>
              <w:top w:val="nil"/>
              <w:left w:val="nil"/>
              <w:bottom w:val="nil"/>
              <w:right w:val="nil"/>
            </w:tcBorders>
            <w:shd w:val="clear" w:color="auto" w:fill="auto"/>
            <w:noWrap/>
            <w:vAlign w:val="bottom"/>
            <w:hideMark/>
          </w:tcPr>
          <w:p w14:paraId="469002E7" w14:textId="77777777" w:rsidR="000F5BAD" w:rsidRPr="00720EF1" w:rsidRDefault="000F5BAD" w:rsidP="006A25C9">
            <w:pPr>
              <w:widowControl/>
              <w:jc w:val="left"/>
              <w:rPr>
                <w:kern w:val="0"/>
                <w:sz w:val="20"/>
              </w:rPr>
            </w:pPr>
            <w:r w:rsidRPr="00720EF1">
              <w:rPr>
                <w:kern w:val="0"/>
                <w:sz w:val="20"/>
              </w:rPr>
              <w:t>建信食品饮料行业</w:t>
            </w:r>
            <w:r w:rsidRPr="00720EF1">
              <w:rPr>
                <w:kern w:val="0"/>
                <w:sz w:val="20"/>
              </w:rPr>
              <w:t>A</w:t>
            </w:r>
          </w:p>
        </w:tc>
        <w:tc>
          <w:tcPr>
            <w:tcW w:w="766" w:type="dxa"/>
            <w:tcBorders>
              <w:top w:val="nil"/>
              <w:left w:val="nil"/>
              <w:bottom w:val="nil"/>
              <w:right w:val="nil"/>
            </w:tcBorders>
            <w:shd w:val="clear" w:color="auto" w:fill="auto"/>
            <w:noWrap/>
            <w:vAlign w:val="bottom"/>
            <w:hideMark/>
          </w:tcPr>
          <w:p w14:paraId="1DCC325C"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3DB4B01D"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57D52751" w14:textId="77777777" w:rsidR="000F5BAD" w:rsidRPr="00720EF1" w:rsidRDefault="000F5BAD" w:rsidP="006A25C9">
            <w:pPr>
              <w:widowControl/>
              <w:jc w:val="right"/>
              <w:rPr>
                <w:kern w:val="0"/>
                <w:sz w:val="20"/>
              </w:rPr>
            </w:pPr>
            <w:r w:rsidRPr="00720EF1">
              <w:rPr>
                <w:kern w:val="0"/>
                <w:sz w:val="20"/>
              </w:rPr>
              <w:t>62.31</w:t>
            </w:r>
          </w:p>
        </w:tc>
        <w:tc>
          <w:tcPr>
            <w:tcW w:w="962" w:type="dxa"/>
            <w:tcBorders>
              <w:top w:val="nil"/>
              <w:left w:val="nil"/>
              <w:bottom w:val="nil"/>
              <w:right w:val="nil"/>
            </w:tcBorders>
            <w:shd w:val="clear" w:color="auto" w:fill="auto"/>
            <w:noWrap/>
            <w:vAlign w:val="bottom"/>
            <w:hideMark/>
          </w:tcPr>
          <w:p w14:paraId="27524603" w14:textId="77777777" w:rsidR="000F5BAD" w:rsidRPr="00720EF1" w:rsidRDefault="000F5BAD" w:rsidP="006A25C9">
            <w:pPr>
              <w:widowControl/>
              <w:jc w:val="right"/>
              <w:rPr>
                <w:kern w:val="0"/>
                <w:sz w:val="20"/>
              </w:rPr>
            </w:pPr>
            <w:r w:rsidRPr="00720EF1">
              <w:rPr>
                <w:kern w:val="0"/>
                <w:sz w:val="20"/>
              </w:rPr>
              <w:t>76.91</w:t>
            </w:r>
          </w:p>
        </w:tc>
        <w:tc>
          <w:tcPr>
            <w:tcW w:w="962" w:type="dxa"/>
            <w:tcBorders>
              <w:top w:val="nil"/>
              <w:left w:val="nil"/>
              <w:bottom w:val="nil"/>
              <w:right w:val="nil"/>
            </w:tcBorders>
            <w:shd w:val="clear" w:color="auto" w:fill="auto"/>
            <w:noWrap/>
            <w:vAlign w:val="bottom"/>
            <w:hideMark/>
          </w:tcPr>
          <w:p w14:paraId="1A54B709" w14:textId="77777777" w:rsidR="000F5BAD" w:rsidRPr="00720EF1" w:rsidRDefault="000F5BAD" w:rsidP="006A25C9">
            <w:pPr>
              <w:widowControl/>
              <w:jc w:val="right"/>
              <w:rPr>
                <w:kern w:val="0"/>
                <w:sz w:val="20"/>
              </w:rPr>
            </w:pPr>
            <w:r w:rsidRPr="00720EF1">
              <w:rPr>
                <w:kern w:val="0"/>
                <w:sz w:val="20"/>
              </w:rPr>
              <w:t>81.34</w:t>
            </w:r>
          </w:p>
        </w:tc>
        <w:tc>
          <w:tcPr>
            <w:tcW w:w="1197" w:type="dxa"/>
            <w:tcBorders>
              <w:top w:val="nil"/>
              <w:left w:val="nil"/>
              <w:bottom w:val="nil"/>
              <w:right w:val="nil"/>
            </w:tcBorders>
            <w:shd w:val="clear" w:color="auto" w:fill="auto"/>
            <w:noWrap/>
            <w:vAlign w:val="bottom"/>
            <w:hideMark/>
          </w:tcPr>
          <w:p w14:paraId="3EFE94DC" w14:textId="77777777" w:rsidR="000F5BAD" w:rsidRPr="00720EF1" w:rsidRDefault="000F5BAD" w:rsidP="006A25C9">
            <w:pPr>
              <w:widowControl/>
              <w:jc w:val="right"/>
              <w:rPr>
                <w:kern w:val="0"/>
                <w:sz w:val="20"/>
              </w:rPr>
            </w:pPr>
            <w:r w:rsidRPr="00720EF1">
              <w:rPr>
                <w:kern w:val="0"/>
                <w:sz w:val="20"/>
              </w:rPr>
              <w:t xml:space="preserve">      19.23 </w:t>
            </w:r>
          </w:p>
        </w:tc>
      </w:tr>
      <w:tr w:rsidR="000F5BAD" w:rsidRPr="00720EF1" w14:paraId="343FBA20" w14:textId="77777777" w:rsidTr="006A25C9">
        <w:trPr>
          <w:trHeight w:val="258"/>
        </w:trPr>
        <w:tc>
          <w:tcPr>
            <w:tcW w:w="2810" w:type="dxa"/>
            <w:tcBorders>
              <w:top w:val="nil"/>
              <w:left w:val="nil"/>
              <w:bottom w:val="nil"/>
              <w:right w:val="nil"/>
            </w:tcBorders>
            <w:shd w:val="clear" w:color="auto" w:fill="auto"/>
            <w:noWrap/>
            <w:vAlign w:val="bottom"/>
            <w:hideMark/>
          </w:tcPr>
          <w:p w14:paraId="1A8887B5" w14:textId="77777777" w:rsidR="000F5BAD" w:rsidRPr="00720EF1" w:rsidRDefault="000F5BAD" w:rsidP="006A25C9">
            <w:pPr>
              <w:widowControl/>
              <w:jc w:val="left"/>
              <w:rPr>
                <w:kern w:val="0"/>
                <w:sz w:val="20"/>
              </w:rPr>
            </w:pPr>
            <w:r w:rsidRPr="00720EF1">
              <w:rPr>
                <w:kern w:val="0"/>
                <w:sz w:val="20"/>
              </w:rPr>
              <w:t>国寿安保创新医药</w:t>
            </w:r>
            <w:r w:rsidRPr="00720EF1">
              <w:rPr>
                <w:kern w:val="0"/>
                <w:sz w:val="20"/>
              </w:rPr>
              <w:t>C</w:t>
            </w:r>
          </w:p>
        </w:tc>
        <w:tc>
          <w:tcPr>
            <w:tcW w:w="766" w:type="dxa"/>
            <w:tcBorders>
              <w:top w:val="nil"/>
              <w:left w:val="nil"/>
              <w:bottom w:val="nil"/>
              <w:right w:val="nil"/>
            </w:tcBorders>
            <w:shd w:val="clear" w:color="auto" w:fill="auto"/>
            <w:noWrap/>
            <w:vAlign w:val="bottom"/>
            <w:hideMark/>
          </w:tcPr>
          <w:p w14:paraId="02CAEDD2"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3E123435" w14:textId="77777777" w:rsidR="000F5BAD" w:rsidRPr="00720EF1" w:rsidRDefault="000F5BAD" w:rsidP="006A25C9">
            <w:pPr>
              <w:widowControl/>
              <w:jc w:val="right"/>
              <w:rPr>
                <w:kern w:val="0"/>
                <w:sz w:val="20"/>
              </w:rPr>
            </w:pPr>
            <w:r w:rsidRPr="00720EF1">
              <w:rPr>
                <w:kern w:val="0"/>
                <w:sz w:val="20"/>
              </w:rPr>
              <w:t xml:space="preserve">7.98 </w:t>
            </w:r>
          </w:p>
        </w:tc>
        <w:tc>
          <w:tcPr>
            <w:tcW w:w="981" w:type="dxa"/>
            <w:tcBorders>
              <w:top w:val="nil"/>
              <w:left w:val="nil"/>
              <w:bottom w:val="nil"/>
              <w:right w:val="nil"/>
            </w:tcBorders>
            <w:shd w:val="clear" w:color="auto" w:fill="auto"/>
            <w:noWrap/>
            <w:vAlign w:val="bottom"/>
            <w:hideMark/>
          </w:tcPr>
          <w:p w14:paraId="5B69A175" w14:textId="77777777" w:rsidR="000F5BAD" w:rsidRPr="00720EF1" w:rsidRDefault="000F5BAD" w:rsidP="006A25C9">
            <w:pPr>
              <w:widowControl/>
              <w:jc w:val="right"/>
              <w:rPr>
                <w:kern w:val="0"/>
                <w:sz w:val="20"/>
              </w:rPr>
            </w:pPr>
            <w:r w:rsidRPr="00720EF1">
              <w:rPr>
                <w:kern w:val="0"/>
                <w:sz w:val="20"/>
              </w:rPr>
              <w:t>61.03</w:t>
            </w:r>
          </w:p>
        </w:tc>
        <w:tc>
          <w:tcPr>
            <w:tcW w:w="962" w:type="dxa"/>
            <w:tcBorders>
              <w:top w:val="nil"/>
              <w:left w:val="nil"/>
              <w:bottom w:val="nil"/>
              <w:right w:val="nil"/>
            </w:tcBorders>
            <w:shd w:val="clear" w:color="auto" w:fill="auto"/>
            <w:noWrap/>
            <w:vAlign w:val="bottom"/>
            <w:hideMark/>
          </w:tcPr>
          <w:p w14:paraId="7E63EBED" w14:textId="77777777" w:rsidR="000F5BAD" w:rsidRPr="00720EF1" w:rsidRDefault="000F5BAD" w:rsidP="006A25C9">
            <w:pPr>
              <w:widowControl/>
              <w:jc w:val="right"/>
              <w:rPr>
                <w:kern w:val="0"/>
                <w:sz w:val="20"/>
              </w:rPr>
            </w:pPr>
            <w:r w:rsidRPr="00720EF1">
              <w:rPr>
                <w:kern w:val="0"/>
                <w:sz w:val="20"/>
              </w:rPr>
              <w:t>80.52</w:t>
            </w:r>
          </w:p>
        </w:tc>
        <w:tc>
          <w:tcPr>
            <w:tcW w:w="962" w:type="dxa"/>
            <w:tcBorders>
              <w:top w:val="nil"/>
              <w:left w:val="nil"/>
              <w:bottom w:val="nil"/>
              <w:right w:val="nil"/>
            </w:tcBorders>
            <w:shd w:val="clear" w:color="auto" w:fill="auto"/>
            <w:noWrap/>
            <w:vAlign w:val="bottom"/>
            <w:hideMark/>
          </w:tcPr>
          <w:p w14:paraId="5A5EEEEA" w14:textId="77777777" w:rsidR="000F5BAD" w:rsidRPr="00720EF1" w:rsidRDefault="000F5BAD" w:rsidP="006A25C9">
            <w:pPr>
              <w:widowControl/>
              <w:jc w:val="right"/>
              <w:rPr>
                <w:kern w:val="0"/>
                <w:sz w:val="20"/>
              </w:rPr>
            </w:pPr>
            <w:r w:rsidRPr="00720EF1">
              <w:rPr>
                <w:kern w:val="0"/>
                <w:sz w:val="20"/>
              </w:rPr>
              <w:t>80.49</w:t>
            </w:r>
          </w:p>
        </w:tc>
        <w:tc>
          <w:tcPr>
            <w:tcW w:w="1197" w:type="dxa"/>
            <w:tcBorders>
              <w:top w:val="nil"/>
              <w:left w:val="nil"/>
              <w:bottom w:val="nil"/>
              <w:right w:val="nil"/>
            </w:tcBorders>
            <w:shd w:val="clear" w:color="auto" w:fill="auto"/>
            <w:noWrap/>
            <w:vAlign w:val="bottom"/>
            <w:hideMark/>
          </w:tcPr>
          <w:p w14:paraId="07005EC1" w14:textId="77777777" w:rsidR="000F5BAD" w:rsidRPr="00720EF1" w:rsidRDefault="000F5BAD" w:rsidP="006A25C9">
            <w:pPr>
              <w:widowControl/>
              <w:jc w:val="right"/>
              <w:rPr>
                <w:kern w:val="0"/>
                <w:sz w:val="20"/>
              </w:rPr>
            </w:pPr>
            <w:r w:rsidRPr="00720EF1">
              <w:rPr>
                <w:kern w:val="0"/>
                <w:sz w:val="20"/>
              </w:rPr>
              <w:t xml:space="preserve">        6.05 </w:t>
            </w:r>
          </w:p>
        </w:tc>
      </w:tr>
      <w:tr w:rsidR="000F5BAD" w:rsidRPr="00720EF1" w14:paraId="03D71954" w14:textId="77777777" w:rsidTr="006A25C9">
        <w:trPr>
          <w:trHeight w:val="258"/>
        </w:trPr>
        <w:tc>
          <w:tcPr>
            <w:tcW w:w="2810" w:type="dxa"/>
            <w:tcBorders>
              <w:top w:val="nil"/>
              <w:left w:val="nil"/>
              <w:bottom w:val="nil"/>
              <w:right w:val="nil"/>
            </w:tcBorders>
            <w:shd w:val="clear" w:color="auto" w:fill="auto"/>
            <w:noWrap/>
            <w:vAlign w:val="bottom"/>
            <w:hideMark/>
          </w:tcPr>
          <w:p w14:paraId="0BD43751" w14:textId="77777777" w:rsidR="000F5BAD" w:rsidRPr="00720EF1" w:rsidRDefault="000F5BAD" w:rsidP="006A25C9">
            <w:pPr>
              <w:widowControl/>
              <w:jc w:val="left"/>
              <w:rPr>
                <w:kern w:val="0"/>
                <w:sz w:val="20"/>
              </w:rPr>
            </w:pPr>
            <w:r w:rsidRPr="00720EF1">
              <w:rPr>
                <w:kern w:val="0"/>
                <w:sz w:val="20"/>
              </w:rPr>
              <w:t>汇添富开放视野中国优势</w:t>
            </w:r>
            <w:r w:rsidRPr="00720EF1">
              <w:rPr>
                <w:kern w:val="0"/>
                <w:sz w:val="20"/>
              </w:rPr>
              <w:t>A</w:t>
            </w:r>
          </w:p>
        </w:tc>
        <w:tc>
          <w:tcPr>
            <w:tcW w:w="766" w:type="dxa"/>
            <w:tcBorders>
              <w:top w:val="nil"/>
              <w:left w:val="nil"/>
              <w:bottom w:val="nil"/>
              <w:right w:val="nil"/>
            </w:tcBorders>
            <w:shd w:val="clear" w:color="auto" w:fill="auto"/>
            <w:noWrap/>
            <w:vAlign w:val="bottom"/>
            <w:hideMark/>
          </w:tcPr>
          <w:p w14:paraId="675AE229"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24A32087"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2123A885" w14:textId="77777777" w:rsidR="000F5BAD" w:rsidRPr="00720EF1" w:rsidRDefault="000F5BAD" w:rsidP="006A25C9">
            <w:pPr>
              <w:widowControl/>
              <w:jc w:val="right"/>
              <w:rPr>
                <w:kern w:val="0"/>
                <w:sz w:val="20"/>
              </w:rPr>
            </w:pPr>
            <w:r w:rsidRPr="00720EF1">
              <w:rPr>
                <w:kern w:val="0"/>
                <w:sz w:val="20"/>
              </w:rPr>
              <w:t>63.79</w:t>
            </w:r>
          </w:p>
        </w:tc>
        <w:tc>
          <w:tcPr>
            <w:tcW w:w="962" w:type="dxa"/>
            <w:tcBorders>
              <w:top w:val="nil"/>
              <w:left w:val="nil"/>
              <w:bottom w:val="nil"/>
              <w:right w:val="nil"/>
            </w:tcBorders>
            <w:shd w:val="clear" w:color="auto" w:fill="auto"/>
            <w:noWrap/>
            <w:vAlign w:val="bottom"/>
            <w:hideMark/>
          </w:tcPr>
          <w:p w14:paraId="7004C91C" w14:textId="77777777" w:rsidR="000F5BAD" w:rsidRPr="00720EF1" w:rsidRDefault="000F5BAD" w:rsidP="006A25C9">
            <w:pPr>
              <w:widowControl/>
              <w:jc w:val="right"/>
              <w:rPr>
                <w:kern w:val="0"/>
                <w:sz w:val="20"/>
              </w:rPr>
            </w:pPr>
            <w:r w:rsidRPr="00720EF1">
              <w:rPr>
                <w:kern w:val="0"/>
                <w:sz w:val="20"/>
              </w:rPr>
              <w:t>76.67</w:t>
            </w:r>
          </w:p>
        </w:tc>
        <w:tc>
          <w:tcPr>
            <w:tcW w:w="962" w:type="dxa"/>
            <w:tcBorders>
              <w:top w:val="nil"/>
              <w:left w:val="nil"/>
              <w:bottom w:val="nil"/>
              <w:right w:val="nil"/>
            </w:tcBorders>
            <w:shd w:val="clear" w:color="auto" w:fill="auto"/>
            <w:noWrap/>
            <w:vAlign w:val="bottom"/>
            <w:hideMark/>
          </w:tcPr>
          <w:p w14:paraId="02A42C5D" w14:textId="77777777" w:rsidR="000F5BAD" w:rsidRPr="00720EF1" w:rsidRDefault="000F5BAD" w:rsidP="006A25C9">
            <w:pPr>
              <w:widowControl/>
              <w:jc w:val="right"/>
              <w:rPr>
                <w:kern w:val="0"/>
                <w:sz w:val="20"/>
              </w:rPr>
            </w:pPr>
            <w:r w:rsidRPr="00720EF1">
              <w:rPr>
                <w:kern w:val="0"/>
                <w:sz w:val="20"/>
              </w:rPr>
              <w:t>83.11</w:t>
            </w:r>
          </w:p>
        </w:tc>
        <w:tc>
          <w:tcPr>
            <w:tcW w:w="1197" w:type="dxa"/>
            <w:tcBorders>
              <w:top w:val="nil"/>
              <w:left w:val="nil"/>
              <w:bottom w:val="nil"/>
              <w:right w:val="nil"/>
            </w:tcBorders>
            <w:shd w:val="clear" w:color="auto" w:fill="auto"/>
            <w:noWrap/>
            <w:vAlign w:val="bottom"/>
            <w:hideMark/>
          </w:tcPr>
          <w:p w14:paraId="6F46A28E" w14:textId="77777777" w:rsidR="000F5BAD" w:rsidRPr="00720EF1" w:rsidRDefault="000F5BAD" w:rsidP="006A25C9">
            <w:pPr>
              <w:widowControl/>
              <w:jc w:val="right"/>
              <w:rPr>
                <w:kern w:val="0"/>
                <w:sz w:val="20"/>
              </w:rPr>
            </w:pPr>
            <w:r w:rsidRPr="00720EF1">
              <w:rPr>
                <w:kern w:val="0"/>
                <w:sz w:val="20"/>
              </w:rPr>
              <w:t xml:space="preserve">      11.10 </w:t>
            </w:r>
          </w:p>
        </w:tc>
      </w:tr>
      <w:tr w:rsidR="000F5BAD" w:rsidRPr="00720EF1" w14:paraId="1991735E" w14:textId="77777777" w:rsidTr="006A25C9">
        <w:trPr>
          <w:trHeight w:val="258"/>
        </w:trPr>
        <w:tc>
          <w:tcPr>
            <w:tcW w:w="2810" w:type="dxa"/>
            <w:tcBorders>
              <w:top w:val="nil"/>
              <w:left w:val="nil"/>
              <w:bottom w:val="nil"/>
              <w:right w:val="nil"/>
            </w:tcBorders>
            <w:shd w:val="clear" w:color="auto" w:fill="auto"/>
            <w:noWrap/>
            <w:vAlign w:val="bottom"/>
            <w:hideMark/>
          </w:tcPr>
          <w:p w14:paraId="6DF359BE" w14:textId="77777777" w:rsidR="000F5BAD" w:rsidRPr="00720EF1" w:rsidRDefault="000F5BAD" w:rsidP="006A25C9">
            <w:pPr>
              <w:widowControl/>
              <w:jc w:val="left"/>
              <w:rPr>
                <w:kern w:val="0"/>
                <w:sz w:val="20"/>
              </w:rPr>
            </w:pPr>
          </w:p>
          <w:p w14:paraId="2BC6D100" w14:textId="77777777" w:rsidR="000F5BAD" w:rsidRPr="00720EF1" w:rsidRDefault="000F5BAD" w:rsidP="006A25C9">
            <w:pPr>
              <w:widowControl/>
              <w:jc w:val="left"/>
              <w:rPr>
                <w:kern w:val="0"/>
                <w:sz w:val="20"/>
              </w:rPr>
            </w:pPr>
            <w:r w:rsidRPr="00720EF1">
              <w:rPr>
                <w:kern w:val="0"/>
                <w:sz w:val="20"/>
              </w:rPr>
              <w:t>汇丰晋信中小盘低波动策略</w:t>
            </w:r>
            <w:r w:rsidRPr="00720EF1">
              <w:rPr>
                <w:kern w:val="0"/>
                <w:sz w:val="20"/>
              </w:rPr>
              <w:t>C</w:t>
            </w:r>
          </w:p>
        </w:tc>
        <w:tc>
          <w:tcPr>
            <w:tcW w:w="766" w:type="dxa"/>
            <w:tcBorders>
              <w:top w:val="nil"/>
              <w:left w:val="nil"/>
              <w:bottom w:val="nil"/>
              <w:right w:val="nil"/>
            </w:tcBorders>
            <w:shd w:val="clear" w:color="auto" w:fill="auto"/>
            <w:noWrap/>
            <w:vAlign w:val="bottom"/>
            <w:hideMark/>
          </w:tcPr>
          <w:p w14:paraId="054CB3F6" w14:textId="77777777" w:rsidR="000F5BAD" w:rsidRPr="00720EF1" w:rsidRDefault="000F5BAD" w:rsidP="006A25C9">
            <w:pPr>
              <w:widowControl/>
              <w:jc w:val="center"/>
              <w:rPr>
                <w:kern w:val="0"/>
                <w:sz w:val="20"/>
              </w:rPr>
            </w:pPr>
          </w:p>
          <w:p w14:paraId="6AA0985D"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2E022A3D" w14:textId="77777777" w:rsidR="000F5BAD" w:rsidRPr="00720EF1" w:rsidRDefault="000F5BAD" w:rsidP="006A25C9">
            <w:pPr>
              <w:widowControl/>
              <w:jc w:val="right"/>
              <w:rPr>
                <w:kern w:val="0"/>
                <w:sz w:val="20"/>
              </w:rPr>
            </w:pPr>
          </w:p>
          <w:p w14:paraId="241B22B4" w14:textId="77777777" w:rsidR="000F5BAD" w:rsidRPr="00720EF1" w:rsidRDefault="000F5BAD" w:rsidP="006A25C9">
            <w:pPr>
              <w:widowControl/>
              <w:jc w:val="right"/>
              <w:rPr>
                <w:kern w:val="0"/>
                <w:sz w:val="20"/>
              </w:rPr>
            </w:pPr>
            <w:r w:rsidRPr="00720EF1">
              <w:rPr>
                <w:kern w:val="0"/>
                <w:sz w:val="20"/>
              </w:rPr>
              <w:t xml:space="preserve">6.95 </w:t>
            </w:r>
          </w:p>
        </w:tc>
        <w:tc>
          <w:tcPr>
            <w:tcW w:w="981" w:type="dxa"/>
            <w:tcBorders>
              <w:top w:val="nil"/>
              <w:left w:val="nil"/>
              <w:bottom w:val="nil"/>
              <w:right w:val="nil"/>
            </w:tcBorders>
            <w:shd w:val="clear" w:color="auto" w:fill="auto"/>
            <w:noWrap/>
            <w:vAlign w:val="bottom"/>
            <w:hideMark/>
          </w:tcPr>
          <w:p w14:paraId="400F243D" w14:textId="77777777" w:rsidR="000F5BAD" w:rsidRPr="00720EF1" w:rsidRDefault="000F5BAD" w:rsidP="006A25C9">
            <w:pPr>
              <w:widowControl/>
              <w:jc w:val="right"/>
              <w:rPr>
                <w:kern w:val="0"/>
                <w:sz w:val="20"/>
              </w:rPr>
            </w:pPr>
          </w:p>
          <w:p w14:paraId="1FEE11A0" w14:textId="77777777" w:rsidR="000F5BAD" w:rsidRPr="00720EF1" w:rsidRDefault="000F5BAD" w:rsidP="006A25C9">
            <w:pPr>
              <w:widowControl/>
              <w:jc w:val="right"/>
              <w:rPr>
                <w:kern w:val="0"/>
                <w:sz w:val="20"/>
              </w:rPr>
            </w:pPr>
            <w:r w:rsidRPr="00720EF1">
              <w:rPr>
                <w:kern w:val="0"/>
                <w:sz w:val="20"/>
              </w:rPr>
              <w:t>60.52</w:t>
            </w:r>
          </w:p>
        </w:tc>
        <w:tc>
          <w:tcPr>
            <w:tcW w:w="962" w:type="dxa"/>
            <w:tcBorders>
              <w:top w:val="nil"/>
              <w:left w:val="nil"/>
              <w:bottom w:val="nil"/>
              <w:right w:val="nil"/>
            </w:tcBorders>
            <w:shd w:val="clear" w:color="auto" w:fill="auto"/>
            <w:noWrap/>
            <w:vAlign w:val="bottom"/>
            <w:hideMark/>
          </w:tcPr>
          <w:p w14:paraId="0B26FC52" w14:textId="77777777" w:rsidR="000F5BAD" w:rsidRPr="00720EF1" w:rsidRDefault="000F5BAD" w:rsidP="006A25C9">
            <w:pPr>
              <w:widowControl/>
              <w:jc w:val="right"/>
              <w:rPr>
                <w:kern w:val="0"/>
                <w:sz w:val="20"/>
              </w:rPr>
            </w:pPr>
          </w:p>
          <w:p w14:paraId="71AA9D6B" w14:textId="77777777" w:rsidR="000F5BAD" w:rsidRPr="00720EF1" w:rsidRDefault="000F5BAD" w:rsidP="006A25C9">
            <w:pPr>
              <w:widowControl/>
              <w:jc w:val="right"/>
              <w:rPr>
                <w:kern w:val="0"/>
                <w:sz w:val="20"/>
              </w:rPr>
            </w:pPr>
            <w:r w:rsidRPr="00720EF1">
              <w:rPr>
                <w:kern w:val="0"/>
                <w:sz w:val="20"/>
              </w:rPr>
              <w:t>79.71</w:t>
            </w:r>
          </w:p>
        </w:tc>
        <w:tc>
          <w:tcPr>
            <w:tcW w:w="962" w:type="dxa"/>
            <w:tcBorders>
              <w:top w:val="nil"/>
              <w:left w:val="nil"/>
              <w:bottom w:val="nil"/>
              <w:right w:val="nil"/>
            </w:tcBorders>
            <w:shd w:val="clear" w:color="auto" w:fill="auto"/>
            <w:noWrap/>
            <w:vAlign w:val="bottom"/>
            <w:hideMark/>
          </w:tcPr>
          <w:p w14:paraId="39660496" w14:textId="77777777" w:rsidR="000F5BAD" w:rsidRPr="00720EF1" w:rsidRDefault="000F5BAD" w:rsidP="006A25C9">
            <w:pPr>
              <w:widowControl/>
              <w:jc w:val="right"/>
              <w:rPr>
                <w:kern w:val="0"/>
                <w:sz w:val="20"/>
              </w:rPr>
            </w:pPr>
          </w:p>
          <w:p w14:paraId="19CACBEE" w14:textId="77777777" w:rsidR="000F5BAD" w:rsidRPr="00720EF1" w:rsidRDefault="000F5BAD" w:rsidP="006A25C9">
            <w:pPr>
              <w:widowControl/>
              <w:jc w:val="right"/>
              <w:rPr>
                <w:kern w:val="0"/>
                <w:sz w:val="20"/>
              </w:rPr>
            </w:pPr>
            <w:r w:rsidRPr="00720EF1">
              <w:rPr>
                <w:kern w:val="0"/>
                <w:sz w:val="20"/>
              </w:rPr>
              <w:t>83.08</w:t>
            </w:r>
          </w:p>
        </w:tc>
        <w:tc>
          <w:tcPr>
            <w:tcW w:w="1197" w:type="dxa"/>
            <w:tcBorders>
              <w:top w:val="nil"/>
              <w:left w:val="nil"/>
              <w:bottom w:val="nil"/>
              <w:right w:val="nil"/>
            </w:tcBorders>
            <w:shd w:val="clear" w:color="auto" w:fill="auto"/>
            <w:noWrap/>
            <w:vAlign w:val="bottom"/>
            <w:hideMark/>
          </w:tcPr>
          <w:p w14:paraId="13FE3059" w14:textId="77777777" w:rsidR="000F5BAD" w:rsidRPr="00720EF1" w:rsidRDefault="000F5BAD" w:rsidP="006A25C9">
            <w:pPr>
              <w:widowControl/>
              <w:jc w:val="right"/>
              <w:rPr>
                <w:kern w:val="0"/>
                <w:sz w:val="20"/>
              </w:rPr>
            </w:pPr>
            <w:r w:rsidRPr="00720EF1">
              <w:rPr>
                <w:kern w:val="0"/>
                <w:sz w:val="20"/>
              </w:rPr>
              <w:t xml:space="preserve">      10.93 </w:t>
            </w:r>
          </w:p>
        </w:tc>
      </w:tr>
      <w:tr w:rsidR="000F5BAD" w:rsidRPr="00720EF1" w14:paraId="4B0FB84E" w14:textId="77777777" w:rsidTr="006A25C9">
        <w:trPr>
          <w:trHeight w:val="258"/>
        </w:trPr>
        <w:tc>
          <w:tcPr>
            <w:tcW w:w="2810" w:type="dxa"/>
            <w:tcBorders>
              <w:top w:val="nil"/>
              <w:left w:val="nil"/>
              <w:bottom w:val="nil"/>
              <w:right w:val="nil"/>
            </w:tcBorders>
            <w:shd w:val="clear" w:color="auto" w:fill="auto"/>
            <w:noWrap/>
            <w:vAlign w:val="bottom"/>
            <w:hideMark/>
          </w:tcPr>
          <w:p w14:paraId="7C0396FD" w14:textId="77777777" w:rsidR="000F5BAD" w:rsidRPr="00720EF1" w:rsidRDefault="000F5BAD" w:rsidP="006A25C9">
            <w:pPr>
              <w:widowControl/>
              <w:jc w:val="left"/>
              <w:rPr>
                <w:kern w:val="0"/>
                <w:sz w:val="20"/>
              </w:rPr>
            </w:pPr>
            <w:r w:rsidRPr="00720EF1">
              <w:rPr>
                <w:kern w:val="0"/>
                <w:sz w:val="20"/>
              </w:rPr>
              <w:t>国泰医药健康</w:t>
            </w:r>
            <w:r w:rsidRPr="00720EF1">
              <w:rPr>
                <w:kern w:val="0"/>
                <w:sz w:val="20"/>
              </w:rPr>
              <w:t>A</w:t>
            </w:r>
          </w:p>
        </w:tc>
        <w:tc>
          <w:tcPr>
            <w:tcW w:w="766" w:type="dxa"/>
            <w:tcBorders>
              <w:top w:val="nil"/>
              <w:left w:val="nil"/>
              <w:bottom w:val="nil"/>
              <w:right w:val="nil"/>
            </w:tcBorders>
            <w:shd w:val="clear" w:color="auto" w:fill="auto"/>
            <w:noWrap/>
            <w:vAlign w:val="bottom"/>
            <w:hideMark/>
          </w:tcPr>
          <w:p w14:paraId="30C470CE"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7B286347" w14:textId="77777777" w:rsidR="000F5BAD" w:rsidRPr="00720EF1" w:rsidRDefault="000F5BAD" w:rsidP="006A25C9">
            <w:pPr>
              <w:widowControl/>
              <w:jc w:val="right"/>
              <w:rPr>
                <w:kern w:val="0"/>
                <w:sz w:val="20"/>
              </w:rPr>
            </w:pPr>
            <w:r w:rsidRPr="00720EF1">
              <w:rPr>
                <w:kern w:val="0"/>
                <w:sz w:val="20"/>
              </w:rPr>
              <w:t xml:space="preserve">7.07 </w:t>
            </w:r>
          </w:p>
        </w:tc>
        <w:tc>
          <w:tcPr>
            <w:tcW w:w="981" w:type="dxa"/>
            <w:tcBorders>
              <w:top w:val="nil"/>
              <w:left w:val="nil"/>
              <w:bottom w:val="nil"/>
              <w:right w:val="nil"/>
            </w:tcBorders>
            <w:shd w:val="clear" w:color="auto" w:fill="auto"/>
            <w:noWrap/>
            <w:vAlign w:val="bottom"/>
            <w:hideMark/>
          </w:tcPr>
          <w:p w14:paraId="57758FD4" w14:textId="77777777" w:rsidR="000F5BAD" w:rsidRPr="00720EF1" w:rsidRDefault="000F5BAD" w:rsidP="006A25C9">
            <w:pPr>
              <w:widowControl/>
              <w:jc w:val="right"/>
              <w:rPr>
                <w:kern w:val="0"/>
                <w:sz w:val="20"/>
              </w:rPr>
            </w:pPr>
            <w:r w:rsidRPr="00720EF1">
              <w:rPr>
                <w:kern w:val="0"/>
                <w:sz w:val="20"/>
              </w:rPr>
              <w:t>55.97</w:t>
            </w:r>
          </w:p>
        </w:tc>
        <w:tc>
          <w:tcPr>
            <w:tcW w:w="962" w:type="dxa"/>
            <w:tcBorders>
              <w:top w:val="nil"/>
              <w:left w:val="nil"/>
              <w:bottom w:val="nil"/>
              <w:right w:val="nil"/>
            </w:tcBorders>
            <w:shd w:val="clear" w:color="auto" w:fill="auto"/>
            <w:noWrap/>
            <w:vAlign w:val="bottom"/>
            <w:hideMark/>
          </w:tcPr>
          <w:p w14:paraId="541BADBA" w14:textId="77777777" w:rsidR="000F5BAD" w:rsidRPr="00720EF1" w:rsidRDefault="000F5BAD" w:rsidP="006A25C9">
            <w:pPr>
              <w:widowControl/>
              <w:jc w:val="right"/>
              <w:rPr>
                <w:kern w:val="0"/>
                <w:sz w:val="20"/>
              </w:rPr>
            </w:pPr>
            <w:r w:rsidRPr="00720EF1">
              <w:rPr>
                <w:kern w:val="0"/>
                <w:sz w:val="20"/>
              </w:rPr>
              <w:t>79.6</w:t>
            </w:r>
          </w:p>
        </w:tc>
        <w:tc>
          <w:tcPr>
            <w:tcW w:w="962" w:type="dxa"/>
            <w:tcBorders>
              <w:top w:val="nil"/>
              <w:left w:val="nil"/>
              <w:bottom w:val="nil"/>
              <w:right w:val="nil"/>
            </w:tcBorders>
            <w:shd w:val="clear" w:color="auto" w:fill="auto"/>
            <w:noWrap/>
            <w:vAlign w:val="bottom"/>
            <w:hideMark/>
          </w:tcPr>
          <w:p w14:paraId="44E4A01F" w14:textId="77777777" w:rsidR="000F5BAD" w:rsidRPr="00720EF1" w:rsidRDefault="000F5BAD" w:rsidP="006A25C9">
            <w:pPr>
              <w:widowControl/>
              <w:jc w:val="right"/>
              <w:rPr>
                <w:kern w:val="0"/>
                <w:sz w:val="20"/>
              </w:rPr>
            </w:pPr>
            <w:r w:rsidRPr="00720EF1">
              <w:rPr>
                <w:kern w:val="0"/>
                <w:sz w:val="20"/>
              </w:rPr>
              <w:t>78.09</w:t>
            </w:r>
          </w:p>
        </w:tc>
        <w:tc>
          <w:tcPr>
            <w:tcW w:w="1197" w:type="dxa"/>
            <w:tcBorders>
              <w:top w:val="nil"/>
              <w:left w:val="nil"/>
              <w:bottom w:val="nil"/>
              <w:right w:val="nil"/>
            </w:tcBorders>
            <w:shd w:val="clear" w:color="auto" w:fill="auto"/>
            <w:noWrap/>
            <w:vAlign w:val="bottom"/>
            <w:hideMark/>
          </w:tcPr>
          <w:p w14:paraId="11DFA027" w14:textId="77777777" w:rsidR="000F5BAD" w:rsidRPr="00720EF1" w:rsidRDefault="000F5BAD" w:rsidP="006A25C9">
            <w:pPr>
              <w:widowControl/>
              <w:jc w:val="right"/>
              <w:rPr>
                <w:kern w:val="0"/>
                <w:sz w:val="20"/>
              </w:rPr>
            </w:pPr>
            <w:r w:rsidRPr="00720EF1">
              <w:rPr>
                <w:kern w:val="0"/>
                <w:sz w:val="20"/>
              </w:rPr>
              <w:t xml:space="preserve">      10.88 </w:t>
            </w:r>
          </w:p>
        </w:tc>
      </w:tr>
      <w:tr w:rsidR="000F5BAD" w:rsidRPr="00720EF1" w14:paraId="2256CA9A" w14:textId="77777777" w:rsidTr="006A25C9">
        <w:trPr>
          <w:trHeight w:val="258"/>
        </w:trPr>
        <w:tc>
          <w:tcPr>
            <w:tcW w:w="2810" w:type="dxa"/>
            <w:tcBorders>
              <w:top w:val="nil"/>
              <w:left w:val="nil"/>
              <w:bottom w:val="nil"/>
              <w:right w:val="nil"/>
            </w:tcBorders>
            <w:shd w:val="clear" w:color="auto" w:fill="auto"/>
            <w:noWrap/>
            <w:vAlign w:val="bottom"/>
            <w:hideMark/>
          </w:tcPr>
          <w:p w14:paraId="351E74C2" w14:textId="77777777" w:rsidR="000F5BAD" w:rsidRPr="00720EF1" w:rsidRDefault="000F5BAD" w:rsidP="006A25C9">
            <w:pPr>
              <w:widowControl/>
              <w:jc w:val="left"/>
              <w:rPr>
                <w:kern w:val="0"/>
                <w:sz w:val="20"/>
              </w:rPr>
            </w:pPr>
            <w:r w:rsidRPr="00720EF1">
              <w:rPr>
                <w:kern w:val="0"/>
                <w:sz w:val="20"/>
              </w:rPr>
              <w:t>易方达中证银行</w:t>
            </w:r>
            <w:r w:rsidRPr="00720EF1">
              <w:rPr>
                <w:kern w:val="0"/>
                <w:sz w:val="20"/>
              </w:rPr>
              <w:t>C</w:t>
            </w:r>
          </w:p>
        </w:tc>
        <w:tc>
          <w:tcPr>
            <w:tcW w:w="766" w:type="dxa"/>
            <w:tcBorders>
              <w:top w:val="nil"/>
              <w:left w:val="nil"/>
              <w:bottom w:val="nil"/>
              <w:right w:val="nil"/>
            </w:tcBorders>
            <w:shd w:val="clear" w:color="auto" w:fill="auto"/>
            <w:noWrap/>
            <w:vAlign w:val="bottom"/>
            <w:hideMark/>
          </w:tcPr>
          <w:p w14:paraId="6C7209F2"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6DF47016" w14:textId="77777777" w:rsidR="000F5BAD" w:rsidRPr="00720EF1" w:rsidRDefault="000F5BAD" w:rsidP="006A25C9">
            <w:pPr>
              <w:widowControl/>
              <w:jc w:val="right"/>
              <w:rPr>
                <w:kern w:val="0"/>
                <w:sz w:val="20"/>
              </w:rPr>
            </w:pPr>
            <w:r w:rsidRPr="00720EF1">
              <w:rPr>
                <w:kern w:val="0"/>
                <w:sz w:val="20"/>
              </w:rPr>
              <w:t xml:space="preserve">7.57 </w:t>
            </w:r>
          </w:p>
        </w:tc>
        <w:tc>
          <w:tcPr>
            <w:tcW w:w="981" w:type="dxa"/>
            <w:tcBorders>
              <w:top w:val="nil"/>
              <w:left w:val="nil"/>
              <w:bottom w:val="nil"/>
              <w:right w:val="nil"/>
            </w:tcBorders>
            <w:shd w:val="clear" w:color="auto" w:fill="auto"/>
            <w:noWrap/>
            <w:vAlign w:val="bottom"/>
            <w:hideMark/>
          </w:tcPr>
          <w:p w14:paraId="557D00D7" w14:textId="77777777" w:rsidR="000F5BAD" w:rsidRPr="00720EF1" w:rsidRDefault="000F5BAD" w:rsidP="006A25C9">
            <w:pPr>
              <w:widowControl/>
              <w:jc w:val="right"/>
              <w:rPr>
                <w:kern w:val="0"/>
                <w:sz w:val="20"/>
              </w:rPr>
            </w:pPr>
            <w:r w:rsidRPr="00720EF1">
              <w:rPr>
                <w:kern w:val="0"/>
                <w:sz w:val="20"/>
              </w:rPr>
              <w:t>72.83</w:t>
            </w:r>
          </w:p>
        </w:tc>
        <w:tc>
          <w:tcPr>
            <w:tcW w:w="962" w:type="dxa"/>
            <w:tcBorders>
              <w:top w:val="nil"/>
              <w:left w:val="nil"/>
              <w:bottom w:val="nil"/>
              <w:right w:val="nil"/>
            </w:tcBorders>
            <w:shd w:val="clear" w:color="auto" w:fill="auto"/>
            <w:noWrap/>
            <w:vAlign w:val="bottom"/>
            <w:hideMark/>
          </w:tcPr>
          <w:p w14:paraId="379613E5" w14:textId="77777777" w:rsidR="000F5BAD" w:rsidRPr="00720EF1" w:rsidRDefault="000F5BAD" w:rsidP="006A25C9">
            <w:pPr>
              <w:widowControl/>
              <w:jc w:val="right"/>
              <w:rPr>
                <w:kern w:val="0"/>
                <w:sz w:val="20"/>
              </w:rPr>
            </w:pPr>
            <w:r w:rsidRPr="00720EF1">
              <w:rPr>
                <w:kern w:val="0"/>
                <w:sz w:val="20"/>
              </w:rPr>
              <w:t>76.01</w:t>
            </w:r>
          </w:p>
        </w:tc>
        <w:tc>
          <w:tcPr>
            <w:tcW w:w="962" w:type="dxa"/>
            <w:tcBorders>
              <w:top w:val="nil"/>
              <w:left w:val="nil"/>
              <w:bottom w:val="nil"/>
              <w:right w:val="nil"/>
            </w:tcBorders>
            <w:shd w:val="clear" w:color="auto" w:fill="auto"/>
            <w:noWrap/>
            <w:vAlign w:val="bottom"/>
            <w:hideMark/>
          </w:tcPr>
          <w:p w14:paraId="1385FF3A" w14:textId="77777777" w:rsidR="000F5BAD" w:rsidRPr="00720EF1" w:rsidRDefault="000F5BAD" w:rsidP="006A25C9">
            <w:pPr>
              <w:widowControl/>
              <w:jc w:val="right"/>
              <w:rPr>
                <w:kern w:val="0"/>
                <w:sz w:val="20"/>
              </w:rPr>
            </w:pPr>
            <w:r w:rsidRPr="00720EF1">
              <w:rPr>
                <w:kern w:val="0"/>
                <w:sz w:val="20"/>
              </w:rPr>
              <w:t>89.83</w:t>
            </w:r>
          </w:p>
        </w:tc>
        <w:tc>
          <w:tcPr>
            <w:tcW w:w="1197" w:type="dxa"/>
            <w:tcBorders>
              <w:top w:val="nil"/>
              <w:left w:val="nil"/>
              <w:bottom w:val="nil"/>
              <w:right w:val="nil"/>
            </w:tcBorders>
            <w:shd w:val="clear" w:color="auto" w:fill="auto"/>
            <w:noWrap/>
            <w:vAlign w:val="bottom"/>
            <w:hideMark/>
          </w:tcPr>
          <w:p w14:paraId="169D0F0B" w14:textId="77777777" w:rsidR="000F5BAD" w:rsidRPr="00720EF1" w:rsidRDefault="000F5BAD" w:rsidP="006A25C9">
            <w:pPr>
              <w:widowControl/>
              <w:jc w:val="right"/>
              <w:rPr>
                <w:kern w:val="0"/>
                <w:sz w:val="20"/>
              </w:rPr>
            </w:pPr>
            <w:r w:rsidRPr="00720EF1">
              <w:rPr>
                <w:kern w:val="0"/>
                <w:sz w:val="20"/>
              </w:rPr>
              <w:t xml:space="preserve">      12.45 </w:t>
            </w:r>
          </w:p>
        </w:tc>
      </w:tr>
      <w:tr w:rsidR="000F5BAD" w:rsidRPr="00720EF1" w14:paraId="1F260394" w14:textId="77777777" w:rsidTr="006A25C9">
        <w:trPr>
          <w:trHeight w:val="258"/>
        </w:trPr>
        <w:tc>
          <w:tcPr>
            <w:tcW w:w="2810" w:type="dxa"/>
            <w:tcBorders>
              <w:top w:val="nil"/>
              <w:left w:val="nil"/>
              <w:bottom w:val="nil"/>
              <w:right w:val="nil"/>
            </w:tcBorders>
            <w:shd w:val="clear" w:color="auto" w:fill="auto"/>
            <w:noWrap/>
            <w:vAlign w:val="bottom"/>
            <w:hideMark/>
          </w:tcPr>
          <w:p w14:paraId="76A732DC" w14:textId="77777777" w:rsidR="000F5BAD" w:rsidRPr="00720EF1" w:rsidRDefault="000F5BAD" w:rsidP="006A25C9">
            <w:pPr>
              <w:widowControl/>
              <w:jc w:val="left"/>
              <w:rPr>
                <w:kern w:val="0"/>
                <w:sz w:val="20"/>
              </w:rPr>
            </w:pPr>
            <w:r w:rsidRPr="00720EF1">
              <w:rPr>
                <w:kern w:val="0"/>
                <w:sz w:val="20"/>
              </w:rPr>
              <w:t>富国创新趋势</w:t>
            </w:r>
          </w:p>
        </w:tc>
        <w:tc>
          <w:tcPr>
            <w:tcW w:w="766" w:type="dxa"/>
            <w:tcBorders>
              <w:top w:val="nil"/>
              <w:left w:val="nil"/>
              <w:bottom w:val="nil"/>
              <w:right w:val="nil"/>
            </w:tcBorders>
            <w:shd w:val="clear" w:color="auto" w:fill="auto"/>
            <w:noWrap/>
            <w:vAlign w:val="bottom"/>
            <w:hideMark/>
          </w:tcPr>
          <w:p w14:paraId="0757159D"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32E4ECE5" w14:textId="77777777" w:rsidR="000F5BAD" w:rsidRPr="00720EF1" w:rsidRDefault="000F5BAD" w:rsidP="006A25C9">
            <w:pPr>
              <w:widowControl/>
              <w:jc w:val="right"/>
              <w:rPr>
                <w:kern w:val="0"/>
                <w:sz w:val="20"/>
              </w:rPr>
            </w:pPr>
            <w:r w:rsidRPr="00720EF1">
              <w:rPr>
                <w:kern w:val="0"/>
                <w:sz w:val="20"/>
              </w:rPr>
              <w:t xml:space="preserve">8.42 </w:t>
            </w:r>
          </w:p>
        </w:tc>
        <w:tc>
          <w:tcPr>
            <w:tcW w:w="981" w:type="dxa"/>
            <w:tcBorders>
              <w:top w:val="nil"/>
              <w:left w:val="nil"/>
              <w:bottom w:val="nil"/>
              <w:right w:val="nil"/>
            </w:tcBorders>
            <w:shd w:val="clear" w:color="auto" w:fill="auto"/>
            <w:noWrap/>
            <w:vAlign w:val="bottom"/>
            <w:hideMark/>
          </w:tcPr>
          <w:p w14:paraId="1360E443" w14:textId="77777777" w:rsidR="000F5BAD" w:rsidRPr="00720EF1" w:rsidRDefault="000F5BAD" w:rsidP="006A25C9">
            <w:pPr>
              <w:widowControl/>
              <w:jc w:val="right"/>
              <w:rPr>
                <w:kern w:val="0"/>
                <w:sz w:val="20"/>
              </w:rPr>
            </w:pPr>
            <w:r w:rsidRPr="00720EF1">
              <w:rPr>
                <w:kern w:val="0"/>
                <w:sz w:val="20"/>
              </w:rPr>
              <w:t>63.52</w:t>
            </w:r>
          </w:p>
        </w:tc>
        <w:tc>
          <w:tcPr>
            <w:tcW w:w="962" w:type="dxa"/>
            <w:tcBorders>
              <w:top w:val="nil"/>
              <w:left w:val="nil"/>
              <w:bottom w:val="nil"/>
              <w:right w:val="nil"/>
            </w:tcBorders>
            <w:shd w:val="clear" w:color="auto" w:fill="auto"/>
            <w:noWrap/>
            <w:vAlign w:val="bottom"/>
            <w:hideMark/>
          </w:tcPr>
          <w:p w14:paraId="0721945E" w14:textId="77777777" w:rsidR="000F5BAD" w:rsidRPr="00720EF1" w:rsidRDefault="000F5BAD" w:rsidP="006A25C9">
            <w:pPr>
              <w:widowControl/>
              <w:jc w:val="right"/>
              <w:rPr>
                <w:kern w:val="0"/>
                <w:sz w:val="20"/>
              </w:rPr>
            </w:pPr>
            <w:r w:rsidRPr="00720EF1">
              <w:rPr>
                <w:kern w:val="0"/>
                <w:sz w:val="20"/>
              </w:rPr>
              <w:t>79.97</w:t>
            </w:r>
          </w:p>
        </w:tc>
        <w:tc>
          <w:tcPr>
            <w:tcW w:w="962" w:type="dxa"/>
            <w:tcBorders>
              <w:top w:val="nil"/>
              <w:left w:val="nil"/>
              <w:bottom w:val="nil"/>
              <w:right w:val="nil"/>
            </w:tcBorders>
            <w:shd w:val="clear" w:color="auto" w:fill="auto"/>
            <w:noWrap/>
            <w:vAlign w:val="bottom"/>
            <w:hideMark/>
          </w:tcPr>
          <w:p w14:paraId="2E458C34" w14:textId="77777777" w:rsidR="000F5BAD" w:rsidRPr="00720EF1" w:rsidRDefault="000F5BAD" w:rsidP="006A25C9">
            <w:pPr>
              <w:widowControl/>
              <w:jc w:val="right"/>
              <w:rPr>
                <w:kern w:val="0"/>
                <w:sz w:val="20"/>
              </w:rPr>
            </w:pPr>
            <w:r w:rsidRPr="00720EF1">
              <w:rPr>
                <w:kern w:val="0"/>
                <w:sz w:val="20"/>
              </w:rPr>
              <w:t>83.04</w:t>
            </w:r>
          </w:p>
        </w:tc>
        <w:tc>
          <w:tcPr>
            <w:tcW w:w="1197" w:type="dxa"/>
            <w:tcBorders>
              <w:top w:val="nil"/>
              <w:left w:val="nil"/>
              <w:bottom w:val="nil"/>
              <w:right w:val="nil"/>
            </w:tcBorders>
            <w:shd w:val="clear" w:color="auto" w:fill="auto"/>
            <w:noWrap/>
            <w:vAlign w:val="bottom"/>
            <w:hideMark/>
          </w:tcPr>
          <w:p w14:paraId="3D206741" w14:textId="77777777" w:rsidR="000F5BAD" w:rsidRPr="00720EF1" w:rsidRDefault="000F5BAD" w:rsidP="006A25C9">
            <w:pPr>
              <w:widowControl/>
              <w:jc w:val="right"/>
              <w:rPr>
                <w:kern w:val="0"/>
                <w:sz w:val="20"/>
              </w:rPr>
            </w:pPr>
            <w:r w:rsidRPr="00720EF1">
              <w:rPr>
                <w:kern w:val="0"/>
                <w:sz w:val="20"/>
              </w:rPr>
              <w:t xml:space="preserve">        3.33 </w:t>
            </w:r>
          </w:p>
        </w:tc>
      </w:tr>
      <w:tr w:rsidR="000F5BAD" w:rsidRPr="00720EF1" w14:paraId="6AC9A658" w14:textId="77777777" w:rsidTr="006A25C9">
        <w:trPr>
          <w:trHeight w:val="258"/>
        </w:trPr>
        <w:tc>
          <w:tcPr>
            <w:tcW w:w="2810" w:type="dxa"/>
            <w:tcBorders>
              <w:top w:val="nil"/>
              <w:left w:val="nil"/>
              <w:bottom w:val="nil"/>
              <w:right w:val="nil"/>
            </w:tcBorders>
            <w:shd w:val="clear" w:color="auto" w:fill="auto"/>
            <w:noWrap/>
            <w:vAlign w:val="bottom"/>
            <w:hideMark/>
          </w:tcPr>
          <w:p w14:paraId="10640BE0" w14:textId="77777777" w:rsidR="000F5BAD" w:rsidRPr="00720EF1" w:rsidRDefault="000F5BAD" w:rsidP="006A25C9">
            <w:pPr>
              <w:widowControl/>
              <w:jc w:val="left"/>
              <w:rPr>
                <w:kern w:val="0"/>
                <w:sz w:val="20"/>
              </w:rPr>
            </w:pPr>
            <w:r w:rsidRPr="00720EF1">
              <w:rPr>
                <w:kern w:val="0"/>
                <w:sz w:val="20"/>
              </w:rPr>
              <w:t>九泰久睿量化</w:t>
            </w:r>
          </w:p>
        </w:tc>
        <w:tc>
          <w:tcPr>
            <w:tcW w:w="766" w:type="dxa"/>
            <w:tcBorders>
              <w:top w:val="nil"/>
              <w:left w:val="nil"/>
              <w:bottom w:val="nil"/>
              <w:right w:val="nil"/>
            </w:tcBorders>
            <w:shd w:val="clear" w:color="auto" w:fill="auto"/>
            <w:noWrap/>
            <w:vAlign w:val="bottom"/>
            <w:hideMark/>
          </w:tcPr>
          <w:p w14:paraId="6928524F"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4AEA9AE8" w14:textId="77777777" w:rsidR="000F5BAD" w:rsidRPr="00720EF1" w:rsidRDefault="000F5BAD" w:rsidP="006A25C9">
            <w:pPr>
              <w:widowControl/>
              <w:jc w:val="right"/>
              <w:rPr>
                <w:kern w:val="0"/>
                <w:sz w:val="20"/>
              </w:rPr>
            </w:pPr>
            <w:r w:rsidRPr="00720EF1">
              <w:rPr>
                <w:kern w:val="0"/>
                <w:sz w:val="20"/>
              </w:rPr>
              <w:t xml:space="preserve">5.54 </w:t>
            </w:r>
          </w:p>
        </w:tc>
        <w:tc>
          <w:tcPr>
            <w:tcW w:w="981" w:type="dxa"/>
            <w:tcBorders>
              <w:top w:val="nil"/>
              <w:left w:val="nil"/>
              <w:bottom w:val="nil"/>
              <w:right w:val="nil"/>
            </w:tcBorders>
            <w:shd w:val="clear" w:color="auto" w:fill="auto"/>
            <w:noWrap/>
            <w:vAlign w:val="bottom"/>
            <w:hideMark/>
          </w:tcPr>
          <w:p w14:paraId="254599F0" w14:textId="77777777" w:rsidR="000F5BAD" w:rsidRPr="00720EF1" w:rsidRDefault="000F5BAD" w:rsidP="006A25C9">
            <w:pPr>
              <w:widowControl/>
              <w:jc w:val="right"/>
              <w:rPr>
                <w:kern w:val="0"/>
                <w:sz w:val="20"/>
              </w:rPr>
            </w:pPr>
            <w:r w:rsidRPr="00720EF1">
              <w:rPr>
                <w:kern w:val="0"/>
                <w:sz w:val="20"/>
              </w:rPr>
              <w:t>59.83</w:t>
            </w:r>
          </w:p>
        </w:tc>
        <w:tc>
          <w:tcPr>
            <w:tcW w:w="962" w:type="dxa"/>
            <w:tcBorders>
              <w:top w:val="nil"/>
              <w:left w:val="nil"/>
              <w:bottom w:val="nil"/>
              <w:right w:val="nil"/>
            </w:tcBorders>
            <w:shd w:val="clear" w:color="auto" w:fill="auto"/>
            <w:noWrap/>
            <w:vAlign w:val="bottom"/>
            <w:hideMark/>
          </w:tcPr>
          <w:p w14:paraId="7A2F55FD" w14:textId="77777777" w:rsidR="000F5BAD" w:rsidRPr="00720EF1" w:rsidRDefault="000F5BAD" w:rsidP="006A25C9">
            <w:pPr>
              <w:widowControl/>
              <w:jc w:val="right"/>
              <w:rPr>
                <w:kern w:val="0"/>
                <w:sz w:val="20"/>
              </w:rPr>
            </w:pPr>
            <w:r w:rsidRPr="00720EF1">
              <w:rPr>
                <w:kern w:val="0"/>
                <w:sz w:val="20"/>
              </w:rPr>
              <w:t>75.66</w:t>
            </w:r>
          </w:p>
        </w:tc>
        <w:tc>
          <w:tcPr>
            <w:tcW w:w="962" w:type="dxa"/>
            <w:tcBorders>
              <w:top w:val="nil"/>
              <w:left w:val="nil"/>
              <w:bottom w:val="nil"/>
              <w:right w:val="nil"/>
            </w:tcBorders>
            <w:shd w:val="clear" w:color="auto" w:fill="auto"/>
            <w:noWrap/>
            <w:vAlign w:val="bottom"/>
            <w:hideMark/>
          </w:tcPr>
          <w:p w14:paraId="0502C7E5" w14:textId="77777777" w:rsidR="000F5BAD" w:rsidRPr="00720EF1" w:rsidRDefault="000F5BAD" w:rsidP="006A25C9">
            <w:pPr>
              <w:widowControl/>
              <w:jc w:val="right"/>
              <w:rPr>
                <w:kern w:val="0"/>
                <w:sz w:val="20"/>
              </w:rPr>
            </w:pPr>
            <w:r w:rsidRPr="00720EF1">
              <w:rPr>
                <w:kern w:val="0"/>
                <w:sz w:val="20"/>
              </w:rPr>
              <w:t>77.91</w:t>
            </w:r>
          </w:p>
        </w:tc>
        <w:tc>
          <w:tcPr>
            <w:tcW w:w="1197" w:type="dxa"/>
            <w:tcBorders>
              <w:top w:val="nil"/>
              <w:left w:val="nil"/>
              <w:bottom w:val="nil"/>
              <w:right w:val="nil"/>
            </w:tcBorders>
            <w:shd w:val="clear" w:color="auto" w:fill="auto"/>
            <w:noWrap/>
            <w:vAlign w:val="bottom"/>
            <w:hideMark/>
          </w:tcPr>
          <w:p w14:paraId="56BB4EC4" w14:textId="77777777" w:rsidR="000F5BAD" w:rsidRPr="00720EF1" w:rsidRDefault="000F5BAD" w:rsidP="006A25C9">
            <w:pPr>
              <w:widowControl/>
              <w:jc w:val="right"/>
              <w:rPr>
                <w:kern w:val="0"/>
                <w:sz w:val="20"/>
              </w:rPr>
            </w:pPr>
            <w:r w:rsidRPr="00720EF1">
              <w:rPr>
                <w:kern w:val="0"/>
                <w:sz w:val="20"/>
              </w:rPr>
              <w:t xml:space="preserve">      12.09 </w:t>
            </w:r>
          </w:p>
        </w:tc>
      </w:tr>
      <w:tr w:rsidR="000F5BAD" w:rsidRPr="00720EF1" w14:paraId="4B41ED9F" w14:textId="77777777" w:rsidTr="006A25C9">
        <w:trPr>
          <w:trHeight w:val="258"/>
        </w:trPr>
        <w:tc>
          <w:tcPr>
            <w:tcW w:w="2810" w:type="dxa"/>
            <w:tcBorders>
              <w:top w:val="nil"/>
              <w:left w:val="nil"/>
              <w:bottom w:val="nil"/>
              <w:right w:val="nil"/>
            </w:tcBorders>
            <w:shd w:val="clear" w:color="auto" w:fill="auto"/>
            <w:noWrap/>
            <w:vAlign w:val="bottom"/>
            <w:hideMark/>
          </w:tcPr>
          <w:p w14:paraId="54FF6272" w14:textId="77777777" w:rsidR="000F5BAD" w:rsidRPr="00720EF1" w:rsidRDefault="000F5BAD" w:rsidP="006A25C9">
            <w:pPr>
              <w:widowControl/>
              <w:jc w:val="left"/>
              <w:rPr>
                <w:kern w:val="0"/>
                <w:sz w:val="20"/>
              </w:rPr>
            </w:pPr>
            <w:r w:rsidRPr="00720EF1">
              <w:rPr>
                <w:kern w:val="0"/>
                <w:sz w:val="20"/>
              </w:rPr>
              <w:t>天弘甄选食品饮料</w:t>
            </w:r>
            <w:r w:rsidRPr="00720EF1">
              <w:rPr>
                <w:kern w:val="0"/>
                <w:sz w:val="20"/>
              </w:rPr>
              <w:t>C</w:t>
            </w:r>
          </w:p>
        </w:tc>
        <w:tc>
          <w:tcPr>
            <w:tcW w:w="766" w:type="dxa"/>
            <w:tcBorders>
              <w:top w:val="nil"/>
              <w:left w:val="nil"/>
              <w:bottom w:val="nil"/>
              <w:right w:val="nil"/>
            </w:tcBorders>
            <w:shd w:val="clear" w:color="auto" w:fill="auto"/>
            <w:noWrap/>
            <w:vAlign w:val="bottom"/>
            <w:hideMark/>
          </w:tcPr>
          <w:p w14:paraId="64709F94"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4FA6EDBF"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51FB9153" w14:textId="77777777" w:rsidR="000F5BAD" w:rsidRPr="00720EF1" w:rsidRDefault="000F5BAD" w:rsidP="006A25C9">
            <w:pPr>
              <w:widowControl/>
              <w:jc w:val="right"/>
              <w:rPr>
                <w:kern w:val="0"/>
                <w:sz w:val="20"/>
              </w:rPr>
            </w:pPr>
            <w:r w:rsidRPr="00720EF1">
              <w:rPr>
                <w:kern w:val="0"/>
                <w:sz w:val="20"/>
              </w:rPr>
              <w:t>65.33</w:t>
            </w:r>
          </w:p>
        </w:tc>
        <w:tc>
          <w:tcPr>
            <w:tcW w:w="962" w:type="dxa"/>
            <w:tcBorders>
              <w:top w:val="nil"/>
              <w:left w:val="nil"/>
              <w:bottom w:val="nil"/>
              <w:right w:val="nil"/>
            </w:tcBorders>
            <w:shd w:val="clear" w:color="auto" w:fill="auto"/>
            <w:noWrap/>
            <w:vAlign w:val="bottom"/>
            <w:hideMark/>
          </w:tcPr>
          <w:p w14:paraId="3B030E4B" w14:textId="77777777" w:rsidR="000F5BAD" w:rsidRPr="00720EF1" w:rsidRDefault="000F5BAD" w:rsidP="006A25C9">
            <w:pPr>
              <w:widowControl/>
              <w:jc w:val="right"/>
              <w:rPr>
                <w:kern w:val="0"/>
                <w:sz w:val="20"/>
              </w:rPr>
            </w:pPr>
            <w:r w:rsidRPr="00720EF1">
              <w:rPr>
                <w:kern w:val="0"/>
                <w:sz w:val="20"/>
              </w:rPr>
              <w:t>81.04</w:t>
            </w:r>
          </w:p>
        </w:tc>
        <w:tc>
          <w:tcPr>
            <w:tcW w:w="962" w:type="dxa"/>
            <w:tcBorders>
              <w:top w:val="nil"/>
              <w:left w:val="nil"/>
              <w:bottom w:val="nil"/>
              <w:right w:val="nil"/>
            </w:tcBorders>
            <w:shd w:val="clear" w:color="auto" w:fill="auto"/>
            <w:noWrap/>
            <w:vAlign w:val="bottom"/>
            <w:hideMark/>
          </w:tcPr>
          <w:p w14:paraId="7F4837B9" w14:textId="77777777" w:rsidR="000F5BAD" w:rsidRPr="00720EF1" w:rsidRDefault="000F5BAD" w:rsidP="006A25C9">
            <w:pPr>
              <w:widowControl/>
              <w:jc w:val="right"/>
              <w:rPr>
                <w:kern w:val="0"/>
                <w:sz w:val="20"/>
              </w:rPr>
            </w:pPr>
            <w:r w:rsidRPr="00720EF1">
              <w:rPr>
                <w:kern w:val="0"/>
                <w:sz w:val="20"/>
              </w:rPr>
              <w:t>85.59</w:t>
            </w:r>
          </w:p>
        </w:tc>
        <w:tc>
          <w:tcPr>
            <w:tcW w:w="1197" w:type="dxa"/>
            <w:tcBorders>
              <w:top w:val="nil"/>
              <w:left w:val="nil"/>
              <w:bottom w:val="nil"/>
              <w:right w:val="nil"/>
            </w:tcBorders>
            <w:shd w:val="clear" w:color="auto" w:fill="auto"/>
            <w:noWrap/>
            <w:vAlign w:val="bottom"/>
            <w:hideMark/>
          </w:tcPr>
          <w:p w14:paraId="108EA44E" w14:textId="77777777" w:rsidR="000F5BAD" w:rsidRPr="00720EF1" w:rsidRDefault="000F5BAD" w:rsidP="006A25C9">
            <w:pPr>
              <w:widowControl/>
              <w:jc w:val="right"/>
              <w:rPr>
                <w:kern w:val="0"/>
                <w:sz w:val="20"/>
              </w:rPr>
            </w:pPr>
            <w:r w:rsidRPr="00720EF1">
              <w:rPr>
                <w:kern w:val="0"/>
                <w:sz w:val="20"/>
              </w:rPr>
              <w:t xml:space="preserve">      14.75 </w:t>
            </w:r>
          </w:p>
        </w:tc>
      </w:tr>
      <w:tr w:rsidR="000F5BAD" w:rsidRPr="00720EF1" w14:paraId="2E21DD84" w14:textId="77777777" w:rsidTr="006A25C9">
        <w:trPr>
          <w:trHeight w:val="258"/>
        </w:trPr>
        <w:tc>
          <w:tcPr>
            <w:tcW w:w="2810" w:type="dxa"/>
            <w:tcBorders>
              <w:top w:val="nil"/>
              <w:left w:val="nil"/>
              <w:bottom w:val="nil"/>
              <w:right w:val="nil"/>
            </w:tcBorders>
            <w:shd w:val="clear" w:color="auto" w:fill="auto"/>
            <w:noWrap/>
            <w:vAlign w:val="bottom"/>
            <w:hideMark/>
          </w:tcPr>
          <w:p w14:paraId="3B45C9D3" w14:textId="77777777" w:rsidR="000F5BAD" w:rsidRPr="00720EF1" w:rsidRDefault="000F5BAD" w:rsidP="006A25C9">
            <w:pPr>
              <w:widowControl/>
              <w:jc w:val="left"/>
              <w:rPr>
                <w:kern w:val="0"/>
                <w:sz w:val="20"/>
              </w:rPr>
            </w:pPr>
            <w:r w:rsidRPr="00720EF1">
              <w:rPr>
                <w:kern w:val="0"/>
                <w:sz w:val="20"/>
              </w:rPr>
              <w:t>广发中证医疗</w:t>
            </w:r>
            <w:r w:rsidRPr="00720EF1">
              <w:rPr>
                <w:kern w:val="0"/>
                <w:sz w:val="20"/>
              </w:rPr>
              <w:t>C</w:t>
            </w:r>
          </w:p>
        </w:tc>
        <w:tc>
          <w:tcPr>
            <w:tcW w:w="766" w:type="dxa"/>
            <w:tcBorders>
              <w:top w:val="nil"/>
              <w:left w:val="nil"/>
              <w:bottom w:val="nil"/>
              <w:right w:val="nil"/>
            </w:tcBorders>
            <w:shd w:val="clear" w:color="auto" w:fill="auto"/>
            <w:noWrap/>
            <w:vAlign w:val="bottom"/>
            <w:hideMark/>
          </w:tcPr>
          <w:p w14:paraId="7F5C6E0D"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17F6F717" w14:textId="77777777" w:rsidR="000F5BAD" w:rsidRPr="00720EF1" w:rsidRDefault="000F5BAD" w:rsidP="006A25C9">
            <w:pPr>
              <w:widowControl/>
              <w:jc w:val="right"/>
              <w:rPr>
                <w:kern w:val="0"/>
                <w:sz w:val="20"/>
              </w:rPr>
            </w:pPr>
            <w:r w:rsidRPr="00720EF1">
              <w:rPr>
                <w:kern w:val="0"/>
                <w:sz w:val="20"/>
              </w:rPr>
              <w:t xml:space="preserve">8.05 </w:t>
            </w:r>
          </w:p>
        </w:tc>
        <w:tc>
          <w:tcPr>
            <w:tcW w:w="981" w:type="dxa"/>
            <w:tcBorders>
              <w:top w:val="nil"/>
              <w:left w:val="nil"/>
              <w:bottom w:val="nil"/>
              <w:right w:val="nil"/>
            </w:tcBorders>
            <w:shd w:val="clear" w:color="auto" w:fill="auto"/>
            <w:noWrap/>
            <w:vAlign w:val="bottom"/>
            <w:hideMark/>
          </w:tcPr>
          <w:p w14:paraId="7871E553" w14:textId="77777777" w:rsidR="000F5BAD" w:rsidRPr="00720EF1" w:rsidRDefault="000F5BAD" w:rsidP="006A25C9">
            <w:pPr>
              <w:widowControl/>
              <w:jc w:val="right"/>
              <w:rPr>
                <w:kern w:val="0"/>
                <w:sz w:val="20"/>
              </w:rPr>
            </w:pPr>
            <w:r w:rsidRPr="00720EF1">
              <w:rPr>
                <w:kern w:val="0"/>
                <w:sz w:val="20"/>
              </w:rPr>
              <w:t>60.26</w:t>
            </w:r>
          </w:p>
        </w:tc>
        <w:tc>
          <w:tcPr>
            <w:tcW w:w="962" w:type="dxa"/>
            <w:tcBorders>
              <w:top w:val="nil"/>
              <w:left w:val="nil"/>
              <w:bottom w:val="nil"/>
              <w:right w:val="nil"/>
            </w:tcBorders>
            <w:shd w:val="clear" w:color="auto" w:fill="auto"/>
            <w:noWrap/>
            <w:vAlign w:val="bottom"/>
            <w:hideMark/>
          </w:tcPr>
          <w:p w14:paraId="4477954B" w14:textId="77777777" w:rsidR="000F5BAD" w:rsidRPr="00720EF1" w:rsidRDefault="000F5BAD" w:rsidP="006A25C9">
            <w:pPr>
              <w:widowControl/>
              <w:jc w:val="right"/>
              <w:rPr>
                <w:kern w:val="0"/>
                <w:sz w:val="20"/>
              </w:rPr>
            </w:pPr>
            <w:r w:rsidRPr="00720EF1">
              <w:rPr>
                <w:kern w:val="0"/>
                <w:sz w:val="20"/>
              </w:rPr>
              <w:t>79.26</w:t>
            </w:r>
          </w:p>
        </w:tc>
        <w:tc>
          <w:tcPr>
            <w:tcW w:w="962" w:type="dxa"/>
            <w:tcBorders>
              <w:top w:val="nil"/>
              <w:left w:val="nil"/>
              <w:bottom w:val="nil"/>
              <w:right w:val="nil"/>
            </w:tcBorders>
            <w:shd w:val="clear" w:color="auto" w:fill="auto"/>
            <w:noWrap/>
            <w:vAlign w:val="bottom"/>
            <w:hideMark/>
          </w:tcPr>
          <w:p w14:paraId="3AA726B4" w14:textId="77777777" w:rsidR="000F5BAD" w:rsidRPr="00720EF1" w:rsidRDefault="000F5BAD" w:rsidP="006A25C9">
            <w:pPr>
              <w:widowControl/>
              <w:jc w:val="right"/>
              <w:rPr>
                <w:kern w:val="0"/>
                <w:sz w:val="20"/>
              </w:rPr>
            </w:pPr>
            <w:r w:rsidRPr="00720EF1">
              <w:rPr>
                <w:kern w:val="0"/>
                <w:sz w:val="20"/>
              </w:rPr>
              <w:t>83.51</w:t>
            </w:r>
          </w:p>
        </w:tc>
        <w:tc>
          <w:tcPr>
            <w:tcW w:w="1197" w:type="dxa"/>
            <w:tcBorders>
              <w:top w:val="nil"/>
              <w:left w:val="nil"/>
              <w:bottom w:val="nil"/>
              <w:right w:val="nil"/>
            </w:tcBorders>
            <w:shd w:val="clear" w:color="auto" w:fill="auto"/>
            <w:noWrap/>
            <w:vAlign w:val="bottom"/>
            <w:hideMark/>
          </w:tcPr>
          <w:p w14:paraId="398493AB" w14:textId="77777777" w:rsidR="000F5BAD" w:rsidRPr="00720EF1" w:rsidRDefault="000F5BAD" w:rsidP="006A25C9">
            <w:pPr>
              <w:widowControl/>
              <w:jc w:val="right"/>
              <w:rPr>
                <w:kern w:val="0"/>
                <w:sz w:val="20"/>
              </w:rPr>
            </w:pPr>
            <w:r w:rsidRPr="00720EF1">
              <w:rPr>
                <w:kern w:val="0"/>
                <w:sz w:val="20"/>
              </w:rPr>
              <w:t xml:space="preserve">      11.17 </w:t>
            </w:r>
          </w:p>
        </w:tc>
      </w:tr>
      <w:tr w:rsidR="000F5BAD" w:rsidRPr="00720EF1" w14:paraId="25FD8496" w14:textId="77777777" w:rsidTr="006A25C9">
        <w:trPr>
          <w:trHeight w:val="258"/>
        </w:trPr>
        <w:tc>
          <w:tcPr>
            <w:tcW w:w="2810" w:type="dxa"/>
            <w:tcBorders>
              <w:top w:val="nil"/>
              <w:left w:val="nil"/>
              <w:bottom w:val="nil"/>
              <w:right w:val="nil"/>
            </w:tcBorders>
            <w:shd w:val="clear" w:color="auto" w:fill="auto"/>
            <w:noWrap/>
            <w:vAlign w:val="bottom"/>
            <w:hideMark/>
          </w:tcPr>
          <w:p w14:paraId="643BD4FC" w14:textId="77777777" w:rsidR="000F5BAD" w:rsidRPr="00720EF1" w:rsidRDefault="000F5BAD" w:rsidP="006A25C9">
            <w:pPr>
              <w:widowControl/>
              <w:jc w:val="left"/>
              <w:rPr>
                <w:kern w:val="0"/>
                <w:sz w:val="20"/>
              </w:rPr>
            </w:pPr>
            <w:r w:rsidRPr="00720EF1">
              <w:rPr>
                <w:kern w:val="0"/>
                <w:sz w:val="20"/>
              </w:rPr>
              <w:t>民生加银医药健康</w:t>
            </w:r>
            <w:r w:rsidRPr="00720EF1">
              <w:rPr>
                <w:kern w:val="0"/>
                <w:sz w:val="20"/>
              </w:rPr>
              <w:t>A</w:t>
            </w:r>
          </w:p>
        </w:tc>
        <w:tc>
          <w:tcPr>
            <w:tcW w:w="766" w:type="dxa"/>
            <w:tcBorders>
              <w:top w:val="nil"/>
              <w:left w:val="nil"/>
              <w:bottom w:val="nil"/>
              <w:right w:val="nil"/>
            </w:tcBorders>
            <w:shd w:val="clear" w:color="auto" w:fill="auto"/>
            <w:noWrap/>
            <w:vAlign w:val="bottom"/>
            <w:hideMark/>
          </w:tcPr>
          <w:p w14:paraId="6666C50D"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0FA26715" w14:textId="77777777" w:rsidR="000F5BAD" w:rsidRPr="00720EF1" w:rsidRDefault="000F5BAD" w:rsidP="006A25C9">
            <w:pPr>
              <w:widowControl/>
              <w:jc w:val="right"/>
              <w:rPr>
                <w:kern w:val="0"/>
                <w:sz w:val="20"/>
              </w:rPr>
            </w:pPr>
            <w:r w:rsidRPr="00720EF1">
              <w:rPr>
                <w:kern w:val="0"/>
                <w:sz w:val="20"/>
              </w:rPr>
              <w:t xml:space="preserve">8.05 </w:t>
            </w:r>
          </w:p>
        </w:tc>
        <w:tc>
          <w:tcPr>
            <w:tcW w:w="981" w:type="dxa"/>
            <w:tcBorders>
              <w:top w:val="nil"/>
              <w:left w:val="nil"/>
              <w:bottom w:val="nil"/>
              <w:right w:val="nil"/>
            </w:tcBorders>
            <w:shd w:val="clear" w:color="auto" w:fill="auto"/>
            <w:noWrap/>
            <w:vAlign w:val="bottom"/>
            <w:hideMark/>
          </w:tcPr>
          <w:p w14:paraId="64593E8F" w14:textId="77777777" w:rsidR="000F5BAD" w:rsidRPr="00720EF1" w:rsidRDefault="000F5BAD" w:rsidP="006A25C9">
            <w:pPr>
              <w:widowControl/>
              <w:jc w:val="right"/>
              <w:rPr>
                <w:kern w:val="0"/>
                <w:sz w:val="20"/>
              </w:rPr>
            </w:pPr>
            <w:r w:rsidRPr="00720EF1">
              <w:rPr>
                <w:kern w:val="0"/>
                <w:sz w:val="20"/>
              </w:rPr>
              <w:t>62.55</w:t>
            </w:r>
          </w:p>
        </w:tc>
        <w:tc>
          <w:tcPr>
            <w:tcW w:w="962" w:type="dxa"/>
            <w:tcBorders>
              <w:top w:val="nil"/>
              <w:left w:val="nil"/>
              <w:bottom w:val="nil"/>
              <w:right w:val="nil"/>
            </w:tcBorders>
            <w:shd w:val="clear" w:color="auto" w:fill="auto"/>
            <w:noWrap/>
            <w:vAlign w:val="bottom"/>
            <w:hideMark/>
          </w:tcPr>
          <w:p w14:paraId="4EC1DB0D" w14:textId="77777777" w:rsidR="000F5BAD" w:rsidRPr="00720EF1" w:rsidRDefault="000F5BAD" w:rsidP="006A25C9">
            <w:pPr>
              <w:widowControl/>
              <w:jc w:val="right"/>
              <w:rPr>
                <w:kern w:val="0"/>
                <w:sz w:val="20"/>
              </w:rPr>
            </w:pPr>
            <w:r w:rsidRPr="00720EF1">
              <w:rPr>
                <w:kern w:val="0"/>
                <w:sz w:val="20"/>
              </w:rPr>
              <w:t>78.5</w:t>
            </w:r>
          </w:p>
        </w:tc>
        <w:tc>
          <w:tcPr>
            <w:tcW w:w="962" w:type="dxa"/>
            <w:tcBorders>
              <w:top w:val="nil"/>
              <w:left w:val="nil"/>
              <w:bottom w:val="nil"/>
              <w:right w:val="nil"/>
            </w:tcBorders>
            <w:shd w:val="clear" w:color="auto" w:fill="auto"/>
            <w:noWrap/>
            <w:vAlign w:val="bottom"/>
            <w:hideMark/>
          </w:tcPr>
          <w:p w14:paraId="7DFD5929" w14:textId="77777777" w:rsidR="000F5BAD" w:rsidRPr="00720EF1" w:rsidRDefault="000F5BAD" w:rsidP="006A25C9">
            <w:pPr>
              <w:widowControl/>
              <w:jc w:val="right"/>
              <w:rPr>
                <w:kern w:val="0"/>
                <w:sz w:val="20"/>
              </w:rPr>
            </w:pPr>
            <w:r w:rsidRPr="00720EF1">
              <w:rPr>
                <w:kern w:val="0"/>
                <w:sz w:val="20"/>
              </w:rPr>
              <w:t>79.72</w:t>
            </w:r>
          </w:p>
        </w:tc>
        <w:tc>
          <w:tcPr>
            <w:tcW w:w="1197" w:type="dxa"/>
            <w:tcBorders>
              <w:top w:val="nil"/>
              <w:left w:val="nil"/>
              <w:bottom w:val="nil"/>
              <w:right w:val="nil"/>
            </w:tcBorders>
            <w:shd w:val="clear" w:color="auto" w:fill="auto"/>
            <w:noWrap/>
            <w:vAlign w:val="bottom"/>
            <w:hideMark/>
          </w:tcPr>
          <w:p w14:paraId="7B52791F" w14:textId="77777777" w:rsidR="000F5BAD" w:rsidRPr="00720EF1" w:rsidRDefault="000F5BAD" w:rsidP="006A25C9">
            <w:pPr>
              <w:widowControl/>
              <w:jc w:val="right"/>
              <w:rPr>
                <w:kern w:val="0"/>
                <w:sz w:val="20"/>
              </w:rPr>
            </w:pPr>
            <w:r w:rsidRPr="00720EF1">
              <w:rPr>
                <w:kern w:val="0"/>
                <w:sz w:val="20"/>
              </w:rPr>
              <w:t xml:space="preserve">        0.23 </w:t>
            </w:r>
          </w:p>
        </w:tc>
      </w:tr>
      <w:tr w:rsidR="000F5BAD" w:rsidRPr="00720EF1" w14:paraId="6A5BA0F6" w14:textId="77777777" w:rsidTr="006A25C9">
        <w:trPr>
          <w:trHeight w:val="258"/>
        </w:trPr>
        <w:tc>
          <w:tcPr>
            <w:tcW w:w="2810" w:type="dxa"/>
            <w:tcBorders>
              <w:top w:val="nil"/>
              <w:left w:val="nil"/>
              <w:bottom w:val="nil"/>
              <w:right w:val="nil"/>
            </w:tcBorders>
            <w:shd w:val="clear" w:color="auto" w:fill="auto"/>
            <w:noWrap/>
            <w:vAlign w:val="bottom"/>
            <w:hideMark/>
          </w:tcPr>
          <w:p w14:paraId="09D43EBE" w14:textId="77777777" w:rsidR="000F5BAD" w:rsidRPr="00720EF1" w:rsidRDefault="000F5BAD" w:rsidP="006A25C9">
            <w:pPr>
              <w:widowControl/>
              <w:jc w:val="left"/>
              <w:rPr>
                <w:kern w:val="0"/>
                <w:sz w:val="20"/>
              </w:rPr>
            </w:pPr>
            <w:r w:rsidRPr="00720EF1">
              <w:rPr>
                <w:kern w:val="0"/>
                <w:sz w:val="20"/>
              </w:rPr>
              <w:t>北信瑞丰优选成长</w:t>
            </w:r>
          </w:p>
        </w:tc>
        <w:tc>
          <w:tcPr>
            <w:tcW w:w="766" w:type="dxa"/>
            <w:tcBorders>
              <w:top w:val="nil"/>
              <w:left w:val="nil"/>
              <w:bottom w:val="nil"/>
              <w:right w:val="nil"/>
            </w:tcBorders>
            <w:shd w:val="clear" w:color="auto" w:fill="auto"/>
            <w:noWrap/>
            <w:vAlign w:val="bottom"/>
            <w:hideMark/>
          </w:tcPr>
          <w:p w14:paraId="2E77C71B"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441E269B" w14:textId="77777777" w:rsidR="000F5BAD" w:rsidRPr="00720EF1" w:rsidRDefault="000F5BAD" w:rsidP="006A25C9">
            <w:pPr>
              <w:widowControl/>
              <w:jc w:val="right"/>
              <w:rPr>
                <w:kern w:val="0"/>
                <w:sz w:val="20"/>
              </w:rPr>
            </w:pPr>
            <w:r w:rsidRPr="00720EF1">
              <w:rPr>
                <w:kern w:val="0"/>
                <w:sz w:val="20"/>
              </w:rPr>
              <w:t xml:space="preserve">6.94 </w:t>
            </w:r>
          </w:p>
        </w:tc>
        <w:tc>
          <w:tcPr>
            <w:tcW w:w="981" w:type="dxa"/>
            <w:tcBorders>
              <w:top w:val="nil"/>
              <w:left w:val="nil"/>
              <w:bottom w:val="nil"/>
              <w:right w:val="nil"/>
            </w:tcBorders>
            <w:shd w:val="clear" w:color="auto" w:fill="auto"/>
            <w:noWrap/>
            <w:vAlign w:val="bottom"/>
            <w:hideMark/>
          </w:tcPr>
          <w:p w14:paraId="53BBF34E" w14:textId="77777777" w:rsidR="000F5BAD" w:rsidRPr="00720EF1" w:rsidRDefault="000F5BAD" w:rsidP="006A25C9">
            <w:pPr>
              <w:widowControl/>
              <w:jc w:val="right"/>
              <w:rPr>
                <w:kern w:val="0"/>
                <w:sz w:val="20"/>
              </w:rPr>
            </w:pPr>
            <w:r w:rsidRPr="00720EF1">
              <w:rPr>
                <w:kern w:val="0"/>
                <w:sz w:val="20"/>
              </w:rPr>
              <w:t>63.65</w:t>
            </w:r>
          </w:p>
        </w:tc>
        <w:tc>
          <w:tcPr>
            <w:tcW w:w="962" w:type="dxa"/>
            <w:tcBorders>
              <w:top w:val="nil"/>
              <w:left w:val="nil"/>
              <w:bottom w:val="nil"/>
              <w:right w:val="nil"/>
            </w:tcBorders>
            <w:shd w:val="clear" w:color="auto" w:fill="auto"/>
            <w:noWrap/>
            <w:vAlign w:val="bottom"/>
            <w:hideMark/>
          </w:tcPr>
          <w:p w14:paraId="6C71DFDC" w14:textId="77777777" w:rsidR="000F5BAD" w:rsidRPr="00720EF1" w:rsidRDefault="000F5BAD" w:rsidP="006A25C9">
            <w:pPr>
              <w:widowControl/>
              <w:jc w:val="right"/>
              <w:rPr>
                <w:kern w:val="0"/>
                <w:sz w:val="20"/>
              </w:rPr>
            </w:pPr>
            <w:r w:rsidRPr="00720EF1">
              <w:rPr>
                <w:kern w:val="0"/>
                <w:sz w:val="20"/>
              </w:rPr>
              <w:t>83.36</w:t>
            </w:r>
          </w:p>
        </w:tc>
        <w:tc>
          <w:tcPr>
            <w:tcW w:w="962" w:type="dxa"/>
            <w:tcBorders>
              <w:top w:val="nil"/>
              <w:left w:val="nil"/>
              <w:bottom w:val="nil"/>
              <w:right w:val="nil"/>
            </w:tcBorders>
            <w:shd w:val="clear" w:color="auto" w:fill="auto"/>
            <w:noWrap/>
            <w:vAlign w:val="bottom"/>
            <w:hideMark/>
          </w:tcPr>
          <w:p w14:paraId="67A5E3AB" w14:textId="77777777" w:rsidR="000F5BAD" w:rsidRPr="00720EF1" w:rsidRDefault="000F5BAD" w:rsidP="006A25C9">
            <w:pPr>
              <w:widowControl/>
              <w:jc w:val="right"/>
              <w:rPr>
                <w:kern w:val="0"/>
                <w:sz w:val="20"/>
              </w:rPr>
            </w:pPr>
            <w:r w:rsidRPr="00720EF1">
              <w:rPr>
                <w:kern w:val="0"/>
                <w:sz w:val="20"/>
              </w:rPr>
              <w:t>80.27</w:t>
            </w:r>
          </w:p>
        </w:tc>
        <w:tc>
          <w:tcPr>
            <w:tcW w:w="1197" w:type="dxa"/>
            <w:tcBorders>
              <w:top w:val="nil"/>
              <w:left w:val="nil"/>
              <w:bottom w:val="nil"/>
              <w:right w:val="nil"/>
            </w:tcBorders>
            <w:shd w:val="clear" w:color="auto" w:fill="auto"/>
            <w:noWrap/>
            <w:vAlign w:val="bottom"/>
            <w:hideMark/>
          </w:tcPr>
          <w:p w14:paraId="621C14ED" w14:textId="77777777" w:rsidR="000F5BAD" w:rsidRPr="00720EF1" w:rsidRDefault="000F5BAD" w:rsidP="006A25C9">
            <w:pPr>
              <w:widowControl/>
              <w:jc w:val="right"/>
              <w:rPr>
                <w:kern w:val="0"/>
                <w:sz w:val="20"/>
              </w:rPr>
            </w:pPr>
            <w:r w:rsidRPr="00720EF1">
              <w:rPr>
                <w:kern w:val="0"/>
                <w:sz w:val="20"/>
              </w:rPr>
              <w:t xml:space="preserve">      30.88 </w:t>
            </w:r>
          </w:p>
        </w:tc>
      </w:tr>
      <w:tr w:rsidR="000F5BAD" w:rsidRPr="00720EF1" w14:paraId="420670FD" w14:textId="77777777" w:rsidTr="006A25C9">
        <w:trPr>
          <w:trHeight w:val="258"/>
        </w:trPr>
        <w:tc>
          <w:tcPr>
            <w:tcW w:w="2810" w:type="dxa"/>
            <w:tcBorders>
              <w:top w:val="nil"/>
              <w:left w:val="nil"/>
              <w:bottom w:val="nil"/>
              <w:right w:val="nil"/>
            </w:tcBorders>
            <w:shd w:val="clear" w:color="auto" w:fill="auto"/>
            <w:noWrap/>
            <w:vAlign w:val="bottom"/>
            <w:hideMark/>
          </w:tcPr>
          <w:p w14:paraId="583AE78A" w14:textId="77777777" w:rsidR="000F5BAD" w:rsidRPr="00720EF1" w:rsidRDefault="000F5BAD" w:rsidP="006A25C9">
            <w:pPr>
              <w:widowControl/>
              <w:jc w:val="left"/>
              <w:rPr>
                <w:kern w:val="0"/>
                <w:sz w:val="20"/>
              </w:rPr>
            </w:pPr>
            <w:r w:rsidRPr="00720EF1">
              <w:rPr>
                <w:kern w:val="0"/>
                <w:sz w:val="20"/>
              </w:rPr>
              <w:t>信达澳银蓝筹精选</w:t>
            </w:r>
          </w:p>
        </w:tc>
        <w:tc>
          <w:tcPr>
            <w:tcW w:w="766" w:type="dxa"/>
            <w:tcBorders>
              <w:top w:val="nil"/>
              <w:left w:val="nil"/>
              <w:bottom w:val="nil"/>
              <w:right w:val="nil"/>
            </w:tcBorders>
            <w:shd w:val="clear" w:color="auto" w:fill="auto"/>
            <w:noWrap/>
            <w:vAlign w:val="bottom"/>
            <w:hideMark/>
          </w:tcPr>
          <w:p w14:paraId="66D181BB"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0E6AD2A8" w14:textId="77777777" w:rsidR="000F5BAD" w:rsidRPr="00720EF1" w:rsidRDefault="000F5BAD" w:rsidP="006A25C9">
            <w:pPr>
              <w:widowControl/>
              <w:jc w:val="right"/>
              <w:rPr>
                <w:kern w:val="0"/>
                <w:sz w:val="20"/>
              </w:rPr>
            </w:pPr>
            <w:r w:rsidRPr="00720EF1">
              <w:rPr>
                <w:kern w:val="0"/>
                <w:sz w:val="20"/>
              </w:rPr>
              <w:t xml:space="preserve">5.80 </w:t>
            </w:r>
          </w:p>
        </w:tc>
        <w:tc>
          <w:tcPr>
            <w:tcW w:w="981" w:type="dxa"/>
            <w:tcBorders>
              <w:top w:val="nil"/>
              <w:left w:val="nil"/>
              <w:bottom w:val="nil"/>
              <w:right w:val="nil"/>
            </w:tcBorders>
            <w:shd w:val="clear" w:color="auto" w:fill="auto"/>
            <w:noWrap/>
            <w:vAlign w:val="bottom"/>
            <w:hideMark/>
          </w:tcPr>
          <w:p w14:paraId="332023D7" w14:textId="77777777" w:rsidR="000F5BAD" w:rsidRPr="00720EF1" w:rsidRDefault="000F5BAD" w:rsidP="006A25C9">
            <w:pPr>
              <w:widowControl/>
              <w:jc w:val="right"/>
              <w:rPr>
                <w:kern w:val="0"/>
                <w:sz w:val="20"/>
              </w:rPr>
            </w:pPr>
            <w:r w:rsidRPr="00720EF1">
              <w:rPr>
                <w:kern w:val="0"/>
                <w:sz w:val="20"/>
              </w:rPr>
              <w:t>70.54</w:t>
            </w:r>
          </w:p>
        </w:tc>
        <w:tc>
          <w:tcPr>
            <w:tcW w:w="962" w:type="dxa"/>
            <w:tcBorders>
              <w:top w:val="nil"/>
              <w:left w:val="nil"/>
              <w:bottom w:val="nil"/>
              <w:right w:val="nil"/>
            </w:tcBorders>
            <w:shd w:val="clear" w:color="auto" w:fill="auto"/>
            <w:noWrap/>
            <w:vAlign w:val="bottom"/>
            <w:hideMark/>
          </w:tcPr>
          <w:p w14:paraId="730BBA68" w14:textId="77777777" w:rsidR="000F5BAD" w:rsidRPr="00720EF1" w:rsidRDefault="000F5BAD" w:rsidP="006A25C9">
            <w:pPr>
              <w:widowControl/>
              <w:jc w:val="right"/>
              <w:rPr>
                <w:kern w:val="0"/>
                <w:sz w:val="20"/>
              </w:rPr>
            </w:pPr>
            <w:r w:rsidRPr="00720EF1">
              <w:rPr>
                <w:kern w:val="0"/>
                <w:sz w:val="20"/>
              </w:rPr>
              <w:t>78.08</w:t>
            </w:r>
          </w:p>
        </w:tc>
        <w:tc>
          <w:tcPr>
            <w:tcW w:w="962" w:type="dxa"/>
            <w:tcBorders>
              <w:top w:val="nil"/>
              <w:left w:val="nil"/>
              <w:bottom w:val="nil"/>
              <w:right w:val="nil"/>
            </w:tcBorders>
            <w:shd w:val="clear" w:color="auto" w:fill="auto"/>
            <w:noWrap/>
            <w:vAlign w:val="bottom"/>
            <w:hideMark/>
          </w:tcPr>
          <w:p w14:paraId="23FB16AD" w14:textId="77777777" w:rsidR="000F5BAD" w:rsidRPr="00720EF1" w:rsidRDefault="000F5BAD" w:rsidP="006A25C9">
            <w:pPr>
              <w:widowControl/>
              <w:jc w:val="right"/>
              <w:rPr>
                <w:kern w:val="0"/>
                <w:sz w:val="20"/>
              </w:rPr>
            </w:pPr>
            <w:r w:rsidRPr="00720EF1">
              <w:rPr>
                <w:kern w:val="0"/>
                <w:sz w:val="20"/>
              </w:rPr>
              <w:t>86.19</w:t>
            </w:r>
          </w:p>
        </w:tc>
        <w:tc>
          <w:tcPr>
            <w:tcW w:w="1197" w:type="dxa"/>
            <w:tcBorders>
              <w:top w:val="nil"/>
              <w:left w:val="nil"/>
              <w:bottom w:val="nil"/>
              <w:right w:val="nil"/>
            </w:tcBorders>
            <w:shd w:val="clear" w:color="auto" w:fill="auto"/>
            <w:noWrap/>
            <w:vAlign w:val="bottom"/>
            <w:hideMark/>
          </w:tcPr>
          <w:p w14:paraId="72A1BE17" w14:textId="77777777" w:rsidR="000F5BAD" w:rsidRPr="00720EF1" w:rsidRDefault="000F5BAD" w:rsidP="006A25C9">
            <w:pPr>
              <w:widowControl/>
              <w:jc w:val="right"/>
              <w:rPr>
                <w:kern w:val="0"/>
                <w:sz w:val="20"/>
              </w:rPr>
            </w:pPr>
            <w:r w:rsidRPr="00720EF1">
              <w:rPr>
                <w:kern w:val="0"/>
                <w:sz w:val="20"/>
              </w:rPr>
              <w:t xml:space="preserve">        9.65 </w:t>
            </w:r>
          </w:p>
        </w:tc>
      </w:tr>
      <w:tr w:rsidR="000F5BAD" w:rsidRPr="00720EF1" w14:paraId="1E0AAE71" w14:textId="77777777" w:rsidTr="006A25C9">
        <w:trPr>
          <w:trHeight w:val="258"/>
        </w:trPr>
        <w:tc>
          <w:tcPr>
            <w:tcW w:w="2810" w:type="dxa"/>
            <w:tcBorders>
              <w:top w:val="nil"/>
              <w:left w:val="nil"/>
              <w:bottom w:val="nil"/>
              <w:right w:val="nil"/>
            </w:tcBorders>
            <w:shd w:val="clear" w:color="auto" w:fill="auto"/>
            <w:noWrap/>
            <w:vAlign w:val="bottom"/>
            <w:hideMark/>
          </w:tcPr>
          <w:p w14:paraId="0C2984D6" w14:textId="77777777" w:rsidR="000F5BAD" w:rsidRPr="00720EF1" w:rsidRDefault="000F5BAD" w:rsidP="006A25C9">
            <w:pPr>
              <w:widowControl/>
              <w:jc w:val="left"/>
              <w:rPr>
                <w:kern w:val="0"/>
                <w:sz w:val="20"/>
              </w:rPr>
            </w:pPr>
            <w:r w:rsidRPr="00720EF1">
              <w:rPr>
                <w:kern w:val="0"/>
                <w:sz w:val="20"/>
              </w:rPr>
              <w:lastRenderedPageBreak/>
              <w:t>广发研究精选</w:t>
            </w:r>
            <w:r w:rsidRPr="00720EF1">
              <w:rPr>
                <w:kern w:val="0"/>
                <w:sz w:val="20"/>
              </w:rPr>
              <w:t>C</w:t>
            </w:r>
          </w:p>
        </w:tc>
        <w:tc>
          <w:tcPr>
            <w:tcW w:w="766" w:type="dxa"/>
            <w:tcBorders>
              <w:top w:val="nil"/>
              <w:left w:val="nil"/>
              <w:bottom w:val="nil"/>
              <w:right w:val="nil"/>
            </w:tcBorders>
            <w:shd w:val="clear" w:color="auto" w:fill="auto"/>
            <w:noWrap/>
            <w:vAlign w:val="bottom"/>
            <w:hideMark/>
          </w:tcPr>
          <w:p w14:paraId="2FD9C0F0"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4FCB7DB2"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4CA1EC95" w14:textId="77777777" w:rsidR="000F5BAD" w:rsidRPr="00720EF1" w:rsidRDefault="000F5BAD" w:rsidP="006A25C9">
            <w:pPr>
              <w:widowControl/>
              <w:jc w:val="right"/>
              <w:rPr>
                <w:kern w:val="0"/>
                <w:sz w:val="20"/>
              </w:rPr>
            </w:pPr>
            <w:r w:rsidRPr="00720EF1">
              <w:rPr>
                <w:kern w:val="0"/>
                <w:sz w:val="20"/>
              </w:rPr>
              <w:t>66.72</w:t>
            </w:r>
          </w:p>
        </w:tc>
        <w:tc>
          <w:tcPr>
            <w:tcW w:w="962" w:type="dxa"/>
            <w:tcBorders>
              <w:top w:val="nil"/>
              <w:left w:val="nil"/>
              <w:bottom w:val="nil"/>
              <w:right w:val="nil"/>
            </w:tcBorders>
            <w:shd w:val="clear" w:color="auto" w:fill="auto"/>
            <w:noWrap/>
            <w:vAlign w:val="bottom"/>
            <w:hideMark/>
          </w:tcPr>
          <w:p w14:paraId="7AFDDE93" w14:textId="77777777" w:rsidR="000F5BAD" w:rsidRPr="00720EF1" w:rsidRDefault="000F5BAD" w:rsidP="006A25C9">
            <w:pPr>
              <w:widowControl/>
              <w:jc w:val="right"/>
              <w:rPr>
                <w:kern w:val="0"/>
                <w:sz w:val="20"/>
              </w:rPr>
            </w:pPr>
            <w:r w:rsidRPr="00720EF1">
              <w:rPr>
                <w:kern w:val="0"/>
                <w:sz w:val="20"/>
              </w:rPr>
              <w:t>83.66</w:t>
            </w:r>
          </w:p>
        </w:tc>
        <w:tc>
          <w:tcPr>
            <w:tcW w:w="962" w:type="dxa"/>
            <w:tcBorders>
              <w:top w:val="nil"/>
              <w:left w:val="nil"/>
              <w:bottom w:val="nil"/>
              <w:right w:val="nil"/>
            </w:tcBorders>
            <w:shd w:val="clear" w:color="auto" w:fill="auto"/>
            <w:noWrap/>
            <w:vAlign w:val="bottom"/>
            <w:hideMark/>
          </w:tcPr>
          <w:p w14:paraId="7850B46C" w14:textId="77777777" w:rsidR="000F5BAD" w:rsidRPr="00720EF1" w:rsidRDefault="000F5BAD" w:rsidP="006A25C9">
            <w:pPr>
              <w:widowControl/>
              <w:jc w:val="right"/>
              <w:rPr>
                <w:kern w:val="0"/>
                <w:sz w:val="20"/>
              </w:rPr>
            </w:pPr>
            <w:r w:rsidRPr="00720EF1">
              <w:rPr>
                <w:kern w:val="0"/>
                <w:sz w:val="20"/>
              </w:rPr>
              <w:t>81.07</w:t>
            </w:r>
          </w:p>
        </w:tc>
        <w:tc>
          <w:tcPr>
            <w:tcW w:w="1197" w:type="dxa"/>
            <w:tcBorders>
              <w:top w:val="nil"/>
              <w:left w:val="nil"/>
              <w:bottom w:val="nil"/>
              <w:right w:val="nil"/>
            </w:tcBorders>
            <w:shd w:val="clear" w:color="auto" w:fill="auto"/>
            <w:noWrap/>
            <w:vAlign w:val="bottom"/>
            <w:hideMark/>
          </w:tcPr>
          <w:p w14:paraId="4B26795C" w14:textId="77777777" w:rsidR="000F5BAD" w:rsidRPr="00720EF1" w:rsidRDefault="000F5BAD" w:rsidP="006A25C9">
            <w:pPr>
              <w:widowControl/>
              <w:jc w:val="right"/>
              <w:rPr>
                <w:kern w:val="0"/>
                <w:sz w:val="20"/>
              </w:rPr>
            </w:pPr>
            <w:r w:rsidRPr="00720EF1">
              <w:rPr>
                <w:kern w:val="0"/>
                <w:sz w:val="20"/>
              </w:rPr>
              <w:t xml:space="preserve">        7.58 </w:t>
            </w:r>
          </w:p>
        </w:tc>
      </w:tr>
      <w:tr w:rsidR="000F5BAD" w:rsidRPr="00720EF1" w14:paraId="7AE1C2B7" w14:textId="77777777" w:rsidTr="006A25C9">
        <w:trPr>
          <w:trHeight w:val="258"/>
        </w:trPr>
        <w:tc>
          <w:tcPr>
            <w:tcW w:w="2810" w:type="dxa"/>
            <w:tcBorders>
              <w:top w:val="nil"/>
              <w:left w:val="nil"/>
              <w:bottom w:val="nil"/>
              <w:right w:val="nil"/>
            </w:tcBorders>
            <w:shd w:val="clear" w:color="auto" w:fill="auto"/>
            <w:noWrap/>
            <w:vAlign w:val="bottom"/>
            <w:hideMark/>
          </w:tcPr>
          <w:p w14:paraId="1AD2EDBC" w14:textId="77777777" w:rsidR="000F5BAD" w:rsidRPr="00720EF1" w:rsidRDefault="000F5BAD" w:rsidP="006A25C9">
            <w:pPr>
              <w:widowControl/>
              <w:jc w:val="left"/>
              <w:rPr>
                <w:kern w:val="0"/>
                <w:sz w:val="20"/>
              </w:rPr>
            </w:pPr>
            <w:r w:rsidRPr="00720EF1">
              <w:rPr>
                <w:kern w:val="0"/>
                <w:sz w:val="20"/>
              </w:rPr>
              <w:t>广发瑞安精选</w:t>
            </w:r>
            <w:r w:rsidRPr="00720EF1">
              <w:rPr>
                <w:kern w:val="0"/>
                <w:sz w:val="20"/>
              </w:rPr>
              <w:t>C</w:t>
            </w:r>
          </w:p>
        </w:tc>
        <w:tc>
          <w:tcPr>
            <w:tcW w:w="766" w:type="dxa"/>
            <w:tcBorders>
              <w:top w:val="nil"/>
              <w:left w:val="nil"/>
              <w:bottom w:val="nil"/>
              <w:right w:val="nil"/>
            </w:tcBorders>
            <w:shd w:val="clear" w:color="auto" w:fill="auto"/>
            <w:noWrap/>
            <w:vAlign w:val="bottom"/>
            <w:hideMark/>
          </w:tcPr>
          <w:p w14:paraId="28F7001E"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26CC48EE" w14:textId="77777777" w:rsidR="000F5BAD" w:rsidRPr="00720EF1" w:rsidRDefault="000F5BAD" w:rsidP="006A25C9">
            <w:pPr>
              <w:widowControl/>
              <w:jc w:val="right"/>
              <w:rPr>
                <w:kern w:val="0"/>
                <w:sz w:val="20"/>
              </w:rPr>
            </w:pPr>
            <w:r w:rsidRPr="00720EF1">
              <w:rPr>
                <w:kern w:val="0"/>
                <w:sz w:val="20"/>
              </w:rPr>
              <w:t xml:space="preserve">7.99 </w:t>
            </w:r>
          </w:p>
        </w:tc>
        <w:tc>
          <w:tcPr>
            <w:tcW w:w="981" w:type="dxa"/>
            <w:tcBorders>
              <w:top w:val="nil"/>
              <w:left w:val="nil"/>
              <w:bottom w:val="nil"/>
              <w:right w:val="nil"/>
            </w:tcBorders>
            <w:shd w:val="clear" w:color="auto" w:fill="auto"/>
            <w:noWrap/>
            <w:vAlign w:val="bottom"/>
            <w:hideMark/>
          </w:tcPr>
          <w:p w14:paraId="061697A0" w14:textId="77777777" w:rsidR="000F5BAD" w:rsidRPr="00720EF1" w:rsidRDefault="000F5BAD" w:rsidP="006A25C9">
            <w:pPr>
              <w:widowControl/>
              <w:jc w:val="right"/>
              <w:rPr>
                <w:kern w:val="0"/>
                <w:sz w:val="20"/>
              </w:rPr>
            </w:pPr>
            <w:r w:rsidRPr="00720EF1">
              <w:rPr>
                <w:kern w:val="0"/>
                <w:sz w:val="20"/>
              </w:rPr>
              <w:t>61.76</w:t>
            </w:r>
          </w:p>
        </w:tc>
        <w:tc>
          <w:tcPr>
            <w:tcW w:w="962" w:type="dxa"/>
            <w:tcBorders>
              <w:top w:val="nil"/>
              <w:left w:val="nil"/>
              <w:bottom w:val="nil"/>
              <w:right w:val="nil"/>
            </w:tcBorders>
            <w:shd w:val="clear" w:color="auto" w:fill="auto"/>
            <w:noWrap/>
            <w:vAlign w:val="bottom"/>
            <w:hideMark/>
          </w:tcPr>
          <w:p w14:paraId="2BC37B57" w14:textId="77777777" w:rsidR="000F5BAD" w:rsidRPr="00720EF1" w:rsidRDefault="000F5BAD" w:rsidP="006A25C9">
            <w:pPr>
              <w:widowControl/>
              <w:jc w:val="right"/>
              <w:rPr>
                <w:kern w:val="0"/>
                <w:sz w:val="20"/>
              </w:rPr>
            </w:pPr>
            <w:r w:rsidRPr="00720EF1">
              <w:rPr>
                <w:kern w:val="0"/>
                <w:sz w:val="20"/>
              </w:rPr>
              <w:t>79.49</w:t>
            </w:r>
          </w:p>
        </w:tc>
        <w:tc>
          <w:tcPr>
            <w:tcW w:w="962" w:type="dxa"/>
            <w:tcBorders>
              <w:top w:val="nil"/>
              <w:left w:val="nil"/>
              <w:bottom w:val="nil"/>
              <w:right w:val="nil"/>
            </w:tcBorders>
            <w:shd w:val="clear" w:color="auto" w:fill="auto"/>
            <w:noWrap/>
            <w:vAlign w:val="bottom"/>
            <w:hideMark/>
          </w:tcPr>
          <w:p w14:paraId="055F8483" w14:textId="77777777" w:rsidR="000F5BAD" w:rsidRPr="00720EF1" w:rsidRDefault="000F5BAD" w:rsidP="006A25C9">
            <w:pPr>
              <w:widowControl/>
              <w:jc w:val="right"/>
              <w:rPr>
                <w:kern w:val="0"/>
                <w:sz w:val="20"/>
              </w:rPr>
            </w:pPr>
            <w:r w:rsidRPr="00720EF1">
              <w:rPr>
                <w:kern w:val="0"/>
                <w:sz w:val="20"/>
              </w:rPr>
              <w:t>82.92</w:t>
            </w:r>
          </w:p>
        </w:tc>
        <w:tc>
          <w:tcPr>
            <w:tcW w:w="1197" w:type="dxa"/>
            <w:tcBorders>
              <w:top w:val="nil"/>
              <w:left w:val="nil"/>
              <w:bottom w:val="nil"/>
              <w:right w:val="nil"/>
            </w:tcBorders>
            <w:shd w:val="clear" w:color="auto" w:fill="auto"/>
            <w:noWrap/>
            <w:vAlign w:val="bottom"/>
            <w:hideMark/>
          </w:tcPr>
          <w:p w14:paraId="3C6B4924" w14:textId="77777777" w:rsidR="000F5BAD" w:rsidRPr="00720EF1" w:rsidRDefault="000F5BAD" w:rsidP="006A25C9">
            <w:pPr>
              <w:widowControl/>
              <w:jc w:val="right"/>
              <w:rPr>
                <w:kern w:val="0"/>
                <w:sz w:val="20"/>
              </w:rPr>
            </w:pPr>
            <w:r w:rsidRPr="00720EF1">
              <w:rPr>
                <w:kern w:val="0"/>
                <w:sz w:val="20"/>
              </w:rPr>
              <w:t xml:space="preserve">      17.97 </w:t>
            </w:r>
          </w:p>
        </w:tc>
      </w:tr>
      <w:tr w:rsidR="000F5BAD" w:rsidRPr="00720EF1" w14:paraId="356366C3" w14:textId="77777777" w:rsidTr="006A25C9">
        <w:trPr>
          <w:trHeight w:val="258"/>
        </w:trPr>
        <w:tc>
          <w:tcPr>
            <w:tcW w:w="2810" w:type="dxa"/>
            <w:tcBorders>
              <w:top w:val="nil"/>
              <w:left w:val="nil"/>
              <w:bottom w:val="nil"/>
              <w:right w:val="nil"/>
            </w:tcBorders>
            <w:shd w:val="clear" w:color="auto" w:fill="auto"/>
            <w:noWrap/>
            <w:vAlign w:val="bottom"/>
            <w:hideMark/>
          </w:tcPr>
          <w:p w14:paraId="41F7E21D" w14:textId="77777777" w:rsidR="000F5BAD" w:rsidRPr="00720EF1" w:rsidRDefault="000F5BAD" w:rsidP="006A25C9">
            <w:pPr>
              <w:widowControl/>
              <w:jc w:val="left"/>
              <w:rPr>
                <w:kern w:val="0"/>
                <w:sz w:val="20"/>
              </w:rPr>
            </w:pPr>
            <w:r w:rsidRPr="00720EF1">
              <w:rPr>
                <w:kern w:val="0"/>
                <w:sz w:val="20"/>
              </w:rPr>
              <w:t>广发品牌消费</w:t>
            </w:r>
            <w:r w:rsidRPr="00720EF1">
              <w:rPr>
                <w:kern w:val="0"/>
                <w:sz w:val="20"/>
              </w:rPr>
              <w:t>C</w:t>
            </w:r>
          </w:p>
        </w:tc>
        <w:tc>
          <w:tcPr>
            <w:tcW w:w="766" w:type="dxa"/>
            <w:tcBorders>
              <w:top w:val="nil"/>
              <w:left w:val="nil"/>
              <w:bottom w:val="nil"/>
              <w:right w:val="nil"/>
            </w:tcBorders>
            <w:shd w:val="clear" w:color="auto" w:fill="auto"/>
            <w:noWrap/>
            <w:vAlign w:val="bottom"/>
            <w:hideMark/>
          </w:tcPr>
          <w:p w14:paraId="5DAA4149"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679763AF" w14:textId="77777777" w:rsidR="000F5BAD" w:rsidRPr="00720EF1" w:rsidRDefault="000F5BAD" w:rsidP="006A25C9">
            <w:pPr>
              <w:widowControl/>
              <w:jc w:val="right"/>
              <w:rPr>
                <w:kern w:val="0"/>
                <w:sz w:val="20"/>
              </w:rPr>
            </w:pPr>
            <w:r w:rsidRPr="00720EF1">
              <w:rPr>
                <w:kern w:val="0"/>
                <w:sz w:val="20"/>
              </w:rPr>
              <w:t xml:space="preserve">5.80 </w:t>
            </w:r>
          </w:p>
        </w:tc>
        <w:tc>
          <w:tcPr>
            <w:tcW w:w="981" w:type="dxa"/>
            <w:tcBorders>
              <w:top w:val="nil"/>
              <w:left w:val="nil"/>
              <w:bottom w:val="nil"/>
              <w:right w:val="nil"/>
            </w:tcBorders>
            <w:shd w:val="clear" w:color="auto" w:fill="auto"/>
            <w:noWrap/>
            <w:vAlign w:val="bottom"/>
            <w:hideMark/>
          </w:tcPr>
          <w:p w14:paraId="35D82C6E" w14:textId="77777777" w:rsidR="000F5BAD" w:rsidRPr="00720EF1" w:rsidRDefault="000F5BAD" w:rsidP="006A25C9">
            <w:pPr>
              <w:widowControl/>
              <w:jc w:val="right"/>
              <w:rPr>
                <w:kern w:val="0"/>
                <w:sz w:val="20"/>
              </w:rPr>
            </w:pPr>
            <w:r w:rsidRPr="00720EF1">
              <w:rPr>
                <w:kern w:val="0"/>
                <w:sz w:val="20"/>
              </w:rPr>
              <w:t>63.11</w:t>
            </w:r>
          </w:p>
        </w:tc>
        <w:tc>
          <w:tcPr>
            <w:tcW w:w="962" w:type="dxa"/>
            <w:tcBorders>
              <w:top w:val="nil"/>
              <w:left w:val="nil"/>
              <w:bottom w:val="nil"/>
              <w:right w:val="nil"/>
            </w:tcBorders>
            <w:shd w:val="clear" w:color="auto" w:fill="auto"/>
            <w:noWrap/>
            <w:vAlign w:val="bottom"/>
            <w:hideMark/>
          </w:tcPr>
          <w:p w14:paraId="412D5B77" w14:textId="77777777" w:rsidR="000F5BAD" w:rsidRPr="00720EF1" w:rsidRDefault="000F5BAD" w:rsidP="006A25C9">
            <w:pPr>
              <w:widowControl/>
              <w:jc w:val="right"/>
              <w:rPr>
                <w:kern w:val="0"/>
                <w:sz w:val="20"/>
              </w:rPr>
            </w:pPr>
            <w:r w:rsidRPr="00720EF1">
              <w:rPr>
                <w:kern w:val="0"/>
                <w:sz w:val="20"/>
              </w:rPr>
              <w:t>81.06</w:t>
            </w:r>
          </w:p>
        </w:tc>
        <w:tc>
          <w:tcPr>
            <w:tcW w:w="962" w:type="dxa"/>
            <w:tcBorders>
              <w:top w:val="nil"/>
              <w:left w:val="nil"/>
              <w:bottom w:val="nil"/>
              <w:right w:val="nil"/>
            </w:tcBorders>
            <w:shd w:val="clear" w:color="auto" w:fill="auto"/>
            <w:noWrap/>
            <w:vAlign w:val="bottom"/>
            <w:hideMark/>
          </w:tcPr>
          <w:p w14:paraId="041AC677" w14:textId="77777777" w:rsidR="000F5BAD" w:rsidRPr="00720EF1" w:rsidRDefault="000F5BAD" w:rsidP="006A25C9">
            <w:pPr>
              <w:widowControl/>
              <w:jc w:val="right"/>
              <w:rPr>
                <w:kern w:val="0"/>
                <w:sz w:val="20"/>
              </w:rPr>
            </w:pPr>
            <w:r w:rsidRPr="00720EF1">
              <w:rPr>
                <w:kern w:val="0"/>
                <w:sz w:val="20"/>
              </w:rPr>
              <w:t>82.38</w:t>
            </w:r>
          </w:p>
        </w:tc>
        <w:tc>
          <w:tcPr>
            <w:tcW w:w="1197" w:type="dxa"/>
            <w:tcBorders>
              <w:top w:val="nil"/>
              <w:left w:val="nil"/>
              <w:bottom w:val="nil"/>
              <w:right w:val="nil"/>
            </w:tcBorders>
            <w:shd w:val="clear" w:color="auto" w:fill="auto"/>
            <w:noWrap/>
            <w:vAlign w:val="bottom"/>
            <w:hideMark/>
          </w:tcPr>
          <w:p w14:paraId="123C7BBB" w14:textId="77777777" w:rsidR="000F5BAD" w:rsidRPr="00720EF1" w:rsidRDefault="000F5BAD" w:rsidP="006A25C9">
            <w:pPr>
              <w:widowControl/>
              <w:jc w:val="right"/>
              <w:rPr>
                <w:kern w:val="0"/>
                <w:sz w:val="20"/>
              </w:rPr>
            </w:pPr>
            <w:r w:rsidRPr="00720EF1">
              <w:rPr>
                <w:kern w:val="0"/>
                <w:sz w:val="20"/>
              </w:rPr>
              <w:t xml:space="preserve">        5.71 </w:t>
            </w:r>
          </w:p>
        </w:tc>
      </w:tr>
      <w:tr w:rsidR="000F5BAD" w:rsidRPr="00720EF1" w14:paraId="4D2D470E" w14:textId="77777777" w:rsidTr="006A25C9">
        <w:trPr>
          <w:trHeight w:val="258"/>
        </w:trPr>
        <w:tc>
          <w:tcPr>
            <w:tcW w:w="2810" w:type="dxa"/>
            <w:tcBorders>
              <w:top w:val="nil"/>
              <w:left w:val="nil"/>
              <w:bottom w:val="nil"/>
              <w:right w:val="nil"/>
            </w:tcBorders>
            <w:shd w:val="clear" w:color="auto" w:fill="auto"/>
            <w:noWrap/>
            <w:vAlign w:val="bottom"/>
            <w:hideMark/>
          </w:tcPr>
          <w:p w14:paraId="416A18A9" w14:textId="77777777" w:rsidR="000F5BAD" w:rsidRPr="00720EF1" w:rsidRDefault="000F5BAD" w:rsidP="006A25C9">
            <w:pPr>
              <w:widowControl/>
              <w:jc w:val="left"/>
              <w:rPr>
                <w:kern w:val="0"/>
                <w:sz w:val="20"/>
              </w:rPr>
            </w:pPr>
            <w:r w:rsidRPr="00720EF1">
              <w:rPr>
                <w:kern w:val="0"/>
                <w:sz w:val="20"/>
              </w:rPr>
              <w:t>中银大健康</w:t>
            </w:r>
            <w:r w:rsidRPr="00720EF1">
              <w:rPr>
                <w:kern w:val="0"/>
                <w:sz w:val="20"/>
              </w:rPr>
              <w:t>C</w:t>
            </w:r>
          </w:p>
        </w:tc>
        <w:tc>
          <w:tcPr>
            <w:tcW w:w="766" w:type="dxa"/>
            <w:tcBorders>
              <w:top w:val="nil"/>
              <w:left w:val="nil"/>
              <w:bottom w:val="nil"/>
              <w:right w:val="nil"/>
            </w:tcBorders>
            <w:shd w:val="clear" w:color="auto" w:fill="auto"/>
            <w:noWrap/>
            <w:vAlign w:val="bottom"/>
            <w:hideMark/>
          </w:tcPr>
          <w:p w14:paraId="1E40F2B9"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3CAC6931" w14:textId="77777777" w:rsidR="000F5BAD" w:rsidRPr="00720EF1" w:rsidRDefault="000F5BAD" w:rsidP="006A25C9">
            <w:pPr>
              <w:widowControl/>
              <w:jc w:val="right"/>
              <w:rPr>
                <w:kern w:val="0"/>
                <w:sz w:val="20"/>
              </w:rPr>
            </w:pPr>
            <w:r w:rsidRPr="00720EF1">
              <w:rPr>
                <w:kern w:val="0"/>
                <w:sz w:val="20"/>
              </w:rPr>
              <w:t xml:space="preserve">5.73 </w:t>
            </w:r>
          </w:p>
        </w:tc>
        <w:tc>
          <w:tcPr>
            <w:tcW w:w="981" w:type="dxa"/>
            <w:tcBorders>
              <w:top w:val="nil"/>
              <w:left w:val="nil"/>
              <w:bottom w:val="nil"/>
              <w:right w:val="nil"/>
            </w:tcBorders>
            <w:shd w:val="clear" w:color="auto" w:fill="auto"/>
            <w:noWrap/>
            <w:vAlign w:val="bottom"/>
            <w:hideMark/>
          </w:tcPr>
          <w:p w14:paraId="3D4C494E" w14:textId="77777777" w:rsidR="000F5BAD" w:rsidRPr="00720EF1" w:rsidRDefault="000F5BAD" w:rsidP="006A25C9">
            <w:pPr>
              <w:widowControl/>
              <w:jc w:val="right"/>
              <w:rPr>
                <w:kern w:val="0"/>
                <w:sz w:val="20"/>
              </w:rPr>
            </w:pPr>
            <w:r w:rsidRPr="00720EF1">
              <w:rPr>
                <w:kern w:val="0"/>
                <w:sz w:val="20"/>
              </w:rPr>
              <w:t>64.41</w:t>
            </w:r>
          </w:p>
        </w:tc>
        <w:tc>
          <w:tcPr>
            <w:tcW w:w="962" w:type="dxa"/>
            <w:tcBorders>
              <w:top w:val="nil"/>
              <w:left w:val="nil"/>
              <w:bottom w:val="nil"/>
              <w:right w:val="nil"/>
            </w:tcBorders>
            <w:shd w:val="clear" w:color="auto" w:fill="auto"/>
            <w:noWrap/>
            <w:vAlign w:val="bottom"/>
            <w:hideMark/>
          </w:tcPr>
          <w:p w14:paraId="32A4FA45" w14:textId="77777777" w:rsidR="000F5BAD" w:rsidRPr="00720EF1" w:rsidRDefault="000F5BAD" w:rsidP="006A25C9">
            <w:pPr>
              <w:widowControl/>
              <w:jc w:val="right"/>
              <w:rPr>
                <w:kern w:val="0"/>
                <w:sz w:val="20"/>
              </w:rPr>
            </w:pPr>
            <w:r w:rsidRPr="00720EF1">
              <w:rPr>
                <w:kern w:val="0"/>
                <w:sz w:val="20"/>
              </w:rPr>
              <w:t>78.97</w:t>
            </w:r>
          </w:p>
        </w:tc>
        <w:tc>
          <w:tcPr>
            <w:tcW w:w="962" w:type="dxa"/>
            <w:tcBorders>
              <w:top w:val="nil"/>
              <w:left w:val="nil"/>
              <w:bottom w:val="nil"/>
              <w:right w:val="nil"/>
            </w:tcBorders>
            <w:shd w:val="clear" w:color="auto" w:fill="auto"/>
            <w:noWrap/>
            <w:vAlign w:val="bottom"/>
            <w:hideMark/>
          </w:tcPr>
          <w:p w14:paraId="7E220719" w14:textId="77777777" w:rsidR="000F5BAD" w:rsidRPr="00720EF1" w:rsidRDefault="000F5BAD" w:rsidP="006A25C9">
            <w:pPr>
              <w:widowControl/>
              <w:jc w:val="right"/>
              <w:rPr>
                <w:kern w:val="0"/>
                <w:sz w:val="20"/>
              </w:rPr>
            </w:pPr>
            <w:r w:rsidRPr="00720EF1">
              <w:rPr>
                <w:kern w:val="0"/>
                <w:sz w:val="20"/>
              </w:rPr>
              <w:t>81.37</w:t>
            </w:r>
          </w:p>
        </w:tc>
        <w:tc>
          <w:tcPr>
            <w:tcW w:w="1197" w:type="dxa"/>
            <w:tcBorders>
              <w:top w:val="nil"/>
              <w:left w:val="nil"/>
              <w:bottom w:val="nil"/>
              <w:right w:val="nil"/>
            </w:tcBorders>
            <w:shd w:val="clear" w:color="auto" w:fill="auto"/>
            <w:noWrap/>
            <w:vAlign w:val="bottom"/>
            <w:hideMark/>
          </w:tcPr>
          <w:p w14:paraId="7A7748B5" w14:textId="77777777" w:rsidR="000F5BAD" w:rsidRPr="00720EF1" w:rsidRDefault="000F5BAD" w:rsidP="006A25C9">
            <w:pPr>
              <w:widowControl/>
              <w:jc w:val="right"/>
              <w:rPr>
                <w:kern w:val="0"/>
                <w:sz w:val="20"/>
              </w:rPr>
            </w:pPr>
            <w:r w:rsidRPr="00720EF1">
              <w:rPr>
                <w:kern w:val="0"/>
                <w:sz w:val="20"/>
              </w:rPr>
              <w:t xml:space="preserve">        7.90 </w:t>
            </w:r>
          </w:p>
        </w:tc>
      </w:tr>
      <w:tr w:rsidR="000F5BAD" w:rsidRPr="00720EF1" w14:paraId="70640EBE" w14:textId="77777777" w:rsidTr="006A25C9">
        <w:trPr>
          <w:trHeight w:val="258"/>
        </w:trPr>
        <w:tc>
          <w:tcPr>
            <w:tcW w:w="2810" w:type="dxa"/>
            <w:tcBorders>
              <w:top w:val="nil"/>
              <w:left w:val="nil"/>
              <w:bottom w:val="nil"/>
              <w:right w:val="nil"/>
            </w:tcBorders>
            <w:shd w:val="clear" w:color="auto" w:fill="auto"/>
            <w:noWrap/>
            <w:vAlign w:val="bottom"/>
            <w:hideMark/>
          </w:tcPr>
          <w:p w14:paraId="5D0BD54D" w14:textId="77777777" w:rsidR="000F5BAD" w:rsidRPr="00720EF1" w:rsidRDefault="000F5BAD" w:rsidP="006A25C9">
            <w:pPr>
              <w:widowControl/>
              <w:jc w:val="left"/>
              <w:rPr>
                <w:kern w:val="0"/>
                <w:sz w:val="20"/>
              </w:rPr>
            </w:pPr>
            <w:r w:rsidRPr="00720EF1">
              <w:rPr>
                <w:kern w:val="0"/>
                <w:sz w:val="20"/>
              </w:rPr>
              <w:t>诺安低碳经济</w:t>
            </w:r>
            <w:r w:rsidRPr="00720EF1">
              <w:rPr>
                <w:kern w:val="0"/>
                <w:sz w:val="20"/>
              </w:rPr>
              <w:t>C</w:t>
            </w:r>
          </w:p>
        </w:tc>
        <w:tc>
          <w:tcPr>
            <w:tcW w:w="766" w:type="dxa"/>
            <w:tcBorders>
              <w:top w:val="nil"/>
              <w:left w:val="nil"/>
              <w:bottom w:val="nil"/>
              <w:right w:val="nil"/>
            </w:tcBorders>
            <w:shd w:val="clear" w:color="auto" w:fill="auto"/>
            <w:noWrap/>
            <w:vAlign w:val="bottom"/>
            <w:hideMark/>
          </w:tcPr>
          <w:p w14:paraId="2A02D66C"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49E8B2D8" w14:textId="77777777" w:rsidR="000F5BAD" w:rsidRPr="00720EF1" w:rsidRDefault="000F5BAD" w:rsidP="006A25C9">
            <w:pPr>
              <w:widowControl/>
              <w:jc w:val="right"/>
              <w:rPr>
                <w:kern w:val="0"/>
                <w:sz w:val="20"/>
              </w:rPr>
            </w:pPr>
            <w:r w:rsidRPr="00720EF1">
              <w:rPr>
                <w:kern w:val="0"/>
                <w:sz w:val="20"/>
              </w:rPr>
              <w:t xml:space="preserve">8.53 </w:t>
            </w:r>
          </w:p>
        </w:tc>
        <w:tc>
          <w:tcPr>
            <w:tcW w:w="981" w:type="dxa"/>
            <w:tcBorders>
              <w:top w:val="nil"/>
              <w:left w:val="nil"/>
              <w:bottom w:val="nil"/>
              <w:right w:val="nil"/>
            </w:tcBorders>
            <w:shd w:val="clear" w:color="auto" w:fill="auto"/>
            <w:noWrap/>
            <w:vAlign w:val="bottom"/>
            <w:hideMark/>
          </w:tcPr>
          <w:p w14:paraId="7F21D87D" w14:textId="77777777" w:rsidR="000F5BAD" w:rsidRPr="00720EF1" w:rsidRDefault="000F5BAD" w:rsidP="006A25C9">
            <w:pPr>
              <w:widowControl/>
              <w:jc w:val="right"/>
              <w:rPr>
                <w:kern w:val="0"/>
                <w:sz w:val="20"/>
              </w:rPr>
            </w:pPr>
            <w:r w:rsidRPr="00720EF1">
              <w:rPr>
                <w:kern w:val="0"/>
                <w:sz w:val="20"/>
              </w:rPr>
              <w:t>66.37</w:t>
            </w:r>
          </w:p>
        </w:tc>
        <w:tc>
          <w:tcPr>
            <w:tcW w:w="962" w:type="dxa"/>
            <w:tcBorders>
              <w:top w:val="nil"/>
              <w:left w:val="nil"/>
              <w:bottom w:val="nil"/>
              <w:right w:val="nil"/>
            </w:tcBorders>
            <w:shd w:val="clear" w:color="auto" w:fill="auto"/>
            <w:noWrap/>
            <w:vAlign w:val="bottom"/>
            <w:hideMark/>
          </w:tcPr>
          <w:p w14:paraId="507B3350" w14:textId="77777777" w:rsidR="000F5BAD" w:rsidRPr="00720EF1" w:rsidRDefault="000F5BAD" w:rsidP="006A25C9">
            <w:pPr>
              <w:widowControl/>
              <w:jc w:val="right"/>
              <w:rPr>
                <w:kern w:val="0"/>
                <w:sz w:val="20"/>
              </w:rPr>
            </w:pPr>
            <w:r w:rsidRPr="00720EF1">
              <w:rPr>
                <w:kern w:val="0"/>
                <w:sz w:val="20"/>
              </w:rPr>
              <w:t>76.87</w:t>
            </w:r>
          </w:p>
        </w:tc>
        <w:tc>
          <w:tcPr>
            <w:tcW w:w="962" w:type="dxa"/>
            <w:tcBorders>
              <w:top w:val="nil"/>
              <w:left w:val="nil"/>
              <w:bottom w:val="nil"/>
              <w:right w:val="nil"/>
            </w:tcBorders>
            <w:shd w:val="clear" w:color="auto" w:fill="auto"/>
            <w:noWrap/>
            <w:vAlign w:val="bottom"/>
            <w:hideMark/>
          </w:tcPr>
          <w:p w14:paraId="216C604D" w14:textId="77777777" w:rsidR="000F5BAD" w:rsidRPr="00720EF1" w:rsidRDefault="000F5BAD" w:rsidP="006A25C9">
            <w:pPr>
              <w:widowControl/>
              <w:jc w:val="right"/>
              <w:rPr>
                <w:kern w:val="0"/>
                <w:sz w:val="20"/>
              </w:rPr>
            </w:pPr>
            <w:r w:rsidRPr="00720EF1">
              <w:rPr>
                <w:kern w:val="0"/>
                <w:sz w:val="20"/>
              </w:rPr>
              <w:t>84.71</w:t>
            </w:r>
          </w:p>
        </w:tc>
        <w:tc>
          <w:tcPr>
            <w:tcW w:w="1197" w:type="dxa"/>
            <w:tcBorders>
              <w:top w:val="nil"/>
              <w:left w:val="nil"/>
              <w:bottom w:val="nil"/>
              <w:right w:val="nil"/>
            </w:tcBorders>
            <w:shd w:val="clear" w:color="auto" w:fill="auto"/>
            <w:noWrap/>
            <w:vAlign w:val="bottom"/>
            <w:hideMark/>
          </w:tcPr>
          <w:p w14:paraId="55B73473" w14:textId="77777777" w:rsidR="000F5BAD" w:rsidRPr="00720EF1" w:rsidRDefault="000F5BAD" w:rsidP="006A25C9">
            <w:pPr>
              <w:widowControl/>
              <w:jc w:val="right"/>
              <w:rPr>
                <w:kern w:val="0"/>
                <w:sz w:val="20"/>
              </w:rPr>
            </w:pPr>
            <w:r w:rsidRPr="00720EF1">
              <w:rPr>
                <w:kern w:val="0"/>
                <w:sz w:val="20"/>
              </w:rPr>
              <w:t xml:space="preserve">      21.83 </w:t>
            </w:r>
          </w:p>
        </w:tc>
      </w:tr>
      <w:tr w:rsidR="000F5BAD" w:rsidRPr="00720EF1" w14:paraId="37CB33C8" w14:textId="77777777" w:rsidTr="006A25C9">
        <w:trPr>
          <w:trHeight w:val="258"/>
        </w:trPr>
        <w:tc>
          <w:tcPr>
            <w:tcW w:w="2810" w:type="dxa"/>
            <w:tcBorders>
              <w:top w:val="nil"/>
              <w:left w:val="nil"/>
              <w:bottom w:val="nil"/>
              <w:right w:val="nil"/>
            </w:tcBorders>
            <w:shd w:val="clear" w:color="auto" w:fill="auto"/>
            <w:noWrap/>
            <w:vAlign w:val="bottom"/>
            <w:hideMark/>
          </w:tcPr>
          <w:p w14:paraId="49968F9A" w14:textId="77777777" w:rsidR="000F5BAD" w:rsidRPr="00720EF1" w:rsidRDefault="000F5BAD" w:rsidP="006A25C9">
            <w:pPr>
              <w:widowControl/>
              <w:jc w:val="left"/>
              <w:rPr>
                <w:kern w:val="0"/>
                <w:sz w:val="20"/>
              </w:rPr>
            </w:pPr>
            <w:r w:rsidRPr="00720EF1">
              <w:rPr>
                <w:kern w:val="0"/>
                <w:sz w:val="20"/>
              </w:rPr>
              <w:t>诺安中证</w:t>
            </w:r>
            <w:r w:rsidRPr="00720EF1">
              <w:rPr>
                <w:kern w:val="0"/>
                <w:sz w:val="20"/>
              </w:rPr>
              <w:t>100C</w:t>
            </w:r>
          </w:p>
        </w:tc>
        <w:tc>
          <w:tcPr>
            <w:tcW w:w="766" w:type="dxa"/>
            <w:tcBorders>
              <w:top w:val="nil"/>
              <w:left w:val="nil"/>
              <w:bottom w:val="nil"/>
              <w:right w:val="nil"/>
            </w:tcBorders>
            <w:shd w:val="clear" w:color="auto" w:fill="auto"/>
            <w:noWrap/>
            <w:vAlign w:val="bottom"/>
            <w:hideMark/>
          </w:tcPr>
          <w:p w14:paraId="300FD519"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6A6EE4DD" w14:textId="77777777" w:rsidR="000F5BAD" w:rsidRPr="00720EF1" w:rsidRDefault="000F5BAD" w:rsidP="006A25C9">
            <w:pPr>
              <w:widowControl/>
              <w:jc w:val="right"/>
              <w:rPr>
                <w:kern w:val="0"/>
                <w:sz w:val="20"/>
              </w:rPr>
            </w:pPr>
            <w:r w:rsidRPr="00720EF1">
              <w:rPr>
                <w:kern w:val="0"/>
                <w:sz w:val="20"/>
              </w:rPr>
              <w:t xml:space="preserve">5.92 </w:t>
            </w:r>
          </w:p>
        </w:tc>
        <w:tc>
          <w:tcPr>
            <w:tcW w:w="981" w:type="dxa"/>
            <w:tcBorders>
              <w:top w:val="nil"/>
              <w:left w:val="nil"/>
              <w:bottom w:val="nil"/>
              <w:right w:val="nil"/>
            </w:tcBorders>
            <w:shd w:val="clear" w:color="auto" w:fill="auto"/>
            <w:noWrap/>
            <w:vAlign w:val="bottom"/>
            <w:hideMark/>
          </w:tcPr>
          <w:p w14:paraId="3B4EE8BF" w14:textId="77777777" w:rsidR="000F5BAD" w:rsidRPr="00720EF1" w:rsidRDefault="000F5BAD" w:rsidP="006A25C9">
            <w:pPr>
              <w:widowControl/>
              <w:jc w:val="right"/>
              <w:rPr>
                <w:kern w:val="0"/>
                <w:sz w:val="20"/>
              </w:rPr>
            </w:pPr>
            <w:r w:rsidRPr="00720EF1">
              <w:rPr>
                <w:kern w:val="0"/>
                <w:sz w:val="20"/>
              </w:rPr>
              <w:t>67.64</w:t>
            </w:r>
          </w:p>
        </w:tc>
        <w:tc>
          <w:tcPr>
            <w:tcW w:w="962" w:type="dxa"/>
            <w:tcBorders>
              <w:top w:val="nil"/>
              <w:left w:val="nil"/>
              <w:bottom w:val="nil"/>
              <w:right w:val="nil"/>
            </w:tcBorders>
            <w:shd w:val="clear" w:color="auto" w:fill="auto"/>
            <w:noWrap/>
            <w:vAlign w:val="bottom"/>
            <w:hideMark/>
          </w:tcPr>
          <w:p w14:paraId="5D43C7E5" w14:textId="77777777" w:rsidR="000F5BAD" w:rsidRPr="00720EF1" w:rsidRDefault="000F5BAD" w:rsidP="006A25C9">
            <w:pPr>
              <w:widowControl/>
              <w:jc w:val="right"/>
              <w:rPr>
                <w:kern w:val="0"/>
                <w:sz w:val="20"/>
              </w:rPr>
            </w:pPr>
            <w:r w:rsidRPr="00720EF1">
              <w:rPr>
                <w:kern w:val="0"/>
                <w:sz w:val="20"/>
              </w:rPr>
              <w:t>78.03</w:t>
            </w:r>
          </w:p>
        </w:tc>
        <w:tc>
          <w:tcPr>
            <w:tcW w:w="962" w:type="dxa"/>
            <w:tcBorders>
              <w:top w:val="nil"/>
              <w:left w:val="nil"/>
              <w:bottom w:val="nil"/>
              <w:right w:val="nil"/>
            </w:tcBorders>
            <w:shd w:val="clear" w:color="auto" w:fill="auto"/>
            <w:noWrap/>
            <w:vAlign w:val="bottom"/>
            <w:hideMark/>
          </w:tcPr>
          <w:p w14:paraId="0C58743C" w14:textId="77777777" w:rsidR="000F5BAD" w:rsidRPr="00720EF1" w:rsidRDefault="000F5BAD" w:rsidP="006A25C9">
            <w:pPr>
              <w:widowControl/>
              <w:jc w:val="right"/>
              <w:rPr>
                <w:kern w:val="0"/>
                <w:sz w:val="20"/>
              </w:rPr>
            </w:pPr>
            <w:r w:rsidRPr="00720EF1">
              <w:rPr>
                <w:kern w:val="0"/>
                <w:sz w:val="20"/>
              </w:rPr>
              <w:t>86.72</w:t>
            </w:r>
          </w:p>
        </w:tc>
        <w:tc>
          <w:tcPr>
            <w:tcW w:w="1197" w:type="dxa"/>
            <w:tcBorders>
              <w:top w:val="nil"/>
              <w:left w:val="nil"/>
              <w:bottom w:val="nil"/>
              <w:right w:val="nil"/>
            </w:tcBorders>
            <w:shd w:val="clear" w:color="auto" w:fill="auto"/>
            <w:noWrap/>
            <w:vAlign w:val="bottom"/>
            <w:hideMark/>
          </w:tcPr>
          <w:p w14:paraId="386FE5AF" w14:textId="77777777" w:rsidR="000F5BAD" w:rsidRPr="00720EF1" w:rsidRDefault="000F5BAD" w:rsidP="006A25C9">
            <w:pPr>
              <w:widowControl/>
              <w:jc w:val="right"/>
              <w:rPr>
                <w:kern w:val="0"/>
                <w:sz w:val="20"/>
              </w:rPr>
            </w:pPr>
            <w:r w:rsidRPr="00720EF1">
              <w:rPr>
                <w:kern w:val="0"/>
                <w:sz w:val="20"/>
              </w:rPr>
              <w:t xml:space="preserve">        6.54 </w:t>
            </w:r>
          </w:p>
        </w:tc>
      </w:tr>
      <w:tr w:rsidR="000F5BAD" w:rsidRPr="00720EF1" w14:paraId="04E7D3D8" w14:textId="77777777" w:rsidTr="006A25C9">
        <w:trPr>
          <w:trHeight w:val="258"/>
        </w:trPr>
        <w:tc>
          <w:tcPr>
            <w:tcW w:w="2810" w:type="dxa"/>
            <w:tcBorders>
              <w:top w:val="nil"/>
              <w:left w:val="nil"/>
              <w:bottom w:val="nil"/>
              <w:right w:val="nil"/>
            </w:tcBorders>
            <w:shd w:val="clear" w:color="auto" w:fill="auto"/>
            <w:noWrap/>
            <w:vAlign w:val="bottom"/>
            <w:hideMark/>
          </w:tcPr>
          <w:p w14:paraId="098E44E5" w14:textId="77777777" w:rsidR="000F5BAD" w:rsidRPr="00720EF1" w:rsidRDefault="000F5BAD" w:rsidP="006A25C9">
            <w:pPr>
              <w:widowControl/>
              <w:jc w:val="left"/>
              <w:rPr>
                <w:kern w:val="0"/>
                <w:sz w:val="20"/>
              </w:rPr>
            </w:pPr>
            <w:r w:rsidRPr="00720EF1">
              <w:rPr>
                <w:kern w:val="0"/>
                <w:sz w:val="20"/>
              </w:rPr>
              <w:t>鹏华中证空天军工</w:t>
            </w:r>
            <w:r w:rsidRPr="00720EF1">
              <w:rPr>
                <w:kern w:val="0"/>
                <w:sz w:val="20"/>
              </w:rPr>
              <w:t>C</w:t>
            </w:r>
          </w:p>
        </w:tc>
        <w:tc>
          <w:tcPr>
            <w:tcW w:w="766" w:type="dxa"/>
            <w:tcBorders>
              <w:top w:val="nil"/>
              <w:left w:val="nil"/>
              <w:bottom w:val="nil"/>
              <w:right w:val="nil"/>
            </w:tcBorders>
            <w:shd w:val="clear" w:color="auto" w:fill="auto"/>
            <w:noWrap/>
            <w:vAlign w:val="bottom"/>
            <w:hideMark/>
          </w:tcPr>
          <w:p w14:paraId="31F5B260"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39C8D4A8" w14:textId="77777777" w:rsidR="000F5BAD" w:rsidRPr="00720EF1" w:rsidRDefault="000F5BAD" w:rsidP="006A25C9">
            <w:pPr>
              <w:widowControl/>
              <w:jc w:val="right"/>
              <w:rPr>
                <w:kern w:val="0"/>
                <w:sz w:val="20"/>
              </w:rPr>
            </w:pPr>
            <w:r w:rsidRPr="00720EF1">
              <w:rPr>
                <w:kern w:val="0"/>
                <w:sz w:val="20"/>
              </w:rPr>
              <w:t xml:space="preserve">7.17 </w:t>
            </w:r>
          </w:p>
        </w:tc>
        <w:tc>
          <w:tcPr>
            <w:tcW w:w="981" w:type="dxa"/>
            <w:tcBorders>
              <w:top w:val="nil"/>
              <w:left w:val="nil"/>
              <w:bottom w:val="nil"/>
              <w:right w:val="nil"/>
            </w:tcBorders>
            <w:shd w:val="clear" w:color="auto" w:fill="auto"/>
            <w:noWrap/>
            <w:vAlign w:val="bottom"/>
            <w:hideMark/>
          </w:tcPr>
          <w:p w14:paraId="68930B51" w14:textId="77777777" w:rsidR="000F5BAD" w:rsidRPr="00720EF1" w:rsidRDefault="000F5BAD" w:rsidP="006A25C9">
            <w:pPr>
              <w:widowControl/>
              <w:jc w:val="right"/>
              <w:rPr>
                <w:kern w:val="0"/>
                <w:sz w:val="20"/>
              </w:rPr>
            </w:pPr>
            <w:r w:rsidRPr="00720EF1">
              <w:rPr>
                <w:kern w:val="0"/>
                <w:sz w:val="20"/>
              </w:rPr>
              <w:t>57.96</w:t>
            </w:r>
          </w:p>
        </w:tc>
        <w:tc>
          <w:tcPr>
            <w:tcW w:w="962" w:type="dxa"/>
            <w:tcBorders>
              <w:top w:val="nil"/>
              <w:left w:val="nil"/>
              <w:bottom w:val="nil"/>
              <w:right w:val="nil"/>
            </w:tcBorders>
            <w:shd w:val="clear" w:color="auto" w:fill="auto"/>
            <w:noWrap/>
            <w:vAlign w:val="bottom"/>
            <w:hideMark/>
          </w:tcPr>
          <w:p w14:paraId="6C261DE8" w14:textId="77777777" w:rsidR="000F5BAD" w:rsidRPr="00720EF1" w:rsidRDefault="000F5BAD" w:rsidP="006A25C9">
            <w:pPr>
              <w:widowControl/>
              <w:jc w:val="right"/>
              <w:rPr>
                <w:kern w:val="0"/>
                <w:sz w:val="20"/>
              </w:rPr>
            </w:pPr>
            <w:r w:rsidRPr="00720EF1">
              <w:rPr>
                <w:kern w:val="0"/>
                <w:sz w:val="20"/>
              </w:rPr>
              <w:t>73.14</w:t>
            </w:r>
          </w:p>
        </w:tc>
        <w:tc>
          <w:tcPr>
            <w:tcW w:w="962" w:type="dxa"/>
            <w:tcBorders>
              <w:top w:val="nil"/>
              <w:left w:val="nil"/>
              <w:bottom w:val="nil"/>
              <w:right w:val="nil"/>
            </w:tcBorders>
            <w:shd w:val="clear" w:color="auto" w:fill="auto"/>
            <w:noWrap/>
            <w:vAlign w:val="bottom"/>
            <w:hideMark/>
          </w:tcPr>
          <w:p w14:paraId="0D563450" w14:textId="77777777" w:rsidR="000F5BAD" w:rsidRPr="00720EF1" w:rsidRDefault="000F5BAD" w:rsidP="006A25C9">
            <w:pPr>
              <w:widowControl/>
              <w:jc w:val="right"/>
              <w:rPr>
                <w:kern w:val="0"/>
                <w:sz w:val="20"/>
              </w:rPr>
            </w:pPr>
            <w:r w:rsidRPr="00720EF1">
              <w:rPr>
                <w:kern w:val="0"/>
                <w:sz w:val="20"/>
              </w:rPr>
              <w:t>78.25</w:t>
            </w:r>
          </w:p>
        </w:tc>
        <w:tc>
          <w:tcPr>
            <w:tcW w:w="1197" w:type="dxa"/>
            <w:tcBorders>
              <w:top w:val="nil"/>
              <w:left w:val="nil"/>
              <w:bottom w:val="nil"/>
              <w:right w:val="nil"/>
            </w:tcBorders>
            <w:shd w:val="clear" w:color="auto" w:fill="auto"/>
            <w:noWrap/>
            <w:vAlign w:val="bottom"/>
            <w:hideMark/>
          </w:tcPr>
          <w:p w14:paraId="3F218B3F" w14:textId="77777777" w:rsidR="000F5BAD" w:rsidRPr="00720EF1" w:rsidRDefault="000F5BAD" w:rsidP="006A25C9">
            <w:pPr>
              <w:widowControl/>
              <w:jc w:val="right"/>
              <w:rPr>
                <w:kern w:val="0"/>
                <w:sz w:val="20"/>
              </w:rPr>
            </w:pPr>
            <w:r w:rsidRPr="00720EF1">
              <w:rPr>
                <w:kern w:val="0"/>
                <w:sz w:val="20"/>
              </w:rPr>
              <w:t xml:space="preserve">      24.80 </w:t>
            </w:r>
          </w:p>
        </w:tc>
      </w:tr>
      <w:tr w:rsidR="000F5BAD" w:rsidRPr="00720EF1" w14:paraId="16ACC11C" w14:textId="77777777" w:rsidTr="006A25C9">
        <w:trPr>
          <w:trHeight w:val="258"/>
        </w:trPr>
        <w:tc>
          <w:tcPr>
            <w:tcW w:w="2810" w:type="dxa"/>
            <w:tcBorders>
              <w:top w:val="nil"/>
              <w:left w:val="nil"/>
              <w:bottom w:val="nil"/>
              <w:right w:val="nil"/>
            </w:tcBorders>
            <w:shd w:val="clear" w:color="auto" w:fill="auto"/>
            <w:noWrap/>
            <w:vAlign w:val="bottom"/>
            <w:hideMark/>
          </w:tcPr>
          <w:p w14:paraId="4CB6C4C8" w14:textId="77777777" w:rsidR="000F5BAD" w:rsidRPr="00720EF1" w:rsidRDefault="000F5BAD" w:rsidP="006A25C9">
            <w:pPr>
              <w:widowControl/>
              <w:jc w:val="left"/>
              <w:rPr>
                <w:kern w:val="0"/>
                <w:sz w:val="20"/>
              </w:rPr>
            </w:pPr>
            <w:r w:rsidRPr="00720EF1">
              <w:rPr>
                <w:kern w:val="0"/>
                <w:sz w:val="20"/>
              </w:rPr>
              <w:t>鹏华中证医药卫生</w:t>
            </w:r>
            <w:r w:rsidRPr="00720EF1">
              <w:rPr>
                <w:kern w:val="0"/>
                <w:sz w:val="20"/>
              </w:rPr>
              <w:t>C</w:t>
            </w:r>
          </w:p>
        </w:tc>
        <w:tc>
          <w:tcPr>
            <w:tcW w:w="766" w:type="dxa"/>
            <w:tcBorders>
              <w:top w:val="nil"/>
              <w:left w:val="nil"/>
              <w:bottom w:val="nil"/>
              <w:right w:val="nil"/>
            </w:tcBorders>
            <w:shd w:val="clear" w:color="auto" w:fill="auto"/>
            <w:noWrap/>
            <w:vAlign w:val="bottom"/>
            <w:hideMark/>
          </w:tcPr>
          <w:p w14:paraId="1AA81928"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3DD9C79B" w14:textId="77777777" w:rsidR="000F5BAD" w:rsidRPr="00720EF1" w:rsidRDefault="000F5BAD" w:rsidP="006A25C9">
            <w:pPr>
              <w:widowControl/>
              <w:jc w:val="right"/>
              <w:rPr>
                <w:kern w:val="0"/>
                <w:sz w:val="20"/>
              </w:rPr>
            </w:pPr>
            <w:r w:rsidRPr="00720EF1">
              <w:rPr>
                <w:kern w:val="0"/>
                <w:sz w:val="20"/>
              </w:rPr>
              <w:t xml:space="preserve">8.25 </w:t>
            </w:r>
          </w:p>
        </w:tc>
        <w:tc>
          <w:tcPr>
            <w:tcW w:w="981" w:type="dxa"/>
            <w:tcBorders>
              <w:top w:val="nil"/>
              <w:left w:val="nil"/>
              <w:bottom w:val="nil"/>
              <w:right w:val="nil"/>
            </w:tcBorders>
            <w:shd w:val="clear" w:color="auto" w:fill="auto"/>
            <w:noWrap/>
            <w:vAlign w:val="bottom"/>
            <w:hideMark/>
          </w:tcPr>
          <w:p w14:paraId="66CB685D" w14:textId="77777777" w:rsidR="000F5BAD" w:rsidRPr="00720EF1" w:rsidRDefault="000F5BAD" w:rsidP="006A25C9">
            <w:pPr>
              <w:widowControl/>
              <w:jc w:val="right"/>
              <w:rPr>
                <w:kern w:val="0"/>
                <w:sz w:val="20"/>
              </w:rPr>
            </w:pPr>
            <w:r w:rsidRPr="00720EF1">
              <w:rPr>
                <w:kern w:val="0"/>
                <w:sz w:val="20"/>
              </w:rPr>
              <w:t>63.9</w:t>
            </w:r>
          </w:p>
        </w:tc>
        <w:tc>
          <w:tcPr>
            <w:tcW w:w="962" w:type="dxa"/>
            <w:tcBorders>
              <w:top w:val="nil"/>
              <w:left w:val="nil"/>
              <w:bottom w:val="nil"/>
              <w:right w:val="nil"/>
            </w:tcBorders>
            <w:shd w:val="clear" w:color="auto" w:fill="auto"/>
            <w:noWrap/>
            <w:vAlign w:val="bottom"/>
            <w:hideMark/>
          </w:tcPr>
          <w:p w14:paraId="246F9692" w14:textId="77777777" w:rsidR="000F5BAD" w:rsidRPr="00720EF1" w:rsidRDefault="000F5BAD" w:rsidP="006A25C9">
            <w:pPr>
              <w:widowControl/>
              <w:jc w:val="right"/>
              <w:rPr>
                <w:kern w:val="0"/>
                <w:sz w:val="20"/>
              </w:rPr>
            </w:pPr>
            <w:r w:rsidRPr="00720EF1">
              <w:rPr>
                <w:kern w:val="0"/>
                <w:sz w:val="20"/>
              </w:rPr>
              <w:t>83.51</w:t>
            </w:r>
          </w:p>
        </w:tc>
        <w:tc>
          <w:tcPr>
            <w:tcW w:w="962" w:type="dxa"/>
            <w:tcBorders>
              <w:top w:val="nil"/>
              <w:left w:val="nil"/>
              <w:bottom w:val="nil"/>
              <w:right w:val="nil"/>
            </w:tcBorders>
            <w:shd w:val="clear" w:color="auto" w:fill="auto"/>
            <w:noWrap/>
            <w:vAlign w:val="bottom"/>
            <w:hideMark/>
          </w:tcPr>
          <w:p w14:paraId="67F03042" w14:textId="77777777" w:rsidR="000F5BAD" w:rsidRPr="00720EF1" w:rsidRDefault="000F5BAD" w:rsidP="006A25C9">
            <w:pPr>
              <w:widowControl/>
              <w:jc w:val="right"/>
              <w:rPr>
                <w:kern w:val="0"/>
                <w:sz w:val="20"/>
              </w:rPr>
            </w:pPr>
            <w:r w:rsidRPr="00720EF1">
              <w:rPr>
                <w:kern w:val="0"/>
                <w:sz w:val="20"/>
              </w:rPr>
              <w:t>83.45</w:t>
            </w:r>
          </w:p>
        </w:tc>
        <w:tc>
          <w:tcPr>
            <w:tcW w:w="1197" w:type="dxa"/>
            <w:tcBorders>
              <w:top w:val="nil"/>
              <w:left w:val="nil"/>
              <w:bottom w:val="nil"/>
              <w:right w:val="nil"/>
            </w:tcBorders>
            <w:shd w:val="clear" w:color="auto" w:fill="auto"/>
            <w:noWrap/>
            <w:vAlign w:val="bottom"/>
            <w:hideMark/>
          </w:tcPr>
          <w:p w14:paraId="04785049" w14:textId="77777777" w:rsidR="000F5BAD" w:rsidRPr="00720EF1" w:rsidRDefault="000F5BAD" w:rsidP="006A25C9">
            <w:pPr>
              <w:widowControl/>
              <w:jc w:val="right"/>
              <w:rPr>
                <w:kern w:val="0"/>
                <w:sz w:val="20"/>
              </w:rPr>
            </w:pPr>
            <w:r w:rsidRPr="00720EF1">
              <w:rPr>
                <w:kern w:val="0"/>
                <w:sz w:val="20"/>
              </w:rPr>
              <w:t xml:space="preserve">        8.44 </w:t>
            </w:r>
          </w:p>
        </w:tc>
      </w:tr>
      <w:tr w:rsidR="000F5BAD" w:rsidRPr="00720EF1" w14:paraId="04AF366B" w14:textId="77777777" w:rsidTr="006A25C9">
        <w:trPr>
          <w:trHeight w:val="258"/>
        </w:trPr>
        <w:tc>
          <w:tcPr>
            <w:tcW w:w="2810" w:type="dxa"/>
            <w:tcBorders>
              <w:top w:val="nil"/>
              <w:left w:val="nil"/>
              <w:bottom w:val="nil"/>
              <w:right w:val="nil"/>
            </w:tcBorders>
            <w:shd w:val="clear" w:color="auto" w:fill="auto"/>
            <w:noWrap/>
            <w:vAlign w:val="bottom"/>
            <w:hideMark/>
          </w:tcPr>
          <w:p w14:paraId="7C7918AC" w14:textId="77777777" w:rsidR="000F5BAD" w:rsidRPr="00720EF1" w:rsidRDefault="000F5BAD" w:rsidP="006A25C9">
            <w:pPr>
              <w:widowControl/>
              <w:jc w:val="left"/>
              <w:rPr>
                <w:kern w:val="0"/>
                <w:sz w:val="20"/>
              </w:rPr>
            </w:pPr>
            <w:r w:rsidRPr="00720EF1">
              <w:rPr>
                <w:kern w:val="0"/>
                <w:sz w:val="20"/>
              </w:rPr>
              <w:t>易方达医药生物</w:t>
            </w:r>
            <w:r w:rsidRPr="00720EF1">
              <w:rPr>
                <w:kern w:val="0"/>
                <w:sz w:val="20"/>
              </w:rPr>
              <w:t>A</w:t>
            </w:r>
          </w:p>
        </w:tc>
        <w:tc>
          <w:tcPr>
            <w:tcW w:w="766" w:type="dxa"/>
            <w:tcBorders>
              <w:top w:val="nil"/>
              <w:left w:val="nil"/>
              <w:bottom w:val="nil"/>
              <w:right w:val="nil"/>
            </w:tcBorders>
            <w:shd w:val="clear" w:color="auto" w:fill="auto"/>
            <w:noWrap/>
            <w:vAlign w:val="bottom"/>
            <w:hideMark/>
          </w:tcPr>
          <w:p w14:paraId="4CB485F4"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4483CB11" w14:textId="77777777" w:rsidR="000F5BAD" w:rsidRPr="00720EF1" w:rsidRDefault="000F5BAD" w:rsidP="006A25C9">
            <w:pPr>
              <w:widowControl/>
              <w:jc w:val="right"/>
              <w:rPr>
                <w:kern w:val="0"/>
                <w:sz w:val="20"/>
              </w:rPr>
            </w:pPr>
            <w:r w:rsidRPr="00720EF1">
              <w:rPr>
                <w:kern w:val="0"/>
                <w:sz w:val="20"/>
              </w:rPr>
              <w:t xml:space="preserve">8.25 </w:t>
            </w:r>
          </w:p>
        </w:tc>
        <w:tc>
          <w:tcPr>
            <w:tcW w:w="981" w:type="dxa"/>
            <w:tcBorders>
              <w:top w:val="nil"/>
              <w:left w:val="nil"/>
              <w:bottom w:val="nil"/>
              <w:right w:val="nil"/>
            </w:tcBorders>
            <w:shd w:val="clear" w:color="auto" w:fill="auto"/>
            <w:noWrap/>
            <w:vAlign w:val="bottom"/>
            <w:hideMark/>
          </w:tcPr>
          <w:p w14:paraId="0F121475" w14:textId="77777777" w:rsidR="000F5BAD" w:rsidRPr="00720EF1" w:rsidRDefault="000F5BAD" w:rsidP="006A25C9">
            <w:pPr>
              <w:widowControl/>
              <w:jc w:val="right"/>
              <w:rPr>
                <w:kern w:val="0"/>
                <w:sz w:val="20"/>
              </w:rPr>
            </w:pPr>
            <w:r w:rsidRPr="00720EF1">
              <w:rPr>
                <w:kern w:val="0"/>
                <w:sz w:val="20"/>
              </w:rPr>
              <w:t>62.55</w:t>
            </w:r>
          </w:p>
        </w:tc>
        <w:tc>
          <w:tcPr>
            <w:tcW w:w="962" w:type="dxa"/>
            <w:tcBorders>
              <w:top w:val="nil"/>
              <w:left w:val="nil"/>
              <w:bottom w:val="nil"/>
              <w:right w:val="nil"/>
            </w:tcBorders>
            <w:shd w:val="clear" w:color="auto" w:fill="auto"/>
            <w:noWrap/>
            <w:vAlign w:val="bottom"/>
            <w:hideMark/>
          </w:tcPr>
          <w:p w14:paraId="43A798B5" w14:textId="77777777" w:rsidR="000F5BAD" w:rsidRPr="00720EF1" w:rsidRDefault="000F5BAD" w:rsidP="006A25C9">
            <w:pPr>
              <w:widowControl/>
              <w:jc w:val="right"/>
              <w:rPr>
                <w:kern w:val="0"/>
                <w:sz w:val="20"/>
              </w:rPr>
            </w:pPr>
            <w:r w:rsidRPr="00720EF1">
              <w:rPr>
                <w:kern w:val="0"/>
                <w:sz w:val="20"/>
              </w:rPr>
              <w:t>78.56</w:t>
            </w:r>
          </w:p>
        </w:tc>
        <w:tc>
          <w:tcPr>
            <w:tcW w:w="962" w:type="dxa"/>
            <w:tcBorders>
              <w:top w:val="nil"/>
              <w:left w:val="nil"/>
              <w:bottom w:val="nil"/>
              <w:right w:val="nil"/>
            </w:tcBorders>
            <w:shd w:val="clear" w:color="auto" w:fill="auto"/>
            <w:noWrap/>
            <w:vAlign w:val="bottom"/>
            <w:hideMark/>
          </w:tcPr>
          <w:p w14:paraId="0F9A272E" w14:textId="77777777" w:rsidR="000F5BAD" w:rsidRPr="00720EF1" w:rsidRDefault="000F5BAD" w:rsidP="006A25C9">
            <w:pPr>
              <w:widowControl/>
              <w:jc w:val="right"/>
              <w:rPr>
                <w:kern w:val="0"/>
                <w:sz w:val="20"/>
              </w:rPr>
            </w:pPr>
            <w:r w:rsidRPr="00720EF1">
              <w:rPr>
                <w:kern w:val="0"/>
                <w:sz w:val="20"/>
              </w:rPr>
              <w:t>81.66</w:t>
            </w:r>
          </w:p>
        </w:tc>
        <w:tc>
          <w:tcPr>
            <w:tcW w:w="1197" w:type="dxa"/>
            <w:tcBorders>
              <w:top w:val="nil"/>
              <w:left w:val="nil"/>
              <w:bottom w:val="nil"/>
              <w:right w:val="nil"/>
            </w:tcBorders>
            <w:shd w:val="clear" w:color="auto" w:fill="auto"/>
            <w:noWrap/>
            <w:vAlign w:val="bottom"/>
            <w:hideMark/>
          </w:tcPr>
          <w:p w14:paraId="27DDD7DE" w14:textId="77777777" w:rsidR="000F5BAD" w:rsidRPr="00720EF1" w:rsidRDefault="000F5BAD" w:rsidP="006A25C9">
            <w:pPr>
              <w:widowControl/>
              <w:jc w:val="right"/>
              <w:rPr>
                <w:kern w:val="0"/>
                <w:sz w:val="20"/>
              </w:rPr>
            </w:pPr>
            <w:r w:rsidRPr="00720EF1">
              <w:rPr>
                <w:kern w:val="0"/>
                <w:sz w:val="20"/>
              </w:rPr>
              <w:t xml:space="preserve">        0.83 </w:t>
            </w:r>
          </w:p>
        </w:tc>
      </w:tr>
      <w:tr w:rsidR="000F5BAD" w:rsidRPr="00720EF1" w14:paraId="71539653" w14:textId="77777777" w:rsidTr="006A25C9">
        <w:trPr>
          <w:trHeight w:val="258"/>
        </w:trPr>
        <w:tc>
          <w:tcPr>
            <w:tcW w:w="2810" w:type="dxa"/>
            <w:tcBorders>
              <w:top w:val="nil"/>
              <w:left w:val="nil"/>
              <w:bottom w:val="nil"/>
              <w:right w:val="nil"/>
            </w:tcBorders>
            <w:shd w:val="clear" w:color="auto" w:fill="auto"/>
            <w:noWrap/>
            <w:vAlign w:val="bottom"/>
            <w:hideMark/>
          </w:tcPr>
          <w:p w14:paraId="50C76762" w14:textId="77777777" w:rsidR="000F5BAD" w:rsidRPr="00720EF1" w:rsidRDefault="000F5BAD" w:rsidP="006A25C9">
            <w:pPr>
              <w:widowControl/>
              <w:jc w:val="left"/>
              <w:rPr>
                <w:kern w:val="0"/>
                <w:sz w:val="20"/>
              </w:rPr>
            </w:pPr>
            <w:r w:rsidRPr="00720EF1">
              <w:rPr>
                <w:kern w:val="0"/>
                <w:sz w:val="20"/>
              </w:rPr>
              <w:t>创金合信创新驱动</w:t>
            </w:r>
            <w:r w:rsidRPr="00720EF1">
              <w:rPr>
                <w:kern w:val="0"/>
                <w:sz w:val="20"/>
              </w:rPr>
              <w:t>C</w:t>
            </w:r>
          </w:p>
        </w:tc>
        <w:tc>
          <w:tcPr>
            <w:tcW w:w="766" w:type="dxa"/>
            <w:tcBorders>
              <w:top w:val="nil"/>
              <w:left w:val="nil"/>
              <w:bottom w:val="nil"/>
              <w:right w:val="nil"/>
            </w:tcBorders>
            <w:shd w:val="clear" w:color="auto" w:fill="auto"/>
            <w:noWrap/>
            <w:vAlign w:val="bottom"/>
            <w:hideMark/>
          </w:tcPr>
          <w:p w14:paraId="0CD60381"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09512ABB" w14:textId="77777777" w:rsidR="000F5BAD" w:rsidRPr="00720EF1" w:rsidRDefault="000F5BAD" w:rsidP="006A25C9">
            <w:pPr>
              <w:widowControl/>
              <w:jc w:val="right"/>
              <w:rPr>
                <w:kern w:val="0"/>
                <w:sz w:val="20"/>
              </w:rPr>
            </w:pPr>
            <w:r w:rsidRPr="00720EF1">
              <w:rPr>
                <w:kern w:val="0"/>
                <w:sz w:val="20"/>
              </w:rPr>
              <w:t xml:space="preserve">7.37 </w:t>
            </w:r>
          </w:p>
        </w:tc>
        <w:tc>
          <w:tcPr>
            <w:tcW w:w="981" w:type="dxa"/>
            <w:tcBorders>
              <w:top w:val="nil"/>
              <w:left w:val="nil"/>
              <w:bottom w:val="nil"/>
              <w:right w:val="nil"/>
            </w:tcBorders>
            <w:shd w:val="clear" w:color="auto" w:fill="auto"/>
            <w:noWrap/>
            <w:vAlign w:val="bottom"/>
            <w:hideMark/>
          </w:tcPr>
          <w:p w14:paraId="09E10AA0" w14:textId="77777777" w:rsidR="000F5BAD" w:rsidRPr="00720EF1" w:rsidRDefault="000F5BAD" w:rsidP="006A25C9">
            <w:pPr>
              <w:widowControl/>
              <w:jc w:val="right"/>
              <w:rPr>
                <w:kern w:val="0"/>
                <w:sz w:val="20"/>
              </w:rPr>
            </w:pPr>
            <w:r w:rsidRPr="00720EF1">
              <w:rPr>
                <w:kern w:val="0"/>
                <w:sz w:val="20"/>
              </w:rPr>
              <w:t>69.97</w:t>
            </w:r>
          </w:p>
        </w:tc>
        <w:tc>
          <w:tcPr>
            <w:tcW w:w="962" w:type="dxa"/>
            <w:tcBorders>
              <w:top w:val="nil"/>
              <w:left w:val="nil"/>
              <w:bottom w:val="nil"/>
              <w:right w:val="nil"/>
            </w:tcBorders>
            <w:shd w:val="clear" w:color="auto" w:fill="auto"/>
            <w:noWrap/>
            <w:vAlign w:val="bottom"/>
            <w:hideMark/>
          </w:tcPr>
          <w:p w14:paraId="19614291" w14:textId="77777777" w:rsidR="000F5BAD" w:rsidRPr="00720EF1" w:rsidRDefault="000F5BAD" w:rsidP="006A25C9">
            <w:pPr>
              <w:widowControl/>
              <w:jc w:val="right"/>
              <w:rPr>
                <w:kern w:val="0"/>
                <w:sz w:val="20"/>
              </w:rPr>
            </w:pPr>
            <w:r w:rsidRPr="00720EF1">
              <w:rPr>
                <w:kern w:val="0"/>
                <w:sz w:val="20"/>
              </w:rPr>
              <w:t>82.4</w:t>
            </w:r>
          </w:p>
        </w:tc>
        <w:tc>
          <w:tcPr>
            <w:tcW w:w="962" w:type="dxa"/>
            <w:tcBorders>
              <w:top w:val="nil"/>
              <w:left w:val="nil"/>
              <w:bottom w:val="nil"/>
              <w:right w:val="nil"/>
            </w:tcBorders>
            <w:shd w:val="clear" w:color="auto" w:fill="auto"/>
            <w:noWrap/>
            <w:vAlign w:val="bottom"/>
            <w:hideMark/>
          </w:tcPr>
          <w:p w14:paraId="43436F1F" w14:textId="77777777" w:rsidR="000F5BAD" w:rsidRPr="00720EF1" w:rsidRDefault="000F5BAD" w:rsidP="006A25C9">
            <w:pPr>
              <w:widowControl/>
              <w:jc w:val="right"/>
              <w:rPr>
                <w:kern w:val="0"/>
                <w:sz w:val="20"/>
              </w:rPr>
            </w:pPr>
            <w:r w:rsidRPr="00720EF1">
              <w:rPr>
                <w:kern w:val="0"/>
                <w:sz w:val="20"/>
              </w:rPr>
              <w:t>85.78</w:t>
            </w:r>
          </w:p>
        </w:tc>
        <w:tc>
          <w:tcPr>
            <w:tcW w:w="1197" w:type="dxa"/>
            <w:tcBorders>
              <w:top w:val="nil"/>
              <w:left w:val="nil"/>
              <w:bottom w:val="nil"/>
              <w:right w:val="nil"/>
            </w:tcBorders>
            <w:shd w:val="clear" w:color="auto" w:fill="auto"/>
            <w:noWrap/>
            <w:vAlign w:val="bottom"/>
            <w:hideMark/>
          </w:tcPr>
          <w:p w14:paraId="0D0AC5D1" w14:textId="77777777" w:rsidR="000F5BAD" w:rsidRPr="00720EF1" w:rsidRDefault="000F5BAD" w:rsidP="006A25C9">
            <w:pPr>
              <w:widowControl/>
              <w:jc w:val="right"/>
              <w:rPr>
                <w:kern w:val="0"/>
                <w:sz w:val="20"/>
              </w:rPr>
            </w:pPr>
            <w:r w:rsidRPr="00720EF1">
              <w:rPr>
                <w:kern w:val="0"/>
                <w:sz w:val="20"/>
              </w:rPr>
              <w:t xml:space="preserve">      15.25 </w:t>
            </w:r>
          </w:p>
        </w:tc>
      </w:tr>
      <w:tr w:rsidR="000F5BAD" w:rsidRPr="00720EF1" w14:paraId="600A1D8E" w14:textId="77777777" w:rsidTr="006A25C9">
        <w:trPr>
          <w:trHeight w:val="258"/>
        </w:trPr>
        <w:tc>
          <w:tcPr>
            <w:tcW w:w="2810" w:type="dxa"/>
            <w:tcBorders>
              <w:top w:val="nil"/>
              <w:left w:val="nil"/>
              <w:bottom w:val="nil"/>
              <w:right w:val="nil"/>
            </w:tcBorders>
            <w:shd w:val="clear" w:color="auto" w:fill="auto"/>
            <w:noWrap/>
            <w:vAlign w:val="bottom"/>
            <w:hideMark/>
          </w:tcPr>
          <w:p w14:paraId="2EBADF38" w14:textId="77777777" w:rsidR="000F5BAD" w:rsidRPr="00720EF1" w:rsidRDefault="000F5BAD" w:rsidP="006A25C9">
            <w:pPr>
              <w:widowControl/>
              <w:jc w:val="left"/>
              <w:rPr>
                <w:kern w:val="0"/>
                <w:sz w:val="20"/>
              </w:rPr>
            </w:pPr>
            <w:r w:rsidRPr="00720EF1">
              <w:rPr>
                <w:kern w:val="0"/>
                <w:sz w:val="20"/>
              </w:rPr>
              <w:t>申万菱信电子行业</w:t>
            </w:r>
            <w:r w:rsidRPr="00720EF1">
              <w:rPr>
                <w:kern w:val="0"/>
                <w:sz w:val="20"/>
              </w:rPr>
              <w:t>C</w:t>
            </w:r>
          </w:p>
        </w:tc>
        <w:tc>
          <w:tcPr>
            <w:tcW w:w="766" w:type="dxa"/>
            <w:tcBorders>
              <w:top w:val="nil"/>
              <w:left w:val="nil"/>
              <w:bottom w:val="nil"/>
              <w:right w:val="nil"/>
            </w:tcBorders>
            <w:shd w:val="clear" w:color="auto" w:fill="auto"/>
            <w:noWrap/>
            <w:vAlign w:val="bottom"/>
            <w:hideMark/>
          </w:tcPr>
          <w:p w14:paraId="521244EE"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21EB3348" w14:textId="77777777" w:rsidR="000F5BAD" w:rsidRPr="00720EF1" w:rsidRDefault="000F5BAD" w:rsidP="006A25C9">
            <w:pPr>
              <w:widowControl/>
              <w:jc w:val="right"/>
              <w:rPr>
                <w:kern w:val="0"/>
                <w:sz w:val="20"/>
              </w:rPr>
            </w:pPr>
            <w:r w:rsidRPr="00720EF1">
              <w:rPr>
                <w:kern w:val="0"/>
                <w:sz w:val="20"/>
              </w:rPr>
              <w:t xml:space="preserve">7.99 </w:t>
            </w:r>
          </w:p>
        </w:tc>
        <w:tc>
          <w:tcPr>
            <w:tcW w:w="981" w:type="dxa"/>
            <w:tcBorders>
              <w:top w:val="nil"/>
              <w:left w:val="nil"/>
              <w:bottom w:val="nil"/>
              <w:right w:val="nil"/>
            </w:tcBorders>
            <w:shd w:val="clear" w:color="auto" w:fill="auto"/>
            <w:noWrap/>
            <w:vAlign w:val="bottom"/>
            <w:hideMark/>
          </w:tcPr>
          <w:p w14:paraId="571B1C4F" w14:textId="77777777" w:rsidR="000F5BAD" w:rsidRPr="00720EF1" w:rsidRDefault="000F5BAD" w:rsidP="006A25C9">
            <w:pPr>
              <w:widowControl/>
              <w:jc w:val="right"/>
              <w:rPr>
                <w:kern w:val="0"/>
                <w:sz w:val="20"/>
              </w:rPr>
            </w:pPr>
            <w:r w:rsidRPr="00720EF1">
              <w:rPr>
                <w:kern w:val="0"/>
                <w:sz w:val="20"/>
              </w:rPr>
              <w:t>62.99</w:t>
            </w:r>
          </w:p>
        </w:tc>
        <w:tc>
          <w:tcPr>
            <w:tcW w:w="962" w:type="dxa"/>
            <w:tcBorders>
              <w:top w:val="nil"/>
              <w:left w:val="nil"/>
              <w:bottom w:val="nil"/>
              <w:right w:val="nil"/>
            </w:tcBorders>
            <w:shd w:val="clear" w:color="auto" w:fill="auto"/>
            <w:noWrap/>
            <w:vAlign w:val="bottom"/>
            <w:hideMark/>
          </w:tcPr>
          <w:p w14:paraId="4619E3A8" w14:textId="77777777" w:rsidR="000F5BAD" w:rsidRPr="00720EF1" w:rsidRDefault="000F5BAD" w:rsidP="006A25C9">
            <w:pPr>
              <w:widowControl/>
              <w:jc w:val="right"/>
              <w:rPr>
                <w:kern w:val="0"/>
                <w:sz w:val="20"/>
              </w:rPr>
            </w:pPr>
            <w:r w:rsidRPr="00720EF1">
              <w:rPr>
                <w:kern w:val="0"/>
                <w:sz w:val="20"/>
              </w:rPr>
              <w:t>79.4</w:t>
            </w:r>
          </w:p>
        </w:tc>
        <w:tc>
          <w:tcPr>
            <w:tcW w:w="962" w:type="dxa"/>
            <w:tcBorders>
              <w:top w:val="nil"/>
              <w:left w:val="nil"/>
              <w:bottom w:val="nil"/>
              <w:right w:val="nil"/>
            </w:tcBorders>
            <w:shd w:val="clear" w:color="auto" w:fill="auto"/>
            <w:noWrap/>
            <w:vAlign w:val="bottom"/>
            <w:hideMark/>
          </w:tcPr>
          <w:p w14:paraId="6A3F7F84" w14:textId="77777777" w:rsidR="000F5BAD" w:rsidRPr="00720EF1" w:rsidRDefault="000F5BAD" w:rsidP="006A25C9">
            <w:pPr>
              <w:widowControl/>
              <w:jc w:val="right"/>
              <w:rPr>
                <w:kern w:val="0"/>
                <w:sz w:val="20"/>
              </w:rPr>
            </w:pPr>
            <w:r w:rsidRPr="00720EF1">
              <w:rPr>
                <w:kern w:val="0"/>
                <w:sz w:val="20"/>
              </w:rPr>
              <w:t>84.14</w:t>
            </w:r>
          </w:p>
        </w:tc>
        <w:tc>
          <w:tcPr>
            <w:tcW w:w="1197" w:type="dxa"/>
            <w:tcBorders>
              <w:top w:val="nil"/>
              <w:left w:val="nil"/>
              <w:bottom w:val="nil"/>
              <w:right w:val="nil"/>
            </w:tcBorders>
            <w:shd w:val="clear" w:color="auto" w:fill="auto"/>
            <w:noWrap/>
            <w:vAlign w:val="bottom"/>
            <w:hideMark/>
          </w:tcPr>
          <w:p w14:paraId="210BE2D7" w14:textId="77777777" w:rsidR="000F5BAD" w:rsidRPr="00720EF1" w:rsidRDefault="000F5BAD" w:rsidP="006A25C9">
            <w:pPr>
              <w:widowControl/>
              <w:jc w:val="right"/>
              <w:rPr>
                <w:kern w:val="0"/>
                <w:sz w:val="20"/>
              </w:rPr>
            </w:pPr>
            <w:r w:rsidRPr="00720EF1">
              <w:rPr>
                <w:kern w:val="0"/>
                <w:sz w:val="20"/>
              </w:rPr>
              <w:t xml:space="preserve">      18.51 </w:t>
            </w:r>
          </w:p>
        </w:tc>
      </w:tr>
      <w:tr w:rsidR="000F5BAD" w:rsidRPr="00720EF1" w14:paraId="01608159" w14:textId="77777777" w:rsidTr="006A25C9">
        <w:trPr>
          <w:trHeight w:val="258"/>
        </w:trPr>
        <w:tc>
          <w:tcPr>
            <w:tcW w:w="2810" w:type="dxa"/>
            <w:tcBorders>
              <w:top w:val="nil"/>
              <w:left w:val="nil"/>
              <w:bottom w:val="nil"/>
              <w:right w:val="nil"/>
            </w:tcBorders>
            <w:shd w:val="clear" w:color="auto" w:fill="auto"/>
            <w:noWrap/>
            <w:vAlign w:val="bottom"/>
            <w:hideMark/>
          </w:tcPr>
          <w:p w14:paraId="7F1CCD6A" w14:textId="77777777" w:rsidR="000F5BAD" w:rsidRPr="00720EF1" w:rsidRDefault="000F5BAD" w:rsidP="006A25C9">
            <w:pPr>
              <w:widowControl/>
              <w:jc w:val="left"/>
              <w:rPr>
                <w:kern w:val="0"/>
                <w:sz w:val="20"/>
              </w:rPr>
            </w:pPr>
            <w:r w:rsidRPr="00720EF1">
              <w:rPr>
                <w:kern w:val="0"/>
                <w:sz w:val="20"/>
              </w:rPr>
              <w:t>易方达中证万得生物科技</w:t>
            </w:r>
            <w:r w:rsidRPr="00720EF1">
              <w:rPr>
                <w:kern w:val="0"/>
                <w:sz w:val="20"/>
              </w:rPr>
              <w:t>C</w:t>
            </w:r>
          </w:p>
        </w:tc>
        <w:tc>
          <w:tcPr>
            <w:tcW w:w="766" w:type="dxa"/>
            <w:tcBorders>
              <w:top w:val="nil"/>
              <w:left w:val="nil"/>
              <w:bottom w:val="nil"/>
              <w:right w:val="nil"/>
            </w:tcBorders>
            <w:shd w:val="clear" w:color="auto" w:fill="auto"/>
            <w:noWrap/>
            <w:vAlign w:val="bottom"/>
            <w:hideMark/>
          </w:tcPr>
          <w:p w14:paraId="0F014CE1"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3FEF0079" w14:textId="77777777" w:rsidR="000F5BAD" w:rsidRPr="00720EF1" w:rsidRDefault="000F5BAD" w:rsidP="006A25C9">
            <w:pPr>
              <w:widowControl/>
              <w:jc w:val="right"/>
              <w:rPr>
                <w:kern w:val="0"/>
                <w:sz w:val="20"/>
              </w:rPr>
            </w:pPr>
            <w:r w:rsidRPr="00720EF1">
              <w:rPr>
                <w:kern w:val="0"/>
                <w:sz w:val="20"/>
              </w:rPr>
              <w:t xml:space="preserve">7.07 </w:t>
            </w:r>
          </w:p>
        </w:tc>
        <w:tc>
          <w:tcPr>
            <w:tcW w:w="981" w:type="dxa"/>
            <w:tcBorders>
              <w:top w:val="nil"/>
              <w:left w:val="nil"/>
              <w:bottom w:val="nil"/>
              <w:right w:val="nil"/>
            </w:tcBorders>
            <w:shd w:val="clear" w:color="auto" w:fill="auto"/>
            <w:noWrap/>
            <w:vAlign w:val="bottom"/>
            <w:hideMark/>
          </w:tcPr>
          <w:p w14:paraId="4EF1E64B" w14:textId="77777777" w:rsidR="000F5BAD" w:rsidRPr="00720EF1" w:rsidRDefault="000F5BAD" w:rsidP="006A25C9">
            <w:pPr>
              <w:widowControl/>
              <w:jc w:val="right"/>
              <w:rPr>
                <w:kern w:val="0"/>
                <w:sz w:val="20"/>
              </w:rPr>
            </w:pPr>
            <w:r w:rsidRPr="00720EF1">
              <w:rPr>
                <w:kern w:val="0"/>
                <w:sz w:val="20"/>
              </w:rPr>
              <w:t>61</w:t>
            </w:r>
          </w:p>
        </w:tc>
        <w:tc>
          <w:tcPr>
            <w:tcW w:w="962" w:type="dxa"/>
            <w:tcBorders>
              <w:top w:val="nil"/>
              <w:left w:val="nil"/>
              <w:bottom w:val="nil"/>
              <w:right w:val="nil"/>
            </w:tcBorders>
            <w:shd w:val="clear" w:color="auto" w:fill="auto"/>
            <w:noWrap/>
            <w:vAlign w:val="bottom"/>
            <w:hideMark/>
          </w:tcPr>
          <w:p w14:paraId="311C97E6" w14:textId="77777777" w:rsidR="000F5BAD" w:rsidRPr="00720EF1" w:rsidRDefault="000F5BAD" w:rsidP="006A25C9">
            <w:pPr>
              <w:widowControl/>
              <w:jc w:val="right"/>
              <w:rPr>
                <w:kern w:val="0"/>
                <w:sz w:val="20"/>
              </w:rPr>
            </w:pPr>
            <w:r w:rsidRPr="00720EF1">
              <w:rPr>
                <w:kern w:val="0"/>
                <w:sz w:val="20"/>
              </w:rPr>
              <w:t>80.94</w:t>
            </w:r>
          </w:p>
        </w:tc>
        <w:tc>
          <w:tcPr>
            <w:tcW w:w="962" w:type="dxa"/>
            <w:tcBorders>
              <w:top w:val="nil"/>
              <w:left w:val="nil"/>
              <w:bottom w:val="nil"/>
              <w:right w:val="nil"/>
            </w:tcBorders>
            <w:shd w:val="clear" w:color="auto" w:fill="auto"/>
            <w:noWrap/>
            <w:vAlign w:val="bottom"/>
            <w:hideMark/>
          </w:tcPr>
          <w:p w14:paraId="30FC256D" w14:textId="77777777" w:rsidR="000F5BAD" w:rsidRPr="00720EF1" w:rsidRDefault="000F5BAD" w:rsidP="006A25C9">
            <w:pPr>
              <w:widowControl/>
              <w:jc w:val="right"/>
              <w:rPr>
                <w:kern w:val="0"/>
                <w:sz w:val="20"/>
              </w:rPr>
            </w:pPr>
            <w:r w:rsidRPr="00720EF1">
              <w:rPr>
                <w:kern w:val="0"/>
                <w:sz w:val="20"/>
              </w:rPr>
              <w:t>82.42</w:t>
            </w:r>
          </w:p>
        </w:tc>
        <w:tc>
          <w:tcPr>
            <w:tcW w:w="1197" w:type="dxa"/>
            <w:tcBorders>
              <w:top w:val="nil"/>
              <w:left w:val="nil"/>
              <w:bottom w:val="nil"/>
              <w:right w:val="nil"/>
            </w:tcBorders>
            <w:shd w:val="clear" w:color="auto" w:fill="auto"/>
            <w:noWrap/>
            <w:vAlign w:val="bottom"/>
            <w:hideMark/>
          </w:tcPr>
          <w:p w14:paraId="54349C64" w14:textId="77777777" w:rsidR="000F5BAD" w:rsidRPr="00720EF1" w:rsidRDefault="000F5BAD" w:rsidP="006A25C9">
            <w:pPr>
              <w:widowControl/>
              <w:jc w:val="right"/>
              <w:rPr>
                <w:kern w:val="0"/>
                <w:sz w:val="20"/>
              </w:rPr>
            </w:pPr>
            <w:r w:rsidRPr="00720EF1">
              <w:rPr>
                <w:kern w:val="0"/>
                <w:sz w:val="20"/>
              </w:rPr>
              <w:t xml:space="preserve">      13.26 </w:t>
            </w:r>
          </w:p>
        </w:tc>
      </w:tr>
      <w:tr w:rsidR="000F5BAD" w:rsidRPr="00720EF1" w14:paraId="37A2E9B0" w14:textId="77777777" w:rsidTr="006A25C9">
        <w:trPr>
          <w:trHeight w:val="258"/>
        </w:trPr>
        <w:tc>
          <w:tcPr>
            <w:tcW w:w="2810" w:type="dxa"/>
            <w:tcBorders>
              <w:top w:val="nil"/>
              <w:left w:val="nil"/>
              <w:bottom w:val="nil"/>
              <w:right w:val="nil"/>
            </w:tcBorders>
            <w:shd w:val="clear" w:color="auto" w:fill="auto"/>
            <w:noWrap/>
            <w:vAlign w:val="bottom"/>
            <w:hideMark/>
          </w:tcPr>
          <w:p w14:paraId="6E4EDEB7" w14:textId="77777777" w:rsidR="000F5BAD" w:rsidRPr="00720EF1" w:rsidRDefault="000F5BAD" w:rsidP="006A25C9">
            <w:pPr>
              <w:widowControl/>
              <w:jc w:val="left"/>
              <w:rPr>
                <w:kern w:val="0"/>
                <w:sz w:val="20"/>
              </w:rPr>
            </w:pPr>
            <w:r w:rsidRPr="00720EF1">
              <w:rPr>
                <w:kern w:val="0"/>
                <w:sz w:val="20"/>
              </w:rPr>
              <w:t>创金合信医药消费</w:t>
            </w:r>
            <w:r w:rsidRPr="00720EF1">
              <w:rPr>
                <w:kern w:val="0"/>
                <w:sz w:val="20"/>
              </w:rPr>
              <w:t>A</w:t>
            </w:r>
          </w:p>
        </w:tc>
        <w:tc>
          <w:tcPr>
            <w:tcW w:w="766" w:type="dxa"/>
            <w:tcBorders>
              <w:top w:val="nil"/>
              <w:left w:val="nil"/>
              <w:bottom w:val="nil"/>
              <w:right w:val="nil"/>
            </w:tcBorders>
            <w:shd w:val="clear" w:color="auto" w:fill="auto"/>
            <w:noWrap/>
            <w:vAlign w:val="bottom"/>
            <w:hideMark/>
          </w:tcPr>
          <w:p w14:paraId="62C2F2D6"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6BEAF7BF" w14:textId="77777777" w:rsidR="000F5BAD" w:rsidRPr="00720EF1" w:rsidRDefault="000F5BAD" w:rsidP="006A25C9">
            <w:pPr>
              <w:widowControl/>
              <w:jc w:val="right"/>
              <w:rPr>
                <w:kern w:val="0"/>
                <w:sz w:val="20"/>
              </w:rPr>
            </w:pPr>
            <w:r w:rsidRPr="00720EF1">
              <w:rPr>
                <w:kern w:val="0"/>
                <w:sz w:val="20"/>
              </w:rPr>
              <w:t xml:space="preserve">6.36 </w:t>
            </w:r>
          </w:p>
        </w:tc>
        <w:tc>
          <w:tcPr>
            <w:tcW w:w="981" w:type="dxa"/>
            <w:tcBorders>
              <w:top w:val="nil"/>
              <w:left w:val="nil"/>
              <w:bottom w:val="nil"/>
              <w:right w:val="nil"/>
            </w:tcBorders>
            <w:shd w:val="clear" w:color="auto" w:fill="auto"/>
            <w:noWrap/>
            <w:vAlign w:val="bottom"/>
            <w:hideMark/>
          </w:tcPr>
          <w:p w14:paraId="302F4BD4" w14:textId="77777777" w:rsidR="000F5BAD" w:rsidRPr="00720EF1" w:rsidRDefault="000F5BAD" w:rsidP="006A25C9">
            <w:pPr>
              <w:widowControl/>
              <w:jc w:val="right"/>
              <w:rPr>
                <w:kern w:val="0"/>
                <w:sz w:val="20"/>
              </w:rPr>
            </w:pPr>
            <w:r w:rsidRPr="00720EF1">
              <w:rPr>
                <w:kern w:val="0"/>
                <w:sz w:val="20"/>
              </w:rPr>
              <w:t>58.06</w:t>
            </w:r>
          </w:p>
        </w:tc>
        <w:tc>
          <w:tcPr>
            <w:tcW w:w="962" w:type="dxa"/>
            <w:tcBorders>
              <w:top w:val="nil"/>
              <w:left w:val="nil"/>
              <w:bottom w:val="nil"/>
              <w:right w:val="nil"/>
            </w:tcBorders>
            <w:shd w:val="clear" w:color="auto" w:fill="auto"/>
            <w:noWrap/>
            <w:vAlign w:val="bottom"/>
            <w:hideMark/>
          </w:tcPr>
          <w:p w14:paraId="217CDE28" w14:textId="77777777" w:rsidR="000F5BAD" w:rsidRPr="00720EF1" w:rsidRDefault="000F5BAD" w:rsidP="006A25C9">
            <w:pPr>
              <w:widowControl/>
              <w:jc w:val="right"/>
              <w:rPr>
                <w:kern w:val="0"/>
                <w:sz w:val="20"/>
              </w:rPr>
            </w:pPr>
            <w:r w:rsidRPr="00720EF1">
              <w:rPr>
                <w:kern w:val="0"/>
                <w:sz w:val="20"/>
              </w:rPr>
              <w:t>80.99</w:t>
            </w:r>
          </w:p>
        </w:tc>
        <w:tc>
          <w:tcPr>
            <w:tcW w:w="962" w:type="dxa"/>
            <w:tcBorders>
              <w:top w:val="nil"/>
              <w:left w:val="nil"/>
              <w:bottom w:val="nil"/>
              <w:right w:val="nil"/>
            </w:tcBorders>
            <w:shd w:val="clear" w:color="auto" w:fill="auto"/>
            <w:noWrap/>
            <w:vAlign w:val="bottom"/>
            <w:hideMark/>
          </w:tcPr>
          <w:p w14:paraId="4E636BB6" w14:textId="77777777" w:rsidR="000F5BAD" w:rsidRPr="00720EF1" w:rsidRDefault="000F5BAD" w:rsidP="006A25C9">
            <w:pPr>
              <w:widowControl/>
              <w:jc w:val="right"/>
              <w:rPr>
                <w:kern w:val="0"/>
                <w:sz w:val="20"/>
              </w:rPr>
            </w:pPr>
            <w:r w:rsidRPr="00720EF1">
              <w:rPr>
                <w:kern w:val="0"/>
                <w:sz w:val="20"/>
              </w:rPr>
              <w:t>79.81</w:t>
            </w:r>
          </w:p>
        </w:tc>
        <w:tc>
          <w:tcPr>
            <w:tcW w:w="1197" w:type="dxa"/>
            <w:tcBorders>
              <w:top w:val="nil"/>
              <w:left w:val="nil"/>
              <w:bottom w:val="nil"/>
              <w:right w:val="nil"/>
            </w:tcBorders>
            <w:shd w:val="clear" w:color="auto" w:fill="auto"/>
            <w:noWrap/>
            <w:vAlign w:val="bottom"/>
            <w:hideMark/>
          </w:tcPr>
          <w:p w14:paraId="57281462" w14:textId="77777777" w:rsidR="000F5BAD" w:rsidRPr="00720EF1" w:rsidRDefault="000F5BAD" w:rsidP="006A25C9">
            <w:pPr>
              <w:widowControl/>
              <w:jc w:val="right"/>
              <w:rPr>
                <w:kern w:val="0"/>
                <w:sz w:val="20"/>
              </w:rPr>
            </w:pPr>
            <w:r w:rsidRPr="00720EF1">
              <w:rPr>
                <w:kern w:val="0"/>
                <w:sz w:val="20"/>
              </w:rPr>
              <w:t xml:space="preserve">      10.71 </w:t>
            </w:r>
          </w:p>
        </w:tc>
      </w:tr>
      <w:tr w:rsidR="000F5BAD" w:rsidRPr="00720EF1" w14:paraId="55A94029" w14:textId="77777777" w:rsidTr="006A25C9">
        <w:trPr>
          <w:trHeight w:val="258"/>
        </w:trPr>
        <w:tc>
          <w:tcPr>
            <w:tcW w:w="2810" w:type="dxa"/>
            <w:tcBorders>
              <w:top w:val="nil"/>
              <w:left w:val="nil"/>
              <w:bottom w:val="nil"/>
              <w:right w:val="nil"/>
            </w:tcBorders>
            <w:shd w:val="clear" w:color="auto" w:fill="auto"/>
            <w:noWrap/>
            <w:vAlign w:val="bottom"/>
            <w:hideMark/>
          </w:tcPr>
          <w:p w14:paraId="7FEBE8F7" w14:textId="77777777" w:rsidR="000F5BAD" w:rsidRPr="00720EF1" w:rsidRDefault="000F5BAD" w:rsidP="006A25C9">
            <w:pPr>
              <w:widowControl/>
              <w:jc w:val="left"/>
              <w:rPr>
                <w:kern w:val="0"/>
                <w:sz w:val="20"/>
              </w:rPr>
            </w:pPr>
            <w:r w:rsidRPr="00720EF1">
              <w:rPr>
                <w:kern w:val="0"/>
                <w:sz w:val="20"/>
              </w:rPr>
              <w:t>工银瑞信中证传媒</w:t>
            </w:r>
            <w:r w:rsidRPr="00720EF1">
              <w:rPr>
                <w:kern w:val="0"/>
                <w:sz w:val="20"/>
              </w:rPr>
              <w:t>C</w:t>
            </w:r>
          </w:p>
        </w:tc>
        <w:tc>
          <w:tcPr>
            <w:tcW w:w="766" w:type="dxa"/>
            <w:tcBorders>
              <w:top w:val="nil"/>
              <w:left w:val="nil"/>
              <w:bottom w:val="nil"/>
              <w:right w:val="nil"/>
            </w:tcBorders>
            <w:shd w:val="clear" w:color="auto" w:fill="auto"/>
            <w:noWrap/>
            <w:vAlign w:val="bottom"/>
            <w:hideMark/>
          </w:tcPr>
          <w:p w14:paraId="18553861"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1860A367" w14:textId="77777777" w:rsidR="000F5BAD" w:rsidRPr="00720EF1" w:rsidRDefault="000F5BAD" w:rsidP="006A25C9">
            <w:pPr>
              <w:widowControl/>
              <w:jc w:val="right"/>
              <w:rPr>
                <w:kern w:val="0"/>
                <w:sz w:val="20"/>
              </w:rPr>
            </w:pPr>
            <w:r w:rsidRPr="00720EF1">
              <w:rPr>
                <w:kern w:val="0"/>
                <w:sz w:val="20"/>
              </w:rPr>
              <w:t xml:space="preserve">7.87 </w:t>
            </w:r>
          </w:p>
        </w:tc>
        <w:tc>
          <w:tcPr>
            <w:tcW w:w="981" w:type="dxa"/>
            <w:tcBorders>
              <w:top w:val="nil"/>
              <w:left w:val="nil"/>
              <w:bottom w:val="nil"/>
              <w:right w:val="nil"/>
            </w:tcBorders>
            <w:shd w:val="clear" w:color="auto" w:fill="auto"/>
            <w:noWrap/>
            <w:vAlign w:val="bottom"/>
            <w:hideMark/>
          </w:tcPr>
          <w:p w14:paraId="4E6968CE" w14:textId="77777777" w:rsidR="000F5BAD" w:rsidRPr="00720EF1" w:rsidRDefault="000F5BAD" w:rsidP="006A25C9">
            <w:pPr>
              <w:widowControl/>
              <w:jc w:val="right"/>
              <w:rPr>
                <w:kern w:val="0"/>
                <w:sz w:val="20"/>
              </w:rPr>
            </w:pPr>
            <w:r w:rsidRPr="00720EF1">
              <w:rPr>
                <w:kern w:val="0"/>
                <w:sz w:val="20"/>
              </w:rPr>
              <w:t>59.89</w:t>
            </w:r>
          </w:p>
        </w:tc>
        <w:tc>
          <w:tcPr>
            <w:tcW w:w="962" w:type="dxa"/>
            <w:tcBorders>
              <w:top w:val="nil"/>
              <w:left w:val="nil"/>
              <w:bottom w:val="nil"/>
              <w:right w:val="nil"/>
            </w:tcBorders>
            <w:shd w:val="clear" w:color="auto" w:fill="auto"/>
            <w:noWrap/>
            <w:vAlign w:val="bottom"/>
            <w:hideMark/>
          </w:tcPr>
          <w:p w14:paraId="3CE67E21" w14:textId="77777777" w:rsidR="000F5BAD" w:rsidRPr="00720EF1" w:rsidRDefault="000F5BAD" w:rsidP="006A25C9">
            <w:pPr>
              <w:widowControl/>
              <w:jc w:val="right"/>
              <w:rPr>
                <w:kern w:val="0"/>
                <w:sz w:val="20"/>
              </w:rPr>
            </w:pPr>
            <w:r w:rsidRPr="00720EF1">
              <w:rPr>
                <w:kern w:val="0"/>
                <w:sz w:val="20"/>
              </w:rPr>
              <w:t>77.37</w:t>
            </w:r>
          </w:p>
        </w:tc>
        <w:tc>
          <w:tcPr>
            <w:tcW w:w="962" w:type="dxa"/>
            <w:tcBorders>
              <w:top w:val="nil"/>
              <w:left w:val="nil"/>
              <w:bottom w:val="nil"/>
              <w:right w:val="nil"/>
            </w:tcBorders>
            <w:shd w:val="clear" w:color="auto" w:fill="auto"/>
            <w:noWrap/>
            <w:vAlign w:val="bottom"/>
            <w:hideMark/>
          </w:tcPr>
          <w:p w14:paraId="718182EA" w14:textId="77777777" w:rsidR="000F5BAD" w:rsidRPr="00720EF1" w:rsidRDefault="000F5BAD" w:rsidP="006A25C9">
            <w:pPr>
              <w:widowControl/>
              <w:jc w:val="right"/>
              <w:rPr>
                <w:kern w:val="0"/>
                <w:sz w:val="20"/>
              </w:rPr>
            </w:pPr>
            <w:r w:rsidRPr="00720EF1">
              <w:rPr>
                <w:kern w:val="0"/>
                <w:sz w:val="20"/>
              </w:rPr>
              <w:t>82.76</w:t>
            </w:r>
          </w:p>
        </w:tc>
        <w:tc>
          <w:tcPr>
            <w:tcW w:w="1197" w:type="dxa"/>
            <w:tcBorders>
              <w:top w:val="nil"/>
              <w:left w:val="nil"/>
              <w:bottom w:val="nil"/>
              <w:right w:val="nil"/>
            </w:tcBorders>
            <w:shd w:val="clear" w:color="auto" w:fill="auto"/>
            <w:noWrap/>
            <w:vAlign w:val="bottom"/>
            <w:hideMark/>
          </w:tcPr>
          <w:p w14:paraId="10883D6D" w14:textId="77777777" w:rsidR="000F5BAD" w:rsidRPr="00720EF1" w:rsidRDefault="000F5BAD" w:rsidP="006A25C9">
            <w:pPr>
              <w:widowControl/>
              <w:jc w:val="right"/>
              <w:rPr>
                <w:kern w:val="0"/>
                <w:sz w:val="20"/>
              </w:rPr>
            </w:pPr>
            <w:r w:rsidRPr="00720EF1">
              <w:rPr>
                <w:kern w:val="0"/>
                <w:sz w:val="20"/>
              </w:rPr>
              <w:t xml:space="preserve">      11.47 </w:t>
            </w:r>
          </w:p>
        </w:tc>
      </w:tr>
      <w:tr w:rsidR="000F5BAD" w:rsidRPr="00720EF1" w14:paraId="2989EC3D" w14:textId="77777777" w:rsidTr="006A25C9">
        <w:trPr>
          <w:trHeight w:val="258"/>
        </w:trPr>
        <w:tc>
          <w:tcPr>
            <w:tcW w:w="2810" w:type="dxa"/>
            <w:tcBorders>
              <w:top w:val="nil"/>
              <w:left w:val="nil"/>
              <w:bottom w:val="nil"/>
              <w:right w:val="nil"/>
            </w:tcBorders>
            <w:shd w:val="clear" w:color="auto" w:fill="auto"/>
            <w:noWrap/>
            <w:vAlign w:val="bottom"/>
            <w:hideMark/>
          </w:tcPr>
          <w:p w14:paraId="590F3C42" w14:textId="77777777" w:rsidR="000F5BAD" w:rsidRPr="00720EF1" w:rsidRDefault="000F5BAD" w:rsidP="006A25C9">
            <w:pPr>
              <w:widowControl/>
              <w:jc w:val="left"/>
              <w:rPr>
                <w:kern w:val="0"/>
                <w:sz w:val="20"/>
              </w:rPr>
            </w:pPr>
            <w:r w:rsidRPr="00720EF1">
              <w:rPr>
                <w:kern w:val="0"/>
                <w:sz w:val="20"/>
              </w:rPr>
              <w:t>工银瑞信前沿医疗</w:t>
            </w:r>
            <w:r w:rsidRPr="00720EF1">
              <w:rPr>
                <w:kern w:val="0"/>
                <w:sz w:val="20"/>
              </w:rPr>
              <w:t>C</w:t>
            </w:r>
          </w:p>
        </w:tc>
        <w:tc>
          <w:tcPr>
            <w:tcW w:w="766" w:type="dxa"/>
            <w:tcBorders>
              <w:top w:val="nil"/>
              <w:left w:val="nil"/>
              <w:bottom w:val="nil"/>
              <w:right w:val="nil"/>
            </w:tcBorders>
            <w:shd w:val="clear" w:color="auto" w:fill="auto"/>
            <w:noWrap/>
            <w:vAlign w:val="bottom"/>
            <w:hideMark/>
          </w:tcPr>
          <w:p w14:paraId="3887A83D"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474DF417" w14:textId="77777777" w:rsidR="000F5BAD" w:rsidRPr="00720EF1" w:rsidRDefault="000F5BAD" w:rsidP="006A25C9">
            <w:pPr>
              <w:widowControl/>
              <w:jc w:val="right"/>
              <w:rPr>
                <w:kern w:val="0"/>
                <w:sz w:val="20"/>
              </w:rPr>
            </w:pPr>
            <w:r w:rsidRPr="00720EF1">
              <w:rPr>
                <w:kern w:val="0"/>
                <w:sz w:val="20"/>
              </w:rPr>
              <w:t xml:space="preserve">7.41 </w:t>
            </w:r>
          </w:p>
        </w:tc>
        <w:tc>
          <w:tcPr>
            <w:tcW w:w="981" w:type="dxa"/>
            <w:tcBorders>
              <w:top w:val="nil"/>
              <w:left w:val="nil"/>
              <w:bottom w:val="nil"/>
              <w:right w:val="nil"/>
            </w:tcBorders>
            <w:shd w:val="clear" w:color="auto" w:fill="auto"/>
            <w:noWrap/>
            <w:vAlign w:val="bottom"/>
            <w:hideMark/>
          </w:tcPr>
          <w:p w14:paraId="1499FE95" w14:textId="77777777" w:rsidR="000F5BAD" w:rsidRPr="00720EF1" w:rsidRDefault="000F5BAD" w:rsidP="006A25C9">
            <w:pPr>
              <w:widowControl/>
              <w:jc w:val="right"/>
              <w:rPr>
                <w:kern w:val="0"/>
                <w:sz w:val="20"/>
              </w:rPr>
            </w:pPr>
            <w:r w:rsidRPr="00720EF1">
              <w:rPr>
                <w:kern w:val="0"/>
                <w:sz w:val="20"/>
              </w:rPr>
              <w:t>62.02</w:t>
            </w:r>
          </w:p>
        </w:tc>
        <w:tc>
          <w:tcPr>
            <w:tcW w:w="962" w:type="dxa"/>
            <w:tcBorders>
              <w:top w:val="nil"/>
              <w:left w:val="nil"/>
              <w:bottom w:val="nil"/>
              <w:right w:val="nil"/>
            </w:tcBorders>
            <w:shd w:val="clear" w:color="auto" w:fill="auto"/>
            <w:noWrap/>
            <w:vAlign w:val="bottom"/>
            <w:hideMark/>
          </w:tcPr>
          <w:p w14:paraId="72C86701" w14:textId="77777777" w:rsidR="000F5BAD" w:rsidRPr="00720EF1" w:rsidRDefault="000F5BAD" w:rsidP="006A25C9">
            <w:pPr>
              <w:widowControl/>
              <w:jc w:val="right"/>
              <w:rPr>
                <w:kern w:val="0"/>
                <w:sz w:val="20"/>
              </w:rPr>
            </w:pPr>
            <w:r w:rsidRPr="00720EF1">
              <w:rPr>
                <w:kern w:val="0"/>
                <w:sz w:val="20"/>
              </w:rPr>
              <w:t>79.3</w:t>
            </w:r>
          </w:p>
        </w:tc>
        <w:tc>
          <w:tcPr>
            <w:tcW w:w="962" w:type="dxa"/>
            <w:tcBorders>
              <w:top w:val="nil"/>
              <w:left w:val="nil"/>
              <w:bottom w:val="nil"/>
              <w:right w:val="nil"/>
            </w:tcBorders>
            <w:shd w:val="clear" w:color="auto" w:fill="auto"/>
            <w:noWrap/>
            <w:vAlign w:val="bottom"/>
            <w:hideMark/>
          </w:tcPr>
          <w:p w14:paraId="0D247924" w14:textId="77777777" w:rsidR="000F5BAD" w:rsidRPr="00720EF1" w:rsidRDefault="000F5BAD" w:rsidP="006A25C9">
            <w:pPr>
              <w:widowControl/>
              <w:jc w:val="right"/>
              <w:rPr>
                <w:kern w:val="0"/>
                <w:sz w:val="20"/>
              </w:rPr>
            </w:pPr>
            <w:r w:rsidRPr="00720EF1">
              <w:rPr>
                <w:kern w:val="0"/>
                <w:sz w:val="20"/>
              </w:rPr>
              <w:t>76.01</w:t>
            </w:r>
          </w:p>
        </w:tc>
        <w:tc>
          <w:tcPr>
            <w:tcW w:w="1197" w:type="dxa"/>
            <w:tcBorders>
              <w:top w:val="nil"/>
              <w:left w:val="nil"/>
              <w:bottom w:val="nil"/>
              <w:right w:val="nil"/>
            </w:tcBorders>
            <w:shd w:val="clear" w:color="auto" w:fill="auto"/>
            <w:noWrap/>
            <w:vAlign w:val="bottom"/>
            <w:hideMark/>
          </w:tcPr>
          <w:p w14:paraId="4B482395" w14:textId="77777777" w:rsidR="000F5BAD" w:rsidRPr="00720EF1" w:rsidRDefault="000F5BAD" w:rsidP="006A25C9">
            <w:pPr>
              <w:widowControl/>
              <w:jc w:val="right"/>
              <w:rPr>
                <w:kern w:val="0"/>
                <w:sz w:val="20"/>
              </w:rPr>
            </w:pPr>
            <w:r w:rsidRPr="00720EF1">
              <w:rPr>
                <w:kern w:val="0"/>
                <w:sz w:val="20"/>
              </w:rPr>
              <w:t xml:space="preserve">      22.66 </w:t>
            </w:r>
          </w:p>
        </w:tc>
      </w:tr>
      <w:tr w:rsidR="000F5BAD" w:rsidRPr="00720EF1" w14:paraId="446016DB" w14:textId="77777777" w:rsidTr="006A25C9">
        <w:trPr>
          <w:trHeight w:val="258"/>
        </w:trPr>
        <w:tc>
          <w:tcPr>
            <w:tcW w:w="2810" w:type="dxa"/>
            <w:tcBorders>
              <w:top w:val="nil"/>
              <w:left w:val="nil"/>
              <w:bottom w:val="nil"/>
              <w:right w:val="nil"/>
            </w:tcBorders>
            <w:shd w:val="clear" w:color="auto" w:fill="auto"/>
            <w:noWrap/>
            <w:vAlign w:val="bottom"/>
            <w:hideMark/>
          </w:tcPr>
          <w:p w14:paraId="2B38A339" w14:textId="77777777" w:rsidR="000F5BAD" w:rsidRPr="00720EF1" w:rsidRDefault="000F5BAD" w:rsidP="006A25C9">
            <w:pPr>
              <w:widowControl/>
              <w:jc w:val="left"/>
              <w:rPr>
                <w:kern w:val="0"/>
                <w:sz w:val="20"/>
              </w:rPr>
            </w:pPr>
            <w:r w:rsidRPr="00720EF1">
              <w:rPr>
                <w:kern w:val="0"/>
                <w:sz w:val="20"/>
              </w:rPr>
              <w:t>创金合信</w:t>
            </w:r>
            <w:r w:rsidRPr="00720EF1">
              <w:rPr>
                <w:kern w:val="0"/>
                <w:sz w:val="20"/>
              </w:rPr>
              <w:t>ESG</w:t>
            </w:r>
            <w:r w:rsidRPr="00720EF1">
              <w:rPr>
                <w:kern w:val="0"/>
                <w:sz w:val="20"/>
              </w:rPr>
              <w:t>责任投资</w:t>
            </w:r>
            <w:r w:rsidRPr="00720EF1">
              <w:rPr>
                <w:kern w:val="0"/>
                <w:sz w:val="20"/>
              </w:rPr>
              <w:t>C</w:t>
            </w:r>
          </w:p>
        </w:tc>
        <w:tc>
          <w:tcPr>
            <w:tcW w:w="766" w:type="dxa"/>
            <w:tcBorders>
              <w:top w:val="nil"/>
              <w:left w:val="nil"/>
              <w:bottom w:val="nil"/>
              <w:right w:val="nil"/>
            </w:tcBorders>
            <w:shd w:val="clear" w:color="auto" w:fill="auto"/>
            <w:noWrap/>
            <w:vAlign w:val="bottom"/>
            <w:hideMark/>
          </w:tcPr>
          <w:p w14:paraId="36DA8AFD"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nil"/>
              <w:right w:val="nil"/>
            </w:tcBorders>
            <w:shd w:val="clear" w:color="auto" w:fill="auto"/>
            <w:noWrap/>
            <w:vAlign w:val="bottom"/>
            <w:hideMark/>
          </w:tcPr>
          <w:p w14:paraId="7912D81C" w14:textId="77777777" w:rsidR="000F5BAD" w:rsidRPr="00720EF1" w:rsidRDefault="000F5BAD" w:rsidP="006A25C9">
            <w:pPr>
              <w:widowControl/>
              <w:jc w:val="right"/>
              <w:rPr>
                <w:kern w:val="0"/>
                <w:sz w:val="20"/>
              </w:rPr>
            </w:pPr>
            <w:r w:rsidRPr="00720EF1">
              <w:rPr>
                <w:kern w:val="0"/>
                <w:sz w:val="20"/>
              </w:rPr>
              <w:t xml:space="preserve">7.38 </w:t>
            </w:r>
          </w:p>
        </w:tc>
        <w:tc>
          <w:tcPr>
            <w:tcW w:w="981" w:type="dxa"/>
            <w:tcBorders>
              <w:top w:val="nil"/>
              <w:left w:val="nil"/>
              <w:bottom w:val="nil"/>
              <w:right w:val="nil"/>
            </w:tcBorders>
            <w:shd w:val="clear" w:color="auto" w:fill="auto"/>
            <w:noWrap/>
            <w:vAlign w:val="bottom"/>
            <w:hideMark/>
          </w:tcPr>
          <w:p w14:paraId="62F99FF5" w14:textId="77777777" w:rsidR="000F5BAD" w:rsidRPr="00720EF1" w:rsidRDefault="000F5BAD" w:rsidP="006A25C9">
            <w:pPr>
              <w:widowControl/>
              <w:jc w:val="right"/>
              <w:rPr>
                <w:kern w:val="0"/>
                <w:sz w:val="20"/>
              </w:rPr>
            </w:pPr>
            <w:r w:rsidRPr="00720EF1">
              <w:rPr>
                <w:kern w:val="0"/>
                <w:sz w:val="20"/>
              </w:rPr>
              <w:t>66.12</w:t>
            </w:r>
          </w:p>
        </w:tc>
        <w:tc>
          <w:tcPr>
            <w:tcW w:w="962" w:type="dxa"/>
            <w:tcBorders>
              <w:top w:val="nil"/>
              <w:left w:val="nil"/>
              <w:bottom w:val="nil"/>
              <w:right w:val="nil"/>
            </w:tcBorders>
            <w:shd w:val="clear" w:color="auto" w:fill="auto"/>
            <w:noWrap/>
            <w:vAlign w:val="bottom"/>
            <w:hideMark/>
          </w:tcPr>
          <w:p w14:paraId="1D7A6887" w14:textId="77777777" w:rsidR="000F5BAD" w:rsidRPr="00720EF1" w:rsidRDefault="000F5BAD" w:rsidP="006A25C9">
            <w:pPr>
              <w:widowControl/>
              <w:jc w:val="right"/>
              <w:rPr>
                <w:kern w:val="0"/>
                <w:sz w:val="20"/>
              </w:rPr>
            </w:pPr>
            <w:r w:rsidRPr="00720EF1">
              <w:rPr>
                <w:kern w:val="0"/>
                <w:sz w:val="20"/>
              </w:rPr>
              <w:t>78.8</w:t>
            </w:r>
          </w:p>
        </w:tc>
        <w:tc>
          <w:tcPr>
            <w:tcW w:w="962" w:type="dxa"/>
            <w:tcBorders>
              <w:top w:val="nil"/>
              <w:left w:val="nil"/>
              <w:bottom w:val="nil"/>
              <w:right w:val="nil"/>
            </w:tcBorders>
            <w:shd w:val="clear" w:color="auto" w:fill="auto"/>
            <w:noWrap/>
            <w:vAlign w:val="bottom"/>
            <w:hideMark/>
          </w:tcPr>
          <w:p w14:paraId="7C08B371" w14:textId="77777777" w:rsidR="000F5BAD" w:rsidRPr="00720EF1" w:rsidRDefault="000F5BAD" w:rsidP="006A25C9">
            <w:pPr>
              <w:widowControl/>
              <w:jc w:val="right"/>
              <w:rPr>
                <w:kern w:val="0"/>
                <w:sz w:val="20"/>
              </w:rPr>
            </w:pPr>
            <w:r w:rsidRPr="00720EF1">
              <w:rPr>
                <w:kern w:val="0"/>
                <w:sz w:val="20"/>
              </w:rPr>
              <w:t>86.44</w:t>
            </w:r>
          </w:p>
        </w:tc>
        <w:tc>
          <w:tcPr>
            <w:tcW w:w="1197" w:type="dxa"/>
            <w:tcBorders>
              <w:top w:val="nil"/>
              <w:left w:val="nil"/>
              <w:bottom w:val="nil"/>
              <w:right w:val="nil"/>
            </w:tcBorders>
            <w:shd w:val="clear" w:color="auto" w:fill="auto"/>
            <w:noWrap/>
            <w:vAlign w:val="bottom"/>
            <w:hideMark/>
          </w:tcPr>
          <w:p w14:paraId="74D9034A" w14:textId="77777777" w:rsidR="000F5BAD" w:rsidRPr="00720EF1" w:rsidRDefault="000F5BAD" w:rsidP="006A25C9">
            <w:pPr>
              <w:widowControl/>
              <w:jc w:val="right"/>
              <w:rPr>
                <w:kern w:val="0"/>
                <w:sz w:val="20"/>
              </w:rPr>
            </w:pPr>
            <w:r w:rsidRPr="00720EF1">
              <w:rPr>
                <w:kern w:val="0"/>
                <w:sz w:val="20"/>
              </w:rPr>
              <w:t xml:space="preserve">      12.58 </w:t>
            </w:r>
          </w:p>
        </w:tc>
      </w:tr>
      <w:tr w:rsidR="000F5BAD" w:rsidRPr="00720EF1" w14:paraId="7DE821BE" w14:textId="77777777" w:rsidTr="006A25C9">
        <w:trPr>
          <w:trHeight w:val="272"/>
        </w:trPr>
        <w:tc>
          <w:tcPr>
            <w:tcW w:w="2810" w:type="dxa"/>
            <w:tcBorders>
              <w:top w:val="nil"/>
              <w:left w:val="nil"/>
              <w:bottom w:val="single" w:sz="12" w:space="0" w:color="auto"/>
              <w:right w:val="nil"/>
            </w:tcBorders>
            <w:shd w:val="clear" w:color="auto" w:fill="auto"/>
            <w:noWrap/>
            <w:vAlign w:val="bottom"/>
            <w:hideMark/>
          </w:tcPr>
          <w:p w14:paraId="3559BBD5" w14:textId="77777777" w:rsidR="000F5BAD" w:rsidRPr="00720EF1" w:rsidRDefault="000F5BAD" w:rsidP="006A25C9">
            <w:pPr>
              <w:widowControl/>
              <w:jc w:val="left"/>
              <w:rPr>
                <w:kern w:val="0"/>
                <w:sz w:val="20"/>
              </w:rPr>
            </w:pPr>
            <w:r w:rsidRPr="00720EF1">
              <w:rPr>
                <w:kern w:val="0"/>
                <w:sz w:val="20"/>
              </w:rPr>
              <w:t>创金合信</w:t>
            </w:r>
            <w:r w:rsidRPr="00720EF1">
              <w:rPr>
                <w:kern w:val="0"/>
                <w:sz w:val="20"/>
              </w:rPr>
              <w:t>ESG</w:t>
            </w:r>
            <w:r w:rsidRPr="00720EF1">
              <w:rPr>
                <w:kern w:val="0"/>
                <w:sz w:val="20"/>
              </w:rPr>
              <w:t>责任投资</w:t>
            </w:r>
            <w:r w:rsidRPr="00720EF1">
              <w:rPr>
                <w:kern w:val="0"/>
                <w:sz w:val="20"/>
              </w:rPr>
              <w:t>C</w:t>
            </w:r>
          </w:p>
        </w:tc>
        <w:tc>
          <w:tcPr>
            <w:tcW w:w="766" w:type="dxa"/>
            <w:tcBorders>
              <w:top w:val="nil"/>
              <w:left w:val="nil"/>
              <w:bottom w:val="single" w:sz="12" w:space="0" w:color="auto"/>
              <w:right w:val="nil"/>
            </w:tcBorders>
            <w:shd w:val="clear" w:color="auto" w:fill="auto"/>
            <w:noWrap/>
            <w:vAlign w:val="bottom"/>
            <w:hideMark/>
          </w:tcPr>
          <w:p w14:paraId="4E879FE9" w14:textId="77777777" w:rsidR="000F5BAD" w:rsidRPr="00720EF1" w:rsidRDefault="000F5BAD" w:rsidP="006A25C9">
            <w:pPr>
              <w:widowControl/>
              <w:jc w:val="center"/>
              <w:rPr>
                <w:kern w:val="0"/>
                <w:sz w:val="20"/>
              </w:rPr>
            </w:pPr>
            <w:r w:rsidRPr="00720EF1">
              <w:rPr>
                <w:kern w:val="0"/>
                <w:sz w:val="20"/>
              </w:rPr>
              <w:t xml:space="preserve">0 </w:t>
            </w:r>
          </w:p>
        </w:tc>
        <w:tc>
          <w:tcPr>
            <w:tcW w:w="962" w:type="dxa"/>
            <w:tcBorders>
              <w:top w:val="nil"/>
              <w:left w:val="nil"/>
              <w:bottom w:val="single" w:sz="12" w:space="0" w:color="auto"/>
              <w:right w:val="nil"/>
            </w:tcBorders>
            <w:shd w:val="clear" w:color="auto" w:fill="auto"/>
            <w:noWrap/>
            <w:vAlign w:val="bottom"/>
            <w:hideMark/>
          </w:tcPr>
          <w:p w14:paraId="440E9D10" w14:textId="77777777" w:rsidR="000F5BAD" w:rsidRPr="00720EF1" w:rsidRDefault="000F5BAD" w:rsidP="006A25C9">
            <w:pPr>
              <w:widowControl/>
              <w:jc w:val="right"/>
              <w:rPr>
                <w:kern w:val="0"/>
                <w:sz w:val="20"/>
              </w:rPr>
            </w:pPr>
            <w:r w:rsidRPr="00720EF1">
              <w:rPr>
                <w:kern w:val="0"/>
                <w:sz w:val="20"/>
              </w:rPr>
              <w:t xml:space="preserve">7.75 </w:t>
            </w:r>
          </w:p>
        </w:tc>
        <w:tc>
          <w:tcPr>
            <w:tcW w:w="981" w:type="dxa"/>
            <w:tcBorders>
              <w:top w:val="nil"/>
              <w:left w:val="nil"/>
              <w:bottom w:val="single" w:sz="12" w:space="0" w:color="auto"/>
              <w:right w:val="nil"/>
            </w:tcBorders>
            <w:shd w:val="clear" w:color="auto" w:fill="auto"/>
            <w:noWrap/>
            <w:vAlign w:val="bottom"/>
            <w:hideMark/>
          </w:tcPr>
          <w:p w14:paraId="7FAC4C78" w14:textId="77777777" w:rsidR="000F5BAD" w:rsidRPr="00720EF1" w:rsidRDefault="000F5BAD" w:rsidP="006A25C9">
            <w:pPr>
              <w:widowControl/>
              <w:jc w:val="right"/>
              <w:rPr>
                <w:kern w:val="0"/>
                <w:sz w:val="20"/>
              </w:rPr>
            </w:pPr>
            <w:r w:rsidRPr="00720EF1">
              <w:rPr>
                <w:kern w:val="0"/>
                <w:sz w:val="20"/>
              </w:rPr>
              <w:t>64.51</w:t>
            </w:r>
          </w:p>
        </w:tc>
        <w:tc>
          <w:tcPr>
            <w:tcW w:w="962" w:type="dxa"/>
            <w:tcBorders>
              <w:top w:val="nil"/>
              <w:left w:val="nil"/>
              <w:bottom w:val="single" w:sz="12" w:space="0" w:color="auto"/>
              <w:right w:val="nil"/>
            </w:tcBorders>
            <w:shd w:val="clear" w:color="auto" w:fill="auto"/>
            <w:noWrap/>
            <w:vAlign w:val="bottom"/>
            <w:hideMark/>
          </w:tcPr>
          <w:p w14:paraId="0FFE99BF" w14:textId="77777777" w:rsidR="000F5BAD" w:rsidRPr="00720EF1" w:rsidRDefault="000F5BAD" w:rsidP="006A25C9">
            <w:pPr>
              <w:widowControl/>
              <w:jc w:val="right"/>
              <w:rPr>
                <w:kern w:val="0"/>
                <w:sz w:val="20"/>
              </w:rPr>
            </w:pPr>
            <w:r w:rsidRPr="00720EF1">
              <w:rPr>
                <w:kern w:val="0"/>
                <w:sz w:val="20"/>
              </w:rPr>
              <w:t>79.89</w:t>
            </w:r>
          </w:p>
        </w:tc>
        <w:tc>
          <w:tcPr>
            <w:tcW w:w="962" w:type="dxa"/>
            <w:tcBorders>
              <w:top w:val="nil"/>
              <w:left w:val="nil"/>
              <w:bottom w:val="single" w:sz="12" w:space="0" w:color="auto"/>
              <w:right w:val="nil"/>
            </w:tcBorders>
            <w:shd w:val="clear" w:color="auto" w:fill="auto"/>
            <w:noWrap/>
            <w:vAlign w:val="bottom"/>
            <w:hideMark/>
          </w:tcPr>
          <w:p w14:paraId="355CFB7F" w14:textId="77777777" w:rsidR="000F5BAD" w:rsidRPr="00720EF1" w:rsidRDefault="000F5BAD" w:rsidP="006A25C9">
            <w:pPr>
              <w:widowControl/>
              <w:jc w:val="right"/>
              <w:rPr>
                <w:kern w:val="0"/>
                <w:sz w:val="20"/>
              </w:rPr>
            </w:pPr>
            <w:r w:rsidRPr="00720EF1">
              <w:rPr>
                <w:kern w:val="0"/>
                <w:sz w:val="20"/>
              </w:rPr>
              <w:t>81.52</w:t>
            </w:r>
          </w:p>
        </w:tc>
        <w:tc>
          <w:tcPr>
            <w:tcW w:w="1197" w:type="dxa"/>
            <w:tcBorders>
              <w:top w:val="nil"/>
              <w:left w:val="nil"/>
              <w:bottom w:val="single" w:sz="12" w:space="0" w:color="auto"/>
              <w:right w:val="nil"/>
            </w:tcBorders>
            <w:shd w:val="clear" w:color="auto" w:fill="auto"/>
            <w:noWrap/>
            <w:vAlign w:val="bottom"/>
            <w:hideMark/>
          </w:tcPr>
          <w:p w14:paraId="4B28F913" w14:textId="77777777" w:rsidR="000F5BAD" w:rsidRPr="00720EF1" w:rsidRDefault="000F5BAD" w:rsidP="006A25C9">
            <w:pPr>
              <w:widowControl/>
              <w:jc w:val="right"/>
              <w:rPr>
                <w:kern w:val="0"/>
                <w:sz w:val="20"/>
              </w:rPr>
            </w:pPr>
            <w:r w:rsidRPr="00720EF1">
              <w:rPr>
                <w:kern w:val="0"/>
                <w:sz w:val="20"/>
              </w:rPr>
              <w:t xml:space="preserve">      14.99 </w:t>
            </w:r>
          </w:p>
        </w:tc>
      </w:tr>
    </w:tbl>
    <w:p w14:paraId="55B7DB2B" w14:textId="61287284" w:rsidR="004912D7" w:rsidRDefault="004912D7">
      <w:pPr>
        <w:rPr>
          <w:rFonts w:ascii="楷体_GB2312" w:eastAsia="楷体_GB2312"/>
          <w:color w:val="FF0000"/>
        </w:rPr>
      </w:pPr>
    </w:p>
    <w:p w14:paraId="67BE1648" w14:textId="0269AA51" w:rsidR="003C2F79" w:rsidRDefault="003C2F79">
      <w:pPr>
        <w:rPr>
          <w:rFonts w:ascii="楷体_GB2312" w:eastAsia="楷体_GB2312"/>
          <w:color w:val="FF0000"/>
        </w:rPr>
      </w:pPr>
    </w:p>
    <w:p w14:paraId="2AB796F4" w14:textId="6026EAF4" w:rsidR="003C2F79" w:rsidRDefault="003C2F79">
      <w:pPr>
        <w:rPr>
          <w:rFonts w:ascii="楷体_GB2312" w:eastAsia="楷体_GB2312"/>
          <w:color w:val="FF0000"/>
        </w:rPr>
      </w:pPr>
    </w:p>
    <w:p w14:paraId="50107B17" w14:textId="234F0324" w:rsidR="003C2F79" w:rsidRDefault="003C2F79">
      <w:pPr>
        <w:rPr>
          <w:rFonts w:ascii="楷体_GB2312" w:eastAsia="楷体_GB2312"/>
          <w:color w:val="FF0000"/>
        </w:rPr>
      </w:pPr>
    </w:p>
    <w:p w14:paraId="29383121" w14:textId="6BC1898A" w:rsidR="003C2F79" w:rsidRDefault="003C2F79">
      <w:pPr>
        <w:rPr>
          <w:rFonts w:ascii="楷体_GB2312" w:eastAsia="楷体_GB2312"/>
          <w:color w:val="FF0000"/>
        </w:rPr>
      </w:pPr>
    </w:p>
    <w:p w14:paraId="7AC66911" w14:textId="28B9ADC9" w:rsidR="003C2F79" w:rsidRDefault="003C2F79">
      <w:pPr>
        <w:rPr>
          <w:rFonts w:ascii="楷体_GB2312" w:eastAsia="楷体_GB2312"/>
          <w:color w:val="FF0000"/>
        </w:rPr>
      </w:pPr>
    </w:p>
    <w:p w14:paraId="764CAE31" w14:textId="76C37426" w:rsidR="003C2F79" w:rsidRDefault="003C2F79">
      <w:pPr>
        <w:rPr>
          <w:rFonts w:ascii="楷体_GB2312" w:eastAsia="楷体_GB2312"/>
          <w:color w:val="FF0000"/>
        </w:rPr>
      </w:pPr>
    </w:p>
    <w:p w14:paraId="434BDACD" w14:textId="5015D432" w:rsidR="003C2F79" w:rsidRDefault="003C2F79">
      <w:pPr>
        <w:rPr>
          <w:rFonts w:ascii="楷体_GB2312" w:eastAsia="楷体_GB2312"/>
          <w:color w:val="FF0000"/>
        </w:rPr>
      </w:pPr>
    </w:p>
    <w:p w14:paraId="707A6751" w14:textId="22DA7082" w:rsidR="003C2F79" w:rsidRDefault="003C2F79">
      <w:pPr>
        <w:rPr>
          <w:rFonts w:ascii="楷体_GB2312" w:eastAsia="楷体_GB2312"/>
          <w:color w:val="FF0000"/>
        </w:rPr>
      </w:pPr>
    </w:p>
    <w:p w14:paraId="311AFC3A" w14:textId="734AFE1B" w:rsidR="003C2F79" w:rsidRDefault="003C2F79">
      <w:pPr>
        <w:rPr>
          <w:rFonts w:ascii="楷体_GB2312" w:eastAsia="楷体_GB2312"/>
          <w:color w:val="FF0000"/>
        </w:rPr>
      </w:pPr>
    </w:p>
    <w:p w14:paraId="612514E1" w14:textId="77777777" w:rsidR="003C2F79" w:rsidRDefault="003C2F79" w:rsidP="003C2F79">
      <w:pPr>
        <w:jc w:val="center"/>
        <w:rPr>
          <w:rFonts w:hAnsi="宋体"/>
          <w:noProof/>
          <w:kern w:val="0"/>
        </w:rPr>
      </w:pPr>
      <w:r w:rsidRPr="006461DA">
        <w:rPr>
          <w:rFonts w:hAnsi="宋体"/>
          <w:noProof/>
          <w:kern w:val="0"/>
        </w:rPr>
        <w:object w:dxaOrig="4116" w:dyaOrig="924" w14:anchorId="7CC9B4AC">
          <v:shape id="_x0000_i1026" type="#_x0000_t75" style="width:202.9pt;height:45.8pt" o:ole="" filled="t">
            <v:imagedata r:id="rId7" o:title=""/>
          </v:shape>
          <o:OLEObject Type="Embed" ProgID="Word.Picture.8" ShapeID="_x0000_i1026" DrawAspect="Content" ObjectID="_1716793589" r:id="rId12"/>
        </w:object>
      </w:r>
    </w:p>
    <w:p w14:paraId="669EF93E" w14:textId="77777777" w:rsidR="003C2F79" w:rsidRDefault="003C2F79" w:rsidP="003C2F79">
      <w:pPr>
        <w:jc w:val="center"/>
        <w:rPr>
          <w:rFonts w:eastAsia="华文行楷"/>
          <w:sz w:val="44"/>
        </w:rPr>
      </w:pPr>
    </w:p>
    <w:p w14:paraId="7BCCA2E0" w14:textId="77777777" w:rsidR="003C2F79" w:rsidRPr="00F0388A" w:rsidRDefault="003C2F79" w:rsidP="003C2F79">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14:paraId="74916608" w14:textId="77777777" w:rsidR="003C2F79" w:rsidRDefault="003C2F79" w:rsidP="003C2F79">
      <w:pPr>
        <w:rPr>
          <w:sz w:val="32"/>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6378"/>
      </w:tblGrid>
      <w:tr w:rsidR="003C2F79" w:rsidRPr="00F31BAE" w14:paraId="4E46103F" w14:textId="77777777" w:rsidTr="00F61921">
        <w:tc>
          <w:tcPr>
            <w:tcW w:w="1419" w:type="dxa"/>
            <w:tcBorders>
              <w:top w:val="nil"/>
              <w:left w:val="nil"/>
              <w:bottom w:val="nil"/>
              <w:right w:val="nil"/>
            </w:tcBorders>
            <w:shd w:val="clear" w:color="auto" w:fill="auto"/>
            <w:vAlign w:val="bottom"/>
          </w:tcPr>
          <w:p w14:paraId="09042816" w14:textId="77777777" w:rsidR="003C2F79" w:rsidRPr="00F31BAE" w:rsidRDefault="003C2F79" w:rsidP="00F61921">
            <w:pPr>
              <w:rPr>
                <w:rFonts w:ascii="等线" w:eastAsia="等线" w:hAnsi="等线"/>
                <w:sz w:val="32"/>
                <w:szCs w:val="22"/>
              </w:rPr>
            </w:pPr>
            <w:r w:rsidRPr="00F31BAE">
              <w:rPr>
                <w:rFonts w:ascii="华文中宋" w:eastAsia="华文中宋" w:hAnsi="华文中宋" w:hint="eastAsia"/>
                <w:bCs/>
                <w:sz w:val="32"/>
                <w:szCs w:val="22"/>
              </w:rPr>
              <w:t>题</w:t>
            </w:r>
            <w:r w:rsidRPr="00F31BAE">
              <w:rPr>
                <w:rFonts w:ascii="华文中宋" w:eastAsia="华文中宋" w:hAnsi="华文中宋"/>
                <w:bCs/>
                <w:sz w:val="32"/>
                <w:szCs w:val="22"/>
              </w:rPr>
              <w:t xml:space="preserve">   </w:t>
            </w:r>
            <w:r w:rsidRPr="00F31BAE">
              <w:rPr>
                <w:rFonts w:ascii="华文中宋" w:eastAsia="华文中宋" w:hAnsi="华文中宋" w:hint="eastAsia"/>
                <w:bCs/>
                <w:sz w:val="32"/>
                <w:szCs w:val="22"/>
              </w:rPr>
              <w:t>目</w:t>
            </w:r>
          </w:p>
        </w:tc>
        <w:tc>
          <w:tcPr>
            <w:tcW w:w="6378" w:type="dxa"/>
            <w:tcBorders>
              <w:top w:val="nil"/>
              <w:left w:val="nil"/>
              <w:right w:val="nil"/>
            </w:tcBorders>
            <w:shd w:val="clear" w:color="auto" w:fill="auto"/>
            <w:vAlign w:val="bottom"/>
          </w:tcPr>
          <w:p w14:paraId="7F828C1C" w14:textId="77777777" w:rsidR="003C2F79" w:rsidRPr="00F31BAE" w:rsidRDefault="003C2F79" w:rsidP="00F61921">
            <w:pPr>
              <w:jc w:val="center"/>
              <w:rPr>
                <w:rFonts w:ascii="仿宋" w:eastAsia="仿宋" w:hAnsi="仿宋"/>
                <w:b/>
                <w:sz w:val="32"/>
                <w:szCs w:val="22"/>
              </w:rPr>
            </w:pPr>
            <w:r>
              <w:rPr>
                <w:rFonts w:ascii="仿宋" w:eastAsia="仿宋" w:hAnsi="仿宋" w:hint="eastAsia"/>
                <w:b/>
                <w:sz w:val="32"/>
                <w:szCs w:val="22"/>
              </w:rPr>
              <w:t>ESG选股对基金绩效影响研究</w:t>
            </w:r>
          </w:p>
        </w:tc>
      </w:tr>
    </w:tbl>
    <w:p w14:paraId="70EA2750" w14:textId="77777777" w:rsidR="003C2F79" w:rsidRDefault="003C2F79" w:rsidP="003C2F79">
      <w:pPr>
        <w:spacing w:line="720" w:lineRule="auto"/>
        <w:jc w:val="center"/>
        <w:rPr>
          <w:rFonts w:ascii="华文中宋" w:eastAsia="华文中宋" w:hAnsi="华文中宋"/>
          <w:bCs/>
          <w:sz w:val="24"/>
        </w:rPr>
      </w:pPr>
      <w:r w:rsidRPr="00DA5E58">
        <w:rPr>
          <w:rFonts w:ascii="华文中宋" w:eastAsia="华文中宋" w:hAnsi="华文中宋" w:hint="eastAsia"/>
          <w:bCs/>
          <w:sz w:val="24"/>
        </w:rPr>
        <w:t>（任务起止日期：</w:t>
      </w:r>
      <w:r>
        <w:rPr>
          <w:rFonts w:ascii="华文中宋" w:eastAsia="华文中宋" w:hAnsi="华文中宋" w:hint="eastAsia"/>
          <w:bCs/>
          <w:sz w:val="24"/>
        </w:rPr>
        <w:t>2020</w:t>
      </w:r>
      <w:r w:rsidRPr="00DA5E58">
        <w:rPr>
          <w:rFonts w:ascii="华文中宋" w:eastAsia="华文中宋" w:hAnsi="华文中宋" w:hint="eastAsia"/>
          <w:bCs/>
          <w:sz w:val="24"/>
        </w:rPr>
        <w:t>年</w:t>
      </w:r>
      <w:r>
        <w:rPr>
          <w:rFonts w:ascii="华文中宋" w:eastAsia="华文中宋" w:hAnsi="华文中宋" w:hint="eastAsia"/>
          <w:bCs/>
          <w:sz w:val="24"/>
        </w:rPr>
        <w:t>11</w:t>
      </w:r>
      <w:r w:rsidRPr="00DA5E58">
        <w:rPr>
          <w:rFonts w:ascii="华文中宋" w:eastAsia="华文中宋" w:hAnsi="华文中宋" w:hint="eastAsia"/>
          <w:bCs/>
          <w:sz w:val="24"/>
        </w:rPr>
        <w:t>月</w:t>
      </w:r>
      <w:r>
        <w:rPr>
          <w:rFonts w:ascii="华文中宋" w:eastAsia="华文中宋" w:hAnsi="华文中宋"/>
          <w:bCs/>
          <w:sz w:val="24"/>
        </w:rPr>
        <w:t>2</w:t>
      </w:r>
      <w:r w:rsidRPr="00DA5E58">
        <w:rPr>
          <w:rFonts w:ascii="华文中宋" w:eastAsia="华文中宋" w:hAnsi="华文中宋" w:hint="eastAsia"/>
          <w:bCs/>
          <w:sz w:val="24"/>
        </w:rPr>
        <w:t>日～</w:t>
      </w:r>
      <w:r>
        <w:rPr>
          <w:rFonts w:ascii="华文中宋" w:eastAsia="华文中宋" w:hAnsi="华文中宋" w:hint="eastAsia"/>
          <w:bCs/>
          <w:sz w:val="24"/>
        </w:rPr>
        <w:t>202</w:t>
      </w:r>
      <w:r>
        <w:rPr>
          <w:rFonts w:ascii="华文中宋" w:eastAsia="华文中宋" w:hAnsi="华文中宋"/>
          <w:bCs/>
          <w:sz w:val="24"/>
        </w:rPr>
        <w:t>2</w:t>
      </w:r>
      <w:r w:rsidRPr="00DA5E58">
        <w:rPr>
          <w:rFonts w:ascii="华文中宋" w:eastAsia="华文中宋" w:hAnsi="华文中宋" w:hint="eastAsia"/>
          <w:bCs/>
          <w:sz w:val="24"/>
        </w:rPr>
        <w:t>年</w:t>
      </w:r>
      <w:r>
        <w:rPr>
          <w:rFonts w:ascii="华文中宋" w:eastAsia="华文中宋" w:hAnsi="华文中宋" w:hint="eastAsia"/>
          <w:bCs/>
          <w:sz w:val="24"/>
        </w:rPr>
        <w:t>6</w:t>
      </w:r>
      <w:r w:rsidRPr="00DA5E58">
        <w:rPr>
          <w:rFonts w:ascii="华文中宋" w:eastAsia="华文中宋" w:hAnsi="华文中宋" w:hint="eastAsia"/>
          <w:bCs/>
          <w:sz w:val="24"/>
        </w:rPr>
        <w:t>月</w:t>
      </w:r>
      <w:r>
        <w:rPr>
          <w:rFonts w:ascii="华文中宋" w:eastAsia="华文中宋" w:hAnsi="华文中宋"/>
          <w:bCs/>
          <w:sz w:val="24"/>
        </w:rPr>
        <w:t>5</w:t>
      </w:r>
      <w:r w:rsidRPr="00DA5E58">
        <w:rPr>
          <w:rFonts w:ascii="华文中宋" w:eastAsia="华文中宋" w:hAnsi="华文中宋" w:hint="eastAsia"/>
          <w:bCs/>
          <w:sz w:val="24"/>
        </w:rPr>
        <w:t>日）</w:t>
      </w:r>
    </w:p>
    <w:p w14:paraId="61F30D84" w14:textId="77777777" w:rsidR="003C2F79" w:rsidRPr="005D7403" w:rsidRDefault="003C2F79" w:rsidP="003C2F79">
      <w:pPr>
        <w:spacing w:line="720" w:lineRule="auto"/>
        <w:jc w:val="center"/>
        <w:rPr>
          <w:rFonts w:ascii="华文中宋" w:eastAsia="华文中宋" w:hAnsi="华文中宋"/>
          <w:bCs/>
          <w:sz w:val="24"/>
        </w:rPr>
      </w:pPr>
    </w:p>
    <w:p w14:paraId="445A58B2" w14:textId="77777777" w:rsidR="003C2F79" w:rsidRDefault="003C2F79" w:rsidP="003C2F79">
      <w:pPr>
        <w:spacing w:line="720" w:lineRule="auto"/>
        <w:jc w:val="center"/>
        <w:rPr>
          <w:rFonts w:ascii="华文中宋" w:eastAsia="华文中宋" w:hAnsi="华文中宋"/>
          <w:noProof/>
          <w:kern w:val="0"/>
          <w:sz w:val="3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3C2F79" w14:paraId="3FD7D3E3" w14:textId="77777777" w:rsidTr="00F61921">
        <w:trPr>
          <w:trHeight w:hRule="exact" w:val="851"/>
        </w:trPr>
        <w:tc>
          <w:tcPr>
            <w:tcW w:w="1560" w:type="dxa"/>
            <w:shd w:val="clear" w:color="auto" w:fill="auto"/>
            <w:noWrap/>
            <w:vAlign w:val="bottom"/>
          </w:tcPr>
          <w:p w14:paraId="5909730A" w14:textId="77777777" w:rsidR="003C2F79" w:rsidRPr="00C228B2" w:rsidRDefault="003C2F79" w:rsidP="00F61921">
            <w:pPr>
              <w:pStyle w:val="31"/>
              <w:framePr w:hSpace="0" w:wrap="auto" w:vAnchor="margin" w:hAnchor="text" w:xAlign="left" w:yAlign="inline"/>
              <w:spacing w:before="312"/>
              <w:ind w:firstLineChars="10" w:firstLine="32"/>
              <w:suppressOverlap w:val="0"/>
            </w:pPr>
            <w:bookmarkStart w:id="88" w:name="_Hlk100083446"/>
            <w:bookmarkStart w:id="89" w:name="_Hlk100083428"/>
            <w:r w:rsidRPr="00C228B2">
              <w:rPr>
                <w:rFonts w:hint="eastAsia"/>
              </w:rPr>
              <w:t>院    系</w:t>
            </w:r>
          </w:p>
        </w:tc>
        <w:tc>
          <w:tcPr>
            <w:tcW w:w="3793" w:type="dxa"/>
            <w:tcBorders>
              <w:bottom w:val="single" w:sz="4" w:space="0" w:color="auto"/>
            </w:tcBorders>
            <w:shd w:val="clear" w:color="auto" w:fill="auto"/>
            <w:noWrap/>
            <w:vAlign w:val="bottom"/>
          </w:tcPr>
          <w:p w14:paraId="5A8F2052" w14:textId="77777777" w:rsidR="003C2F79" w:rsidRPr="00AF183B" w:rsidRDefault="003C2F79" w:rsidP="00F61921">
            <w:pPr>
              <w:jc w:val="center"/>
              <w:rPr>
                <w:rFonts w:ascii="仿宋" w:eastAsia="仿宋" w:hAnsi="仿宋"/>
                <w:b/>
                <w:sz w:val="32"/>
              </w:rPr>
            </w:pPr>
            <w:r>
              <w:rPr>
                <w:rFonts w:ascii="仿宋" w:eastAsia="仿宋" w:hAnsi="仿宋" w:hint="eastAsia"/>
                <w:b/>
                <w:sz w:val="32"/>
              </w:rPr>
              <w:t>管理学院</w:t>
            </w:r>
          </w:p>
        </w:tc>
      </w:tr>
      <w:bookmarkEnd w:id="88"/>
      <w:tr w:rsidR="003C2F79" w14:paraId="3B9CD1BF" w14:textId="77777777" w:rsidTr="00F61921">
        <w:trPr>
          <w:trHeight w:hRule="exact" w:val="851"/>
        </w:trPr>
        <w:tc>
          <w:tcPr>
            <w:tcW w:w="1560" w:type="dxa"/>
            <w:shd w:val="clear" w:color="auto" w:fill="auto"/>
            <w:noWrap/>
            <w:vAlign w:val="bottom"/>
          </w:tcPr>
          <w:p w14:paraId="55E88D18" w14:textId="77777777" w:rsidR="003C2F79" w:rsidRPr="00C228B2" w:rsidRDefault="003C2F79" w:rsidP="00F61921">
            <w:pPr>
              <w:pStyle w:val="31"/>
              <w:framePr w:hSpace="0" w:wrap="auto" w:vAnchor="margin" w:hAnchor="text" w:xAlign="left" w:yAlign="inline"/>
              <w:spacing w:before="312"/>
              <w:ind w:firstLineChars="10" w:firstLine="32"/>
              <w:suppressOverlap w:val="0"/>
            </w:pPr>
            <w:r w:rsidRPr="00C228B2">
              <w:rPr>
                <w:rFonts w:hint="eastAsia"/>
              </w:rPr>
              <w:t>专业班级</w:t>
            </w:r>
          </w:p>
        </w:tc>
        <w:tc>
          <w:tcPr>
            <w:tcW w:w="3793" w:type="dxa"/>
            <w:tcBorders>
              <w:top w:val="single" w:sz="4" w:space="0" w:color="auto"/>
              <w:bottom w:val="single" w:sz="4" w:space="0" w:color="auto"/>
            </w:tcBorders>
            <w:shd w:val="clear" w:color="auto" w:fill="auto"/>
            <w:noWrap/>
            <w:vAlign w:val="bottom"/>
          </w:tcPr>
          <w:p w14:paraId="5579C58F" w14:textId="77777777" w:rsidR="003C2F79" w:rsidRPr="00AF183B" w:rsidRDefault="003C2F79" w:rsidP="00F61921">
            <w:pPr>
              <w:jc w:val="center"/>
              <w:rPr>
                <w:rFonts w:ascii="仿宋" w:eastAsia="仿宋" w:hAnsi="仿宋"/>
                <w:b/>
                <w:sz w:val="32"/>
              </w:rPr>
            </w:pPr>
            <w:r>
              <w:rPr>
                <w:rFonts w:ascii="仿宋" w:eastAsia="仿宋" w:hAnsi="仿宋" w:hint="eastAsia"/>
                <w:b/>
                <w:sz w:val="32"/>
              </w:rPr>
              <w:t>财务管理201801班</w:t>
            </w:r>
          </w:p>
        </w:tc>
      </w:tr>
      <w:tr w:rsidR="003C2F79" w14:paraId="7A13D47B" w14:textId="77777777" w:rsidTr="00F61921">
        <w:trPr>
          <w:trHeight w:hRule="exact" w:val="851"/>
        </w:trPr>
        <w:tc>
          <w:tcPr>
            <w:tcW w:w="1560" w:type="dxa"/>
            <w:shd w:val="clear" w:color="auto" w:fill="auto"/>
            <w:noWrap/>
            <w:vAlign w:val="bottom"/>
          </w:tcPr>
          <w:p w14:paraId="0A275B37" w14:textId="77777777" w:rsidR="003C2F79" w:rsidRPr="00C228B2" w:rsidRDefault="003C2F79" w:rsidP="00F61921">
            <w:pPr>
              <w:pStyle w:val="31"/>
              <w:framePr w:hSpace="0" w:wrap="auto" w:vAnchor="margin" w:hAnchor="text" w:xAlign="left" w:yAlign="inline"/>
              <w:spacing w:before="312"/>
              <w:ind w:firstLineChars="10" w:firstLine="32"/>
              <w:suppressOverlap w:val="0"/>
            </w:pPr>
            <w:r w:rsidRPr="00C228B2">
              <w:rPr>
                <w:rFonts w:hint="eastAsia"/>
              </w:rPr>
              <w:t>姓    名</w:t>
            </w:r>
          </w:p>
        </w:tc>
        <w:tc>
          <w:tcPr>
            <w:tcW w:w="3793" w:type="dxa"/>
            <w:tcBorders>
              <w:top w:val="single" w:sz="4" w:space="0" w:color="auto"/>
              <w:bottom w:val="single" w:sz="4" w:space="0" w:color="auto"/>
            </w:tcBorders>
            <w:shd w:val="clear" w:color="auto" w:fill="auto"/>
            <w:noWrap/>
            <w:vAlign w:val="bottom"/>
          </w:tcPr>
          <w:p w14:paraId="22E303C1" w14:textId="77777777" w:rsidR="003C2F79" w:rsidRPr="00AF183B" w:rsidRDefault="003C2F79" w:rsidP="00F61921">
            <w:pPr>
              <w:jc w:val="center"/>
              <w:rPr>
                <w:rFonts w:ascii="仿宋" w:eastAsia="仿宋" w:hAnsi="仿宋"/>
                <w:b/>
                <w:sz w:val="32"/>
              </w:rPr>
            </w:pPr>
            <w:r>
              <w:rPr>
                <w:rFonts w:ascii="仿宋" w:eastAsia="仿宋" w:hAnsi="仿宋" w:hint="eastAsia"/>
                <w:b/>
                <w:sz w:val="32"/>
              </w:rPr>
              <w:t>王子秋</w:t>
            </w:r>
          </w:p>
        </w:tc>
      </w:tr>
      <w:tr w:rsidR="003C2F79" w14:paraId="559EA553" w14:textId="77777777" w:rsidTr="00F61921">
        <w:trPr>
          <w:trHeight w:hRule="exact" w:val="851"/>
        </w:trPr>
        <w:tc>
          <w:tcPr>
            <w:tcW w:w="1560" w:type="dxa"/>
            <w:shd w:val="clear" w:color="auto" w:fill="auto"/>
            <w:noWrap/>
            <w:vAlign w:val="bottom"/>
          </w:tcPr>
          <w:p w14:paraId="65CB7CED" w14:textId="77777777" w:rsidR="003C2F79" w:rsidRPr="00C228B2" w:rsidRDefault="003C2F79" w:rsidP="00F61921">
            <w:pPr>
              <w:pStyle w:val="31"/>
              <w:framePr w:hSpace="0" w:wrap="auto" w:vAnchor="margin" w:hAnchor="text" w:xAlign="left" w:yAlign="inline"/>
              <w:spacing w:before="312"/>
              <w:ind w:firstLineChars="10" w:firstLine="32"/>
              <w:suppressOverlap w:val="0"/>
            </w:pPr>
            <w:r w:rsidRPr="00C228B2">
              <w:rPr>
                <w:rFonts w:hint="eastAsia"/>
              </w:rPr>
              <w:t>学    号</w:t>
            </w:r>
          </w:p>
        </w:tc>
        <w:tc>
          <w:tcPr>
            <w:tcW w:w="3793" w:type="dxa"/>
            <w:tcBorders>
              <w:top w:val="single" w:sz="4" w:space="0" w:color="auto"/>
              <w:bottom w:val="single" w:sz="4" w:space="0" w:color="auto"/>
            </w:tcBorders>
            <w:shd w:val="clear" w:color="auto" w:fill="auto"/>
            <w:noWrap/>
            <w:vAlign w:val="bottom"/>
          </w:tcPr>
          <w:p w14:paraId="4A846EE2" w14:textId="77777777" w:rsidR="003C2F79" w:rsidRPr="00AF183B" w:rsidRDefault="003C2F79" w:rsidP="00F61921">
            <w:pPr>
              <w:jc w:val="center"/>
              <w:rPr>
                <w:rFonts w:ascii="仿宋" w:eastAsia="仿宋" w:hAnsi="仿宋"/>
                <w:b/>
                <w:sz w:val="32"/>
              </w:rPr>
            </w:pPr>
            <w:r>
              <w:rPr>
                <w:rFonts w:ascii="仿宋" w:eastAsia="仿宋" w:hAnsi="仿宋" w:hint="eastAsia"/>
                <w:b/>
                <w:sz w:val="32"/>
              </w:rPr>
              <w:t>U201815865</w:t>
            </w:r>
          </w:p>
        </w:tc>
      </w:tr>
      <w:tr w:rsidR="003C2F79" w14:paraId="2885E1FE" w14:textId="77777777" w:rsidTr="00F61921">
        <w:trPr>
          <w:trHeight w:hRule="exact" w:val="851"/>
        </w:trPr>
        <w:tc>
          <w:tcPr>
            <w:tcW w:w="0" w:type="auto"/>
            <w:shd w:val="clear" w:color="auto" w:fill="auto"/>
            <w:noWrap/>
            <w:vAlign w:val="bottom"/>
          </w:tcPr>
          <w:p w14:paraId="42393718" w14:textId="77777777" w:rsidR="003C2F79" w:rsidRPr="00C228B2" w:rsidRDefault="003C2F79" w:rsidP="00F61921">
            <w:pPr>
              <w:pStyle w:val="31"/>
              <w:framePr w:hSpace="0" w:wrap="auto" w:vAnchor="margin" w:hAnchor="text" w:xAlign="left" w:yAlign="inline"/>
              <w:spacing w:before="312"/>
              <w:ind w:firstLineChars="10" w:firstLine="32"/>
              <w:suppressOverlap w:val="0"/>
            </w:pPr>
            <w:r w:rsidRPr="00C228B2">
              <w:rPr>
                <w:rFonts w:hint="eastAsia"/>
              </w:rPr>
              <w:t>指导教师</w:t>
            </w:r>
          </w:p>
        </w:tc>
        <w:tc>
          <w:tcPr>
            <w:tcW w:w="3793" w:type="dxa"/>
            <w:tcBorders>
              <w:top w:val="single" w:sz="4" w:space="0" w:color="auto"/>
              <w:bottom w:val="single" w:sz="4" w:space="0" w:color="auto"/>
            </w:tcBorders>
            <w:shd w:val="clear" w:color="auto" w:fill="auto"/>
            <w:noWrap/>
            <w:vAlign w:val="bottom"/>
          </w:tcPr>
          <w:p w14:paraId="28037AAC" w14:textId="77777777" w:rsidR="003C2F79" w:rsidRPr="00AF183B" w:rsidRDefault="003C2F79" w:rsidP="00F61921">
            <w:pPr>
              <w:jc w:val="center"/>
              <w:rPr>
                <w:rFonts w:ascii="仿宋" w:eastAsia="仿宋" w:hAnsi="仿宋"/>
                <w:b/>
                <w:sz w:val="32"/>
              </w:rPr>
            </w:pPr>
            <w:r>
              <w:rPr>
                <w:rFonts w:ascii="仿宋" w:eastAsia="仿宋" w:hAnsi="仿宋" w:hint="eastAsia"/>
                <w:b/>
                <w:sz w:val="32"/>
              </w:rPr>
              <w:t>李安泰</w:t>
            </w:r>
          </w:p>
        </w:tc>
      </w:tr>
      <w:bookmarkEnd w:id="89"/>
    </w:tbl>
    <w:p w14:paraId="333B8805" w14:textId="77777777" w:rsidR="003C2F79" w:rsidRDefault="003C2F79" w:rsidP="003C2F79">
      <w:pPr>
        <w:spacing w:line="720" w:lineRule="auto"/>
        <w:jc w:val="center"/>
        <w:rPr>
          <w:rFonts w:ascii="华文中宋" w:eastAsia="华文中宋" w:hAnsi="华文中宋"/>
          <w:noProof/>
          <w:kern w:val="0"/>
          <w:sz w:val="32"/>
          <w:szCs w:val="32"/>
        </w:rPr>
      </w:pPr>
    </w:p>
    <w:p w14:paraId="0DDDEAE1" w14:textId="77777777" w:rsidR="003C2F79" w:rsidRDefault="003C2F79" w:rsidP="003C2F79">
      <w:pPr>
        <w:spacing w:line="720" w:lineRule="auto"/>
        <w:jc w:val="center"/>
        <w:rPr>
          <w:rFonts w:ascii="华文中宋" w:eastAsia="华文中宋" w:hAnsi="华文中宋"/>
          <w:noProof/>
          <w:kern w:val="0"/>
          <w:sz w:val="32"/>
          <w:szCs w:val="32"/>
        </w:rPr>
      </w:pPr>
    </w:p>
    <w:p w14:paraId="15888305" w14:textId="77777777" w:rsidR="003C2F79" w:rsidRDefault="003C2F79" w:rsidP="003C2F79">
      <w:pPr>
        <w:spacing w:line="720" w:lineRule="auto"/>
        <w:jc w:val="center"/>
        <w:rPr>
          <w:rFonts w:ascii="华文中宋" w:eastAsia="华文中宋" w:hAnsi="华文中宋"/>
          <w:noProof/>
          <w:kern w:val="0"/>
          <w:sz w:val="32"/>
          <w:szCs w:val="32"/>
        </w:rPr>
      </w:pPr>
    </w:p>
    <w:p w14:paraId="31172305" w14:textId="77777777" w:rsidR="003C2F79" w:rsidRDefault="003C2F79" w:rsidP="003C2F79">
      <w:pPr>
        <w:spacing w:line="720" w:lineRule="auto"/>
        <w:jc w:val="center"/>
        <w:rPr>
          <w:rFonts w:ascii="华文中宋" w:eastAsia="华文中宋" w:hAnsi="华文中宋"/>
          <w:noProof/>
          <w:kern w:val="0"/>
          <w:sz w:val="32"/>
          <w:szCs w:val="32"/>
        </w:rPr>
      </w:pPr>
    </w:p>
    <w:p w14:paraId="5FA7463D" w14:textId="77777777" w:rsidR="003C2F79" w:rsidRDefault="003C2F79" w:rsidP="003C2F79">
      <w:pPr>
        <w:spacing w:line="720" w:lineRule="auto"/>
        <w:jc w:val="center"/>
        <w:rPr>
          <w:rFonts w:ascii="华文中宋" w:eastAsia="华文中宋" w:hAnsi="华文中宋"/>
          <w:noProof/>
          <w:kern w:val="0"/>
          <w:sz w:val="32"/>
          <w:szCs w:val="32"/>
        </w:rPr>
      </w:pPr>
    </w:p>
    <w:p w14:paraId="2F3E80AE" w14:textId="77777777" w:rsidR="003C2F79" w:rsidRDefault="003C2F79" w:rsidP="003C2F79">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202</w:t>
      </w:r>
      <w:r>
        <w:rPr>
          <w:rFonts w:ascii="华文中宋" w:eastAsia="华文中宋" w:hAnsi="华文中宋"/>
          <w:bCs/>
          <w:spacing w:val="-20"/>
          <w:sz w:val="30"/>
          <w:szCs w:val="30"/>
        </w:rPr>
        <w:t>1</w:t>
      </w:r>
      <w:r w:rsidRPr="006D4669">
        <w:rPr>
          <w:rFonts w:ascii="华文中宋" w:eastAsia="华文中宋" w:hAnsi="华文中宋" w:hint="eastAsia"/>
          <w:bCs/>
          <w:spacing w:val="-20"/>
          <w:sz w:val="30"/>
          <w:szCs w:val="30"/>
        </w:rPr>
        <w:t>年</w:t>
      </w:r>
      <w:r>
        <w:rPr>
          <w:rFonts w:ascii="华文中宋" w:eastAsia="华文中宋" w:hAnsi="华文中宋"/>
          <w:bCs/>
          <w:spacing w:val="-20"/>
          <w:sz w:val="30"/>
          <w:szCs w:val="30"/>
        </w:rPr>
        <w:t>10</w:t>
      </w:r>
      <w:r w:rsidRPr="00380B47">
        <w:rPr>
          <w:rFonts w:ascii="华文中宋" w:eastAsia="华文中宋" w:hAnsi="华文中宋" w:hint="eastAsia"/>
          <w:bCs/>
          <w:spacing w:val="-20"/>
          <w:sz w:val="30"/>
          <w:szCs w:val="30"/>
        </w:rPr>
        <w:t>月</w:t>
      </w:r>
      <w:r>
        <w:rPr>
          <w:rFonts w:ascii="华文中宋" w:eastAsia="华文中宋" w:hAnsi="华文中宋"/>
          <w:bCs/>
          <w:spacing w:val="-20"/>
          <w:sz w:val="30"/>
          <w:szCs w:val="30"/>
        </w:rPr>
        <w:t>28</w:t>
      </w:r>
      <w:r w:rsidRPr="00380B47">
        <w:rPr>
          <w:rFonts w:ascii="华文中宋" w:eastAsia="华文中宋" w:hAnsi="华文中宋" w:hint="eastAsia"/>
          <w:bCs/>
          <w:spacing w:val="-20"/>
          <w:sz w:val="30"/>
          <w:szCs w:val="30"/>
        </w:rPr>
        <w:t>日审查</w:t>
      </w:r>
    </w:p>
    <w:p w14:paraId="0BDB69FB" w14:textId="77777777" w:rsidR="003C2F79" w:rsidRDefault="003C2F79" w:rsidP="003C2F79">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202</w:t>
      </w:r>
      <w:r>
        <w:rPr>
          <w:rFonts w:ascii="华文中宋" w:eastAsia="华文中宋" w:hAnsi="华文中宋"/>
          <w:bCs/>
          <w:spacing w:val="-20"/>
          <w:sz w:val="30"/>
          <w:szCs w:val="30"/>
        </w:rPr>
        <w:t>1</w:t>
      </w:r>
      <w:r w:rsidRPr="00DC4E57">
        <w:rPr>
          <w:rFonts w:ascii="华文中宋" w:eastAsia="华文中宋" w:hAnsi="华文中宋" w:hint="eastAsia"/>
          <w:bCs/>
          <w:spacing w:val="-20"/>
          <w:sz w:val="30"/>
          <w:szCs w:val="30"/>
        </w:rPr>
        <w:t>年</w:t>
      </w:r>
      <w:r>
        <w:rPr>
          <w:rFonts w:ascii="华文中宋" w:eastAsia="华文中宋" w:hAnsi="华文中宋"/>
          <w:bCs/>
          <w:spacing w:val="-20"/>
          <w:sz w:val="30"/>
          <w:szCs w:val="30"/>
        </w:rPr>
        <w:t>11</w:t>
      </w:r>
      <w:r w:rsidRPr="00DC4E57">
        <w:rPr>
          <w:rFonts w:ascii="华文中宋" w:eastAsia="华文中宋" w:hAnsi="华文中宋" w:hint="eastAsia"/>
          <w:bCs/>
          <w:spacing w:val="-20"/>
          <w:sz w:val="30"/>
          <w:szCs w:val="30"/>
        </w:rPr>
        <w:t>月</w:t>
      </w:r>
      <w:r>
        <w:rPr>
          <w:rFonts w:ascii="华文中宋" w:eastAsia="华文中宋" w:hAnsi="华文中宋"/>
          <w:bCs/>
          <w:spacing w:val="-20"/>
          <w:sz w:val="30"/>
          <w:szCs w:val="30"/>
        </w:rPr>
        <w:t>2</w:t>
      </w:r>
      <w:r w:rsidRPr="00DC4E57">
        <w:rPr>
          <w:rFonts w:ascii="华文中宋" w:eastAsia="华文中宋" w:hAnsi="华文中宋" w:hint="eastAsia"/>
          <w:bCs/>
          <w:spacing w:val="-20"/>
          <w:sz w:val="30"/>
          <w:szCs w:val="30"/>
        </w:rPr>
        <w:t>日批准</w:t>
      </w:r>
    </w:p>
    <w:p w14:paraId="7B7D82B2" w14:textId="77777777" w:rsidR="003C2F79" w:rsidRPr="00B70646" w:rsidRDefault="003C2F79" w:rsidP="003C2F79">
      <w:pPr>
        <w:spacing w:line="600" w:lineRule="exact"/>
        <w:jc w:val="center"/>
        <w:rPr>
          <w:rFonts w:ascii="华文中宋" w:eastAsia="华文中宋" w:hAnsi="华文中宋"/>
          <w:bCs/>
          <w:spacing w:val="-20"/>
          <w:sz w:val="30"/>
          <w:szCs w:val="3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38"/>
      </w:tblGrid>
      <w:tr w:rsidR="003C2F79" w14:paraId="7C214467" w14:textId="77777777" w:rsidTr="00F61921">
        <w:trPr>
          <w:trHeight w:val="2117"/>
        </w:trPr>
        <w:tc>
          <w:tcPr>
            <w:tcW w:w="7938" w:type="dxa"/>
          </w:tcPr>
          <w:p w14:paraId="190BCF91" w14:textId="77777777" w:rsidR="003C2F79" w:rsidRDefault="003C2F79" w:rsidP="00F61921">
            <w:pPr>
              <w:jc w:val="left"/>
              <w:rPr>
                <w:rFonts w:ascii="华文中宋" w:eastAsia="华文中宋"/>
                <w:bCs/>
                <w:sz w:val="28"/>
              </w:rPr>
            </w:pPr>
            <w:r>
              <w:rPr>
                <w:rFonts w:ascii="华文中宋" w:eastAsia="华文中宋" w:hint="eastAsia"/>
                <w:bCs/>
                <w:sz w:val="28"/>
              </w:rPr>
              <w:lastRenderedPageBreak/>
              <w:t>课题内容：</w:t>
            </w:r>
          </w:p>
          <w:p w14:paraId="7526AC8A" w14:textId="77777777" w:rsidR="003C2F79" w:rsidRDefault="003C2F79" w:rsidP="00F61921">
            <w:pPr>
              <w:jc w:val="left"/>
              <w:rPr>
                <w:rFonts w:eastAsia="楷体"/>
                <w:kern w:val="0"/>
                <w:szCs w:val="21"/>
              </w:rPr>
            </w:pPr>
            <w:r w:rsidRPr="00971CED">
              <w:rPr>
                <w:rFonts w:eastAsia="楷体" w:hint="eastAsia"/>
                <w:kern w:val="0"/>
                <w:szCs w:val="21"/>
              </w:rPr>
              <w:t>1.</w:t>
            </w:r>
            <w:r w:rsidRPr="00971CED">
              <w:rPr>
                <w:rFonts w:eastAsia="楷体" w:hint="eastAsia"/>
                <w:kern w:val="0"/>
                <w:szCs w:val="21"/>
              </w:rPr>
              <w:t>将</w:t>
            </w:r>
            <w:r w:rsidRPr="00971CED">
              <w:rPr>
                <w:rFonts w:eastAsia="楷体" w:hint="eastAsia"/>
                <w:kern w:val="0"/>
                <w:szCs w:val="21"/>
              </w:rPr>
              <w:t>ESG</w:t>
            </w:r>
            <w:r w:rsidRPr="00971CED">
              <w:rPr>
                <w:rFonts w:eastAsia="楷体" w:hint="eastAsia"/>
                <w:kern w:val="0"/>
                <w:szCs w:val="21"/>
              </w:rPr>
              <w:t>指标纳入基金绩效评价体系，有利于监管机构与市场各方将社会经济责任纳入资本市场投资决策框架</w:t>
            </w:r>
            <w:r>
              <w:rPr>
                <w:rFonts w:eastAsia="楷体" w:hint="eastAsia"/>
                <w:kern w:val="0"/>
                <w:szCs w:val="21"/>
              </w:rPr>
              <w:t>。</w:t>
            </w:r>
          </w:p>
          <w:p w14:paraId="67B6132E" w14:textId="77777777" w:rsidR="003C2F79" w:rsidRDefault="003C2F79" w:rsidP="00F61921">
            <w:pPr>
              <w:jc w:val="left"/>
              <w:rPr>
                <w:rFonts w:ascii="华文中宋" w:eastAsia="华文中宋" w:hAnsi="华文中宋"/>
                <w:bCs/>
                <w:spacing w:val="-20"/>
                <w:szCs w:val="21"/>
              </w:rPr>
            </w:pPr>
            <w:r w:rsidRPr="00971CED">
              <w:rPr>
                <w:rFonts w:eastAsia="楷体" w:hint="eastAsia"/>
                <w:kern w:val="0"/>
                <w:szCs w:val="21"/>
              </w:rPr>
              <w:t>2.</w:t>
            </w:r>
            <w:r w:rsidRPr="00971CED">
              <w:rPr>
                <w:rFonts w:eastAsia="楷体" w:hint="eastAsia"/>
                <w:kern w:val="0"/>
                <w:szCs w:val="21"/>
              </w:rPr>
              <w:t>探究在碳中和背景下，从实证分析</w:t>
            </w:r>
            <w:r w:rsidRPr="00971CED">
              <w:rPr>
                <w:rFonts w:eastAsia="楷体" w:hint="eastAsia"/>
                <w:kern w:val="0"/>
                <w:szCs w:val="21"/>
              </w:rPr>
              <w:t>ESG</w:t>
            </w:r>
            <w:r w:rsidRPr="00971CED">
              <w:rPr>
                <w:rFonts w:eastAsia="楷体" w:hint="eastAsia"/>
                <w:kern w:val="0"/>
                <w:szCs w:val="21"/>
              </w:rPr>
              <w:t>选股是否提高了基金的绩效。</w:t>
            </w:r>
          </w:p>
          <w:p w14:paraId="4F0ABF06" w14:textId="77777777" w:rsidR="003C2F79" w:rsidRDefault="003C2F79" w:rsidP="00F61921">
            <w:pPr>
              <w:jc w:val="left"/>
              <w:rPr>
                <w:rFonts w:ascii="华文中宋" w:eastAsia="华文中宋" w:hAnsi="华文中宋"/>
                <w:bCs/>
                <w:spacing w:val="-20"/>
                <w:szCs w:val="21"/>
              </w:rPr>
            </w:pPr>
          </w:p>
          <w:p w14:paraId="6A4F37EC" w14:textId="77777777" w:rsidR="003C2F79" w:rsidRDefault="003C2F79" w:rsidP="00F61921">
            <w:pPr>
              <w:spacing w:line="600" w:lineRule="exact"/>
              <w:jc w:val="left"/>
              <w:rPr>
                <w:rFonts w:ascii="华文中宋" w:eastAsia="华文中宋"/>
                <w:bCs/>
                <w:sz w:val="28"/>
              </w:rPr>
            </w:pPr>
          </w:p>
        </w:tc>
      </w:tr>
      <w:tr w:rsidR="003C2F79" w14:paraId="6AF01491" w14:textId="77777777" w:rsidTr="00F61921">
        <w:trPr>
          <w:trHeight w:val="2126"/>
        </w:trPr>
        <w:tc>
          <w:tcPr>
            <w:tcW w:w="7938" w:type="dxa"/>
          </w:tcPr>
          <w:p w14:paraId="234A244C" w14:textId="77777777" w:rsidR="003C2F79" w:rsidRDefault="003C2F79" w:rsidP="00F61921">
            <w:pPr>
              <w:jc w:val="left"/>
              <w:rPr>
                <w:rFonts w:ascii="华文中宋" w:eastAsia="华文中宋" w:hAnsi="华文中宋"/>
                <w:bCs/>
                <w:spacing w:val="-20"/>
                <w:szCs w:val="21"/>
              </w:rPr>
            </w:pPr>
            <w:r>
              <w:rPr>
                <w:rFonts w:ascii="华文中宋" w:eastAsia="华文中宋" w:hint="eastAsia"/>
                <w:bCs/>
                <w:sz w:val="28"/>
              </w:rPr>
              <w:t>课题任务要求：</w:t>
            </w:r>
          </w:p>
          <w:p w14:paraId="6E5F3B44" w14:textId="77777777" w:rsidR="003C2F79" w:rsidRPr="00971CED" w:rsidRDefault="003C2F79" w:rsidP="00F61921">
            <w:pPr>
              <w:widowControl/>
              <w:jc w:val="left"/>
              <w:rPr>
                <w:rFonts w:eastAsia="楷体"/>
                <w:kern w:val="0"/>
                <w:szCs w:val="21"/>
              </w:rPr>
            </w:pPr>
            <w:r w:rsidRPr="00971CED">
              <w:rPr>
                <w:rFonts w:eastAsia="楷体" w:hint="eastAsia"/>
                <w:kern w:val="0"/>
                <w:szCs w:val="21"/>
              </w:rPr>
              <w:t>1.</w:t>
            </w:r>
            <w:r w:rsidRPr="00971CED">
              <w:rPr>
                <w:rFonts w:eastAsia="楷体" w:hint="eastAsia"/>
                <w:kern w:val="0"/>
                <w:szCs w:val="21"/>
              </w:rPr>
              <w:t>介绍碳中和与资本市场变化，介绍</w:t>
            </w:r>
            <w:r w:rsidRPr="00971CED">
              <w:rPr>
                <w:rFonts w:eastAsia="楷体" w:hint="eastAsia"/>
                <w:kern w:val="0"/>
                <w:szCs w:val="21"/>
              </w:rPr>
              <w:t>ESG</w:t>
            </w:r>
            <w:r w:rsidRPr="00971CED">
              <w:rPr>
                <w:rFonts w:eastAsia="楷体" w:hint="eastAsia"/>
                <w:kern w:val="0"/>
                <w:szCs w:val="21"/>
              </w:rPr>
              <w:t>在资本市场的发展。</w:t>
            </w:r>
          </w:p>
          <w:p w14:paraId="5671A0BB" w14:textId="77777777" w:rsidR="003C2F79" w:rsidRPr="00971CED" w:rsidRDefault="003C2F79" w:rsidP="00F61921">
            <w:pPr>
              <w:widowControl/>
              <w:jc w:val="left"/>
              <w:rPr>
                <w:rFonts w:eastAsia="楷体"/>
                <w:kern w:val="0"/>
                <w:szCs w:val="21"/>
              </w:rPr>
            </w:pPr>
            <w:r w:rsidRPr="00971CED">
              <w:rPr>
                <w:rFonts w:eastAsia="楷体" w:hint="eastAsia"/>
                <w:kern w:val="0"/>
                <w:szCs w:val="21"/>
              </w:rPr>
              <w:t>2.</w:t>
            </w:r>
            <w:r w:rsidRPr="00971CED">
              <w:rPr>
                <w:rFonts w:eastAsia="楷体" w:hint="eastAsia"/>
                <w:kern w:val="0"/>
                <w:szCs w:val="21"/>
              </w:rPr>
              <w:t>介绍传统基金绩效评价理论与与模型。</w:t>
            </w:r>
          </w:p>
          <w:p w14:paraId="602FF7AE" w14:textId="77777777" w:rsidR="003C2F79" w:rsidRDefault="003C2F79" w:rsidP="00F61921">
            <w:pPr>
              <w:jc w:val="left"/>
              <w:rPr>
                <w:rFonts w:ascii="华文中宋" w:eastAsia="华文中宋" w:hAnsi="华文中宋"/>
                <w:bCs/>
                <w:spacing w:val="-20"/>
                <w:szCs w:val="21"/>
              </w:rPr>
            </w:pPr>
            <w:r w:rsidRPr="00971CED">
              <w:rPr>
                <w:rFonts w:eastAsia="楷体" w:hint="eastAsia"/>
                <w:kern w:val="0"/>
                <w:szCs w:val="21"/>
              </w:rPr>
              <w:t>3.</w:t>
            </w:r>
            <w:r w:rsidRPr="00971CED">
              <w:rPr>
                <w:rFonts w:eastAsia="楷体" w:hint="eastAsia"/>
                <w:kern w:val="0"/>
                <w:szCs w:val="21"/>
              </w:rPr>
              <w:t>实证分析</w:t>
            </w:r>
            <w:r w:rsidRPr="00971CED">
              <w:rPr>
                <w:rFonts w:eastAsia="楷体" w:hint="eastAsia"/>
                <w:kern w:val="0"/>
                <w:szCs w:val="21"/>
              </w:rPr>
              <w:t>ESG</w:t>
            </w:r>
            <w:r w:rsidRPr="00971CED">
              <w:rPr>
                <w:rFonts w:eastAsia="楷体" w:hint="eastAsia"/>
                <w:kern w:val="0"/>
                <w:szCs w:val="21"/>
              </w:rPr>
              <w:t>选股对基金绩效的影响</w:t>
            </w:r>
          </w:p>
          <w:p w14:paraId="2B3DAE92" w14:textId="77777777" w:rsidR="003C2F79" w:rsidRDefault="003C2F79" w:rsidP="00F61921">
            <w:pPr>
              <w:jc w:val="left"/>
              <w:rPr>
                <w:rFonts w:ascii="华文中宋" w:eastAsia="华文中宋" w:hAnsi="华文中宋"/>
                <w:bCs/>
                <w:spacing w:val="-20"/>
                <w:szCs w:val="21"/>
              </w:rPr>
            </w:pPr>
          </w:p>
          <w:p w14:paraId="785EE124" w14:textId="77777777" w:rsidR="003C2F79" w:rsidRDefault="003C2F79" w:rsidP="00F61921">
            <w:pPr>
              <w:spacing w:line="600" w:lineRule="exact"/>
              <w:jc w:val="left"/>
              <w:rPr>
                <w:rFonts w:ascii="华文中宋" w:eastAsia="华文中宋" w:hAnsi="华文中宋"/>
                <w:bCs/>
                <w:spacing w:val="-20"/>
                <w:sz w:val="30"/>
                <w:szCs w:val="30"/>
              </w:rPr>
            </w:pPr>
          </w:p>
        </w:tc>
      </w:tr>
      <w:tr w:rsidR="003C2F79" w14:paraId="12BDEB52" w14:textId="77777777" w:rsidTr="00F61921">
        <w:trPr>
          <w:trHeight w:val="2965"/>
        </w:trPr>
        <w:tc>
          <w:tcPr>
            <w:tcW w:w="7938" w:type="dxa"/>
          </w:tcPr>
          <w:p w14:paraId="1751ED7F" w14:textId="77777777" w:rsidR="003C2F79" w:rsidRDefault="003C2F79" w:rsidP="00F61921">
            <w:pPr>
              <w:jc w:val="left"/>
              <w:rPr>
                <w:rFonts w:ascii="华文中宋" w:eastAsia="华文中宋" w:hAnsi="华文中宋"/>
                <w:bCs/>
                <w:spacing w:val="-20"/>
                <w:szCs w:val="21"/>
              </w:rPr>
            </w:pPr>
            <w:r>
              <w:rPr>
                <w:rFonts w:ascii="华文中宋" w:eastAsia="华文中宋" w:hint="eastAsia"/>
                <w:bCs/>
                <w:sz w:val="28"/>
              </w:rPr>
              <w:t>主要参考文献（由指导教师选定）：</w:t>
            </w:r>
          </w:p>
          <w:p w14:paraId="3D10ED7D" w14:textId="77777777" w:rsidR="003C2F79" w:rsidRDefault="003C2F79" w:rsidP="00F61921">
            <w:pPr>
              <w:widowControl/>
              <w:jc w:val="left"/>
              <w:rPr>
                <w:rFonts w:eastAsia="楷体"/>
                <w:kern w:val="0"/>
                <w:szCs w:val="21"/>
              </w:rPr>
            </w:pPr>
            <w:r>
              <w:rPr>
                <w:rFonts w:eastAsia="楷体" w:hint="eastAsia"/>
                <w:kern w:val="0"/>
                <w:szCs w:val="21"/>
              </w:rPr>
              <w:t>1</w:t>
            </w:r>
            <w:r>
              <w:rPr>
                <w:rFonts w:eastAsia="楷体"/>
                <w:kern w:val="0"/>
                <w:szCs w:val="21"/>
              </w:rPr>
              <w:t>.</w:t>
            </w:r>
            <w:bookmarkStart w:id="90" w:name="_Hlk100084298"/>
            <w:r w:rsidRPr="00971CED">
              <w:rPr>
                <w:rFonts w:eastAsia="楷体" w:hint="eastAsia"/>
                <w:kern w:val="0"/>
                <w:szCs w:val="21"/>
              </w:rPr>
              <w:t>段新锋</w:t>
            </w:r>
            <w:r w:rsidRPr="00971CED">
              <w:rPr>
                <w:rFonts w:eastAsia="楷体" w:hint="eastAsia"/>
                <w:kern w:val="0"/>
                <w:szCs w:val="21"/>
              </w:rPr>
              <w:t xml:space="preserve">.  </w:t>
            </w:r>
            <w:r w:rsidRPr="00971CED">
              <w:rPr>
                <w:rFonts w:eastAsia="楷体" w:hint="eastAsia"/>
                <w:kern w:val="0"/>
                <w:szCs w:val="21"/>
              </w:rPr>
              <w:t>我国开放式证券投资基金绩效评价研究</w:t>
            </w:r>
            <w:r w:rsidRPr="00971CED">
              <w:rPr>
                <w:rFonts w:eastAsia="楷体" w:hint="eastAsia"/>
                <w:kern w:val="0"/>
                <w:szCs w:val="21"/>
              </w:rPr>
              <w:t>[D].</w:t>
            </w:r>
            <w:r w:rsidRPr="00971CED">
              <w:rPr>
                <w:rFonts w:eastAsia="楷体" w:hint="eastAsia"/>
                <w:kern w:val="0"/>
                <w:szCs w:val="21"/>
              </w:rPr>
              <w:t>江西财经大学，</w:t>
            </w:r>
            <w:r w:rsidRPr="00971CED">
              <w:rPr>
                <w:rFonts w:eastAsia="楷体" w:hint="eastAsia"/>
                <w:kern w:val="0"/>
                <w:szCs w:val="21"/>
              </w:rPr>
              <w:t>2017.</w:t>
            </w:r>
          </w:p>
          <w:bookmarkEnd w:id="90"/>
          <w:p w14:paraId="4D73B1C5" w14:textId="77777777" w:rsidR="003C2F79" w:rsidRPr="00E15409" w:rsidRDefault="003C2F79" w:rsidP="00F61921">
            <w:pPr>
              <w:widowControl/>
              <w:jc w:val="left"/>
              <w:rPr>
                <w:rFonts w:eastAsia="楷体"/>
                <w:kern w:val="0"/>
                <w:szCs w:val="21"/>
              </w:rPr>
            </w:pPr>
            <w:r>
              <w:rPr>
                <w:rFonts w:eastAsia="楷体" w:hint="eastAsia"/>
                <w:kern w:val="0"/>
                <w:szCs w:val="21"/>
              </w:rPr>
              <w:t>2</w:t>
            </w:r>
            <w:r>
              <w:rPr>
                <w:rFonts w:eastAsia="楷体"/>
                <w:kern w:val="0"/>
                <w:szCs w:val="21"/>
              </w:rPr>
              <w:t>.</w:t>
            </w:r>
            <w:bookmarkStart w:id="91" w:name="_Hlk100084313"/>
            <w:r w:rsidRPr="00971CED">
              <w:rPr>
                <w:rFonts w:eastAsia="楷体" w:hint="eastAsia"/>
                <w:kern w:val="0"/>
                <w:szCs w:val="21"/>
              </w:rPr>
              <w:t>郭筱</w:t>
            </w:r>
            <w:r w:rsidRPr="00971CED">
              <w:rPr>
                <w:rFonts w:eastAsia="楷体" w:hint="eastAsia"/>
                <w:kern w:val="0"/>
                <w:szCs w:val="21"/>
              </w:rPr>
              <w:t xml:space="preserve">.  </w:t>
            </w:r>
            <w:r w:rsidRPr="00971CED">
              <w:rPr>
                <w:rFonts w:eastAsia="楷体" w:hint="eastAsia"/>
                <w:kern w:val="0"/>
                <w:szCs w:val="21"/>
              </w:rPr>
              <w:t>我国开放式基金投资风格漂移识别及对股市波动影响研究</w:t>
            </w:r>
            <w:r w:rsidRPr="00971CED">
              <w:rPr>
                <w:rFonts w:eastAsia="楷体" w:hint="eastAsia"/>
                <w:kern w:val="0"/>
                <w:szCs w:val="21"/>
              </w:rPr>
              <w:t>[D].</w:t>
            </w:r>
            <w:r w:rsidRPr="00971CED">
              <w:rPr>
                <w:rFonts w:eastAsia="楷体" w:hint="eastAsia"/>
                <w:kern w:val="0"/>
                <w:szCs w:val="21"/>
              </w:rPr>
              <w:t>西安电子</w:t>
            </w:r>
            <w:r w:rsidRPr="00E15409">
              <w:rPr>
                <w:rFonts w:eastAsia="楷体" w:hint="eastAsia"/>
                <w:kern w:val="0"/>
                <w:szCs w:val="21"/>
              </w:rPr>
              <w:t>科技大学，</w:t>
            </w:r>
            <w:r w:rsidRPr="00E15409">
              <w:rPr>
                <w:rFonts w:eastAsia="楷体" w:hint="eastAsia"/>
                <w:kern w:val="0"/>
                <w:szCs w:val="21"/>
              </w:rPr>
              <w:t>2018.</w:t>
            </w:r>
            <w:bookmarkEnd w:id="91"/>
          </w:p>
          <w:p w14:paraId="6A77B8D7" w14:textId="77777777" w:rsidR="003C2F79" w:rsidRDefault="003C2F79" w:rsidP="00F61921">
            <w:pPr>
              <w:widowControl/>
              <w:jc w:val="left"/>
              <w:rPr>
                <w:rFonts w:eastAsia="楷体"/>
                <w:kern w:val="0"/>
                <w:szCs w:val="21"/>
              </w:rPr>
            </w:pPr>
            <w:r>
              <w:rPr>
                <w:rFonts w:eastAsia="楷体" w:hint="eastAsia"/>
                <w:kern w:val="0"/>
                <w:szCs w:val="21"/>
              </w:rPr>
              <w:t>3</w:t>
            </w:r>
            <w:r>
              <w:rPr>
                <w:rFonts w:eastAsia="楷体"/>
                <w:kern w:val="0"/>
                <w:szCs w:val="21"/>
              </w:rPr>
              <w:t>.</w:t>
            </w:r>
            <w:r w:rsidRPr="00585CBC">
              <w:rPr>
                <w:rFonts w:eastAsia="楷体" w:hint="eastAsia"/>
                <w:kern w:val="0"/>
                <w:szCs w:val="21"/>
              </w:rPr>
              <w:t xml:space="preserve"> </w:t>
            </w:r>
            <w:bookmarkStart w:id="92" w:name="_Hlk100084324"/>
            <w:r w:rsidRPr="00971CED">
              <w:rPr>
                <w:rFonts w:eastAsia="楷体" w:hint="eastAsia"/>
                <w:kern w:val="0"/>
                <w:szCs w:val="21"/>
              </w:rPr>
              <w:t>胡陈敏，李艳，王亚星，马燕舞</w:t>
            </w:r>
            <w:r w:rsidRPr="00971CED">
              <w:rPr>
                <w:rFonts w:eastAsia="楷体" w:hint="eastAsia"/>
                <w:kern w:val="0"/>
                <w:szCs w:val="21"/>
              </w:rPr>
              <w:t>.</w:t>
            </w:r>
            <w:r w:rsidRPr="00971CED">
              <w:rPr>
                <w:rFonts w:eastAsia="楷体" w:hint="eastAsia"/>
                <w:kern w:val="0"/>
                <w:szCs w:val="21"/>
              </w:rPr>
              <w:t>我国债券型、股票型、指数型基金投资绩效分析</w:t>
            </w:r>
            <w:r w:rsidRPr="00971CED">
              <w:rPr>
                <w:rFonts w:eastAsia="楷体" w:hint="eastAsia"/>
                <w:kern w:val="0"/>
                <w:szCs w:val="21"/>
              </w:rPr>
              <w:t>[J].</w:t>
            </w:r>
            <w:r w:rsidRPr="00971CED">
              <w:rPr>
                <w:rFonts w:eastAsia="楷体" w:hint="eastAsia"/>
                <w:kern w:val="0"/>
                <w:szCs w:val="21"/>
              </w:rPr>
              <w:t>合作经济与科技，</w:t>
            </w:r>
            <w:r w:rsidRPr="00971CED">
              <w:rPr>
                <w:rFonts w:eastAsia="楷体" w:hint="eastAsia"/>
                <w:kern w:val="0"/>
                <w:szCs w:val="21"/>
              </w:rPr>
              <w:t>2018(13):62-65.</w:t>
            </w:r>
            <w:bookmarkEnd w:id="92"/>
          </w:p>
          <w:p w14:paraId="0DFB0DFD" w14:textId="77777777" w:rsidR="003C2F79" w:rsidRDefault="003C2F79" w:rsidP="00F61921">
            <w:pPr>
              <w:widowControl/>
              <w:jc w:val="left"/>
              <w:rPr>
                <w:rFonts w:eastAsia="楷体"/>
                <w:kern w:val="0"/>
                <w:szCs w:val="21"/>
              </w:rPr>
            </w:pPr>
            <w:r>
              <w:rPr>
                <w:rFonts w:eastAsia="楷体" w:hint="eastAsia"/>
                <w:kern w:val="0"/>
                <w:szCs w:val="21"/>
              </w:rPr>
              <w:t>4</w:t>
            </w:r>
            <w:r>
              <w:rPr>
                <w:rFonts w:eastAsia="楷体"/>
                <w:kern w:val="0"/>
                <w:szCs w:val="21"/>
              </w:rPr>
              <w:t>.</w:t>
            </w:r>
            <w:r>
              <w:rPr>
                <w:rFonts w:hint="eastAsia"/>
              </w:rPr>
              <w:t xml:space="preserve"> </w:t>
            </w:r>
            <w:bookmarkStart w:id="93" w:name="_Hlk100084342"/>
            <w:r w:rsidRPr="00971CED">
              <w:rPr>
                <w:rFonts w:eastAsia="楷体" w:hint="eastAsia"/>
                <w:kern w:val="0"/>
                <w:szCs w:val="21"/>
              </w:rPr>
              <w:t>晋亚超</w:t>
            </w:r>
            <w:r w:rsidRPr="00971CED">
              <w:rPr>
                <w:rFonts w:eastAsia="楷体" w:hint="eastAsia"/>
                <w:kern w:val="0"/>
                <w:szCs w:val="21"/>
              </w:rPr>
              <w:t xml:space="preserve">.  </w:t>
            </w:r>
            <w:r w:rsidRPr="00971CED">
              <w:rPr>
                <w:rFonts w:eastAsia="楷体" w:hint="eastAsia"/>
                <w:kern w:val="0"/>
                <w:szCs w:val="21"/>
              </w:rPr>
              <w:t>我国混合型基金绩效评价及影响因素分析</w:t>
            </w:r>
            <w:r w:rsidRPr="00971CED">
              <w:rPr>
                <w:rFonts w:eastAsia="楷体" w:hint="eastAsia"/>
                <w:kern w:val="0"/>
                <w:szCs w:val="21"/>
              </w:rPr>
              <w:t>[D].</w:t>
            </w:r>
            <w:r w:rsidRPr="00971CED">
              <w:rPr>
                <w:rFonts w:eastAsia="楷体" w:hint="eastAsia"/>
                <w:kern w:val="0"/>
                <w:szCs w:val="21"/>
              </w:rPr>
              <w:t>首都经济贸易大学，</w:t>
            </w:r>
            <w:r w:rsidRPr="00971CED">
              <w:rPr>
                <w:rFonts w:eastAsia="楷体"/>
                <w:kern w:val="0"/>
                <w:szCs w:val="21"/>
              </w:rPr>
              <w:t>2019.</w:t>
            </w:r>
          </w:p>
          <w:bookmarkEnd w:id="93"/>
          <w:p w14:paraId="73545C61" w14:textId="77777777" w:rsidR="003C2F79" w:rsidRPr="00971CED" w:rsidRDefault="003C2F79" w:rsidP="00F61921">
            <w:pPr>
              <w:widowControl/>
              <w:jc w:val="left"/>
              <w:rPr>
                <w:rFonts w:eastAsia="楷体"/>
                <w:kern w:val="0"/>
                <w:szCs w:val="21"/>
              </w:rPr>
            </w:pPr>
            <w:r>
              <w:rPr>
                <w:rFonts w:eastAsia="楷体" w:hint="eastAsia"/>
                <w:kern w:val="0"/>
                <w:szCs w:val="21"/>
              </w:rPr>
              <w:t>5</w:t>
            </w:r>
            <w:r>
              <w:rPr>
                <w:rFonts w:eastAsia="楷体"/>
                <w:kern w:val="0"/>
                <w:szCs w:val="21"/>
              </w:rPr>
              <w:t>.</w:t>
            </w:r>
            <w:r>
              <w:t xml:space="preserve"> </w:t>
            </w:r>
            <w:bookmarkStart w:id="94" w:name="_Hlk100084355"/>
            <w:r w:rsidRPr="00971CED">
              <w:rPr>
                <w:rFonts w:eastAsia="楷体"/>
                <w:kern w:val="0"/>
                <w:szCs w:val="21"/>
              </w:rPr>
              <w:t xml:space="preserve">Choi  S  Woo.  An  Empirical  Study  of  Capital  Asset  Pricing  Model  and  </w:t>
            </w:r>
            <w:proofErr w:type="spellStart"/>
            <w:r w:rsidRPr="00971CED">
              <w:rPr>
                <w:rFonts w:eastAsia="楷体"/>
                <w:kern w:val="0"/>
                <w:szCs w:val="21"/>
              </w:rPr>
              <w:t>Famacrs</w:t>
            </w:r>
            <w:proofErr w:type="spellEnd"/>
            <w:r w:rsidRPr="00971CED">
              <w:rPr>
                <w:rFonts w:eastAsia="楷体"/>
                <w:kern w:val="0"/>
                <w:szCs w:val="21"/>
              </w:rPr>
              <w:t xml:space="preserve"> </w:t>
            </w:r>
          </w:p>
          <w:p w14:paraId="0668DB4B" w14:textId="77777777" w:rsidR="003C2F79" w:rsidRDefault="003C2F79" w:rsidP="00F61921">
            <w:pPr>
              <w:widowControl/>
              <w:jc w:val="left"/>
              <w:rPr>
                <w:rFonts w:eastAsia="楷体"/>
                <w:kern w:val="0"/>
                <w:szCs w:val="21"/>
              </w:rPr>
            </w:pPr>
            <w:r w:rsidRPr="00971CED">
              <w:rPr>
                <w:rFonts w:eastAsia="楷体"/>
                <w:kern w:val="0"/>
                <w:szCs w:val="21"/>
              </w:rPr>
              <w:t xml:space="preserve">French </w:t>
            </w:r>
            <w:proofErr w:type="spellStart"/>
            <w:r w:rsidRPr="00971CED">
              <w:rPr>
                <w:rFonts w:eastAsia="楷体"/>
                <w:kern w:val="0"/>
                <w:szCs w:val="21"/>
              </w:rPr>
              <w:t>Threecrs</w:t>
            </w:r>
            <w:proofErr w:type="spellEnd"/>
            <w:r w:rsidRPr="00971CED">
              <w:rPr>
                <w:rFonts w:eastAsia="楷体"/>
                <w:kern w:val="0"/>
                <w:szCs w:val="21"/>
              </w:rPr>
              <w:t xml:space="preserve"> Factor Model[J]. Financial Analysts Journal. 2017.</w:t>
            </w:r>
          </w:p>
          <w:bookmarkEnd w:id="94"/>
          <w:p w14:paraId="7FB18F01" w14:textId="77777777" w:rsidR="003C2F79" w:rsidRPr="00971CED" w:rsidRDefault="003C2F79" w:rsidP="00F61921">
            <w:pPr>
              <w:widowControl/>
              <w:jc w:val="left"/>
              <w:rPr>
                <w:rFonts w:eastAsia="楷体"/>
                <w:kern w:val="0"/>
                <w:szCs w:val="21"/>
              </w:rPr>
            </w:pPr>
            <w:r>
              <w:rPr>
                <w:rFonts w:eastAsia="楷体" w:hint="eastAsia"/>
                <w:kern w:val="0"/>
                <w:szCs w:val="21"/>
              </w:rPr>
              <w:t>6</w:t>
            </w:r>
            <w:r>
              <w:rPr>
                <w:rFonts w:eastAsia="楷体"/>
                <w:kern w:val="0"/>
                <w:szCs w:val="21"/>
              </w:rPr>
              <w:t>.</w:t>
            </w:r>
            <w:bookmarkStart w:id="95" w:name="_Hlk100084381"/>
            <w:r>
              <w:rPr>
                <w:rFonts w:hint="eastAsia"/>
              </w:rPr>
              <w:t xml:space="preserve"> </w:t>
            </w:r>
            <w:r w:rsidRPr="00971CED">
              <w:rPr>
                <w:rFonts w:eastAsia="楷体" w:hint="eastAsia"/>
                <w:kern w:val="0"/>
                <w:szCs w:val="21"/>
              </w:rPr>
              <w:t>Jun Gao</w:t>
            </w:r>
            <w:r w:rsidRPr="00971CED">
              <w:rPr>
                <w:rFonts w:eastAsia="楷体" w:hint="eastAsia"/>
                <w:kern w:val="0"/>
                <w:szCs w:val="21"/>
              </w:rPr>
              <w:t>，</w:t>
            </w:r>
            <w:r w:rsidRPr="00971CED">
              <w:rPr>
                <w:rFonts w:eastAsia="楷体" w:hint="eastAsia"/>
                <w:kern w:val="0"/>
                <w:szCs w:val="21"/>
              </w:rPr>
              <w:t>Niall O</w:t>
            </w:r>
            <w:r w:rsidRPr="00971CED">
              <w:rPr>
                <w:rFonts w:eastAsia="楷体" w:hint="eastAsia"/>
                <w:kern w:val="0"/>
                <w:szCs w:val="21"/>
              </w:rPr>
              <w:t>’</w:t>
            </w:r>
            <w:r w:rsidRPr="00971CED">
              <w:rPr>
                <w:rFonts w:eastAsia="楷体" w:hint="eastAsia"/>
                <w:kern w:val="0"/>
                <w:szCs w:val="21"/>
              </w:rPr>
              <w:t>Sullivan</w:t>
            </w:r>
            <w:r w:rsidRPr="00971CED">
              <w:rPr>
                <w:rFonts w:eastAsia="楷体" w:hint="eastAsia"/>
                <w:kern w:val="0"/>
                <w:szCs w:val="21"/>
              </w:rPr>
              <w:t>，</w:t>
            </w:r>
            <w:proofErr w:type="spellStart"/>
            <w:r w:rsidRPr="00971CED">
              <w:rPr>
                <w:rFonts w:eastAsia="楷体" w:hint="eastAsia"/>
                <w:kern w:val="0"/>
                <w:szCs w:val="21"/>
              </w:rPr>
              <w:t>Meadhbh</w:t>
            </w:r>
            <w:proofErr w:type="spellEnd"/>
            <w:r w:rsidRPr="00971CED">
              <w:rPr>
                <w:rFonts w:eastAsia="楷体" w:hint="eastAsia"/>
                <w:kern w:val="0"/>
                <w:szCs w:val="21"/>
              </w:rPr>
              <w:t xml:space="preserve"> Sherman. An evaluation of Chinese securities </w:t>
            </w:r>
          </w:p>
          <w:p w14:paraId="59C8137F" w14:textId="77777777" w:rsidR="003C2F79" w:rsidRDefault="003C2F79" w:rsidP="00F61921">
            <w:pPr>
              <w:jc w:val="left"/>
              <w:rPr>
                <w:rFonts w:ascii="华文中宋" w:eastAsia="华文中宋" w:hAnsi="华文中宋"/>
                <w:bCs/>
                <w:spacing w:val="-20"/>
                <w:szCs w:val="21"/>
              </w:rPr>
            </w:pPr>
            <w:r w:rsidRPr="00971CED">
              <w:rPr>
                <w:rFonts w:eastAsia="楷体" w:hint="eastAsia"/>
                <w:kern w:val="0"/>
                <w:szCs w:val="21"/>
              </w:rPr>
              <w:t>investment fund performance[J]. Quarterly Review of Economics and Finance</w:t>
            </w:r>
            <w:r w:rsidRPr="00971CED">
              <w:rPr>
                <w:rFonts w:eastAsia="楷体" w:hint="eastAsia"/>
                <w:kern w:val="0"/>
                <w:szCs w:val="21"/>
              </w:rPr>
              <w:t>，</w:t>
            </w:r>
            <w:r w:rsidRPr="00971CED">
              <w:rPr>
                <w:rFonts w:eastAsia="楷体" w:hint="eastAsia"/>
                <w:kern w:val="0"/>
                <w:szCs w:val="21"/>
              </w:rPr>
              <w:t>2020</w:t>
            </w:r>
            <w:r>
              <w:rPr>
                <w:rFonts w:eastAsia="楷体" w:hint="eastAsia"/>
                <w:kern w:val="0"/>
                <w:szCs w:val="21"/>
              </w:rPr>
              <w:t>.</w:t>
            </w:r>
            <w:bookmarkEnd w:id="95"/>
          </w:p>
          <w:p w14:paraId="6BA0CBF8" w14:textId="77777777" w:rsidR="003C2F79" w:rsidRDefault="003C2F79" w:rsidP="00F61921">
            <w:pPr>
              <w:spacing w:line="600" w:lineRule="exact"/>
              <w:jc w:val="left"/>
              <w:rPr>
                <w:rFonts w:ascii="华文中宋" w:eastAsia="华文中宋" w:hAnsi="华文中宋"/>
                <w:bCs/>
                <w:spacing w:val="-20"/>
                <w:sz w:val="30"/>
                <w:szCs w:val="30"/>
              </w:rPr>
            </w:pPr>
          </w:p>
        </w:tc>
      </w:tr>
      <w:tr w:rsidR="003C2F79" w14:paraId="7F4CB12F" w14:textId="77777777" w:rsidTr="00F61921">
        <w:trPr>
          <w:trHeight w:val="1974"/>
        </w:trPr>
        <w:tc>
          <w:tcPr>
            <w:tcW w:w="7938" w:type="dxa"/>
          </w:tcPr>
          <w:p w14:paraId="1AF976F1" w14:textId="77777777" w:rsidR="003C2F79" w:rsidRDefault="003C2F79" w:rsidP="00F61921">
            <w:pPr>
              <w:jc w:val="left"/>
              <w:rPr>
                <w:rFonts w:ascii="华文中宋" w:eastAsia="华文中宋" w:hAnsi="华文中宋"/>
                <w:bCs/>
                <w:spacing w:val="-20"/>
                <w:szCs w:val="21"/>
              </w:rPr>
            </w:pPr>
            <w:r>
              <w:rPr>
                <w:rFonts w:ascii="华文中宋" w:eastAsia="华文中宋" w:hint="eastAsia"/>
                <w:bCs/>
                <w:sz w:val="28"/>
              </w:rPr>
              <w:t>同组设计者：</w:t>
            </w:r>
          </w:p>
          <w:p w14:paraId="6F54C055" w14:textId="77777777" w:rsidR="003C2F79" w:rsidRPr="00B70646" w:rsidRDefault="003C2F79" w:rsidP="00F61921">
            <w:pPr>
              <w:spacing w:line="600" w:lineRule="exact"/>
              <w:rPr>
                <w:rFonts w:eastAsia="楷体"/>
                <w:kern w:val="0"/>
                <w:szCs w:val="21"/>
              </w:rPr>
            </w:pPr>
            <w:r w:rsidRPr="00B70646">
              <w:rPr>
                <w:rFonts w:eastAsia="楷体" w:hint="eastAsia"/>
                <w:kern w:val="0"/>
                <w:szCs w:val="21"/>
              </w:rPr>
              <w:t>无</w:t>
            </w:r>
          </w:p>
          <w:p w14:paraId="21637358" w14:textId="77777777" w:rsidR="003C2F79" w:rsidRDefault="003C2F79" w:rsidP="00F61921">
            <w:pPr>
              <w:spacing w:line="600" w:lineRule="exact"/>
              <w:rPr>
                <w:rFonts w:ascii="华文中宋" w:eastAsia="华文中宋" w:hAnsi="华文中宋"/>
                <w:bCs/>
                <w:spacing w:val="-20"/>
                <w:sz w:val="30"/>
                <w:szCs w:val="30"/>
              </w:rPr>
            </w:pPr>
          </w:p>
        </w:tc>
      </w:tr>
      <w:tr w:rsidR="003C2F79" w14:paraId="349FD214" w14:textId="77777777" w:rsidTr="00F61921">
        <w:trPr>
          <w:trHeight w:val="983"/>
        </w:trPr>
        <w:tc>
          <w:tcPr>
            <w:tcW w:w="7938" w:type="dxa"/>
          </w:tcPr>
          <w:p w14:paraId="3C365D72" w14:textId="77777777" w:rsidR="003C2F79" w:rsidRDefault="003C2F79" w:rsidP="00F61921">
            <w:pPr>
              <w:jc w:val="left"/>
              <w:rPr>
                <w:rFonts w:ascii="华文中宋" w:eastAsia="华文中宋"/>
                <w:bCs/>
                <w:sz w:val="28"/>
              </w:rPr>
            </w:pPr>
            <w:r>
              <w:rPr>
                <w:rFonts w:ascii="华文中宋" w:eastAsia="华文中宋" w:hint="eastAsia"/>
                <w:bCs/>
                <w:sz w:val="28"/>
              </w:rPr>
              <w:t>指导教师签名：</w:t>
            </w:r>
          </w:p>
          <w:p w14:paraId="0CABC48B" w14:textId="77777777" w:rsidR="003C2F79" w:rsidRDefault="003C2F79" w:rsidP="00F61921">
            <w:pPr>
              <w:jc w:val="left"/>
              <w:rPr>
                <w:rFonts w:ascii="华文中宋" w:eastAsia="华文中宋"/>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724B0AFA" w14:textId="77777777" w:rsidR="003C2F79" w:rsidRPr="00830883" w:rsidRDefault="003C2F79" w:rsidP="003C2F79">
      <w:pPr>
        <w:adjustRightInd w:val="0"/>
        <w:snapToGrid w:val="0"/>
        <w:spacing w:beforeLines="50" w:before="156" w:line="400" w:lineRule="atLeast"/>
        <w:rPr>
          <w:rFonts w:ascii="仿宋_GB2312" w:eastAsia="仿宋_GB2312" w:hAnsi="华文中宋"/>
          <w:bCs/>
          <w:sz w:val="30"/>
        </w:rPr>
      </w:pPr>
    </w:p>
    <w:p w14:paraId="1F034520" w14:textId="77777777" w:rsidR="003C2F79" w:rsidRPr="003C2F79" w:rsidRDefault="003C2F79">
      <w:pPr>
        <w:rPr>
          <w:rFonts w:ascii="楷体_GB2312" w:eastAsia="楷体_GB2312"/>
          <w:color w:val="FF0000"/>
        </w:rPr>
      </w:pPr>
    </w:p>
    <w:sectPr w:rsidR="003C2F79" w:rsidRPr="003C2F79">
      <w:type w:val="continuous"/>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9CF8A" w14:textId="77777777" w:rsidR="00EE33E9" w:rsidRDefault="00EE33E9">
      <w:r>
        <w:separator/>
      </w:r>
    </w:p>
  </w:endnote>
  <w:endnote w:type="continuationSeparator" w:id="0">
    <w:p w14:paraId="128F4DA6" w14:textId="77777777" w:rsidR="00EE33E9" w:rsidRDefault="00EE3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767461"/>
      <w:docPartObj>
        <w:docPartGallery w:val="Page Numbers (Bottom of Page)"/>
        <w:docPartUnique/>
      </w:docPartObj>
    </w:sdtPr>
    <w:sdtEndPr>
      <w:rPr>
        <w:b/>
        <w:bCs/>
        <w:sz w:val="21"/>
        <w:szCs w:val="21"/>
      </w:rPr>
    </w:sdtEndPr>
    <w:sdtContent>
      <w:p w14:paraId="6E60D723" w14:textId="379A6030" w:rsidR="004765EF" w:rsidRPr="004765EF" w:rsidRDefault="004765EF">
        <w:pPr>
          <w:pStyle w:val="a3"/>
          <w:jc w:val="center"/>
          <w:rPr>
            <w:b/>
            <w:bCs/>
            <w:sz w:val="21"/>
            <w:szCs w:val="21"/>
          </w:rPr>
        </w:pPr>
        <w:r w:rsidRPr="004765EF">
          <w:rPr>
            <w:b/>
            <w:bCs/>
            <w:sz w:val="21"/>
            <w:szCs w:val="21"/>
          </w:rPr>
          <w:fldChar w:fldCharType="begin"/>
        </w:r>
        <w:r w:rsidRPr="004765EF">
          <w:rPr>
            <w:b/>
            <w:bCs/>
            <w:sz w:val="21"/>
            <w:szCs w:val="21"/>
          </w:rPr>
          <w:instrText>PAGE   \* MERGEFORMAT</w:instrText>
        </w:r>
        <w:r w:rsidRPr="004765EF">
          <w:rPr>
            <w:b/>
            <w:bCs/>
            <w:sz w:val="21"/>
            <w:szCs w:val="21"/>
          </w:rPr>
          <w:fldChar w:fldCharType="separate"/>
        </w:r>
        <w:r w:rsidRPr="004765EF">
          <w:rPr>
            <w:b/>
            <w:bCs/>
            <w:sz w:val="21"/>
            <w:szCs w:val="21"/>
            <w:lang w:val="zh-CN"/>
          </w:rPr>
          <w:t>2</w:t>
        </w:r>
        <w:r w:rsidRPr="004765EF">
          <w:rPr>
            <w:b/>
            <w:bCs/>
            <w:sz w:val="21"/>
            <w:szCs w:val="21"/>
          </w:rPr>
          <w:fldChar w:fldCharType="end"/>
        </w:r>
      </w:p>
    </w:sdtContent>
  </w:sdt>
  <w:p w14:paraId="2DF61B4B" w14:textId="77777777" w:rsidR="004912D7" w:rsidRDefault="004912D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86AEA" w14:textId="77777777" w:rsidR="00EE33E9" w:rsidRDefault="00EE33E9">
      <w:r>
        <w:separator/>
      </w:r>
    </w:p>
  </w:footnote>
  <w:footnote w:type="continuationSeparator" w:id="0">
    <w:p w14:paraId="159C09A8" w14:textId="77777777" w:rsidR="00EE33E9" w:rsidRDefault="00EE3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9A3A" w14:textId="77777777" w:rsidR="004912D7" w:rsidRDefault="004912D7">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4CF987C6" w14:textId="77777777" w:rsidR="004912D7" w:rsidRDefault="004912D7">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364"/>
    <w:rsid w:val="00015307"/>
    <w:rsid w:val="00027653"/>
    <w:rsid w:val="0004262D"/>
    <w:rsid w:val="00043A96"/>
    <w:rsid w:val="000442E5"/>
    <w:rsid w:val="00054D52"/>
    <w:rsid w:val="0006321D"/>
    <w:rsid w:val="00065DCD"/>
    <w:rsid w:val="0006684E"/>
    <w:rsid w:val="000706AD"/>
    <w:rsid w:val="00070A65"/>
    <w:rsid w:val="000744B9"/>
    <w:rsid w:val="000818EE"/>
    <w:rsid w:val="00084C89"/>
    <w:rsid w:val="0008568E"/>
    <w:rsid w:val="00085DBF"/>
    <w:rsid w:val="000A496A"/>
    <w:rsid w:val="000A4F9A"/>
    <w:rsid w:val="000A706F"/>
    <w:rsid w:val="000C668A"/>
    <w:rsid w:val="000D735E"/>
    <w:rsid w:val="000E0690"/>
    <w:rsid w:val="000E142F"/>
    <w:rsid w:val="000F5BAD"/>
    <w:rsid w:val="00115069"/>
    <w:rsid w:val="00116745"/>
    <w:rsid w:val="00117B8D"/>
    <w:rsid w:val="00130F63"/>
    <w:rsid w:val="001325FF"/>
    <w:rsid w:val="0014297F"/>
    <w:rsid w:val="00152AB4"/>
    <w:rsid w:val="001577B7"/>
    <w:rsid w:val="00166B4B"/>
    <w:rsid w:val="00172A27"/>
    <w:rsid w:val="001806AF"/>
    <w:rsid w:val="001829E2"/>
    <w:rsid w:val="001856B8"/>
    <w:rsid w:val="0019440B"/>
    <w:rsid w:val="00195411"/>
    <w:rsid w:val="00197498"/>
    <w:rsid w:val="001A1349"/>
    <w:rsid w:val="001A14D7"/>
    <w:rsid w:val="001B02B5"/>
    <w:rsid w:val="001B5D2C"/>
    <w:rsid w:val="001C6F44"/>
    <w:rsid w:val="001D37B8"/>
    <w:rsid w:val="001D59A3"/>
    <w:rsid w:val="001E4E5A"/>
    <w:rsid w:val="001E6057"/>
    <w:rsid w:val="001F6F32"/>
    <w:rsid w:val="002051B7"/>
    <w:rsid w:val="0020541C"/>
    <w:rsid w:val="00212B38"/>
    <w:rsid w:val="002232DE"/>
    <w:rsid w:val="00225F73"/>
    <w:rsid w:val="0022627B"/>
    <w:rsid w:val="00226780"/>
    <w:rsid w:val="0022682A"/>
    <w:rsid w:val="00227045"/>
    <w:rsid w:val="00233313"/>
    <w:rsid w:val="00233C61"/>
    <w:rsid w:val="0024512D"/>
    <w:rsid w:val="002946DB"/>
    <w:rsid w:val="002A7D73"/>
    <w:rsid w:val="002C0C2E"/>
    <w:rsid w:val="002C6D08"/>
    <w:rsid w:val="002C7D14"/>
    <w:rsid w:val="002D0281"/>
    <w:rsid w:val="002E4DC2"/>
    <w:rsid w:val="002E680C"/>
    <w:rsid w:val="002F28D2"/>
    <w:rsid w:val="002F61EC"/>
    <w:rsid w:val="00300600"/>
    <w:rsid w:val="00306B1B"/>
    <w:rsid w:val="003078FB"/>
    <w:rsid w:val="0031228C"/>
    <w:rsid w:val="0032070E"/>
    <w:rsid w:val="00321477"/>
    <w:rsid w:val="00340D1E"/>
    <w:rsid w:val="00342094"/>
    <w:rsid w:val="003426EB"/>
    <w:rsid w:val="00344375"/>
    <w:rsid w:val="00352EB6"/>
    <w:rsid w:val="00374A61"/>
    <w:rsid w:val="003850FD"/>
    <w:rsid w:val="00392F1F"/>
    <w:rsid w:val="003930EC"/>
    <w:rsid w:val="003A488F"/>
    <w:rsid w:val="003A4E94"/>
    <w:rsid w:val="003B2EC8"/>
    <w:rsid w:val="003B3A06"/>
    <w:rsid w:val="003B435C"/>
    <w:rsid w:val="003B47CD"/>
    <w:rsid w:val="003B4F84"/>
    <w:rsid w:val="003B59DA"/>
    <w:rsid w:val="003C14C9"/>
    <w:rsid w:val="003C2F79"/>
    <w:rsid w:val="003D6C09"/>
    <w:rsid w:val="003F439B"/>
    <w:rsid w:val="00412C44"/>
    <w:rsid w:val="00413231"/>
    <w:rsid w:val="0041334D"/>
    <w:rsid w:val="00413D35"/>
    <w:rsid w:val="00430A39"/>
    <w:rsid w:val="00445462"/>
    <w:rsid w:val="00450125"/>
    <w:rsid w:val="00452F8E"/>
    <w:rsid w:val="0047608F"/>
    <w:rsid w:val="004765EF"/>
    <w:rsid w:val="00481BEA"/>
    <w:rsid w:val="004912D7"/>
    <w:rsid w:val="004916A0"/>
    <w:rsid w:val="004974B1"/>
    <w:rsid w:val="004C2FA7"/>
    <w:rsid w:val="004D0F96"/>
    <w:rsid w:val="004E02AE"/>
    <w:rsid w:val="004E58DB"/>
    <w:rsid w:val="004E647A"/>
    <w:rsid w:val="004F72DF"/>
    <w:rsid w:val="00500E06"/>
    <w:rsid w:val="00504350"/>
    <w:rsid w:val="00510CC3"/>
    <w:rsid w:val="00512882"/>
    <w:rsid w:val="005148FF"/>
    <w:rsid w:val="005172C7"/>
    <w:rsid w:val="005309B9"/>
    <w:rsid w:val="00551A18"/>
    <w:rsid w:val="00554BF1"/>
    <w:rsid w:val="00556DB6"/>
    <w:rsid w:val="00580E35"/>
    <w:rsid w:val="005810DE"/>
    <w:rsid w:val="005B05D9"/>
    <w:rsid w:val="005B5BCD"/>
    <w:rsid w:val="005B6BD9"/>
    <w:rsid w:val="005D1B05"/>
    <w:rsid w:val="005E5C4C"/>
    <w:rsid w:val="005F3519"/>
    <w:rsid w:val="0060387B"/>
    <w:rsid w:val="006116DF"/>
    <w:rsid w:val="0061258B"/>
    <w:rsid w:val="00612E6A"/>
    <w:rsid w:val="006154F8"/>
    <w:rsid w:val="00616983"/>
    <w:rsid w:val="006174EE"/>
    <w:rsid w:val="006247F1"/>
    <w:rsid w:val="0062635F"/>
    <w:rsid w:val="00637B51"/>
    <w:rsid w:val="00640156"/>
    <w:rsid w:val="0064122E"/>
    <w:rsid w:val="00646285"/>
    <w:rsid w:val="00653025"/>
    <w:rsid w:val="006609A4"/>
    <w:rsid w:val="0066536D"/>
    <w:rsid w:val="00665C49"/>
    <w:rsid w:val="0067059E"/>
    <w:rsid w:val="00672712"/>
    <w:rsid w:val="00672BBB"/>
    <w:rsid w:val="00677C00"/>
    <w:rsid w:val="00677E32"/>
    <w:rsid w:val="00677ED8"/>
    <w:rsid w:val="00681751"/>
    <w:rsid w:val="00683F93"/>
    <w:rsid w:val="00684029"/>
    <w:rsid w:val="006B0BCF"/>
    <w:rsid w:val="006B0EE6"/>
    <w:rsid w:val="006B1B6F"/>
    <w:rsid w:val="006B2112"/>
    <w:rsid w:val="006C03FE"/>
    <w:rsid w:val="006C0BD1"/>
    <w:rsid w:val="006C45C2"/>
    <w:rsid w:val="006D72F5"/>
    <w:rsid w:val="006E182D"/>
    <w:rsid w:val="006F7242"/>
    <w:rsid w:val="00720EF1"/>
    <w:rsid w:val="0073007B"/>
    <w:rsid w:val="00732E41"/>
    <w:rsid w:val="00751406"/>
    <w:rsid w:val="00752231"/>
    <w:rsid w:val="00752F37"/>
    <w:rsid w:val="00763ED7"/>
    <w:rsid w:val="007653E3"/>
    <w:rsid w:val="00766454"/>
    <w:rsid w:val="00767B8A"/>
    <w:rsid w:val="00796309"/>
    <w:rsid w:val="0079766F"/>
    <w:rsid w:val="007C589E"/>
    <w:rsid w:val="007D055E"/>
    <w:rsid w:val="007D2680"/>
    <w:rsid w:val="007D391A"/>
    <w:rsid w:val="007E297C"/>
    <w:rsid w:val="007F4E96"/>
    <w:rsid w:val="00811855"/>
    <w:rsid w:val="00815BDC"/>
    <w:rsid w:val="00830575"/>
    <w:rsid w:val="00830883"/>
    <w:rsid w:val="00837B33"/>
    <w:rsid w:val="00842848"/>
    <w:rsid w:val="008442CB"/>
    <w:rsid w:val="00850830"/>
    <w:rsid w:val="008529D4"/>
    <w:rsid w:val="00860A1E"/>
    <w:rsid w:val="00860BF3"/>
    <w:rsid w:val="00872F81"/>
    <w:rsid w:val="00876ED5"/>
    <w:rsid w:val="0088042C"/>
    <w:rsid w:val="008A11AD"/>
    <w:rsid w:val="008A77B3"/>
    <w:rsid w:val="008B6AC7"/>
    <w:rsid w:val="008B6B39"/>
    <w:rsid w:val="008C26CE"/>
    <w:rsid w:val="008C52D4"/>
    <w:rsid w:val="008C770A"/>
    <w:rsid w:val="008D4250"/>
    <w:rsid w:val="008E1445"/>
    <w:rsid w:val="008E3327"/>
    <w:rsid w:val="008E6D09"/>
    <w:rsid w:val="008E766D"/>
    <w:rsid w:val="008F2708"/>
    <w:rsid w:val="008F5CC1"/>
    <w:rsid w:val="008F7B8C"/>
    <w:rsid w:val="00900133"/>
    <w:rsid w:val="00910A19"/>
    <w:rsid w:val="0091236B"/>
    <w:rsid w:val="00917E38"/>
    <w:rsid w:val="009274CD"/>
    <w:rsid w:val="00927543"/>
    <w:rsid w:val="0093225D"/>
    <w:rsid w:val="00941543"/>
    <w:rsid w:val="0094430E"/>
    <w:rsid w:val="009449AF"/>
    <w:rsid w:val="009604D0"/>
    <w:rsid w:val="0097236F"/>
    <w:rsid w:val="00995D16"/>
    <w:rsid w:val="00996C5F"/>
    <w:rsid w:val="009A23E9"/>
    <w:rsid w:val="009B0DCD"/>
    <w:rsid w:val="009B67C0"/>
    <w:rsid w:val="009E23CE"/>
    <w:rsid w:val="009E3D79"/>
    <w:rsid w:val="009F4D2F"/>
    <w:rsid w:val="009F69E8"/>
    <w:rsid w:val="00A10504"/>
    <w:rsid w:val="00A26226"/>
    <w:rsid w:val="00A26DA6"/>
    <w:rsid w:val="00A276DE"/>
    <w:rsid w:val="00A27AF8"/>
    <w:rsid w:val="00A3133A"/>
    <w:rsid w:val="00A34103"/>
    <w:rsid w:val="00A4103B"/>
    <w:rsid w:val="00A46F3E"/>
    <w:rsid w:val="00A55316"/>
    <w:rsid w:val="00A57170"/>
    <w:rsid w:val="00A65BB9"/>
    <w:rsid w:val="00AA1423"/>
    <w:rsid w:val="00AA2520"/>
    <w:rsid w:val="00AA45C2"/>
    <w:rsid w:val="00AB3FB2"/>
    <w:rsid w:val="00AC662B"/>
    <w:rsid w:val="00AD032F"/>
    <w:rsid w:val="00AE1987"/>
    <w:rsid w:val="00AE748C"/>
    <w:rsid w:val="00B01D4B"/>
    <w:rsid w:val="00B07277"/>
    <w:rsid w:val="00B07989"/>
    <w:rsid w:val="00B23C4A"/>
    <w:rsid w:val="00B27353"/>
    <w:rsid w:val="00B27DAD"/>
    <w:rsid w:val="00B36568"/>
    <w:rsid w:val="00B47F7B"/>
    <w:rsid w:val="00B5553B"/>
    <w:rsid w:val="00B56444"/>
    <w:rsid w:val="00B65820"/>
    <w:rsid w:val="00B67485"/>
    <w:rsid w:val="00B700D7"/>
    <w:rsid w:val="00B7219A"/>
    <w:rsid w:val="00B728B0"/>
    <w:rsid w:val="00B738C4"/>
    <w:rsid w:val="00B87C54"/>
    <w:rsid w:val="00BA28F7"/>
    <w:rsid w:val="00BB4A53"/>
    <w:rsid w:val="00BD171E"/>
    <w:rsid w:val="00BD24FA"/>
    <w:rsid w:val="00BD43BA"/>
    <w:rsid w:val="00BD5C4E"/>
    <w:rsid w:val="00BD7EB1"/>
    <w:rsid w:val="00BE4DBD"/>
    <w:rsid w:val="00BE5242"/>
    <w:rsid w:val="00C04C9D"/>
    <w:rsid w:val="00C071E0"/>
    <w:rsid w:val="00C15828"/>
    <w:rsid w:val="00C17E75"/>
    <w:rsid w:val="00C50F9F"/>
    <w:rsid w:val="00C60B98"/>
    <w:rsid w:val="00C629D1"/>
    <w:rsid w:val="00C65119"/>
    <w:rsid w:val="00C71D90"/>
    <w:rsid w:val="00C73388"/>
    <w:rsid w:val="00C7405D"/>
    <w:rsid w:val="00C92658"/>
    <w:rsid w:val="00C9721C"/>
    <w:rsid w:val="00CA539B"/>
    <w:rsid w:val="00CB0C42"/>
    <w:rsid w:val="00CB12FC"/>
    <w:rsid w:val="00CB57D4"/>
    <w:rsid w:val="00CB7406"/>
    <w:rsid w:val="00CC401D"/>
    <w:rsid w:val="00CC4A81"/>
    <w:rsid w:val="00CC7595"/>
    <w:rsid w:val="00CC7A88"/>
    <w:rsid w:val="00CD00AB"/>
    <w:rsid w:val="00CD3DA3"/>
    <w:rsid w:val="00CD5D91"/>
    <w:rsid w:val="00CE3854"/>
    <w:rsid w:val="00CF0E7E"/>
    <w:rsid w:val="00D019A2"/>
    <w:rsid w:val="00D27077"/>
    <w:rsid w:val="00D31141"/>
    <w:rsid w:val="00D35210"/>
    <w:rsid w:val="00D44BDF"/>
    <w:rsid w:val="00D55A1F"/>
    <w:rsid w:val="00D622CB"/>
    <w:rsid w:val="00D63E8F"/>
    <w:rsid w:val="00D64B91"/>
    <w:rsid w:val="00D7614C"/>
    <w:rsid w:val="00D7785A"/>
    <w:rsid w:val="00D77B09"/>
    <w:rsid w:val="00D85E9E"/>
    <w:rsid w:val="00DA0E9A"/>
    <w:rsid w:val="00DB43CD"/>
    <w:rsid w:val="00DB7DE9"/>
    <w:rsid w:val="00DC35E9"/>
    <w:rsid w:val="00DD0845"/>
    <w:rsid w:val="00DE45DD"/>
    <w:rsid w:val="00DF0FF0"/>
    <w:rsid w:val="00E00012"/>
    <w:rsid w:val="00E04538"/>
    <w:rsid w:val="00E048D9"/>
    <w:rsid w:val="00E11AF4"/>
    <w:rsid w:val="00E13971"/>
    <w:rsid w:val="00E17651"/>
    <w:rsid w:val="00E2428B"/>
    <w:rsid w:val="00E24ADA"/>
    <w:rsid w:val="00E31513"/>
    <w:rsid w:val="00E4191C"/>
    <w:rsid w:val="00E4371B"/>
    <w:rsid w:val="00E43765"/>
    <w:rsid w:val="00E4492C"/>
    <w:rsid w:val="00E5069C"/>
    <w:rsid w:val="00E535D9"/>
    <w:rsid w:val="00E57A69"/>
    <w:rsid w:val="00E774D7"/>
    <w:rsid w:val="00E77594"/>
    <w:rsid w:val="00E81C57"/>
    <w:rsid w:val="00E8591C"/>
    <w:rsid w:val="00E86F24"/>
    <w:rsid w:val="00E93D9B"/>
    <w:rsid w:val="00E94BA7"/>
    <w:rsid w:val="00EC0167"/>
    <w:rsid w:val="00EC2BA5"/>
    <w:rsid w:val="00EC6BC2"/>
    <w:rsid w:val="00EC6EEC"/>
    <w:rsid w:val="00EC752D"/>
    <w:rsid w:val="00EE33E9"/>
    <w:rsid w:val="00EF0AD1"/>
    <w:rsid w:val="00EF12AB"/>
    <w:rsid w:val="00EF39B7"/>
    <w:rsid w:val="00F01151"/>
    <w:rsid w:val="00F16385"/>
    <w:rsid w:val="00F23CC4"/>
    <w:rsid w:val="00F44B3C"/>
    <w:rsid w:val="00F46E0A"/>
    <w:rsid w:val="00F55470"/>
    <w:rsid w:val="00F6232D"/>
    <w:rsid w:val="00F803EF"/>
    <w:rsid w:val="00F83565"/>
    <w:rsid w:val="00F87A36"/>
    <w:rsid w:val="00F92966"/>
    <w:rsid w:val="00FA37C4"/>
    <w:rsid w:val="00FB232D"/>
    <w:rsid w:val="00FB2EEA"/>
    <w:rsid w:val="00FB48B9"/>
    <w:rsid w:val="00FB58E0"/>
    <w:rsid w:val="00FC2C95"/>
    <w:rsid w:val="00FC5304"/>
    <w:rsid w:val="00FD145B"/>
    <w:rsid w:val="00FD4939"/>
    <w:rsid w:val="00FE07C4"/>
    <w:rsid w:val="00FE4DFE"/>
    <w:rsid w:val="00FE6C22"/>
    <w:rsid w:val="00FF0B74"/>
    <w:rsid w:val="00FF4759"/>
    <w:rsid w:val="00FF5FF7"/>
    <w:rsid w:val="00FF70C2"/>
    <w:rsid w:val="5FEA4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0346977E"/>
  <w15:chartTrackingRefBased/>
  <w15:docId w15:val="{FE71C40E-5D95-49AF-9E06-9D826484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371B"/>
    <w:pPr>
      <w:widowControl w:val="0"/>
      <w:jc w:val="both"/>
    </w:pPr>
    <w:rPr>
      <w:kern w:val="2"/>
      <w:sz w:val="21"/>
    </w:rPr>
  </w:style>
  <w:style w:type="paragraph" w:styleId="1">
    <w:name w:val="heading 1"/>
    <w:basedOn w:val="a"/>
    <w:next w:val="a"/>
    <w:link w:val="10"/>
    <w:uiPriority w:val="9"/>
    <w:qFormat/>
    <w:rsid w:val="00E048D9"/>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F0E7E"/>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semiHidden/>
    <w:unhideWhenUsed/>
    <w:qFormat/>
    <w:rsid w:val="00CF0E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character" w:customStyle="1" w:styleId="a4">
    <w:name w:val="页脚 字符"/>
    <w:link w:val="a3"/>
    <w:uiPriority w:val="99"/>
    <w:rPr>
      <w:kern w:val="2"/>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6">
    <w:name w:val="页眉 字符"/>
    <w:link w:val="a5"/>
    <w:uiPriority w:val="99"/>
    <w:rPr>
      <w:kern w:val="2"/>
      <w:sz w:val="18"/>
    </w:rPr>
  </w:style>
  <w:style w:type="paragraph" w:styleId="TOC1">
    <w:name w:val="toc 1"/>
    <w:basedOn w:val="a"/>
    <w:next w:val="a"/>
    <w:uiPriority w:val="39"/>
    <w:rsid w:val="004E58DB"/>
    <w:pPr>
      <w:tabs>
        <w:tab w:val="right" w:leader="dot" w:pos="9180"/>
        <w:tab w:val="right" w:leader="middleDot" w:pos="9240"/>
      </w:tabs>
      <w:spacing w:line="360" w:lineRule="auto"/>
    </w:pPr>
    <w:rPr>
      <w:b/>
      <w:sz w:val="24"/>
      <w:szCs w:val="24"/>
    </w:rPr>
  </w:style>
  <w:style w:type="character" w:styleId="a7">
    <w:name w:val="Hyperlink"/>
    <w:uiPriority w:val="99"/>
    <w:rPr>
      <w:color w:val="000000"/>
      <w:u w:val="singl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8">
    <w:name w:val="No Spacing"/>
    <w:link w:val="a9"/>
    <w:uiPriority w:val="1"/>
    <w:qFormat/>
    <w:rPr>
      <w:rFonts w:ascii="Calibri" w:hAnsi="Calibri"/>
      <w:sz w:val="22"/>
      <w:szCs w:val="22"/>
    </w:rPr>
  </w:style>
  <w:style w:type="character" w:customStyle="1" w:styleId="a9">
    <w:name w:val="无间隔 字符"/>
    <w:link w:val="a8"/>
    <w:uiPriority w:val="1"/>
    <w:rPr>
      <w:rFonts w:ascii="Calibri" w:hAnsi="Calibri"/>
      <w:sz w:val="22"/>
      <w:szCs w:val="22"/>
      <w:lang w:val="en-US" w:eastAsia="zh-CN" w:bidi="ar-SA"/>
    </w:rPr>
  </w:style>
  <w:style w:type="paragraph" w:customStyle="1" w:styleId="31">
    <w:name w:val="样式3"/>
    <w:basedOn w:val="a"/>
    <w:link w:val="32"/>
    <w:rsid w:val="003B3A06"/>
    <w:pPr>
      <w:framePr w:hSpace="181" w:wrap="around" w:vAnchor="text" w:hAnchor="page" w:xAlign="center" w:y="1"/>
      <w:adjustRightInd w:val="0"/>
      <w:snapToGrid w:val="0"/>
      <w:spacing w:beforeLines="100" w:line="360" w:lineRule="auto"/>
      <w:ind w:firstLineChars="200" w:firstLine="480"/>
      <w:suppressOverlap/>
    </w:pPr>
    <w:rPr>
      <w:rFonts w:ascii="华文中宋" w:eastAsia="华文中宋" w:hAnsi="华文中宋"/>
      <w:kern w:val="0"/>
      <w:sz w:val="32"/>
      <w:szCs w:val="32"/>
    </w:rPr>
  </w:style>
  <w:style w:type="character" w:customStyle="1" w:styleId="32">
    <w:name w:val="样式3 字符"/>
    <w:link w:val="31"/>
    <w:rsid w:val="003B3A06"/>
    <w:rPr>
      <w:rFonts w:ascii="华文中宋" w:eastAsia="华文中宋" w:hAnsi="华文中宋"/>
      <w:sz w:val="32"/>
      <w:szCs w:val="32"/>
    </w:rPr>
  </w:style>
  <w:style w:type="paragraph" w:styleId="aa">
    <w:name w:val="Date"/>
    <w:basedOn w:val="a"/>
    <w:next w:val="a"/>
    <w:link w:val="ab"/>
    <w:uiPriority w:val="99"/>
    <w:semiHidden/>
    <w:unhideWhenUsed/>
    <w:rsid w:val="001D59A3"/>
    <w:pPr>
      <w:ind w:leftChars="2500" w:left="100"/>
    </w:pPr>
  </w:style>
  <w:style w:type="character" w:customStyle="1" w:styleId="ab">
    <w:name w:val="日期 字符"/>
    <w:link w:val="aa"/>
    <w:uiPriority w:val="99"/>
    <w:semiHidden/>
    <w:rsid w:val="001D59A3"/>
    <w:rPr>
      <w:kern w:val="2"/>
      <w:sz w:val="21"/>
    </w:rPr>
  </w:style>
  <w:style w:type="table" w:styleId="ac">
    <w:name w:val="Table Grid"/>
    <w:basedOn w:val="a1"/>
    <w:uiPriority w:val="39"/>
    <w:rsid w:val="00DE45DD"/>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uiPriority w:val="99"/>
    <w:semiHidden/>
    <w:unhideWhenUsed/>
    <w:rsid w:val="00FD4939"/>
    <w:rPr>
      <w:color w:val="800080"/>
      <w:u w:val="single"/>
    </w:rPr>
  </w:style>
  <w:style w:type="paragraph" w:customStyle="1" w:styleId="msonormal0">
    <w:name w:val="msonormal"/>
    <w:basedOn w:val="a"/>
    <w:rsid w:val="00FD4939"/>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
    <w:rsid w:val="00FD4939"/>
    <w:pPr>
      <w:widowControl/>
      <w:spacing w:before="100" w:beforeAutospacing="1" w:after="100" w:afterAutospacing="1"/>
      <w:jc w:val="left"/>
    </w:pPr>
    <w:rPr>
      <w:rFonts w:ascii="宋体" w:hAnsi="宋体" w:cs="宋体"/>
      <w:kern w:val="0"/>
      <w:sz w:val="18"/>
      <w:szCs w:val="18"/>
    </w:rPr>
  </w:style>
  <w:style w:type="paragraph" w:customStyle="1" w:styleId="xl66">
    <w:name w:val="xl66"/>
    <w:basedOn w:val="a"/>
    <w:rsid w:val="00FD4939"/>
    <w:pPr>
      <w:widowControl/>
      <w:pBdr>
        <w:top w:val="single" w:sz="12" w:space="0" w:color="auto"/>
        <w:bottom w:val="single" w:sz="12" w:space="0" w:color="auto"/>
      </w:pBdr>
      <w:spacing w:before="100" w:beforeAutospacing="1" w:after="100" w:afterAutospacing="1"/>
      <w:jc w:val="center"/>
    </w:pPr>
    <w:rPr>
      <w:rFonts w:ascii="宋体" w:hAnsi="宋体" w:cs="宋体"/>
      <w:b/>
      <w:bCs/>
      <w:kern w:val="0"/>
      <w:sz w:val="24"/>
      <w:szCs w:val="24"/>
    </w:rPr>
  </w:style>
  <w:style w:type="paragraph" w:customStyle="1" w:styleId="xl67">
    <w:name w:val="xl67"/>
    <w:basedOn w:val="a"/>
    <w:rsid w:val="00FD4939"/>
    <w:pPr>
      <w:widowControl/>
      <w:pBdr>
        <w:top w:val="single" w:sz="12" w:space="0" w:color="auto"/>
        <w:bottom w:val="single" w:sz="12" w:space="0" w:color="auto"/>
      </w:pBdr>
      <w:spacing w:before="100" w:beforeAutospacing="1" w:after="100" w:afterAutospacing="1"/>
      <w:jc w:val="center"/>
    </w:pPr>
    <w:rPr>
      <w:rFonts w:ascii="宋体" w:hAnsi="宋体" w:cs="宋体"/>
      <w:b/>
      <w:bCs/>
      <w:kern w:val="0"/>
      <w:sz w:val="24"/>
      <w:szCs w:val="24"/>
    </w:rPr>
  </w:style>
  <w:style w:type="paragraph" w:customStyle="1" w:styleId="xl68">
    <w:name w:val="xl68"/>
    <w:basedOn w:val="a"/>
    <w:rsid w:val="00FD4939"/>
    <w:pPr>
      <w:widowControl/>
      <w:pBdr>
        <w:top w:val="single" w:sz="12" w:space="0" w:color="auto"/>
        <w:bottom w:val="single" w:sz="12" w:space="0" w:color="auto"/>
      </w:pBdr>
      <w:spacing w:before="100" w:beforeAutospacing="1" w:after="100" w:afterAutospacing="1"/>
      <w:jc w:val="center"/>
    </w:pPr>
    <w:rPr>
      <w:rFonts w:ascii="宋体" w:hAnsi="宋体" w:cs="宋体"/>
      <w:b/>
      <w:bCs/>
      <w:kern w:val="0"/>
      <w:sz w:val="24"/>
      <w:szCs w:val="24"/>
    </w:rPr>
  </w:style>
  <w:style w:type="paragraph" w:customStyle="1" w:styleId="xl69">
    <w:name w:val="xl69"/>
    <w:basedOn w:val="a"/>
    <w:rsid w:val="00FD4939"/>
    <w:pPr>
      <w:widowControl/>
      <w:spacing w:before="100" w:beforeAutospacing="1" w:after="100" w:afterAutospacing="1"/>
      <w:jc w:val="center"/>
    </w:pPr>
    <w:rPr>
      <w:rFonts w:ascii="宋体" w:hAnsi="宋体" w:cs="宋体"/>
      <w:kern w:val="0"/>
      <w:sz w:val="24"/>
      <w:szCs w:val="24"/>
    </w:rPr>
  </w:style>
  <w:style w:type="paragraph" w:customStyle="1" w:styleId="xl70">
    <w:name w:val="xl70"/>
    <w:basedOn w:val="a"/>
    <w:rsid w:val="00FD4939"/>
    <w:pPr>
      <w:widowControl/>
      <w:pBdr>
        <w:top w:val="single" w:sz="12" w:space="0" w:color="auto"/>
      </w:pBdr>
      <w:spacing w:before="100" w:beforeAutospacing="1" w:after="100" w:afterAutospacing="1"/>
      <w:jc w:val="left"/>
    </w:pPr>
    <w:rPr>
      <w:rFonts w:ascii="宋体" w:hAnsi="宋体" w:cs="宋体"/>
      <w:kern w:val="0"/>
      <w:sz w:val="24"/>
      <w:szCs w:val="24"/>
    </w:rPr>
  </w:style>
  <w:style w:type="paragraph" w:customStyle="1" w:styleId="xl71">
    <w:name w:val="xl71"/>
    <w:basedOn w:val="a"/>
    <w:rsid w:val="00FD4939"/>
    <w:pPr>
      <w:widowControl/>
      <w:pBdr>
        <w:top w:val="single" w:sz="12" w:space="0" w:color="auto"/>
      </w:pBdr>
      <w:spacing w:before="100" w:beforeAutospacing="1" w:after="100" w:afterAutospacing="1"/>
      <w:jc w:val="center"/>
    </w:pPr>
    <w:rPr>
      <w:rFonts w:ascii="宋体" w:hAnsi="宋体" w:cs="宋体"/>
      <w:kern w:val="0"/>
      <w:sz w:val="24"/>
      <w:szCs w:val="24"/>
    </w:rPr>
  </w:style>
  <w:style w:type="paragraph" w:customStyle="1" w:styleId="xl72">
    <w:name w:val="xl72"/>
    <w:basedOn w:val="a"/>
    <w:rsid w:val="00FD4939"/>
    <w:pPr>
      <w:widowControl/>
      <w:spacing w:before="100" w:beforeAutospacing="1" w:after="100" w:afterAutospacing="1"/>
      <w:jc w:val="right"/>
    </w:pPr>
    <w:rPr>
      <w:rFonts w:ascii="宋体" w:hAnsi="宋体" w:cs="宋体"/>
      <w:kern w:val="0"/>
      <w:sz w:val="24"/>
      <w:szCs w:val="24"/>
    </w:rPr>
  </w:style>
  <w:style w:type="paragraph" w:customStyle="1" w:styleId="xl73">
    <w:name w:val="xl73"/>
    <w:basedOn w:val="a"/>
    <w:rsid w:val="00FD4939"/>
    <w:pPr>
      <w:widowControl/>
      <w:spacing w:before="100" w:beforeAutospacing="1" w:after="100" w:afterAutospacing="1"/>
      <w:jc w:val="right"/>
    </w:pPr>
    <w:rPr>
      <w:rFonts w:ascii="宋体" w:hAnsi="宋体" w:cs="宋体"/>
      <w:kern w:val="0"/>
      <w:sz w:val="24"/>
      <w:szCs w:val="24"/>
    </w:rPr>
  </w:style>
  <w:style w:type="paragraph" w:customStyle="1" w:styleId="xl74">
    <w:name w:val="xl74"/>
    <w:basedOn w:val="a"/>
    <w:rsid w:val="00FD4939"/>
    <w:pPr>
      <w:widowControl/>
      <w:spacing w:before="100" w:beforeAutospacing="1" w:after="100" w:afterAutospacing="1"/>
      <w:jc w:val="right"/>
    </w:pPr>
    <w:rPr>
      <w:rFonts w:ascii="宋体" w:hAnsi="宋体" w:cs="宋体"/>
      <w:kern w:val="0"/>
      <w:sz w:val="24"/>
      <w:szCs w:val="24"/>
    </w:rPr>
  </w:style>
  <w:style w:type="paragraph" w:customStyle="1" w:styleId="xl75">
    <w:name w:val="xl75"/>
    <w:basedOn w:val="a"/>
    <w:rsid w:val="00FD4939"/>
    <w:pPr>
      <w:widowControl/>
      <w:pBdr>
        <w:top w:val="single" w:sz="12" w:space="0" w:color="auto"/>
      </w:pBdr>
      <w:spacing w:before="100" w:beforeAutospacing="1" w:after="100" w:afterAutospacing="1"/>
      <w:jc w:val="right"/>
    </w:pPr>
    <w:rPr>
      <w:rFonts w:ascii="宋体" w:hAnsi="宋体" w:cs="宋体"/>
      <w:color w:val="000000"/>
      <w:kern w:val="0"/>
      <w:sz w:val="24"/>
      <w:szCs w:val="24"/>
    </w:rPr>
  </w:style>
  <w:style w:type="paragraph" w:customStyle="1" w:styleId="xl76">
    <w:name w:val="xl76"/>
    <w:basedOn w:val="a"/>
    <w:rsid w:val="00FD4939"/>
    <w:pPr>
      <w:widowControl/>
      <w:pBdr>
        <w:top w:val="single" w:sz="12" w:space="0" w:color="auto"/>
      </w:pBdr>
      <w:spacing w:before="100" w:beforeAutospacing="1" w:after="100" w:afterAutospacing="1"/>
      <w:jc w:val="right"/>
    </w:pPr>
    <w:rPr>
      <w:rFonts w:ascii="宋体" w:hAnsi="宋体" w:cs="宋体"/>
      <w:kern w:val="0"/>
      <w:sz w:val="24"/>
      <w:szCs w:val="24"/>
    </w:rPr>
  </w:style>
  <w:style w:type="paragraph" w:customStyle="1" w:styleId="xl77">
    <w:name w:val="xl77"/>
    <w:basedOn w:val="a"/>
    <w:rsid w:val="00FD4939"/>
    <w:pPr>
      <w:widowControl/>
      <w:pBdr>
        <w:top w:val="single" w:sz="12" w:space="0" w:color="auto"/>
      </w:pBdr>
      <w:spacing w:before="100" w:beforeAutospacing="1" w:after="100" w:afterAutospacing="1"/>
      <w:jc w:val="right"/>
    </w:pPr>
    <w:rPr>
      <w:rFonts w:ascii="宋体" w:hAnsi="宋体" w:cs="宋体"/>
      <w:kern w:val="0"/>
      <w:sz w:val="24"/>
      <w:szCs w:val="24"/>
    </w:rPr>
  </w:style>
  <w:style w:type="paragraph" w:customStyle="1" w:styleId="xl78">
    <w:name w:val="xl78"/>
    <w:basedOn w:val="a"/>
    <w:rsid w:val="00FD4939"/>
    <w:pPr>
      <w:widowControl/>
      <w:pBdr>
        <w:top w:val="single" w:sz="12" w:space="0" w:color="auto"/>
      </w:pBdr>
      <w:spacing w:before="100" w:beforeAutospacing="1" w:after="100" w:afterAutospacing="1"/>
      <w:jc w:val="right"/>
    </w:pPr>
    <w:rPr>
      <w:rFonts w:ascii="宋体" w:hAnsi="宋体" w:cs="宋体"/>
      <w:kern w:val="0"/>
      <w:sz w:val="24"/>
      <w:szCs w:val="24"/>
    </w:rPr>
  </w:style>
  <w:style w:type="paragraph" w:customStyle="1" w:styleId="xl79">
    <w:name w:val="xl79"/>
    <w:basedOn w:val="a"/>
    <w:rsid w:val="00FD4939"/>
    <w:pPr>
      <w:widowControl/>
      <w:spacing w:before="100" w:beforeAutospacing="1" w:after="100" w:afterAutospacing="1"/>
      <w:jc w:val="right"/>
    </w:pPr>
    <w:rPr>
      <w:rFonts w:ascii="宋体" w:hAnsi="宋体" w:cs="宋体"/>
      <w:color w:val="000000"/>
      <w:kern w:val="0"/>
      <w:sz w:val="24"/>
      <w:szCs w:val="24"/>
    </w:rPr>
  </w:style>
  <w:style w:type="paragraph" w:customStyle="1" w:styleId="xl80">
    <w:name w:val="xl80"/>
    <w:basedOn w:val="a"/>
    <w:rsid w:val="00FD4939"/>
    <w:pPr>
      <w:widowControl/>
      <w:spacing w:before="100" w:beforeAutospacing="1" w:after="100" w:afterAutospacing="1"/>
      <w:jc w:val="right"/>
    </w:pPr>
    <w:rPr>
      <w:rFonts w:ascii="宋体" w:hAnsi="宋体" w:cs="宋体"/>
      <w:kern w:val="0"/>
      <w:sz w:val="24"/>
      <w:szCs w:val="24"/>
    </w:rPr>
  </w:style>
  <w:style w:type="paragraph" w:customStyle="1" w:styleId="xl81">
    <w:name w:val="xl81"/>
    <w:basedOn w:val="a"/>
    <w:rsid w:val="00FD4939"/>
    <w:pPr>
      <w:widowControl/>
      <w:pBdr>
        <w:bottom w:val="single" w:sz="12" w:space="0" w:color="auto"/>
      </w:pBdr>
      <w:spacing w:before="100" w:beforeAutospacing="1" w:after="100" w:afterAutospacing="1"/>
      <w:jc w:val="left"/>
    </w:pPr>
    <w:rPr>
      <w:rFonts w:ascii="宋体" w:hAnsi="宋体" w:cs="宋体"/>
      <w:kern w:val="0"/>
      <w:sz w:val="24"/>
      <w:szCs w:val="24"/>
    </w:rPr>
  </w:style>
  <w:style w:type="paragraph" w:customStyle="1" w:styleId="xl82">
    <w:name w:val="xl82"/>
    <w:basedOn w:val="a"/>
    <w:rsid w:val="00FD4939"/>
    <w:pPr>
      <w:widowControl/>
      <w:pBdr>
        <w:bottom w:val="single" w:sz="12" w:space="0" w:color="auto"/>
      </w:pBdr>
      <w:spacing w:before="100" w:beforeAutospacing="1" w:after="100" w:afterAutospacing="1"/>
      <w:jc w:val="center"/>
    </w:pPr>
    <w:rPr>
      <w:rFonts w:ascii="宋体" w:hAnsi="宋体" w:cs="宋体"/>
      <w:kern w:val="0"/>
      <w:sz w:val="24"/>
      <w:szCs w:val="24"/>
    </w:rPr>
  </w:style>
  <w:style w:type="paragraph" w:customStyle="1" w:styleId="xl83">
    <w:name w:val="xl83"/>
    <w:basedOn w:val="a"/>
    <w:rsid w:val="00FD4939"/>
    <w:pPr>
      <w:widowControl/>
      <w:pBdr>
        <w:bottom w:val="single" w:sz="12" w:space="0" w:color="auto"/>
      </w:pBdr>
      <w:spacing w:before="100" w:beforeAutospacing="1" w:after="100" w:afterAutospacing="1"/>
      <w:jc w:val="right"/>
    </w:pPr>
    <w:rPr>
      <w:rFonts w:ascii="宋体" w:hAnsi="宋体" w:cs="宋体"/>
      <w:kern w:val="0"/>
      <w:sz w:val="24"/>
      <w:szCs w:val="24"/>
    </w:rPr>
  </w:style>
  <w:style w:type="paragraph" w:customStyle="1" w:styleId="xl84">
    <w:name w:val="xl84"/>
    <w:basedOn w:val="a"/>
    <w:rsid w:val="00FD4939"/>
    <w:pPr>
      <w:widowControl/>
      <w:pBdr>
        <w:bottom w:val="single" w:sz="12" w:space="0" w:color="auto"/>
      </w:pBdr>
      <w:spacing w:before="100" w:beforeAutospacing="1" w:after="100" w:afterAutospacing="1"/>
      <w:jc w:val="right"/>
    </w:pPr>
    <w:rPr>
      <w:rFonts w:ascii="宋体" w:hAnsi="宋体" w:cs="宋体"/>
      <w:kern w:val="0"/>
      <w:sz w:val="24"/>
      <w:szCs w:val="24"/>
    </w:rPr>
  </w:style>
  <w:style w:type="paragraph" w:customStyle="1" w:styleId="xl85">
    <w:name w:val="xl85"/>
    <w:basedOn w:val="a"/>
    <w:rsid w:val="00FD4939"/>
    <w:pPr>
      <w:widowControl/>
      <w:pBdr>
        <w:bottom w:val="single" w:sz="12" w:space="0" w:color="auto"/>
      </w:pBdr>
      <w:spacing w:before="100" w:beforeAutospacing="1" w:after="100" w:afterAutospacing="1"/>
      <w:jc w:val="right"/>
    </w:pPr>
    <w:rPr>
      <w:rFonts w:ascii="宋体" w:hAnsi="宋体" w:cs="宋体"/>
      <w:kern w:val="0"/>
      <w:sz w:val="24"/>
      <w:szCs w:val="24"/>
    </w:rPr>
  </w:style>
  <w:style w:type="character" w:customStyle="1" w:styleId="10">
    <w:name w:val="标题 1 字符"/>
    <w:link w:val="1"/>
    <w:uiPriority w:val="9"/>
    <w:rsid w:val="00E048D9"/>
    <w:rPr>
      <w:b/>
      <w:bCs/>
      <w:kern w:val="44"/>
      <w:sz w:val="44"/>
      <w:szCs w:val="44"/>
    </w:rPr>
  </w:style>
  <w:style w:type="paragraph" w:styleId="TOC">
    <w:name w:val="TOC Heading"/>
    <w:basedOn w:val="1"/>
    <w:next w:val="a"/>
    <w:uiPriority w:val="39"/>
    <w:unhideWhenUsed/>
    <w:qFormat/>
    <w:rsid w:val="00E048D9"/>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TOC2">
    <w:name w:val="toc 2"/>
    <w:basedOn w:val="a"/>
    <w:next w:val="a"/>
    <w:autoRedefine/>
    <w:uiPriority w:val="39"/>
    <w:unhideWhenUsed/>
    <w:rsid w:val="00E048D9"/>
    <w:pPr>
      <w:widowControl/>
      <w:spacing w:after="100" w:line="259" w:lineRule="auto"/>
      <w:ind w:left="220"/>
      <w:jc w:val="left"/>
    </w:pPr>
    <w:rPr>
      <w:rFonts w:ascii="等线" w:eastAsia="等线" w:hAnsi="等线"/>
      <w:kern w:val="0"/>
      <w:sz w:val="22"/>
      <w:szCs w:val="22"/>
    </w:rPr>
  </w:style>
  <w:style w:type="paragraph" w:styleId="TOC3">
    <w:name w:val="toc 3"/>
    <w:basedOn w:val="a"/>
    <w:next w:val="a"/>
    <w:autoRedefine/>
    <w:uiPriority w:val="39"/>
    <w:unhideWhenUsed/>
    <w:rsid w:val="00E048D9"/>
    <w:pPr>
      <w:widowControl/>
      <w:spacing w:after="100" w:line="259" w:lineRule="auto"/>
      <w:ind w:left="440"/>
      <w:jc w:val="left"/>
    </w:pPr>
    <w:rPr>
      <w:rFonts w:ascii="等线" w:eastAsia="等线" w:hAnsi="等线"/>
      <w:kern w:val="0"/>
      <w:sz w:val="22"/>
      <w:szCs w:val="22"/>
    </w:rPr>
  </w:style>
  <w:style w:type="character" w:customStyle="1" w:styleId="20">
    <w:name w:val="标题 2 字符"/>
    <w:link w:val="2"/>
    <w:uiPriority w:val="9"/>
    <w:semiHidden/>
    <w:rsid w:val="00CF0E7E"/>
    <w:rPr>
      <w:rFonts w:ascii="等线 Light" w:eastAsia="等线 Light" w:hAnsi="等线 Light" w:cs="Times New Roman"/>
      <w:b/>
      <w:bCs/>
      <w:kern w:val="2"/>
      <w:sz w:val="32"/>
      <w:szCs w:val="32"/>
    </w:rPr>
  </w:style>
  <w:style w:type="character" w:customStyle="1" w:styleId="30">
    <w:name w:val="标题 3 字符"/>
    <w:link w:val="3"/>
    <w:uiPriority w:val="9"/>
    <w:semiHidden/>
    <w:rsid w:val="00CF0E7E"/>
    <w:rPr>
      <w:b/>
      <w:bCs/>
      <w:kern w:val="2"/>
      <w:sz w:val="32"/>
      <w:szCs w:val="32"/>
    </w:rPr>
  </w:style>
  <w:style w:type="paragraph" w:customStyle="1" w:styleId="11">
    <w:name w:val="样式1"/>
    <w:basedOn w:val="1"/>
    <w:link w:val="12"/>
    <w:qFormat/>
    <w:rsid w:val="00340D1E"/>
    <w:pPr>
      <w:jc w:val="center"/>
    </w:pPr>
    <w:rPr>
      <w:rFonts w:eastAsia="黑体"/>
      <w:sz w:val="36"/>
      <w:szCs w:val="36"/>
    </w:rPr>
  </w:style>
  <w:style w:type="paragraph" w:customStyle="1" w:styleId="21">
    <w:name w:val="样式2"/>
    <w:basedOn w:val="2"/>
    <w:link w:val="22"/>
    <w:qFormat/>
    <w:rsid w:val="001B02B5"/>
    <w:rPr>
      <w:rFonts w:eastAsia="黑体"/>
      <w:sz w:val="28"/>
      <w:szCs w:val="28"/>
    </w:rPr>
  </w:style>
  <w:style w:type="character" w:customStyle="1" w:styleId="12">
    <w:name w:val="样式1 字符"/>
    <w:link w:val="11"/>
    <w:rsid w:val="00340D1E"/>
    <w:rPr>
      <w:rFonts w:eastAsia="黑体"/>
      <w:b/>
      <w:bCs/>
      <w:kern w:val="44"/>
      <w:sz w:val="36"/>
      <w:szCs w:val="36"/>
    </w:rPr>
  </w:style>
  <w:style w:type="paragraph" w:customStyle="1" w:styleId="4">
    <w:name w:val="样式4"/>
    <w:basedOn w:val="3"/>
    <w:link w:val="40"/>
    <w:qFormat/>
    <w:rsid w:val="001B02B5"/>
    <w:rPr>
      <w:rFonts w:ascii="黑体" w:eastAsia="黑体" w:hAnsi="黑体"/>
      <w:b w:val="0"/>
      <w:sz w:val="24"/>
    </w:rPr>
  </w:style>
  <w:style w:type="character" w:customStyle="1" w:styleId="22">
    <w:name w:val="样式2 字符"/>
    <w:basedOn w:val="20"/>
    <w:link w:val="21"/>
    <w:rsid w:val="001B02B5"/>
    <w:rPr>
      <w:rFonts w:ascii="等线 Light" w:eastAsia="黑体" w:hAnsi="等线 Light" w:cs="Times New Roman"/>
      <w:b/>
      <w:bCs/>
      <w:kern w:val="2"/>
      <w:sz w:val="28"/>
      <w:szCs w:val="28"/>
    </w:rPr>
  </w:style>
  <w:style w:type="character" w:customStyle="1" w:styleId="40">
    <w:name w:val="样式4 字符"/>
    <w:basedOn w:val="30"/>
    <w:link w:val="4"/>
    <w:rsid w:val="001B02B5"/>
    <w:rPr>
      <w:rFonts w:ascii="黑体" w:eastAsia="黑体" w:hAnsi="黑体"/>
      <w:b w:val="0"/>
      <w:bCs/>
      <w:kern w:val="2"/>
      <w:sz w:val="24"/>
      <w:szCs w:val="32"/>
    </w:rPr>
  </w:style>
  <w:style w:type="paragraph" w:styleId="ae">
    <w:name w:val="List Paragraph"/>
    <w:basedOn w:val="a"/>
    <w:uiPriority w:val="99"/>
    <w:qFormat/>
    <w:rsid w:val="003B4F84"/>
    <w:pPr>
      <w:ind w:firstLineChars="200" w:firstLine="420"/>
    </w:pPr>
  </w:style>
  <w:style w:type="character" w:styleId="af">
    <w:name w:val="Placeholder Text"/>
    <w:basedOn w:val="a0"/>
    <w:uiPriority w:val="99"/>
    <w:unhideWhenUsed/>
    <w:rsid w:val="007653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90301">
      <w:bodyDiv w:val="1"/>
      <w:marLeft w:val="0"/>
      <w:marRight w:val="0"/>
      <w:marTop w:val="0"/>
      <w:marBottom w:val="0"/>
      <w:divBdr>
        <w:top w:val="none" w:sz="0" w:space="0" w:color="auto"/>
        <w:left w:val="none" w:sz="0" w:space="0" w:color="auto"/>
        <w:bottom w:val="none" w:sz="0" w:space="0" w:color="auto"/>
        <w:right w:val="none" w:sz="0" w:space="0" w:color="auto"/>
      </w:divBdr>
    </w:div>
    <w:div w:id="372776297">
      <w:bodyDiv w:val="1"/>
      <w:marLeft w:val="0"/>
      <w:marRight w:val="0"/>
      <w:marTop w:val="0"/>
      <w:marBottom w:val="0"/>
      <w:divBdr>
        <w:top w:val="none" w:sz="0" w:space="0" w:color="auto"/>
        <w:left w:val="none" w:sz="0" w:space="0" w:color="auto"/>
        <w:bottom w:val="none" w:sz="0" w:space="0" w:color="auto"/>
        <w:right w:val="none" w:sz="0" w:space="0" w:color="auto"/>
      </w:divBdr>
    </w:div>
    <w:div w:id="441340972">
      <w:bodyDiv w:val="1"/>
      <w:marLeft w:val="0"/>
      <w:marRight w:val="0"/>
      <w:marTop w:val="0"/>
      <w:marBottom w:val="0"/>
      <w:divBdr>
        <w:top w:val="none" w:sz="0" w:space="0" w:color="auto"/>
        <w:left w:val="none" w:sz="0" w:space="0" w:color="auto"/>
        <w:bottom w:val="none" w:sz="0" w:space="0" w:color="auto"/>
        <w:right w:val="none" w:sz="0" w:space="0" w:color="auto"/>
      </w:divBdr>
    </w:div>
    <w:div w:id="442454882">
      <w:bodyDiv w:val="1"/>
      <w:marLeft w:val="0"/>
      <w:marRight w:val="0"/>
      <w:marTop w:val="0"/>
      <w:marBottom w:val="0"/>
      <w:divBdr>
        <w:top w:val="none" w:sz="0" w:space="0" w:color="auto"/>
        <w:left w:val="none" w:sz="0" w:space="0" w:color="auto"/>
        <w:bottom w:val="none" w:sz="0" w:space="0" w:color="auto"/>
        <w:right w:val="none" w:sz="0" w:space="0" w:color="auto"/>
      </w:divBdr>
    </w:div>
    <w:div w:id="600339160">
      <w:bodyDiv w:val="1"/>
      <w:marLeft w:val="0"/>
      <w:marRight w:val="0"/>
      <w:marTop w:val="0"/>
      <w:marBottom w:val="0"/>
      <w:divBdr>
        <w:top w:val="none" w:sz="0" w:space="0" w:color="auto"/>
        <w:left w:val="none" w:sz="0" w:space="0" w:color="auto"/>
        <w:bottom w:val="none" w:sz="0" w:space="0" w:color="auto"/>
        <w:right w:val="none" w:sz="0" w:space="0" w:color="auto"/>
      </w:divBdr>
    </w:div>
    <w:div w:id="841941418">
      <w:bodyDiv w:val="1"/>
      <w:marLeft w:val="0"/>
      <w:marRight w:val="0"/>
      <w:marTop w:val="0"/>
      <w:marBottom w:val="0"/>
      <w:divBdr>
        <w:top w:val="none" w:sz="0" w:space="0" w:color="auto"/>
        <w:left w:val="none" w:sz="0" w:space="0" w:color="auto"/>
        <w:bottom w:val="none" w:sz="0" w:space="0" w:color="auto"/>
        <w:right w:val="none" w:sz="0" w:space="0" w:color="auto"/>
      </w:divBdr>
    </w:div>
    <w:div w:id="878277486">
      <w:bodyDiv w:val="1"/>
      <w:marLeft w:val="0"/>
      <w:marRight w:val="0"/>
      <w:marTop w:val="0"/>
      <w:marBottom w:val="0"/>
      <w:divBdr>
        <w:top w:val="none" w:sz="0" w:space="0" w:color="auto"/>
        <w:left w:val="none" w:sz="0" w:space="0" w:color="auto"/>
        <w:bottom w:val="none" w:sz="0" w:space="0" w:color="auto"/>
        <w:right w:val="none" w:sz="0" w:space="0" w:color="auto"/>
      </w:divBdr>
    </w:div>
    <w:div w:id="895354998">
      <w:bodyDiv w:val="1"/>
      <w:marLeft w:val="0"/>
      <w:marRight w:val="0"/>
      <w:marTop w:val="0"/>
      <w:marBottom w:val="0"/>
      <w:divBdr>
        <w:top w:val="none" w:sz="0" w:space="0" w:color="auto"/>
        <w:left w:val="none" w:sz="0" w:space="0" w:color="auto"/>
        <w:bottom w:val="none" w:sz="0" w:space="0" w:color="auto"/>
        <w:right w:val="none" w:sz="0" w:space="0" w:color="auto"/>
      </w:divBdr>
    </w:div>
    <w:div w:id="962033437">
      <w:bodyDiv w:val="1"/>
      <w:marLeft w:val="0"/>
      <w:marRight w:val="0"/>
      <w:marTop w:val="0"/>
      <w:marBottom w:val="0"/>
      <w:divBdr>
        <w:top w:val="none" w:sz="0" w:space="0" w:color="auto"/>
        <w:left w:val="none" w:sz="0" w:space="0" w:color="auto"/>
        <w:bottom w:val="none" w:sz="0" w:space="0" w:color="auto"/>
        <w:right w:val="none" w:sz="0" w:space="0" w:color="auto"/>
      </w:divBdr>
    </w:div>
    <w:div w:id="987631609">
      <w:bodyDiv w:val="1"/>
      <w:marLeft w:val="0"/>
      <w:marRight w:val="0"/>
      <w:marTop w:val="0"/>
      <w:marBottom w:val="0"/>
      <w:divBdr>
        <w:top w:val="none" w:sz="0" w:space="0" w:color="auto"/>
        <w:left w:val="none" w:sz="0" w:space="0" w:color="auto"/>
        <w:bottom w:val="none" w:sz="0" w:space="0" w:color="auto"/>
        <w:right w:val="none" w:sz="0" w:space="0" w:color="auto"/>
      </w:divBdr>
    </w:div>
    <w:div w:id="998459261">
      <w:bodyDiv w:val="1"/>
      <w:marLeft w:val="0"/>
      <w:marRight w:val="0"/>
      <w:marTop w:val="0"/>
      <w:marBottom w:val="0"/>
      <w:divBdr>
        <w:top w:val="none" w:sz="0" w:space="0" w:color="auto"/>
        <w:left w:val="none" w:sz="0" w:space="0" w:color="auto"/>
        <w:bottom w:val="none" w:sz="0" w:space="0" w:color="auto"/>
        <w:right w:val="none" w:sz="0" w:space="0" w:color="auto"/>
      </w:divBdr>
    </w:div>
    <w:div w:id="1090810801">
      <w:bodyDiv w:val="1"/>
      <w:marLeft w:val="0"/>
      <w:marRight w:val="0"/>
      <w:marTop w:val="0"/>
      <w:marBottom w:val="0"/>
      <w:divBdr>
        <w:top w:val="none" w:sz="0" w:space="0" w:color="auto"/>
        <w:left w:val="none" w:sz="0" w:space="0" w:color="auto"/>
        <w:bottom w:val="none" w:sz="0" w:space="0" w:color="auto"/>
        <w:right w:val="none" w:sz="0" w:space="0" w:color="auto"/>
      </w:divBdr>
    </w:div>
    <w:div w:id="1128938881">
      <w:bodyDiv w:val="1"/>
      <w:marLeft w:val="0"/>
      <w:marRight w:val="0"/>
      <w:marTop w:val="0"/>
      <w:marBottom w:val="0"/>
      <w:divBdr>
        <w:top w:val="none" w:sz="0" w:space="0" w:color="auto"/>
        <w:left w:val="none" w:sz="0" w:space="0" w:color="auto"/>
        <w:bottom w:val="none" w:sz="0" w:space="0" w:color="auto"/>
        <w:right w:val="none" w:sz="0" w:space="0" w:color="auto"/>
      </w:divBdr>
      <w:divsChild>
        <w:div w:id="218788017">
          <w:marLeft w:val="0"/>
          <w:marRight w:val="0"/>
          <w:marTop w:val="0"/>
          <w:marBottom w:val="0"/>
          <w:divBdr>
            <w:top w:val="none" w:sz="0" w:space="0" w:color="auto"/>
            <w:left w:val="none" w:sz="0" w:space="0" w:color="auto"/>
            <w:bottom w:val="none" w:sz="0" w:space="0" w:color="auto"/>
            <w:right w:val="none" w:sz="0" w:space="0" w:color="auto"/>
          </w:divBdr>
        </w:div>
        <w:div w:id="1789278990">
          <w:marLeft w:val="0"/>
          <w:marRight w:val="0"/>
          <w:marTop w:val="0"/>
          <w:marBottom w:val="0"/>
          <w:divBdr>
            <w:top w:val="none" w:sz="0" w:space="0" w:color="auto"/>
            <w:left w:val="none" w:sz="0" w:space="0" w:color="auto"/>
            <w:bottom w:val="none" w:sz="0" w:space="0" w:color="auto"/>
            <w:right w:val="none" w:sz="0" w:space="0" w:color="auto"/>
          </w:divBdr>
        </w:div>
        <w:div w:id="455372992">
          <w:marLeft w:val="0"/>
          <w:marRight w:val="0"/>
          <w:marTop w:val="0"/>
          <w:marBottom w:val="0"/>
          <w:divBdr>
            <w:top w:val="none" w:sz="0" w:space="0" w:color="auto"/>
            <w:left w:val="none" w:sz="0" w:space="0" w:color="auto"/>
            <w:bottom w:val="none" w:sz="0" w:space="0" w:color="auto"/>
            <w:right w:val="none" w:sz="0" w:space="0" w:color="auto"/>
          </w:divBdr>
        </w:div>
        <w:div w:id="820854806">
          <w:marLeft w:val="0"/>
          <w:marRight w:val="0"/>
          <w:marTop w:val="0"/>
          <w:marBottom w:val="0"/>
          <w:divBdr>
            <w:top w:val="none" w:sz="0" w:space="0" w:color="auto"/>
            <w:left w:val="none" w:sz="0" w:space="0" w:color="auto"/>
            <w:bottom w:val="none" w:sz="0" w:space="0" w:color="auto"/>
            <w:right w:val="none" w:sz="0" w:space="0" w:color="auto"/>
          </w:divBdr>
        </w:div>
        <w:div w:id="784152266">
          <w:marLeft w:val="0"/>
          <w:marRight w:val="0"/>
          <w:marTop w:val="0"/>
          <w:marBottom w:val="0"/>
          <w:divBdr>
            <w:top w:val="none" w:sz="0" w:space="0" w:color="auto"/>
            <w:left w:val="none" w:sz="0" w:space="0" w:color="auto"/>
            <w:bottom w:val="none" w:sz="0" w:space="0" w:color="auto"/>
            <w:right w:val="none" w:sz="0" w:space="0" w:color="auto"/>
          </w:divBdr>
        </w:div>
        <w:div w:id="1907958132">
          <w:marLeft w:val="0"/>
          <w:marRight w:val="0"/>
          <w:marTop w:val="0"/>
          <w:marBottom w:val="0"/>
          <w:divBdr>
            <w:top w:val="none" w:sz="0" w:space="0" w:color="auto"/>
            <w:left w:val="none" w:sz="0" w:space="0" w:color="auto"/>
            <w:bottom w:val="none" w:sz="0" w:space="0" w:color="auto"/>
            <w:right w:val="none" w:sz="0" w:space="0" w:color="auto"/>
          </w:divBdr>
        </w:div>
        <w:div w:id="2042513269">
          <w:marLeft w:val="0"/>
          <w:marRight w:val="0"/>
          <w:marTop w:val="0"/>
          <w:marBottom w:val="0"/>
          <w:divBdr>
            <w:top w:val="none" w:sz="0" w:space="0" w:color="auto"/>
            <w:left w:val="none" w:sz="0" w:space="0" w:color="auto"/>
            <w:bottom w:val="none" w:sz="0" w:space="0" w:color="auto"/>
            <w:right w:val="none" w:sz="0" w:space="0" w:color="auto"/>
          </w:divBdr>
        </w:div>
        <w:div w:id="1723283921">
          <w:marLeft w:val="0"/>
          <w:marRight w:val="0"/>
          <w:marTop w:val="0"/>
          <w:marBottom w:val="0"/>
          <w:divBdr>
            <w:top w:val="none" w:sz="0" w:space="0" w:color="auto"/>
            <w:left w:val="none" w:sz="0" w:space="0" w:color="auto"/>
            <w:bottom w:val="none" w:sz="0" w:space="0" w:color="auto"/>
            <w:right w:val="none" w:sz="0" w:space="0" w:color="auto"/>
          </w:divBdr>
        </w:div>
        <w:div w:id="604113460">
          <w:marLeft w:val="0"/>
          <w:marRight w:val="0"/>
          <w:marTop w:val="0"/>
          <w:marBottom w:val="0"/>
          <w:divBdr>
            <w:top w:val="none" w:sz="0" w:space="0" w:color="auto"/>
            <w:left w:val="none" w:sz="0" w:space="0" w:color="auto"/>
            <w:bottom w:val="none" w:sz="0" w:space="0" w:color="auto"/>
            <w:right w:val="none" w:sz="0" w:space="0" w:color="auto"/>
          </w:divBdr>
        </w:div>
        <w:div w:id="1763451674">
          <w:marLeft w:val="0"/>
          <w:marRight w:val="0"/>
          <w:marTop w:val="0"/>
          <w:marBottom w:val="0"/>
          <w:divBdr>
            <w:top w:val="none" w:sz="0" w:space="0" w:color="auto"/>
            <w:left w:val="none" w:sz="0" w:space="0" w:color="auto"/>
            <w:bottom w:val="none" w:sz="0" w:space="0" w:color="auto"/>
            <w:right w:val="none" w:sz="0" w:space="0" w:color="auto"/>
          </w:divBdr>
        </w:div>
        <w:div w:id="1056394240">
          <w:marLeft w:val="0"/>
          <w:marRight w:val="0"/>
          <w:marTop w:val="0"/>
          <w:marBottom w:val="0"/>
          <w:divBdr>
            <w:top w:val="none" w:sz="0" w:space="0" w:color="auto"/>
            <w:left w:val="none" w:sz="0" w:space="0" w:color="auto"/>
            <w:bottom w:val="none" w:sz="0" w:space="0" w:color="auto"/>
            <w:right w:val="none" w:sz="0" w:space="0" w:color="auto"/>
          </w:divBdr>
        </w:div>
        <w:div w:id="920598363">
          <w:marLeft w:val="0"/>
          <w:marRight w:val="0"/>
          <w:marTop w:val="0"/>
          <w:marBottom w:val="0"/>
          <w:divBdr>
            <w:top w:val="none" w:sz="0" w:space="0" w:color="auto"/>
            <w:left w:val="none" w:sz="0" w:space="0" w:color="auto"/>
            <w:bottom w:val="none" w:sz="0" w:space="0" w:color="auto"/>
            <w:right w:val="none" w:sz="0" w:space="0" w:color="auto"/>
          </w:divBdr>
        </w:div>
        <w:div w:id="1048576407">
          <w:marLeft w:val="0"/>
          <w:marRight w:val="0"/>
          <w:marTop w:val="0"/>
          <w:marBottom w:val="0"/>
          <w:divBdr>
            <w:top w:val="none" w:sz="0" w:space="0" w:color="auto"/>
            <w:left w:val="none" w:sz="0" w:space="0" w:color="auto"/>
            <w:bottom w:val="none" w:sz="0" w:space="0" w:color="auto"/>
            <w:right w:val="none" w:sz="0" w:space="0" w:color="auto"/>
          </w:divBdr>
        </w:div>
        <w:div w:id="2074962144">
          <w:marLeft w:val="0"/>
          <w:marRight w:val="0"/>
          <w:marTop w:val="0"/>
          <w:marBottom w:val="0"/>
          <w:divBdr>
            <w:top w:val="none" w:sz="0" w:space="0" w:color="auto"/>
            <w:left w:val="none" w:sz="0" w:space="0" w:color="auto"/>
            <w:bottom w:val="none" w:sz="0" w:space="0" w:color="auto"/>
            <w:right w:val="none" w:sz="0" w:space="0" w:color="auto"/>
          </w:divBdr>
        </w:div>
        <w:div w:id="119421530">
          <w:marLeft w:val="0"/>
          <w:marRight w:val="0"/>
          <w:marTop w:val="0"/>
          <w:marBottom w:val="0"/>
          <w:divBdr>
            <w:top w:val="none" w:sz="0" w:space="0" w:color="auto"/>
            <w:left w:val="none" w:sz="0" w:space="0" w:color="auto"/>
            <w:bottom w:val="none" w:sz="0" w:space="0" w:color="auto"/>
            <w:right w:val="none" w:sz="0" w:space="0" w:color="auto"/>
          </w:divBdr>
        </w:div>
        <w:div w:id="547454673">
          <w:marLeft w:val="0"/>
          <w:marRight w:val="0"/>
          <w:marTop w:val="0"/>
          <w:marBottom w:val="0"/>
          <w:divBdr>
            <w:top w:val="none" w:sz="0" w:space="0" w:color="auto"/>
            <w:left w:val="none" w:sz="0" w:space="0" w:color="auto"/>
            <w:bottom w:val="none" w:sz="0" w:space="0" w:color="auto"/>
            <w:right w:val="none" w:sz="0" w:space="0" w:color="auto"/>
          </w:divBdr>
        </w:div>
        <w:div w:id="1015306497">
          <w:marLeft w:val="0"/>
          <w:marRight w:val="0"/>
          <w:marTop w:val="0"/>
          <w:marBottom w:val="0"/>
          <w:divBdr>
            <w:top w:val="none" w:sz="0" w:space="0" w:color="auto"/>
            <w:left w:val="none" w:sz="0" w:space="0" w:color="auto"/>
            <w:bottom w:val="none" w:sz="0" w:space="0" w:color="auto"/>
            <w:right w:val="none" w:sz="0" w:space="0" w:color="auto"/>
          </w:divBdr>
        </w:div>
        <w:div w:id="596719531">
          <w:marLeft w:val="0"/>
          <w:marRight w:val="0"/>
          <w:marTop w:val="0"/>
          <w:marBottom w:val="0"/>
          <w:divBdr>
            <w:top w:val="none" w:sz="0" w:space="0" w:color="auto"/>
            <w:left w:val="none" w:sz="0" w:space="0" w:color="auto"/>
            <w:bottom w:val="none" w:sz="0" w:space="0" w:color="auto"/>
            <w:right w:val="none" w:sz="0" w:space="0" w:color="auto"/>
          </w:divBdr>
        </w:div>
        <w:div w:id="831408805">
          <w:marLeft w:val="0"/>
          <w:marRight w:val="0"/>
          <w:marTop w:val="0"/>
          <w:marBottom w:val="0"/>
          <w:divBdr>
            <w:top w:val="none" w:sz="0" w:space="0" w:color="auto"/>
            <w:left w:val="none" w:sz="0" w:space="0" w:color="auto"/>
            <w:bottom w:val="none" w:sz="0" w:space="0" w:color="auto"/>
            <w:right w:val="none" w:sz="0" w:space="0" w:color="auto"/>
          </w:divBdr>
        </w:div>
        <w:div w:id="857737894">
          <w:marLeft w:val="0"/>
          <w:marRight w:val="0"/>
          <w:marTop w:val="0"/>
          <w:marBottom w:val="0"/>
          <w:divBdr>
            <w:top w:val="none" w:sz="0" w:space="0" w:color="auto"/>
            <w:left w:val="none" w:sz="0" w:space="0" w:color="auto"/>
            <w:bottom w:val="none" w:sz="0" w:space="0" w:color="auto"/>
            <w:right w:val="none" w:sz="0" w:space="0" w:color="auto"/>
          </w:divBdr>
        </w:div>
        <w:div w:id="2105611738">
          <w:marLeft w:val="0"/>
          <w:marRight w:val="0"/>
          <w:marTop w:val="0"/>
          <w:marBottom w:val="0"/>
          <w:divBdr>
            <w:top w:val="none" w:sz="0" w:space="0" w:color="auto"/>
            <w:left w:val="none" w:sz="0" w:space="0" w:color="auto"/>
            <w:bottom w:val="none" w:sz="0" w:space="0" w:color="auto"/>
            <w:right w:val="none" w:sz="0" w:space="0" w:color="auto"/>
          </w:divBdr>
        </w:div>
        <w:div w:id="1418165684">
          <w:marLeft w:val="0"/>
          <w:marRight w:val="0"/>
          <w:marTop w:val="0"/>
          <w:marBottom w:val="0"/>
          <w:divBdr>
            <w:top w:val="none" w:sz="0" w:space="0" w:color="auto"/>
            <w:left w:val="none" w:sz="0" w:space="0" w:color="auto"/>
            <w:bottom w:val="none" w:sz="0" w:space="0" w:color="auto"/>
            <w:right w:val="none" w:sz="0" w:space="0" w:color="auto"/>
          </w:divBdr>
        </w:div>
        <w:div w:id="266160271">
          <w:marLeft w:val="0"/>
          <w:marRight w:val="0"/>
          <w:marTop w:val="0"/>
          <w:marBottom w:val="0"/>
          <w:divBdr>
            <w:top w:val="none" w:sz="0" w:space="0" w:color="auto"/>
            <w:left w:val="none" w:sz="0" w:space="0" w:color="auto"/>
            <w:bottom w:val="none" w:sz="0" w:space="0" w:color="auto"/>
            <w:right w:val="none" w:sz="0" w:space="0" w:color="auto"/>
          </w:divBdr>
        </w:div>
        <w:div w:id="693069264">
          <w:marLeft w:val="0"/>
          <w:marRight w:val="0"/>
          <w:marTop w:val="0"/>
          <w:marBottom w:val="0"/>
          <w:divBdr>
            <w:top w:val="none" w:sz="0" w:space="0" w:color="auto"/>
            <w:left w:val="none" w:sz="0" w:space="0" w:color="auto"/>
            <w:bottom w:val="none" w:sz="0" w:space="0" w:color="auto"/>
            <w:right w:val="none" w:sz="0" w:space="0" w:color="auto"/>
          </w:divBdr>
        </w:div>
        <w:div w:id="370880636">
          <w:marLeft w:val="0"/>
          <w:marRight w:val="0"/>
          <w:marTop w:val="0"/>
          <w:marBottom w:val="0"/>
          <w:divBdr>
            <w:top w:val="none" w:sz="0" w:space="0" w:color="auto"/>
            <w:left w:val="none" w:sz="0" w:space="0" w:color="auto"/>
            <w:bottom w:val="none" w:sz="0" w:space="0" w:color="auto"/>
            <w:right w:val="none" w:sz="0" w:space="0" w:color="auto"/>
          </w:divBdr>
        </w:div>
        <w:div w:id="599878080">
          <w:marLeft w:val="0"/>
          <w:marRight w:val="0"/>
          <w:marTop w:val="0"/>
          <w:marBottom w:val="0"/>
          <w:divBdr>
            <w:top w:val="none" w:sz="0" w:space="0" w:color="auto"/>
            <w:left w:val="none" w:sz="0" w:space="0" w:color="auto"/>
            <w:bottom w:val="none" w:sz="0" w:space="0" w:color="auto"/>
            <w:right w:val="none" w:sz="0" w:space="0" w:color="auto"/>
          </w:divBdr>
        </w:div>
        <w:div w:id="94256763">
          <w:marLeft w:val="0"/>
          <w:marRight w:val="0"/>
          <w:marTop w:val="0"/>
          <w:marBottom w:val="0"/>
          <w:divBdr>
            <w:top w:val="none" w:sz="0" w:space="0" w:color="auto"/>
            <w:left w:val="none" w:sz="0" w:space="0" w:color="auto"/>
            <w:bottom w:val="none" w:sz="0" w:space="0" w:color="auto"/>
            <w:right w:val="none" w:sz="0" w:space="0" w:color="auto"/>
          </w:divBdr>
        </w:div>
        <w:div w:id="66805946">
          <w:marLeft w:val="0"/>
          <w:marRight w:val="0"/>
          <w:marTop w:val="0"/>
          <w:marBottom w:val="0"/>
          <w:divBdr>
            <w:top w:val="none" w:sz="0" w:space="0" w:color="auto"/>
            <w:left w:val="none" w:sz="0" w:space="0" w:color="auto"/>
            <w:bottom w:val="none" w:sz="0" w:space="0" w:color="auto"/>
            <w:right w:val="none" w:sz="0" w:space="0" w:color="auto"/>
          </w:divBdr>
        </w:div>
        <w:div w:id="1984121554">
          <w:marLeft w:val="0"/>
          <w:marRight w:val="0"/>
          <w:marTop w:val="0"/>
          <w:marBottom w:val="0"/>
          <w:divBdr>
            <w:top w:val="none" w:sz="0" w:space="0" w:color="auto"/>
            <w:left w:val="none" w:sz="0" w:space="0" w:color="auto"/>
            <w:bottom w:val="none" w:sz="0" w:space="0" w:color="auto"/>
            <w:right w:val="none" w:sz="0" w:space="0" w:color="auto"/>
          </w:divBdr>
        </w:div>
        <w:div w:id="66539238">
          <w:marLeft w:val="0"/>
          <w:marRight w:val="0"/>
          <w:marTop w:val="0"/>
          <w:marBottom w:val="0"/>
          <w:divBdr>
            <w:top w:val="none" w:sz="0" w:space="0" w:color="auto"/>
            <w:left w:val="none" w:sz="0" w:space="0" w:color="auto"/>
            <w:bottom w:val="none" w:sz="0" w:space="0" w:color="auto"/>
            <w:right w:val="none" w:sz="0" w:space="0" w:color="auto"/>
          </w:divBdr>
        </w:div>
        <w:div w:id="1823353275">
          <w:marLeft w:val="0"/>
          <w:marRight w:val="0"/>
          <w:marTop w:val="0"/>
          <w:marBottom w:val="0"/>
          <w:divBdr>
            <w:top w:val="none" w:sz="0" w:space="0" w:color="auto"/>
            <w:left w:val="none" w:sz="0" w:space="0" w:color="auto"/>
            <w:bottom w:val="none" w:sz="0" w:space="0" w:color="auto"/>
            <w:right w:val="none" w:sz="0" w:space="0" w:color="auto"/>
          </w:divBdr>
        </w:div>
        <w:div w:id="128865213">
          <w:marLeft w:val="0"/>
          <w:marRight w:val="0"/>
          <w:marTop w:val="0"/>
          <w:marBottom w:val="0"/>
          <w:divBdr>
            <w:top w:val="none" w:sz="0" w:space="0" w:color="auto"/>
            <w:left w:val="none" w:sz="0" w:space="0" w:color="auto"/>
            <w:bottom w:val="none" w:sz="0" w:space="0" w:color="auto"/>
            <w:right w:val="none" w:sz="0" w:space="0" w:color="auto"/>
          </w:divBdr>
        </w:div>
        <w:div w:id="566037383">
          <w:marLeft w:val="0"/>
          <w:marRight w:val="0"/>
          <w:marTop w:val="0"/>
          <w:marBottom w:val="0"/>
          <w:divBdr>
            <w:top w:val="none" w:sz="0" w:space="0" w:color="auto"/>
            <w:left w:val="none" w:sz="0" w:space="0" w:color="auto"/>
            <w:bottom w:val="none" w:sz="0" w:space="0" w:color="auto"/>
            <w:right w:val="none" w:sz="0" w:space="0" w:color="auto"/>
          </w:divBdr>
        </w:div>
      </w:divsChild>
    </w:div>
    <w:div w:id="1188909765">
      <w:bodyDiv w:val="1"/>
      <w:marLeft w:val="0"/>
      <w:marRight w:val="0"/>
      <w:marTop w:val="0"/>
      <w:marBottom w:val="0"/>
      <w:divBdr>
        <w:top w:val="none" w:sz="0" w:space="0" w:color="auto"/>
        <w:left w:val="none" w:sz="0" w:space="0" w:color="auto"/>
        <w:bottom w:val="none" w:sz="0" w:space="0" w:color="auto"/>
        <w:right w:val="none" w:sz="0" w:space="0" w:color="auto"/>
      </w:divBdr>
    </w:div>
    <w:div w:id="1228300326">
      <w:bodyDiv w:val="1"/>
      <w:marLeft w:val="0"/>
      <w:marRight w:val="0"/>
      <w:marTop w:val="0"/>
      <w:marBottom w:val="0"/>
      <w:divBdr>
        <w:top w:val="none" w:sz="0" w:space="0" w:color="auto"/>
        <w:left w:val="none" w:sz="0" w:space="0" w:color="auto"/>
        <w:bottom w:val="none" w:sz="0" w:space="0" w:color="auto"/>
        <w:right w:val="none" w:sz="0" w:space="0" w:color="auto"/>
      </w:divBdr>
    </w:div>
    <w:div w:id="1240208384">
      <w:bodyDiv w:val="1"/>
      <w:marLeft w:val="0"/>
      <w:marRight w:val="0"/>
      <w:marTop w:val="0"/>
      <w:marBottom w:val="0"/>
      <w:divBdr>
        <w:top w:val="none" w:sz="0" w:space="0" w:color="auto"/>
        <w:left w:val="none" w:sz="0" w:space="0" w:color="auto"/>
        <w:bottom w:val="none" w:sz="0" w:space="0" w:color="auto"/>
        <w:right w:val="none" w:sz="0" w:space="0" w:color="auto"/>
      </w:divBdr>
    </w:div>
    <w:div w:id="1323192771">
      <w:bodyDiv w:val="1"/>
      <w:marLeft w:val="0"/>
      <w:marRight w:val="0"/>
      <w:marTop w:val="0"/>
      <w:marBottom w:val="0"/>
      <w:divBdr>
        <w:top w:val="none" w:sz="0" w:space="0" w:color="auto"/>
        <w:left w:val="none" w:sz="0" w:space="0" w:color="auto"/>
        <w:bottom w:val="none" w:sz="0" w:space="0" w:color="auto"/>
        <w:right w:val="none" w:sz="0" w:space="0" w:color="auto"/>
      </w:divBdr>
    </w:div>
    <w:div w:id="1344933656">
      <w:bodyDiv w:val="1"/>
      <w:marLeft w:val="0"/>
      <w:marRight w:val="0"/>
      <w:marTop w:val="0"/>
      <w:marBottom w:val="0"/>
      <w:divBdr>
        <w:top w:val="none" w:sz="0" w:space="0" w:color="auto"/>
        <w:left w:val="none" w:sz="0" w:space="0" w:color="auto"/>
        <w:bottom w:val="none" w:sz="0" w:space="0" w:color="auto"/>
        <w:right w:val="none" w:sz="0" w:space="0" w:color="auto"/>
      </w:divBdr>
    </w:div>
    <w:div w:id="1346857230">
      <w:bodyDiv w:val="1"/>
      <w:marLeft w:val="0"/>
      <w:marRight w:val="0"/>
      <w:marTop w:val="0"/>
      <w:marBottom w:val="0"/>
      <w:divBdr>
        <w:top w:val="none" w:sz="0" w:space="0" w:color="auto"/>
        <w:left w:val="none" w:sz="0" w:space="0" w:color="auto"/>
        <w:bottom w:val="none" w:sz="0" w:space="0" w:color="auto"/>
        <w:right w:val="none" w:sz="0" w:space="0" w:color="auto"/>
      </w:divBdr>
    </w:div>
    <w:div w:id="1448546072">
      <w:bodyDiv w:val="1"/>
      <w:marLeft w:val="0"/>
      <w:marRight w:val="0"/>
      <w:marTop w:val="0"/>
      <w:marBottom w:val="0"/>
      <w:divBdr>
        <w:top w:val="none" w:sz="0" w:space="0" w:color="auto"/>
        <w:left w:val="none" w:sz="0" w:space="0" w:color="auto"/>
        <w:bottom w:val="none" w:sz="0" w:space="0" w:color="auto"/>
        <w:right w:val="none" w:sz="0" w:space="0" w:color="auto"/>
      </w:divBdr>
    </w:div>
    <w:div w:id="1490291421">
      <w:bodyDiv w:val="1"/>
      <w:marLeft w:val="0"/>
      <w:marRight w:val="0"/>
      <w:marTop w:val="0"/>
      <w:marBottom w:val="0"/>
      <w:divBdr>
        <w:top w:val="none" w:sz="0" w:space="0" w:color="auto"/>
        <w:left w:val="none" w:sz="0" w:space="0" w:color="auto"/>
        <w:bottom w:val="none" w:sz="0" w:space="0" w:color="auto"/>
        <w:right w:val="none" w:sz="0" w:space="0" w:color="auto"/>
      </w:divBdr>
    </w:div>
    <w:div w:id="1558122433">
      <w:bodyDiv w:val="1"/>
      <w:marLeft w:val="0"/>
      <w:marRight w:val="0"/>
      <w:marTop w:val="0"/>
      <w:marBottom w:val="0"/>
      <w:divBdr>
        <w:top w:val="none" w:sz="0" w:space="0" w:color="auto"/>
        <w:left w:val="none" w:sz="0" w:space="0" w:color="auto"/>
        <w:bottom w:val="none" w:sz="0" w:space="0" w:color="auto"/>
        <w:right w:val="none" w:sz="0" w:space="0" w:color="auto"/>
      </w:divBdr>
    </w:div>
    <w:div w:id="1764295810">
      <w:bodyDiv w:val="1"/>
      <w:marLeft w:val="0"/>
      <w:marRight w:val="0"/>
      <w:marTop w:val="0"/>
      <w:marBottom w:val="0"/>
      <w:divBdr>
        <w:top w:val="none" w:sz="0" w:space="0" w:color="auto"/>
        <w:left w:val="none" w:sz="0" w:space="0" w:color="auto"/>
        <w:bottom w:val="none" w:sz="0" w:space="0" w:color="auto"/>
        <w:right w:val="none" w:sz="0" w:space="0" w:color="auto"/>
      </w:divBdr>
    </w:div>
    <w:div w:id="1779639432">
      <w:bodyDiv w:val="1"/>
      <w:marLeft w:val="0"/>
      <w:marRight w:val="0"/>
      <w:marTop w:val="0"/>
      <w:marBottom w:val="0"/>
      <w:divBdr>
        <w:top w:val="none" w:sz="0" w:space="0" w:color="auto"/>
        <w:left w:val="none" w:sz="0" w:space="0" w:color="auto"/>
        <w:bottom w:val="none" w:sz="0" w:space="0" w:color="auto"/>
        <w:right w:val="none" w:sz="0" w:space="0" w:color="auto"/>
      </w:divBdr>
    </w:div>
    <w:div w:id="1790586592">
      <w:bodyDiv w:val="1"/>
      <w:marLeft w:val="0"/>
      <w:marRight w:val="0"/>
      <w:marTop w:val="0"/>
      <w:marBottom w:val="0"/>
      <w:divBdr>
        <w:top w:val="none" w:sz="0" w:space="0" w:color="auto"/>
        <w:left w:val="none" w:sz="0" w:space="0" w:color="auto"/>
        <w:bottom w:val="none" w:sz="0" w:space="0" w:color="auto"/>
        <w:right w:val="none" w:sz="0" w:space="0" w:color="auto"/>
      </w:divBdr>
    </w:div>
    <w:div w:id="1804929441">
      <w:bodyDiv w:val="1"/>
      <w:marLeft w:val="0"/>
      <w:marRight w:val="0"/>
      <w:marTop w:val="0"/>
      <w:marBottom w:val="0"/>
      <w:divBdr>
        <w:top w:val="none" w:sz="0" w:space="0" w:color="auto"/>
        <w:left w:val="none" w:sz="0" w:space="0" w:color="auto"/>
        <w:bottom w:val="none" w:sz="0" w:space="0" w:color="auto"/>
        <w:right w:val="none" w:sz="0" w:space="0" w:color="auto"/>
      </w:divBdr>
    </w:div>
    <w:div w:id="1881016667">
      <w:bodyDiv w:val="1"/>
      <w:marLeft w:val="0"/>
      <w:marRight w:val="0"/>
      <w:marTop w:val="0"/>
      <w:marBottom w:val="0"/>
      <w:divBdr>
        <w:top w:val="none" w:sz="0" w:space="0" w:color="auto"/>
        <w:left w:val="none" w:sz="0" w:space="0" w:color="auto"/>
        <w:bottom w:val="none" w:sz="0" w:space="0" w:color="auto"/>
        <w:right w:val="none" w:sz="0" w:space="0" w:color="auto"/>
      </w:divBdr>
    </w:div>
    <w:div w:id="1918636267">
      <w:bodyDiv w:val="1"/>
      <w:marLeft w:val="0"/>
      <w:marRight w:val="0"/>
      <w:marTop w:val="0"/>
      <w:marBottom w:val="0"/>
      <w:divBdr>
        <w:top w:val="none" w:sz="0" w:space="0" w:color="auto"/>
        <w:left w:val="none" w:sz="0" w:space="0" w:color="auto"/>
        <w:bottom w:val="none" w:sz="0" w:space="0" w:color="auto"/>
        <w:right w:val="none" w:sz="0" w:space="0" w:color="auto"/>
      </w:divBdr>
    </w:div>
    <w:div w:id="1930194709">
      <w:bodyDiv w:val="1"/>
      <w:marLeft w:val="0"/>
      <w:marRight w:val="0"/>
      <w:marTop w:val="0"/>
      <w:marBottom w:val="0"/>
      <w:divBdr>
        <w:top w:val="none" w:sz="0" w:space="0" w:color="auto"/>
        <w:left w:val="none" w:sz="0" w:space="0" w:color="auto"/>
        <w:bottom w:val="none" w:sz="0" w:space="0" w:color="auto"/>
        <w:right w:val="none" w:sz="0" w:space="0" w:color="auto"/>
      </w:divBdr>
    </w:div>
    <w:div w:id="1990668282">
      <w:bodyDiv w:val="1"/>
      <w:marLeft w:val="0"/>
      <w:marRight w:val="0"/>
      <w:marTop w:val="0"/>
      <w:marBottom w:val="0"/>
      <w:divBdr>
        <w:top w:val="none" w:sz="0" w:space="0" w:color="auto"/>
        <w:left w:val="none" w:sz="0" w:space="0" w:color="auto"/>
        <w:bottom w:val="none" w:sz="0" w:space="0" w:color="auto"/>
        <w:right w:val="none" w:sz="0" w:space="0" w:color="auto"/>
      </w:divBdr>
    </w:div>
    <w:div w:id="2069915682">
      <w:bodyDiv w:val="1"/>
      <w:marLeft w:val="0"/>
      <w:marRight w:val="0"/>
      <w:marTop w:val="0"/>
      <w:marBottom w:val="0"/>
      <w:divBdr>
        <w:top w:val="none" w:sz="0" w:space="0" w:color="auto"/>
        <w:left w:val="none" w:sz="0" w:space="0" w:color="auto"/>
        <w:bottom w:val="none" w:sz="0" w:space="0" w:color="auto"/>
        <w:right w:val="none" w:sz="0" w:space="0" w:color="auto"/>
      </w:divBdr>
    </w:div>
    <w:div w:id="2078934700">
      <w:bodyDiv w:val="1"/>
      <w:marLeft w:val="0"/>
      <w:marRight w:val="0"/>
      <w:marTop w:val="0"/>
      <w:marBottom w:val="0"/>
      <w:divBdr>
        <w:top w:val="none" w:sz="0" w:space="0" w:color="auto"/>
        <w:left w:val="none" w:sz="0" w:space="0" w:color="auto"/>
        <w:bottom w:val="none" w:sz="0" w:space="0" w:color="auto"/>
        <w:right w:val="none" w:sz="0" w:space="0" w:color="auto"/>
      </w:divBdr>
    </w:div>
    <w:div w:id="213779254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B696C-405B-42D4-B878-6BDB3E4F5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44</Pages>
  <Words>5990</Words>
  <Characters>34149</Characters>
  <Application>Microsoft Office Word</Application>
  <DocSecurity>0</DocSecurity>
  <PresentationFormat/>
  <Lines>284</Lines>
  <Paragraphs>80</Paragraphs>
  <Slides>0</Slides>
  <Notes>0</Notes>
  <HiddenSlides>0</HiddenSlides>
  <MMClips>0</MMClips>
  <ScaleCrop>false</ScaleCrop>
  <Manager/>
  <Company/>
  <LinksUpToDate>false</LinksUpToDate>
  <CharactersWithSpaces>40059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书儿</dc:creator>
  <cp:keywords/>
  <dc:description/>
  <cp:lastModifiedBy>wang ziqiu</cp:lastModifiedBy>
  <cp:revision>64</cp:revision>
  <cp:lastPrinted>2022-06-01T16:33:00Z</cp:lastPrinted>
  <dcterms:created xsi:type="dcterms:W3CDTF">2022-05-16T18:14:00Z</dcterms:created>
  <dcterms:modified xsi:type="dcterms:W3CDTF">2022-06-15T02:20:00Z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41FC6571636E4462B3054D2FB49E0AF8</vt:lpwstr>
  </property>
</Properties>
</file>