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19903D" w14:textId="77777777" w:rsidR="00871FC2" w:rsidRPr="00031207" w:rsidRDefault="00871FC2" w:rsidP="00871FC2">
      <w:pPr>
        <w:adjustRightInd w:val="0"/>
        <w:snapToGrid w:val="0"/>
        <w:spacing w:beforeLines="50" w:before="156" w:line="400" w:lineRule="atLeast"/>
        <w:rPr>
          <w:rFonts w:ascii="仿宋_GB2312" w:eastAsia="仿宋_GB2312" w:hAnsi="华文中宋"/>
          <w:bCs/>
          <w:sz w:val="30"/>
        </w:rPr>
      </w:pPr>
    </w:p>
    <w:p w14:paraId="61BF36C5" w14:textId="77777777" w:rsidR="00871FC2" w:rsidRDefault="00871FC2" w:rsidP="00871FC2">
      <w:pPr>
        <w:spacing w:line="500" w:lineRule="exact"/>
        <w:jc w:val="center"/>
        <w:rPr>
          <w:rFonts w:eastAsia="黑体"/>
          <w:b/>
          <w:sz w:val="32"/>
        </w:rPr>
      </w:pPr>
    </w:p>
    <w:p w14:paraId="7FA50FC2" w14:textId="77777777" w:rsidR="00871FC2" w:rsidRDefault="00871FC2" w:rsidP="00871FC2">
      <w:pPr>
        <w:jc w:val="center"/>
        <w:rPr>
          <w:rFonts w:eastAsia="黑体"/>
          <w:sz w:val="34"/>
        </w:rPr>
      </w:pPr>
      <w:r>
        <w:rPr>
          <w:rFonts w:hAnsi="宋体" w:hint="eastAsia"/>
          <w:noProof/>
          <w:kern w:val="0"/>
        </w:rPr>
        <w:t xml:space="preserve"> </w:t>
      </w:r>
      <w:bookmarkStart w:id="0" w:name="_MON_1064953734"/>
      <w:bookmarkEnd w:id="0"/>
      <w:bookmarkStart w:id="1" w:name="_MON_1065102613"/>
      <w:bookmarkEnd w:id="1"/>
      <w:r>
        <w:rPr>
          <w:rFonts w:hAnsi="宋体"/>
          <w:noProof/>
          <w:kern w:val="0"/>
        </w:rPr>
        <w:object w:dxaOrig="3165" w:dyaOrig="720" w14:anchorId="565871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8.5pt;height:43.5pt" o:ole="" filled="t">
            <v:imagedata r:id="rId8" o:title=""/>
          </v:shape>
          <o:OLEObject Type="Embed" ProgID="Word.Picture.8" ShapeID="_x0000_i1025" DrawAspect="Content" ObjectID="_1716560186" r:id="rId9"/>
        </w:object>
      </w:r>
    </w:p>
    <w:p w14:paraId="7A5A90C4" w14:textId="77777777" w:rsidR="00871FC2" w:rsidRDefault="00871FC2" w:rsidP="00871FC2">
      <w:pPr>
        <w:adjustRightInd w:val="0"/>
        <w:snapToGrid w:val="0"/>
        <w:jc w:val="center"/>
        <w:rPr>
          <w:b/>
          <w:bCs/>
          <w:spacing w:val="20"/>
          <w:sz w:val="18"/>
        </w:rPr>
      </w:pPr>
    </w:p>
    <w:p w14:paraId="7F70A2D0" w14:textId="77777777" w:rsidR="00871FC2" w:rsidRDefault="00871FC2" w:rsidP="00871FC2">
      <w:pPr>
        <w:adjustRightInd w:val="0"/>
        <w:snapToGrid w:val="0"/>
        <w:jc w:val="center"/>
        <w:rPr>
          <w:b/>
          <w:bCs/>
          <w:spacing w:val="20"/>
          <w:sz w:val="18"/>
        </w:rPr>
      </w:pPr>
    </w:p>
    <w:p w14:paraId="1F231042" w14:textId="77777777" w:rsidR="00871FC2" w:rsidRPr="00E34353" w:rsidRDefault="00871FC2" w:rsidP="00871FC2">
      <w:pPr>
        <w:jc w:val="center"/>
        <w:rPr>
          <w:rFonts w:ascii="华文中宋" w:eastAsia="华文中宋" w:hAnsi="华文中宋"/>
          <w:b/>
          <w:bCs/>
          <w:sz w:val="72"/>
          <w:szCs w:val="72"/>
        </w:rPr>
      </w:pPr>
      <w:r w:rsidRPr="00E34353">
        <w:rPr>
          <w:rFonts w:ascii="华文中宋" w:eastAsia="华文中宋" w:hAnsi="华文中宋" w:hint="eastAsia"/>
          <w:b/>
          <w:bCs/>
          <w:spacing w:val="20"/>
          <w:sz w:val="72"/>
          <w:szCs w:val="72"/>
        </w:rPr>
        <w:t>本科生毕业设计[论文]</w:t>
      </w:r>
    </w:p>
    <w:p w14:paraId="1F336FD9" w14:textId="77777777" w:rsidR="00871FC2" w:rsidRDefault="00871FC2" w:rsidP="00871FC2">
      <w:pPr>
        <w:adjustRightInd w:val="0"/>
        <w:snapToGrid w:val="0"/>
        <w:spacing w:line="264" w:lineRule="auto"/>
        <w:rPr>
          <w:rFonts w:eastAsia="华文中宋"/>
          <w:b/>
          <w:bCs/>
          <w:spacing w:val="12"/>
          <w:sz w:val="52"/>
          <w:szCs w:val="32"/>
        </w:rPr>
      </w:pPr>
    </w:p>
    <w:p w14:paraId="13569055" w14:textId="77777777" w:rsidR="00871FC2" w:rsidRPr="002F6C23" w:rsidRDefault="00871FC2" w:rsidP="00D9230D">
      <w:pPr>
        <w:jc w:val="center"/>
        <w:rPr>
          <w:rFonts w:ascii="黑体" w:eastAsia="黑体" w:hAnsi="黑体"/>
          <w:bCs/>
          <w:color w:val="FF0000"/>
          <w:sz w:val="36"/>
          <w:szCs w:val="36"/>
        </w:rPr>
      </w:pPr>
      <w:r w:rsidRPr="00950814">
        <w:rPr>
          <w:rFonts w:ascii="黑体" w:eastAsia="黑体" w:hint="eastAsia"/>
          <w:b/>
          <w:sz w:val="44"/>
          <w:szCs w:val="44"/>
        </w:rPr>
        <w:t>高管风险承担与企业ESG的实证研究</w:t>
      </w:r>
    </w:p>
    <w:p w14:paraId="7AEBBEB4" w14:textId="77777777" w:rsidR="00871FC2" w:rsidRDefault="00871FC2" w:rsidP="00871FC2">
      <w:pPr>
        <w:adjustRightInd w:val="0"/>
        <w:snapToGrid w:val="0"/>
        <w:spacing w:line="264" w:lineRule="auto"/>
        <w:rPr>
          <w:rFonts w:eastAsia="华文中宋"/>
          <w:b/>
          <w:bCs/>
          <w:spacing w:val="12"/>
          <w:sz w:val="52"/>
          <w:szCs w:val="32"/>
        </w:rPr>
      </w:pPr>
    </w:p>
    <w:p w14:paraId="40FFF793" w14:textId="77777777" w:rsidR="00871FC2" w:rsidRDefault="00871FC2" w:rsidP="00871FC2">
      <w:pPr>
        <w:adjustRightInd w:val="0"/>
        <w:snapToGrid w:val="0"/>
        <w:spacing w:line="264" w:lineRule="auto"/>
        <w:rPr>
          <w:rFonts w:eastAsia="华文中宋"/>
          <w:b/>
          <w:bCs/>
          <w:spacing w:val="12"/>
          <w:sz w:val="52"/>
          <w:szCs w:val="32"/>
        </w:rPr>
      </w:pP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3402"/>
      </w:tblGrid>
      <w:tr w:rsidR="002257B4" w14:paraId="39A6471C" w14:textId="77777777" w:rsidTr="00D9230D">
        <w:trPr>
          <w:trHeight w:val="624"/>
          <w:jc w:val="center"/>
        </w:trPr>
        <w:tc>
          <w:tcPr>
            <w:tcW w:w="1701" w:type="dxa"/>
          </w:tcPr>
          <w:p w14:paraId="39929819" w14:textId="13EC1407" w:rsidR="002257B4" w:rsidRDefault="002257B4" w:rsidP="00D9230D">
            <w:pPr>
              <w:spacing w:line="720" w:lineRule="auto"/>
              <w:jc w:val="center"/>
              <w:rPr>
                <w:rFonts w:ascii="华文中宋" w:eastAsia="华文中宋" w:hAnsi="华文中宋"/>
                <w:bCs/>
                <w:noProof/>
                <w:sz w:val="32"/>
                <w:szCs w:val="32"/>
              </w:rPr>
            </w:pPr>
            <w:r w:rsidRPr="002257B4">
              <w:rPr>
                <w:rFonts w:ascii="华文中宋" w:eastAsia="华文中宋" w:hAnsi="华文中宋" w:hint="eastAsia"/>
                <w:bCs/>
                <w:noProof/>
                <w:sz w:val="32"/>
                <w:szCs w:val="32"/>
              </w:rPr>
              <w:t>院    系</w:t>
            </w:r>
          </w:p>
        </w:tc>
        <w:tc>
          <w:tcPr>
            <w:tcW w:w="3402" w:type="dxa"/>
            <w:tcBorders>
              <w:bottom w:val="single" w:sz="4" w:space="0" w:color="auto"/>
            </w:tcBorders>
          </w:tcPr>
          <w:p w14:paraId="47E1B9EB" w14:textId="56F94AFA" w:rsidR="002257B4" w:rsidRPr="00D9230D" w:rsidRDefault="00D9230D" w:rsidP="00D9230D">
            <w:pPr>
              <w:spacing w:line="720" w:lineRule="auto"/>
              <w:jc w:val="center"/>
              <w:rPr>
                <w:rFonts w:ascii="华文中宋" w:eastAsia="华文中宋" w:hAnsi="华文中宋"/>
                <w:bCs/>
                <w:noProof/>
                <w:sz w:val="32"/>
                <w:szCs w:val="32"/>
              </w:rPr>
            </w:pPr>
            <w:r w:rsidRPr="00D9230D">
              <w:rPr>
                <w:rFonts w:ascii="华文中宋" w:eastAsia="华文中宋" w:hAnsi="华文中宋" w:hint="eastAsia"/>
                <w:bCs/>
                <w:noProof/>
                <w:sz w:val="32"/>
                <w:szCs w:val="32"/>
              </w:rPr>
              <w:t>管理学院</w:t>
            </w:r>
          </w:p>
        </w:tc>
      </w:tr>
      <w:tr w:rsidR="002257B4" w14:paraId="6B5C8D16" w14:textId="77777777" w:rsidTr="00D9230D">
        <w:trPr>
          <w:trHeight w:val="624"/>
          <w:jc w:val="center"/>
        </w:trPr>
        <w:tc>
          <w:tcPr>
            <w:tcW w:w="1701" w:type="dxa"/>
          </w:tcPr>
          <w:p w14:paraId="3B02D5BD" w14:textId="49A9CE65" w:rsidR="002257B4" w:rsidRDefault="00D9230D" w:rsidP="00D9230D">
            <w:pPr>
              <w:spacing w:line="720" w:lineRule="auto"/>
              <w:jc w:val="center"/>
              <w:rPr>
                <w:rFonts w:ascii="华文中宋" w:eastAsia="华文中宋" w:hAnsi="华文中宋"/>
                <w:bCs/>
                <w:noProof/>
                <w:sz w:val="32"/>
                <w:szCs w:val="32"/>
              </w:rPr>
            </w:pPr>
            <w:r w:rsidRPr="002257B4">
              <w:rPr>
                <w:rFonts w:ascii="华文中宋" w:eastAsia="华文中宋" w:hAnsi="华文中宋" w:hint="eastAsia"/>
                <w:bCs/>
                <w:noProof/>
                <w:sz w:val="32"/>
                <w:szCs w:val="32"/>
              </w:rPr>
              <w:t>专业班级</w:t>
            </w:r>
          </w:p>
        </w:tc>
        <w:tc>
          <w:tcPr>
            <w:tcW w:w="3402" w:type="dxa"/>
            <w:tcBorders>
              <w:top w:val="single" w:sz="4" w:space="0" w:color="auto"/>
              <w:bottom w:val="single" w:sz="4" w:space="0" w:color="auto"/>
            </w:tcBorders>
          </w:tcPr>
          <w:p w14:paraId="76CE81F5" w14:textId="37186232" w:rsidR="002257B4" w:rsidRDefault="00D9230D" w:rsidP="00D9230D">
            <w:pPr>
              <w:spacing w:line="720" w:lineRule="auto"/>
              <w:jc w:val="center"/>
              <w:rPr>
                <w:rFonts w:ascii="华文中宋" w:eastAsia="华文中宋" w:hAnsi="华文中宋"/>
                <w:bCs/>
                <w:noProof/>
                <w:sz w:val="32"/>
                <w:szCs w:val="32"/>
              </w:rPr>
            </w:pPr>
            <w:r w:rsidRPr="002257B4">
              <w:rPr>
                <w:rFonts w:ascii="华文中宋" w:eastAsia="华文中宋" w:hAnsi="华文中宋" w:hint="eastAsia"/>
                <w:bCs/>
                <w:noProof/>
                <w:sz w:val="32"/>
                <w:szCs w:val="32"/>
              </w:rPr>
              <w:t>财务1801</w:t>
            </w:r>
          </w:p>
        </w:tc>
      </w:tr>
      <w:tr w:rsidR="002257B4" w14:paraId="2D25A53F" w14:textId="77777777" w:rsidTr="00D9230D">
        <w:trPr>
          <w:trHeight w:val="624"/>
          <w:jc w:val="center"/>
        </w:trPr>
        <w:tc>
          <w:tcPr>
            <w:tcW w:w="1701" w:type="dxa"/>
          </w:tcPr>
          <w:p w14:paraId="589D7336" w14:textId="66CD1F89" w:rsidR="002257B4" w:rsidRDefault="00D9230D" w:rsidP="00D9230D">
            <w:pPr>
              <w:spacing w:line="720" w:lineRule="auto"/>
              <w:jc w:val="center"/>
              <w:rPr>
                <w:rFonts w:ascii="华文中宋" w:eastAsia="华文中宋" w:hAnsi="华文中宋"/>
                <w:bCs/>
                <w:noProof/>
                <w:sz w:val="32"/>
                <w:szCs w:val="32"/>
              </w:rPr>
            </w:pPr>
            <w:r w:rsidRPr="002257B4">
              <w:rPr>
                <w:rFonts w:ascii="华文中宋" w:eastAsia="华文中宋" w:hAnsi="华文中宋" w:hint="eastAsia"/>
                <w:bCs/>
                <w:noProof/>
                <w:sz w:val="32"/>
                <w:szCs w:val="32"/>
              </w:rPr>
              <w:t>姓    名</w:t>
            </w:r>
          </w:p>
        </w:tc>
        <w:tc>
          <w:tcPr>
            <w:tcW w:w="3402" w:type="dxa"/>
            <w:tcBorders>
              <w:top w:val="single" w:sz="4" w:space="0" w:color="auto"/>
              <w:bottom w:val="single" w:sz="4" w:space="0" w:color="auto"/>
            </w:tcBorders>
          </w:tcPr>
          <w:p w14:paraId="2B59BFF3" w14:textId="34BE3163" w:rsidR="002257B4" w:rsidRDefault="00D9230D" w:rsidP="00D9230D">
            <w:pPr>
              <w:spacing w:line="720" w:lineRule="auto"/>
              <w:jc w:val="center"/>
              <w:rPr>
                <w:rFonts w:ascii="华文中宋" w:eastAsia="华文中宋" w:hAnsi="华文中宋"/>
                <w:bCs/>
                <w:noProof/>
                <w:sz w:val="32"/>
                <w:szCs w:val="32"/>
              </w:rPr>
            </w:pPr>
            <w:r w:rsidRPr="002257B4">
              <w:rPr>
                <w:rFonts w:ascii="华文中宋" w:eastAsia="华文中宋" w:hAnsi="华文中宋" w:hint="eastAsia"/>
                <w:bCs/>
                <w:noProof/>
                <w:sz w:val="32"/>
                <w:szCs w:val="32"/>
              </w:rPr>
              <w:t>丁璇</w:t>
            </w:r>
          </w:p>
        </w:tc>
      </w:tr>
      <w:tr w:rsidR="002257B4" w14:paraId="75BF1A1D" w14:textId="77777777" w:rsidTr="00D9230D">
        <w:trPr>
          <w:trHeight w:val="624"/>
          <w:jc w:val="center"/>
        </w:trPr>
        <w:tc>
          <w:tcPr>
            <w:tcW w:w="1701" w:type="dxa"/>
          </w:tcPr>
          <w:p w14:paraId="18411ECE" w14:textId="62C91361" w:rsidR="002257B4" w:rsidRDefault="00D9230D" w:rsidP="00D9230D">
            <w:pPr>
              <w:spacing w:line="720" w:lineRule="auto"/>
              <w:jc w:val="center"/>
              <w:rPr>
                <w:rFonts w:ascii="华文中宋" w:eastAsia="华文中宋" w:hAnsi="华文中宋"/>
                <w:bCs/>
                <w:noProof/>
                <w:sz w:val="32"/>
                <w:szCs w:val="32"/>
              </w:rPr>
            </w:pPr>
            <w:r w:rsidRPr="002257B4">
              <w:rPr>
                <w:rFonts w:ascii="华文中宋" w:eastAsia="华文中宋" w:hAnsi="华文中宋" w:hint="eastAsia"/>
                <w:bCs/>
                <w:noProof/>
                <w:sz w:val="32"/>
                <w:szCs w:val="32"/>
              </w:rPr>
              <w:t>学    号</w:t>
            </w:r>
          </w:p>
        </w:tc>
        <w:tc>
          <w:tcPr>
            <w:tcW w:w="3402" w:type="dxa"/>
            <w:tcBorders>
              <w:top w:val="single" w:sz="4" w:space="0" w:color="auto"/>
              <w:bottom w:val="single" w:sz="4" w:space="0" w:color="auto"/>
            </w:tcBorders>
          </w:tcPr>
          <w:p w14:paraId="1547922A" w14:textId="0D4EA0FD" w:rsidR="002257B4" w:rsidRDefault="00D9230D" w:rsidP="00D9230D">
            <w:pPr>
              <w:spacing w:line="720" w:lineRule="auto"/>
              <w:jc w:val="center"/>
              <w:rPr>
                <w:rFonts w:ascii="华文中宋" w:eastAsia="华文中宋" w:hAnsi="华文中宋"/>
                <w:bCs/>
                <w:noProof/>
                <w:sz w:val="32"/>
                <w:szCs w:val="32"/>
              </w:rPr>
            </w:pPr>
            <w:r w:rsidRPr="002257B4">
              <w:rPr>
                <w:rFonts w:ascii="华文中宋" w:eastAsia="华文中宋" w:hAnsi="华文中宋" w:hint="eastAsia"/>
                <w:bCs/>
                <w:noProof/>
                <w:sz w:val="32"/>
                <w:szCs w:val="32"/>
              </w:rPr>
              <w:t>U201815057</w:t>
            </w:r>
          </w:p>
        </w:tc>
      </w:tr>
      <w:tr w:rsidR="00D9230D" w14:paraId="03A0B8BC" w14:textId="77777777" w:rsidTr="00D9230D">
        <w:trPr>
          <w:trHeight w:val="624"/>
          <w:jc w:val="center"/>
        </w:trPr>
        <w:tc>
          <w:tcPr>
            <w:tcW w:w="1701" w:type="dxa"/>
          </w:tcPr>
          <w:p w14:paraId="551D5017" w14:textId="38883480" w:rsidR="00D9230D" w:rsidRPr="002257B4" w:rsidRDefault="00D9230D" w:rsidP="00D9230D">
            <w:pPr>
              <w:spacing w:line="720" w:lineRule="auto"/>
              <w:jc w:val="center"/>
              <w:rPr>
                <w:rFonts w:ascii="华文中宋" w:eastAsia="华文中宋" w:hAnsi="华文中宋"/>
                <w:bCs/>
                <w:noProof/>
                <w:sz w:val="32"/>
                <w:szCs w:val="32"/>
              </w:rPr>
            </w:pPr>
            <w:r w:rsidRPr="002257B4">
              <w:rPr>
                <w:rFonts w:ascii="华文中宋" w:eastAsia="华文中宋" w:hAnsi="华文中宋" w:hint="eastAsia"/>
                <w:bCs/>
                <w:noProof/>
                <w:sz w:val="32"/>
                <w:szCs w:val="32"/>
              </w:rPr>
              <w:t>指导教师</w:t>
            </w:r>
          </w:p>
        </w:tc>
        <w:tc>
          <w:tcPr>
            <w:tcW w:w="3402" w:type="dxa"/>
            <w:tcBorders>
              <w:top w:val="single" w:sz="4" w:space="0" w:color="auto"/>
              <w:bottom w:val="single" w:sz="4" w:space="0" w:color="auto"/>
            </w:tcBorders>
          </w:tcPr>
          <w:p w14:paraId="60965DFE" w14:textId="55698A13" w:rsidR="00D9230D" w:rsidRPr="002257B4" w:rsidRDefault="00D9230D" w:rsidP="00D9230D">
            <w:pPr>
              <w:spacing w:line="720" w:lineRule="auto"/>
              <w:jc w:val="center"/>
              <w:rPr>
                <w:rFonts w:ascii="华文中宋" w:eastAsia="华文中宋" w:hAnsi="华文中宋"/>
                <w:bCs/>
                <w:noProof/>
                <w:sz w:val="32"/>
                <w:szCs w:val="32"/>
              </w:rPr>
            </w:pPr>
            <w:r w:rsidRPr="002257B4">
              <w:rPr>
                <w:rFonts w:ascii="华文中宋" w:eastAsia="华文中宋" w:hAnsi="华文中宋" w:hint="eastAsia"/>
                <w:bCs/>
                <w:noProof/>
                <w:sz w:val="32"/>
                <w:szCs w:val="32"/>
              </w:rPr>
              <w:t>何旭彪</w:t>
            </w:r>
          </w:p>
        </w:tc>
      </w:tr>
    </w:tbl>
    <w:p w14:paraId="15647D73" w14:textId="77777777" w:rsidR="00D9230D" w:rsidRPr="008A525F" w:rsidRDefault="00D9230D" w:rsidP="00CC6607">
      <w:pPr>
        <w:rPr>
          <w:rFonts w:ascii="华文中宋" w:eastAsia="华文中宋" w:hAnsi="华文中宋"/>
          <w:bCs/>
          <w:noProof/>
          <w:kern w:val="0"/>
          <w:sz w:val="32"/>
          <w:szCs w:val="32"/>
        </w:rPr>
      </w:pPr>
    </w:p>
    <w:p w14:paraId="768F164D" w14:textId="00922119" w:rsidR="00871FC2" w:rsidRPr="002F6C23" w:rsidRDefault="00AA0519" w:rsidP="00871FC2">
      <w:pPr>
        <w:jc w:val="center"/>
        <w:rPr>
          <w:rFonts w:ascii="黑体" w:eastAsia="黑体" w:hAnsi="黑体"/>
          <w:bCs/>
          <w:color w:val="FF0000"/>
          <w:sz w:val="36"/>
          <w:szCs w:val="36"/>
        </w:rPr>
      </w:pPr>
      <w:r>
        <w:rPr>
          <w:rFonts w:ascii="华文中宋" w:eastAsia="华文中宋" w:hAnsi="华文中宋" w:hint="eastAsia"/>
          <w:bCs/>
          <w:noProof/>
          <w:kern w:val="0"/>
          <w:sz w:val="32"/>
          <w:szCs w:val="32"/>
        </w:rPr>
        <w:t>2</w:t>
      </w:r>
      <w:r>
        <w:rPr>
          <w:rFonts w:ascii="华文中宋" w:eastAsia="华文中宋" w:hAnsi="华文中宋"/>
          <w:bCs/>
          <w:noProof/>
          <w:kern w:val="0"/>
          <w:sz w:val="32"/>
          <w:szCs w:val="32"/>
        </w:rPr>
        <w:t>022</w:t>
      </w:r>
      <w:r w:rsidR="00871FC2" w:rsidRPr="008A525F">
        <w:rPr>
          <w:rFonts w:ascii="华文中宋" w:eastAsia="华文中宋" w:hAnsi="华文中宋" w:hint="eastAsia"/>
          <w:bCs/>
          <w:noProof/>
          <w:kern w:val="0"/>
          <w:sz w:val="32"/>
          <w:szCs w:val="32"/>
        </w:rPr>
        <w:t xml:space="preserve">年 </w:t>
      </w:r>
      <w:r>
        <w:rPr>
          <w:rFonts w:ascii="华文中宋" w:eastAsia="华文中宋" w:hAnsi="华文中宋"/>
          <w:bCs/>
          <w:noProof/>
          <w:kern w:val="0"/>
          <w:sz w:val="32"/>
          <w:szCs w:val="32"/>
        </w:rPr>
        <w:t>6</w:t>
      </w:r>
      <w:r w:rsidR="00871FC2" w:rsidRPr="008A525F">
        <w:rPr>
          <w:rFonts w:ascii="华文中宋" w:eastAsia="华文中宋" w:hAnsi="华文中宋" w:hint="eastAsia"/>
          <w:bCs/>
          <w:noProof/>
          <w:kern w:val="0"/>
          <w:sz w:val="32"/>
          <w:szCs w:val="32"/>
        </w:rPr>
        <w:t xml:space="preserve">月 </w:t>
      </w:r>
      <w:r>
        <w:rPr>
          <w:rFonts w:ascii="华文中宋" w:eastAsia="华文中宋" w:hAnsi="华文中宋"/>
          <w:bCs/>
          <w:noProof/>
          <w:kern w:val="0"/>
          <w:sz w:val="32"/>
          <w:szCs w:val="32"/>
        </w:rPr>
        <w:t>1</w:t>
      </w:r>
      <w:r w:rsidR="00871FC2" w:rsidRPr="008A525F">
        <w:rPr>
          <w:rFonts w:ascii="华文中宋" w:eastAsia="华文中宋" w:hAnsi="华文中宋" w:hint="eastAsia"/>
          <w:bCs/>
          <w:noProof/>
          <w:kern w:val="0"/>
          <w:sz w:val="32"/>
          <w:szCs w:val="32"/>
        </w:rPr>
        <w:t xml:space="preserve"> 日</w:t>
      </w:r>
    </w:p>
    <w:p w14:paraId="6A578E2B" w14:textId="77777777" w:rsidR="00871FC2" w:rsidRPr="008A525F" w:rsidRDefault="00871FC2" w:rsidP="00871FC2">
      <w:pPr>
        <w:ind w:firstLineChars="1300" w:firstLine="4160"/>
        <w:rPr>
          <w:rFonts w:ascii="华文中宋" w:eastAsia="华文中宋" w:hAnsi="华文中宋"/>
          <w:bCs/>
          <w:noProof/>
          <w:kern w:val="0"/>
          <w:sz w:val="32"/>
          <w:szCs w:val="32"/>
        </w:rPr>
      </w:pPr>
    </w:p>
    <w:p w14:paraId="3BF5EDC0" w14:textId="77777777" w:rsidR="00871FC2" w:rsidRDefault="00871FC2" w:rsidP="00871FC2"/>
    <w:p w14:paraId="64AEA854" w14:textId="77777777" w:rsidR="00871FC2" w:rsidRDefault="00871FC2" w:rsidP="00871FC2">
      <w:pPr>
        <w:rPr>
          <w:b/>
          <w:bCs/>
          <w:sz w:val="28"/>
          <w:szCs w:val="30"/>
        </w:rPr>
        <w:sectPr w:rsidR="00871FC2" w:rsidSect="00EA58B0">
          <w:headerReference w:type="default" r:id="rId10"/>
          <w:footerReference w:type="first" r:id="rId11"/>
          <w:pgSz w:w="11906" w:h="16838"/>
          <w:pgMar w:top="1418" w:right="1701" w:bottom="1134" w:left="1701" w:header="851" w:footer="992" w:gutter="0"/>
          <w:cols w:space="720"/>
          <w:titlePg/>
          <w:docGrid w:type="linesAndChars" w:linePitch="312"/>
        </w:sectPr>
      </w:pPr>
    </w:p>
    <w:p w14:paraId="1B7C8698" w14:textId="77777777" w:rsidR="00871FC2" w:rsidRPr="00556BA2" w:rsidRDefault="00871FC2" w:rsidP="00871FC2">
      <w:pPr>
        <w:spacing w:beforeLines="150" w:before="489"/>
        <w:jc w:val="center"/>
        <w:rPr>
          <w:rFonts w:ascii="黑体" w:eastAsia="黑体" w:hAnsi="黑体"/>
          <w:b/>
          <w:bCs/>
          <w:sz w:val="36"/>
          <w:szCs w:val="36"/>
        </w:rPr>
      </w:pPr>
      <w:r w:rsidRPr="00556BA2">
        <w:rPr>
          <w:rFonts w:ascii="黑体" w:eastAsia="黑体" w:hAnsi="黑体"/>
          <w:b/>
          <w:bCs/>
          <w:sz w:val="36"/>
          <w:szCs w:val="36"/>
        </w:rPr>
        <w:lastRenderedPageBreak/>
        <w:t>学位论文原创性声明</w:t>
      </w:r>
    </w:p>
    <w:p w14:paraId="13443429" w14:textId="77777777" w:rsidR="00871FC2" w:rsidRPr="00C54C2A" w:rsidRDefault="00871FC2" w:rsidP="00871FC2">
      <w:pPr>
        <w:ind w:firstLineChars="200" w:firstLine="480"/>
        <w:rPr>
          <w:szCs w:val="21"/>
        </w:rPr>
      </w:pPr>
      <w:r w:rsidRPr="00C54C2A">
        <w:rPr>
          <w:szCs w:val="21"/>
        </w:rP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14:paraId="3A91D28D" w14:textId="77777777" w:rsidR="00871FC2" w:rsidRPr="00C54C2A" w:rsidRDefault="00871FC2" w:rsidP="00871FC2">
      <w:pPr>
        <w:wordWrap w:val="0"/>
        <w:jc w:val="right"/>
      </w:pPr>
      <w:r w:rsidRPr="00C54C2A">
        <w:t>作者签名：</w:t>
      </w:r>
      <w:r w:rsidRPr="00C54C2A">
        <w:t xml:space="preserve">  </w:t>
      </w:r>
      <w:r>
        <w:rPr>
          <w:rFonts w:hint="eastAsia"/>
        </w:rPr>
        <w:t xml:space="preserve">  </w:t>
      </w:r>
      <w:r w:rsidRPr="00C54C2A">
        <w:t xml:space="preserve"> </w:t>
      </w:r>
      <w:r>
        <w:rPr>
          <w:rFonts w:hint="eastAsia"/>
        </w:rPr>
        <w:t xml:space="preserve">  </w:t>
      </w:r>
      <w:r w:rsidRPr="00C54C2A">
        <w:t xml:space="preserve">      </w:t>
      </w:r>
      <w:r w:rsidRPr="00C54C2A">
        <w:t>年</w:t>
      </w:r>
      <w:r w:rsidRPr="00C54C2A">
        <w:t xml:space="preserve">   </w:t>
      </w:r>
      <w:r w:rsidRPr="00C54C2A">
        <w:t>月</w:t>
      </w:r>
      <w:r w:rsidRPr="00C54C2A">
        <w:t xml:space="preserve">    </w:t>
      </w:r>
      <w:r w:rsidRPr="00C54C2A">
        <w:t>日</w:t>
      </w:r>
    </w:p>
    <w:p w14:paraId="074733E8" w14:textId="77777777" w:rsidR="00871FC2" w:rsidRPr="00C54C2A" w:rsidRDefault="00871FC2" w:rsidP="00871FC2">
      <w:pPr>
        <w:spacing w:beforeLines="100" w:before="326"/>
        <w:jc w:val="center"/>
        <w:rPr>
          <w:b/>
          <w:bCs/>
          <w:sz w:val="40"/>
          <w:szCs w:val="36"/>
        </w:rPr>
      </w:pPr>
    </w:p>
    <w:p w14:paraId="519F0619" w14:textId="77777777" w:rsidR="00871FC2" w:rsidRPr="00556BA2" w:rsidRDefault="00871FC2" w:rsidP="00871FC2">
      <w:pPr>
        <w:spacing w:beforeLines="150" w:before="489"/>
        <w:jc w:val="center"/>
        <w:rPr>
          <w:rFonts w:ascii="黑体" w:eastAsia="黑体" w:hAnsi="黑体"/>
          <w:b/>
          <w:bCs/>
          <w:sz w:val="36"/>
          <w:szCs w:val="36"/>
        </w:rPr>
      </w:pPr>
      <w:r w:rsidRPr="00556BA2">
        <w:rPr>
          <w:rFonts w:ascii="黑体" w:eastAsia="黑体" w:hAnsi="黑体"/>
          <w:b/>
          <w:bCs/>
          <w:sz w:val="36"/>
          <w:szCs w:val="36"/>
        </w:rPr>
        <w:t>学位论文版权使用授权书</w:t>
      </w:r>
    </w:p>
    <w:p w14:paraId="5CB9DD79" w14:textId="77777777" w:rsidR="00871FC2" w:rsidRPr="00C54C2A" w:rsidRDefault="00871FC2" w:rsidP="00871FC2">
      <w:pPr>
        <w:ind w:firstLineChars="200" w:firstLine="480"/>
        <w:rPr>
          <w:szCs w:val="21"/>
        </w:rPr>
      </w:pPr>
      <w:r w:rsidRPr="00C54C2A">
        <w:rPr>
          <w:szCs w:val="21"/>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14:paraId="6172567A" w14:textId="77777777" w:rsidR="00871FC2" w:rsidRPr="00C54C2A" w:rsidRDefault="00871FC2" w:rsidP="00871FC2">
      <w:pPr>
        <w:ind w:firstLineChars="200" w:firstLine="480"/>
        <w:rPr>
          <w:szCs w:val="21"/>
        </w:rPr>
      </w:pPr>
      <w:r w:rsidRPr="00C54C2A">
        <w:rPr>
          <w:szCs w:val="21"/>
        </w:rPr>
        <w:t>本学位论文属于</w:t>
      </w:r>
      <w:r>
        <w:rPr>
          <w:rFonts w:hint="eastAsia"/>
          <w:szCs w:val="21"/>
        </w:rPr>
        <w:t xml:space="preserve"> </w:t>
      </w:r>
      <w:r w:rsidRPr="00C54C2A">
        <w:rPr>
          <w:szCs w:val="21"/>
        </w:rPr>
        <w:t>1</w:t>
      </w:r>
      <w:r w:rsidRPr="00C54C2A">
        <w:rPr>
          <w:szCs w:val="21"/>
        </w:rPr>
        <w:t>、保密</w:t>
      </w:r>
      <w:proofErr w:type="gramStart"/>
      <w:r w:rsidRPr="00C54C2A">
        <w:rPr>
          <w:szCs w:val="21"/>
        </w:rPr>
        <w:t>囗</w:t>
      </w:r>
      <w:proofErr w:type="gramEnd"/>
      <w:r w:rsidRPr="00C54C2A">
        <w:rPr>
          <w:szCs w:val="21"/>
        </w:rPr>
        <w:t>，在</w:t>
      </w:r>
      <w:r w:rsidRPr="00C54C2A">
        <w:rPr>
          <w:szCs w:val="21"/>
        </w:rPr>
        <w:t xml:space="preserve">    </w:t>
      </w:r>
      <w:r w:rsidRPr="00C54C2A">
        <w:rPr>
          <w:szCs w:val="21"/>
        </w:rPr>
        <w:t>年解密后适用本授权书</w:t>
      </w:r>
    </w:p>
    <w:p w14:paraId="7A6C7942" w14:textId="77777777" w:rsidR="00871FC2" w:rsidRPr="00C54C2A" w:rsidRDefault="00871FC2" w:rsidP="00871FC2">
      <w:pPr>
        <w:ind w:firstLineChars="950" w:firstLine="2280"/>
        <w:rPr>
          <w:szCs w:val="21"/>
        </w:rPr>
      </w:pPr>
      <w:r w:rsidRPr="00C54C2A">
        <w:rPr>
          <w:szCs w:val="21"/>
        </w:rPr>
        <w:t>2</w:t>
      </w:r>
      <w:r w:rsidRPr="00C54C2A">
        <w:rPr>
          <w:szCs w:val="21"/>
        </w:rPr>
        <w:t>、不保密</w:t>
      </w:r>
      <w:proofErr w:type="gramStart"/>
      <w:r w:rsidRPr="00C54C2A">
        <w:rPr>
          <w:szCs w:val="21"/>
        </w:rPr>
        <w:t>囗</w:t>
      </w:r>
      <w:proofErr w:type="gramEnd"/>
      <w:r w:rsidRPr="00C54C2A">
        <w:rPr>
          <w:szCs w:val="21"/>
        </w:rPr>
        <w:t xml:space="preserve">  </w:t>
      </w:r>
      <w:r w:rsidRPr="00C54C2A">
        <w:rPr>
          <w:szCs w:val="21"/>
        </w:rPr>
        <w:t>。</w:t>
      </w:r>
    </w:p>
    <w:p w14:paraId="2E74CB3E" w14:textId="77777777" w:rsidR="00871FC2" w:rsidRPr="00C54C2A" w:rsidRDefault="00871FC2" w:rsidP="00871FC2">
      <w:pPr>
        <w:ind w:firstLineChars="900" w:firstLine="2160"/>
        <w:rPr>
          <w:szCs w:val="21"/>
        </w:rPr>
      </w:pPr>
      <w:r w:rsidRPr="00C54C2A">
        <w:rPr>
          <w:szCs w:val="21"/>
        </w:rPr>
        <w:t>（请在以上相应方框内打</w:t>
      </w:r>
      <w:r w:rsidRPr="00C54C2A">
        <w:rPr>
          <w:szCs w:val="21"/>
        </w:rPr>
        <w:t>“√”</w:t>
      </w:r>
      <w:r w:rsidRPr="00C54C2A">
        <w:rPr>
          <w:szCs w:val="21"/>
        </w:rPr>
        <w:t>）</w:t>
      </w:r>
    </w:p>
    <w:p w14:paraId="43484BD6" w14:textId="77777777" w:rsidR="004D2CE9" w:rsidRDefault="004D2CE9" w:rsidP="00871FC2">
      <w:pPr>
        <w:wordWrap w:val="0"/>
        <w:jc w:val="right"/>
        <w:rPr>
          <w:rFonts w:ascii="楷体_GB2312" w:eastAsia="楷体_GB2312"/>
          <w:color w:val="FF0000"/>
        </w:rPr>
      </w:pPr>
    </w:p>
    <w:p w14:paraId="6415F832" w14:textId="7C437765" w:rsidR="00871FC2" w:rsidRPr="00C54C2A" w:rsidRDefault="00871FC2" w:rsidP="004D2CE9">
      <w:pPr>
        <w:jc w:val="right"/>
      </w:pPr>
      <w:r w:rsidRPr="00C54C2A">
        <w:t>作者签名：</w:t>
      </w:r>
      <w:r w:rsidRPr="00C54C2A">
        <w:t xml:space="preserve">  </w:t>
      </w:r>
      <w:r>
        <w:rPr>
          <w:rFonts w:hint="eastAsia"/>
        </w:rPr>
        <w:t xml:space="preserve">  </w:t>
      </w:r>
      <w:r w:rsidRPr="00C54C2A">
        <w:t xml:space="preserve"> </w:t>
      </w:r>
      <w:r>
        <w:rPr>
          <w:rFonts w:hint="eastAsia"/>
        </w:rPr>
        <w:t xml:space="preserve">  </w:t>
      </w:r>
      <w:r w:rsidRPr="00C54C2A">
        <w:t xml:space="preserve">      </w:t>
      </w:r>
      <w:r w:rsidRPr="00C54C2A">
        <w:t>年</w:t>
      </w:r>
      <w:r w:rsidRPr="00C54C2A">
        <w:t xml:space="preserve">   </w:t>
      </w:r>
      <w:r w:rsidRPr="00C54C2A">
        <w:t>月</w:t>
      </w:r>
      <w:r w:rsidRPr="00C54C2A">
        <w:t xml:space="preserve">    </w:t>
      </w:r>
      <w:r w:rsidRPr="00C54C2A">
        <w:t>日</w:t>
      </w:r>
    </w:p>
    <w:p w14:paraId="144279DA" w14:textId="6C8A6834" w:rsidR="00851C5A" w:rsidRDefault="00871FC2" w:rsidP="006A5051">
      <w:pPr>
        <w:wordWrap w:val="0"/>
        <w:jc w:val="right"/>
        <w:sectPr w:rsidR="00851C5A" w:rsidSect="00EA58B0">
          <w:footerReference w:type="default" r:id="rId12"/>
          <w:pgSz w:w="11906" w:h="16838"/>
          <w:pgMar w:top="1418" w:right="1701" w:bottom="1134" w:left="1701" w:header="992" w:footer="850" w:gutter="0"/>
          <w:pgNumType w:fmt="upperRoman" w:start="1"/>
          <w:cols w:space="425"/>
          <w:docGrid w:type="linesAndChars" w:linePitch="326"/>
        </w:sectPr>
      </w:pPr>
      <w:r w:rsidRPr="00C54C2A">
        <w:t>导师签名：</w:t>
      </w:r>
      <w:r w:rsidRPr="00C54C2A">
        <w:t xml:space="preserve">   </w:t>
      </w:r>
      <w:r>
        <w:rPr>
          <w:rFonts w:hint="eastAsia"/>
        </w:rPr>
        <w:t xml:space="preserve">    </w:t>
      </w:r>
      <w:r w:rsidRPr="00C54C2A">
        <w:t xml:space="preserve">      </w:t>
      </w:r>
      <w:r w:rsidRPr="00C54C2A">
        <w:t>年</w:t>
      </w:r>
      <w:r w:rsidRPr="00C54C2A">
        <w:t xml:space="preserve">   </w:t>
      </w:r>
      <w:r w:rsidRPr="00C54C2A">
        <w:t>月</w:t>
      </w:r>
      <w:r w:rsidRPr="00C54C2A">
        <w:t xml:space="preserve">    </w:t>
      </w:r>
      <w:r w:rsidRPr="00C54C2A">
        <w:t>日</w:t>
      </w:r>
    </w:p>
    <w:p w14:paraId="3CDF46D8" w14:textId="77777777" w:rsidR="00871FC2" w:rsidRPr="00C54C2A" w:rsidRDefault="00871FC2" w:rsidP="00445D8E">
      <w:pPr>
        <w:pStyle w:val="1"/>
        <w:spacing w:before="163" w:after="163"/>
      </w:pPr>
      <w:bookmarkStart w:id="2" w:name="_Toc104478858"/>
      <w:r w:rsidRPr="00CE339D">
        <w:rPr>
          <w:rFonts w:hint="eastAsia"/>
        </w:rPr>
        <w:lastRenderedPageBreak/>
        <w:t>摘</w:t>
      </w:r>
      <w:r>
        <w:rPr>
          <w:rFonts w:hint="eastAsia"/>
        </w:rPr>
        <w:t xml:space="preserve"> </w:t>
      </w:r>
      <w:r>
        <w:t xml:space="preserve"> </w:t>
      </w:r>
      <w:r w:rsidRPr="00CE339D">
        <w:rPr>
          <w:rFonts w:hint="eastAsia"/>
        </w:rPr>
        <w:t>要</w:t>
      </w:r>
      <w:bookmarkEnd w:id="2"/>
      <w:r w:rsidRPr="00CE339D">
        <w:rPr>
          <w:rFonts w:hint="eastAsia"/>
        </w:rPr>
        <w:t xml:space="preserve"> </w:t>
      </w:r>
    </w:p>
    <w:p w14:paraId="51F008E8" w14:textId="77777777" w:rsidR="00AB3307" w:rsidRDefault="00D03F75" w:rsidP="00DC363D">
      <w:pPr>
        <w:ind w:firstLineChars="200" w:firstLine="480"/>
        <w:rPr>
          <w:lang w:val="zh-CN"/>
        </w:rPr>
      </w:pPr>
      <w:r>
        <w:rPr>
          <w:rFonts w:hint="eastAsia"/>
        </w:rPr>
        <w:t>ESG</w:t>
      </w:r>
      <w:r>
        <w:rPr>
          <w:rFonts w:hint="eastAsia"/>
        </w:rPr>
        <w:t>（环境、社会责任和公司治理）已经成为全球范围内各大公司可持续性发展能力的一项代表性指标</w:t>
      </w:r>
      <w:r w:rsidR="00A47178">
        <w:rPr>
          <w:rFonts w:hint="eastAsia"/>
        </w:rPr>
        <w:t>，</w:t>
      </w:r>
      <w:r w:rsidR="00A47178" w:rsidRPr="00A47178">
        <w:rPr>
          <w:rFonts w:hint="eastAsia"/>
        </w:rPr>
        <w:t>企业对</w:t>
      </w:r>
      <w:r w:rsidR="00A47178" w:rsidRPr="00A47178">
        <w:rPr>
          <w:rFonts w:hint="eastAsia"/>
        </w:rPr>
        <w:t>ESG</w:t>
      </w:r>
      <w:r w:rsidR="00A47178" w:rsidRPr="00A47178">
        <w:rPr>
          <w:rFonts w:hint="eastAsia"/>
        </w:rPr>
        <w:t>（环境、社会和治理）计划的承诺和追求与对利润的传统追求之间的种种问题成为公司治理界非常热门的学术话题</w:t>
      </w:r>
      <w:r w:rsidR="00871FC2" w:rsidRPr="0070627C">
        <w:rPr>
          <w:rFonts w:cs="宋体"/>
          <w:color w:val="000000"/>
          <w:kern w:val="0"/>
          <w:szCs w:val="24"/>
        </w:rPr>
        <w:t>。</w:t>
      </w:r>
      <w:r w:rsidR="000F37E5">
        <w:rPr>
          <w:rFonts w:cs="宋体" w:hint="eastAsia"/>
          <w:color w:val="000000"/>
          <w:kern w:val="0"/>
          <w:szCs w:val="24"/>
        </w:rPr>
        <w:t>为了研究</w:t>
      </w:r>
      <w:r w:rsidR="00871FC2">
        <w:rPr>
          <w:rFonts w:cs="宋体" w:hint="eastAsia"/>
          <w:color w:val="000000"/>
          <w:kern w:val="0"/>
          <w:szCs w:val="24"/>
        </w:rPr>
        <w:t>高管财富敏感性</w:t>
      </w:r>
      <w:r w:rsidR="00871FC2" w:rsidRPr="0070627C">
        <w:rPr>
          <w:rFonts w:cs="宋体"/>
          <w:color w:val="000000"/>
          <w:kern w:val="0"/>
          <w:szCs w:val="24"/>
        </w:rPr>
        <w:t>对我国上市公司</w:t>
      </w:r>
      <w:r w:rsidR="00871FC2" w:rsidRPr="0070627C">
        <w:rPr>
          <w:rFonts w:cs="宋体"/>
          <w:color w:val="000000"/>
          <w:kern w:val="0"/>
          <w:szCs w:val="24"/>
        </w:rPr>
        <w:t xml:space="preserve"> ESG </w:t>
      </w:r>
      <w:r w:rsidR="00871FC2" w:rsidRPr="0070627C">
        <w:rPr>
          <w:rFonts w:cs="宋体"/>
          <w:color w:val="000000"/>
          <w:kern w:val="0"/>
          <w:szCs w:val="24"/>
        </w:rPr>
        <w:t>表现的影响</w:t>
      </w:r>
      <w:r w:rsidR="000F37E5">
        <w:rPr>
          <w:rFonts w:cs="宋体" w:hint="eastAsia"/>
          <w:color w:val="000000"/>
          <w:kern w:val="0"/>
          <w:szCs w:val="24"/>
        </w:rPr>
        <w:t>，</w:t>
      </w:r>
      <w:r w:rsidR="000F37E5">
        <w:rPr>
          <w:rFonts w:hint="eastAsia"/>
          <w:lang w:val="zh-CN"/>
        </w:rPr>
        <w:t>本文</w:t>
      </w:r>
      <w:r w:rsidR="00871FC2" w:rsidRPr="00837150">
        <w:rPr>
          <w:rFonts w:hint="eastAsia"/>
          <w:lang w:val="zh-CN"/>
        </w:rPr>
        <w:t>使用</w:t>
      </w:r>
      <w:r w:rsidR="0063093B">
        <w:rPr>
          <w:rFonts w:hint="eastAsia"/>
          <w:lang w:val="zh-CN"/>
        </w:rPr>
        <w:t>我国</w:t>
      </w:r>
      <w:r w:rsidR="0063093B">
        <w:rPr>
          <w:rFonts w:hint="eastAsia"/>
          <w:lang w:val="zh-CN"/>
        </w:rPr>
        <w:t>2</w:t>
      </w:r>
      <w:r w:rsidR="0063093B">
        <w:rPr>
          <w:lang w:val="zh-CN"/>
        </w:rPr>
        <w:t>014-2019</w:t>
      </w:r>
      <w:r w:rsidR="0063093B">
        <w:rPr>
          <w:rFonts w:hint="eastAsia"/>
          <w:lang w:val="zh-CN"/>
        </w:rPr>
        <w:t>年</w:t>
      </w:r>
      <w:r w:rsidR="0063093B">
        <w:rPr>
          <w:rFonts w:hint="eastAsia"/>
          <w:lang w:val="zh-CN"/>
        </w:rPr>
        <w:t>5</w:t>
      </w:r>
      <w:r w:rsidR="0063093B">
        <w:rPr>
          <w:lang w:val="zh-CN"/>
        </w:rPr>
        <w:t>3</w:t>
      </w:r>
      <w:r w:rsidR="0063093B">
        <w:rPr>
          <w:rFonts w:hint="eastAsia"/>
          <w:lang w:val="zh-CN"/>
        </w:rPr>
        <w:t>家上市公司</w:t>
      </w:r>
      <w:r w:rsidR="00871FC2">
        <w:rPr>
          <w:rFonts w:hint="eastAsia"/>
          <w:lang w:val="zh-CN"/>
        </w:rPr>
        <w:t>总经理财富</w:t>
      </w:r>
      <w:r w:rsidR="00871FC2" w:rsidRPr="00837150">
        <w:rPr>
          <w:rFonts w:hint="eastAsia"/>
          <w:lang w:val="zh-CN"/>
        </w:rPr>
        <w:t>对股票</w:t>
      </w:r>
      <w:r w:rsidR="00871FC2">
        <w:rPr>
          <w:rFonts w:hint="eastAsia"/>
          <w:lang w:val="zh-CN"/>
        </w:rPr>
        <w:t>价格</w:t>
      </w:r>
      <w:r w:rsidR="00871FC2" w:rsidRPr="00837150">
        <w:rPr>
          <w:rFonts w:hint="eastAsia"/>
          <w:lang w:val="zh-CN"/>
        </w:rPr>
        <w:t>的敏感性（</w:t>
      </w:r>
      <w:r w:rsidR="00871FC2">
        <w:rPr>
          <w:rFonts w:hint="eastAsia"/>
          <w:lang w:val="zh-CN"/>
        </w:rPr>
        <w:t>D</w:t>
      </w:r>
      <w:r w:rsidR="00871FC2" w:rsidRPr="00837150">
        <w:rPr>
          <w:lang w:val="zh-CN"/>
        </w:rPr>
        <w:t>elta</w:t>
      </w:r>
      <w:r w:rsidR="00871FC2" w:rsidRPr="00837150">
        <w:rPr>
          <w:rFonts w:hint="eastAsia"/>
          <w:lang w:val="zh-CN"/>
        </w:rPr>
        <w:t>）和股票</w:t>
      </w:r>
      <w:r w:rsidR="00871FC2">
        <w:rPr>
          <w:rFonts w:hint="eastAsia"/>
          <w:lang w:val="zh-CN"/>
        </w:rPr>
        <w:t>价格</w:t>
      </w:r>
      <w:r w:rsidR="00871FC2" w:rsidRPr="00837150">
        <w:rPr>
          <w:rFonts w:hint="eastAsia"/>
          <w:lang w:val="zh-CN"/>
        </w:rPr>
        <w:t>波动</w:t>
      </w:r>
      <w:r w:rsidR="00871FC2">
        <w:rPr>
          <w:rFonts w:hint="eastAsia"/>
          <w:lang w:val="zh-CN"/>
        </w:rPr>
        <w:t>率的敏感性</w:t>
      </w:r>
      <w:r w:rsidR="00871FC2" w:rsidRPr="00837150">
        <w:rPr>
          <w:rFonts w:hint="eastAsia"/>
          <w:lang w:val="zh-CN"/>
        </w:rPr>
        <w:t>（</w:t>
      </w:r>
      <w:r w:rsidR="00871FC2">
        <w:rPr>
          <w:rFonts w:hint="eastAsia"/>
          <w:lang w:val="zh-CN"/>
        </w:rPr>
        <w:t>V</w:t>
      </w:r>
      <w:r w:rsidR="00871FC2" w:rsidRPr="00837150">
        <w:rPr>
          <w:lang w:val="zh-CN"/>
        </w:rPr>
        <w:t>ega</w:t>
      </w:r>
      <w:r w:rsidR="00871FC2" w:rsidRPr="00837150">
        <w:rPr>
          <w:rFonts w:hint="eastAsia"/>
          <w:lang w:val="zh-CN"/>
        </w:rPr>
        <w:t>）来提供实证证据，证明</w:t>
      </w:r>
      <w:r w:rsidR="00871FC2">
        <w:rPr>
          <w:rFonts w:hint="eastAsia"/>
          <w:lang w:val="zh-CN"/>
        </w:rPr>
        <w:t>高管的</w:t>
      </w:r>
      <w:r w:rsidR="00871FC2" w:rsidRPr="00837150">
        <w:rPr>
          <w:rFonts w:hint="eastAsia"/>
          <w:lang w:val="zh-CN"/>
        </w:rPr>
        <w:t>薪酬结构影响</w:t>
      </w:r>
      <w:r w:rsidR="00A47178">
        <w:rPr>
          <w:rFonts w:hint="eastAsia"/>
          <w:lang w:val="zh-CN"/>
        </w:rPr>
        <w:t>企业</w:t>
      </w:r>
      <w:r w:rsidR="00871FC2">
        <w:rPr>
          <w:rFonts w:hint="eastAsia"/>
          <w:lang w:val="zh-CN"/>
        </w:rPr>
        <w:t>ESG</w:t>
      </w:r>
      <w:r w:rsidR="00871FC2">
        <w:rPr>
          <w:rFonts w:hint="eastAsia"/>
          <w:lang w:val="zh-CN"/>
        </w:rPr>
        <w:t>评分表现</w:t>
      </w:r>
      <w:r w:rsidR="00871FC2" w:rsidRPr="00837150">
        <w:rPr>
          <w:rFonts w:hint="eastAsia"/>
          <w:lang w:val="zh-CN"/>
        </w:rPr>
        <w:t>。</w:t>
      </w:r>
    </w:p>
    <w:p w14:paraId="5C80E33F" w14:textId="77777777" w:rsidR="00DF6104" w:rsidRDefault="00DC363D" w:rsidP="00DC363D">
      <w:pPr>
        <w:ind w:firstLineChars="200" w:firstLine="480"/>
        <w:rPr>
          <w:lang w:val="zh-CN"/>
        </w:rPr>
      </w:pPr>
      <w:r>
        <w:rPr>
          <w:rFonts w:hint="eastAsia"/>
          <w:lang w:val="zh-CN"/>
        </w:rPr>
        <w:t>本文</w:t>
      </w:r>
      <w:r w:rsidR="00871FC2" w:rsidRPr="00837150">
        <w:rPr>
          <w:rFonts w:hint="eastAsia"/>
          <w:lang w:val="zh-CN"/>
        </w:rPr>
        <w:t>发现</w:t>
      </w:r>
      <w:r w:rsidR="00871FC2">
        <w:rPr>
          <w:lang w:val="zh-CN"/>
        </w:rPr>
        <w:t>D</w:t>
      </w:r>
      <w:r w:rsidR="00871FC2" w:rsidRPr="00837150">
        <w:rPr>
          <w:lang w:val="zh-CN"/>
        </w:rPr>
        <w:t>elta</w:t>
      </w:r>
      <w:r w:rsidR="00871FC2" w:rsidRPr="00837150">
        <w:rPr>
          <w:rFonts w:hint="eastAsia"/>
          <w:lang w:val="zh-CN"/>
        </w:rPr>
        <w:t>对</w:t>
      </w:r>
      <w:r w:rsidR="00871FC2">
        <w:rPr>
          <w:rFonts w:hint="eastAsia"/>
          <w:lang w:val="zh-CN"/>
        </w:rPr>
        <w:t>ESG</w:t>
      </w:r>
      <w:r w:rsidR="00871FC2">
        <w:rPr>
          <w:rFonts w:hint="eastAsia"/>
          <w:lang w:val="zh-CN"/>
        </w:rPr>
        <w:t>评分有</w:t>
      </w:r>
      <w:r w:rsidR="00871FC2" w:rsidRPr="00837150">
        <w:rPr>
          <w:rFonts w:hint="eastAsia"/>
          <w:lang w:val="zh-CN"/>
        </w:rPr>
        <w:t>显著</w:t>
      </w:r>
      <w:r w:rsidR="00871FC2">
        <w:rPr>
          <w:rFonts w:hint="eastAsia"/>
          <w:lang w:val="zh-CN"/>
        </w:rPr>
        <w:t>的负面</w:t>
      </w:r>
      <w:r w:rsidR="00871FC2" w:rsidRPr="00837150">
        <w:rPr>
          <w:rFonts w:hint="eastAsia"/>
          <w:lang w:val="zh-CN"/>
        </w:rPr>
        <w:t>影响，而</w:t>
      </w:r>
      <w:r w:rsidR="00871FC2">
        <w:rPr>
          <w:rFonts w:hint="eastAsia"/>
          <w:lang w:val="zh-CN"/>
        </w:rPr>
        <w:t>V</w:t>
      </w:r>
      <w:r w:rsidR="00871FC2" w:rsidRPr="00837150">
        <w:rPr>
          <w:lang w:val="zh-CN"/>
        </w:rPr>
        <w:t>ega</w:t>
      </w:r>
      <w:r w:rsidR="00871FC2" w:rsidRPr="00837150">
        <w:rPr>
          <w:rFonts w:hint="eastAsia"/>
          <w:lang w:val="zh-CN"/>
        </w:rPr>
        <w:t>与</w:t>
      </w:r>
      <w:r w:rsidR="00871FC2">
        <w:rPr>
          <w:rFonts w:hint="eastAsia"/>
          <w:lang w:val="zh-CN"/>
        </w:rPr>
        <w:t>ESG</w:t>
      </w:r>
      <w:r w:rsidR="00871FC2">
        <w:rPr>
          <w:rFonts w:hint="eastAsia"/>
          <w:lang w:val="zh-CN"/>
        </w:rPr>
        <w:t>评分</w:t>
      </w:r>
      <w:r w:rsidR="00871FC2" w:rsidRPr="00837150">
        <w:rPr>
          <w:rFonts w:hint="eastAsia"/>
          <w:lang w:val="zh-CN"/>
        </w:rPr>
        <w:t>有</w:t>
      </w:r>
      <w:r w:rsidR="00871FC2">
        <w:rPr>
          <w:rFonts w:hint="eastAsia"/>
          <w:lang w:val="zh-CN"/>
        </w:rPr>
        <w:t>显著的正向</w:t>
      </w:r>
      <w:r w:rsidR="00871FC2" w:rsidRPr="00837150">
        <w:rPr>
          <w:rFonts w:hint="eastAsia"/>
          <w:lang w:val="zh-CN"/>
        </w:rPr>
        <w:t>关系。</w:t>
      </w:r>
      <w:r w:rsidR="00A47178">
        <w:rPr>
          <w:rFonts w:hint="eastAsia"/>
          <w:lang w:val="zh-CN"/>
        </w:rPr>
        <w:t>这说明</w:t>
      </w:r>
      <w:bookmarkStart w:id="3" w:name="_Hlk103093345"/>
      <w:r w:rsidR="00AB3307">
        <w:rPr>
          <w:rFonts w:hint="eastAsia"/>
          <w:lang w:val="zh-CN"/>
        </w:rPr>
        <w:t>Delta</w:t>
      </w:r>
      <w:r w:rsidR="00AB3307">
        <w:rPr>
          <w:rFonts w:hint="eastAsia"/>
          <w:lang w:val="zh-CN"/>
        </w:rPr>
        <w:t>更低、</w:t>
      </w:r>
      <w:r w:rsidR="00AB3307">
        <w:rPr>
          <w:rFonts w:hint="eastAsia"/>
          <w:lang w:val="zh-CN"/>
        </w:rPr>
        <w:t>Vega</w:t>
      </w:r>
      <w:r w:rsidR="00AB3307">
        <w:rPr>
          <w:rFonts w:hint="eastAsia"/>
          <w:lang w:val="zh-CN"/>
        </w:rPr>
        <w:t>更高</w:t>
      </w:r>
      <w:bookmarkEnd w:id="3"/>
      <w:r w:rsidR="00AB3307">
        <w:rPr>
          <w:rFonts w:hint="eastAsia"/>
          <w:lang w:val="zh-CN"/>
        </w:rPr>
        <w:t>的高管更有可能</w:t>
      </w:r>
      <w:r w:rsidR="00DF6104">
        <w:rPr>
          <w:rFonts w:hint="eastAsia"/>
          <w:lang w:val="zh-CN"/>
        </w:rPr>
        <w:t>进行</w:t>
      </w:r>
      <w:r w:rsidR="00AB3307">
        <w:rPr>
          <w:rFonts w:hint="eastAsia"/>
          <w:lang w:val="zh-CN"/>
        </w:rPr>
        <w:t>ESG</w:t>
      </w:r>
      <w:r w:rsidR="00AB3307">
        <w:rPr>
          <w:rFonts w:hint="eastAsia"/>
          <w:lang w:val="zh-CN"/>
        </w:rPr>
        <w:t>相关投资从而改善企业</w:t>
      </w:r>
      <w:r w:rsidR="00AB3307">
        <w:rPr>
          <w:rFonts w:hint="eastAsia"/>
          <w:lang w:val="zh-CN"/>
        </w:rPr>
        <w:t>ESG</w:t>
      </w:r>
      <w:r w:rsidR="00AB3307">
        <w:rPr>
          <w:rFonts w:hint="eastAsia"/>
          <w:lang w:val="zh-CN"/>
        </w:rPr>
        <w:t>表现。</w:t>
      </w:r>
      <w:r w:rsidR="00DF6104">
        <w:rPr>
          <w:rFonts w:hint="eastAsia"/>
          <w:lang w:val="zh-CN"/>
        </w:rPr>
        <w:t>关于这种现象的解释为：</w:t>
      </w:r>
      <w:r w:rsidR="00A47178">
        <w:rPr>
          <w:rFonts w:hint="eastAsia"/>
          <w:lang w:val="zh-CN"/>
        </w:rPr>
        <w:t>高管们</w:t>
      </w:r>
      <w:r w:rsidR="00A47178" w:rsidRPr="006B775B">
        <w:rPr>
          <w:rFonts w:hint="eastAsia"/>
        </w:rPr>
        <w:t>进行</w:t>
      </w:r>
      <w:r w:rsidR="00A47178">
        <w:rPr>
          <w:rFonts w:hint="eastAsia"/>
        </w:rPr>
        <w:t>ESG</w:t>
      </w:r>
      <w:r w:rsidR="00A47178">
        <w:rPr>
          <w:rFonts w:hint="eastAsia"/>
        </w:rPr>
        <w:t>相关</w:t>
      </w:r>
      <w:r w:rsidR="00A47178" w:rsidRPr="006B775B">
        <w:rPr>
          <w:rFonts w:hint="eastAsia"/>
        </w:rPr>
        <w:t>投资是为了增加企业风险</w:t>
      </w:r>
      <w:r w:rsidR="00A47178">
        <w:rPr>
          <w:rFonts w:hint="eastAsia"/>
        </w:rPr>
        <w:t>，因为他们</w:t>
      </w:r>
      <w:r w:rsidR="00A47178" w:rsidRPr="00A47178">
        <w:rPr>
          <w:rFonts w:hint="eastAsia"/>
          <w:lang w:val="zh-CN"/>
        </w:rPr>
        <w:t>认为</w:t>
      </w:r>
      <w:r w:rsidR="00A47178" w:rsidRPr="00A47178">
        <w:rPr>
          <w:rFonts w:hint="eastAsia"/>
          <w:lang w:val="zh-CN"/>
        </w:rPr>
        <w:t>ESG</w:t>
      </w:r>
      <w:r w:rsidR="00A47178" w:rsidRPr="00A47178">
        <w:rPr>
          <w:rFonts w:hint="eastAsia"/>
          <w:lang w:val="zh-CN"/>
        </w:rPr>
        <w:t>相关投资会降低股价，同时也会促进股票价格的波动</w:t>
      </w:r>
      <w:r w:rsidR="00DF6104">
        <w:rPr>
          <w:rFonts w:hint="eastAsia"/>
          <w:lang w:val="zh-CN"/>
        </w:rPr>
        <w:t>，所以为了自身的财富最大化高管在</w:t>
      </w:r>
      <w:r w:rsidR="00DF6104" w:rsidRPr="00DF6104">
        <w:rPr>
          <w:rFonts w:hint="eastAsia"/>
          <w:lang w:val="zh-CN"/>
        </w:rPr>
        <w:t>Delta</w:t>
      </w:r>
      <w:r w:rsidR="00DF6104" w:rsidRPr="00DF6104">
        <w:rPr>
          <w:rFonts w:hint="eastAsia"/>
          <w:lang w:val="zh-CN"/>
        </w:rPr>
        <w:t>更低、</w:t>
      </w:r>
      <w:r w:rsidR="00DF6104" w:rsidRPr="00DF6104">
        <w:rPr>
          <w:rFonts w:hint="eastAsia"/>
          <w:lang w:val="zh-CN"/>
        </w:rPr>
        <w:t>Vega</w:t>
      </w:r>
      <w:r w:rsidR="00DF6104" w:rsidRPr="00DF6104">
        <w:rPr>
          <w:rFonts w:hint="eastAsia"/>
          <w:lang w:val="zh-CN"/>
        </w:rPr>
        <w:t>更高</w:t>
      </w:r>
      <w:r w:rsidR="00DF6104">
        <w:rPr>
          <w:rFonts w:hint="eastAsia"/>
          <w:lang w:val="zh-CN"/>
        </w:rPr>
        <w:t>的时候追求</w:t>
      </w:r>
      <w:r w:rsidR="00DF6104">
        <w:rPr>
          <w:rFonts w:hint="eastAsia"/>
          <w:lang w:val="zh-CN"/>
        </w:rPr>
        <w:t>ESG</w:t>
      </w:r>
      <w:r w:rsidR="00DF6104">
        <w:rPr>
          <w:rFonts w:hint="eastAsia"/>
          <w:lang w:val="zh-CN"/>
        </w:rPr>
        <w:t>相关投资</w:t>
      </w:r>
      <w:r w:rsidR="00A47178" w:rsidRPr="00A47178">
        <w:rPr>
          <w:rFonts w:hint="eastAsia"/>
          <w:lang w:val="zh-CN"/>
        </w:rPr>
        <w:t>。而且企业高管薪酬敏感性中风险承担效应（</w:t>
      </w:r>
      <w:r w:rsidR="00A47178" w:rsidRPr="00A47178">
        <w:rPr>
          <w:rFonts w:hint="eastAsia"/>
          <w:lang w:val="zh-CN"/>
        </w:rPr>
        <w:t>Vega</w:t>
      </w:r>
      <w:r w:rsidR="00A47178" w:rsidRPr="00A47178">
        <w:rPr>
          <w:rFonts w:hint="eastAsia"/>
          <w:lang w:val="zh-CN"/>
        </w:rPr>
        <w:t>）相较于激励效应（</w:t>
      </w:r>
      <w:r w:rsidR="00A47178" w:rsidRPr="00A47178">
        <w:rPr>
          <w:rFonts w:hint="eastAsia"/>
          <w:lang w:val="zh-CN"/>
        </w:rPr>
        <w:t>Delta</w:t>
      </w:r>
      <w:r w:rsidR="00A47178" w:rsidRPr="00A47178">
        <w:rPr>
          <w:rFonts w:hint="eastAsia"/>
          <w:lang w:val="zh-CN"/>
        </w:rPr>
        <w:t>）对</w:t>
      </w:r>
      <w:r w:rsidR="00A47178" w:rsidRPr="00A47178">
        <w:rPr>
          <w:rFonts w:hint="eastAsia"/>
          <w:lang w:val="zh-CN"/>
        </w:rPr>
        <w:t>ESG</w:t>
      </w:r>
      <w:r w:rsidR="00A47178" w:rsidRPr="00A47178">
        <w:rPr>
          <w:rFonts w:hint="eastAsia"/>
          <w:lang w:val="zh-CN"/>
        </w:rPr>
        <w:t>表现的影响更显著和稳定，说明高管们可能对</w:t>
      </w:r>
      <w:r w:rsidR="00A47178" w:rsidRPr="00A47178">
        <w:rPr>
          <w:rFonts w:hint="eastAsia"/>
          <w:lang w:val="zh-CN"/>
        </w:rPr>
        <w:t>ESG</w:t>
      </w:r>
      <w:r w:rsidR="00A47178" w:rsidRPr="00A47178">
        <w:rPr>
          <w:rFonts w:hint="eastAsia"/>
          <w:lang w:val="zh-CN"/>
        </w:rPr>
        <w:t>相关投资会增加股价波动性的可能更加确信。</w:t>
      </w:r>
    </w:p>
    <w:p w14:paraId="5CADA136" w14:textId="33771FCA" w:rsidR="00871FC2" w:rsidRPr="00BD6142" w:rsidRDefault="002B6021" w:rsidP="00DC363D">
      <w:pPr>
        <w:ind w:firstLineChars="200" w:firstLine="480"/>
        <w:rPr>
          <w:lang w:val="zh-CN"/>
        </w:rPr>
      </w:pPr>
      <w:bookmarkStart w:id="4" w:name="_Hlk102416221"/>
      <w:r>
        <w:rPr>
          <w:rFonts w:hint="eastAsia"/>
          <w:lang w:val="zh-CN"/>
        </w:rPr>
        <w:t>总之，</w:t>
      </w:r>
      <w:r w:rsidR="00DF6104">
        <w:rPr>
          <w:rFonts w:hint="eastAsia"/>
          <w:lang w:val="zh-CN"/>
        </w:rPr>
        <w:t>由于</w:t>
      </w:r>
      <w:r w:rsidR="00871FC2">
        <w:rPr>
          <w:rFonts w:hint="eastAsia"/>
          <w:lang w:val="zh-CN"/>
        </w:rPr>
        <w:t>企业高管们并不</w:t>
      </w:r>
      <w:r w:rsidR="00871FC2" w:rsidRPr="00837150">
        <w:rPr>
          <w:rFonts w:hint="eastAsia"/>
          <w:lang w:val="zh-CN"/>
        </w:rPr>
        <w:t>认为</w:t>
      </w:r>
      <w:r w:rsidR="00871FC2">
        <w:rPr>
          <w:rFonts w:hint="eastAsia"/>
          <w:lang w:val="zh-CN"/>
        </w:rPr>
        <w:t>ESG</w:t>
      </w:r>
      <w:r w:rsidR="00871FC2">
        <w:rPr>
          <w:rFonts w:hint="eastAsia"/>
          <w:lang w:val="zh-CN"/>
        </w:rPr>
        <w:t>相关投资</w:t>
      </w:r>
      <w:r w:rsidR="00871FC2" w:rsidRPr="00837150">
        <w:rPr>
          <w:rFonts w:hint="eastAsia"/>
          <w:lang w:val="zh-CN"/>
        </w:rPr>
        <w:t>是一种</w:t>
      </w:r>
      <w:r w:rsidR="00871FC2">
        <w:rPr>
          <w:rFonts w:hint="eastAsia"/>
          <w:lang w:val="zh-CN"/>
        </w:rPr>
        <w:t>提升企业</w:t>
      </w:r>
      <w:r w:rsidR="00871FC2" w:rsidRPr="00837150">
        <w:rPr>
          <w:rFonts w:hint="eastAsia"/>
          <w:lang w:val="zh-CN"/>
        </w:rPr>
        <w:t>价值的方式，而是一种通过</w:t>
      </w:r>
      <w:r w:rsidR="00871FC2">
        <w:rPr>
          <w:rFonts w:hint="eastAsia"/>
          <w:lang w:val="zh-CN"/>
        </w:rPr>
        <w:t>提高</w:t>
      </w:r>
      <w:r w:rsidR="00871FC2">
        <w:rPr>
          <w:rFonts w:hint="eastAsia"/>
          <w:lang w:val="zh-CN"/>
        </w:rPr>
        <w:t>V</w:t>
      </w:r>
      <w:r w:rsidR="00871FC2" w:rsidRPr="00837150">
        <w:rPr>
          <w:lang w:val="zh-CN"/>
        </w:rPr>
        <w:t>ega</w:t>
      </w:r>
      <w:r w:rsidR="00871FC2">
        <w:rPr>
          <w:rFonts w:hint="eastAsia"/>
          <w:lang w:val="zh-CN"/>
        </w:rPr>
        <w:t>来</w:t>
      </w:r>
      <w:r w:rsidR="00871FC2" w:rsidRPr="00837150">
        <w:rPr>
          <w:rFonts w:hint="eastAsia"/>
          <w:lang w:val="zh-CN"/>
        </w:rPr>
        <w:t>提高自身</w:t>
      </w:r>
      <w:r w:rsidR="00871FC2">
        <w:rPr>
          <w:rFonts w:hint="eastAsia"/>
          <w:lang w:val="zh-CN"/>
        </w:rPr>
        <w:t>财富</w:t>
      </w:r>
      <w:r w:rsidR="00871FC2" w:rsidRPr="00837150">
        <w:rPr>
          <w:rFonts w:hint="eastAsia"/>
          <w:lang w:val="zh-CN"/>
        </w:rPr>
        <w:t>的方式</w:t>
      </w:r>
      <w:r w:rsidR="00DC363D">
        <w:rPr>
          <w:rFonts w:hint="eastAsia"/>
          <w:lang w:val="zh-CN"/>
        </w:rPr>
        <w:t>，</w:t>
      </w:r>
      <w:r w:rsidR="00871FC2">
        <w:rPr>
          <w:rFonts w:hint="eastAsia"/>
          <w:lang w:val="zh-CN"/>
        </w:rPr>
        <w:t>这</w:t>
      </w:r>
      <w:r w:rsidR="00DC363D">
        <w:rPr>
          <w:rFonts w:hint="eastAsia"/>
          <w:lang w:val="zh-CN"/>
        </w:rPr>
        <w:t>启示了</w:t>
      </w:r>
      <w:r w:rsidR="00871FC2" w:rsidRPr="00837150">
        <w:rPr>
          <w:rFonts w:hint="eastAsia"/>
          <w:lang w:val="zh-CN"/>
        </w:rPr>
        <w:t>想要提高</w:t>
      </w:r>
      <w:r w:rsidR="00871FC2">
        <w:rPr>
          <w:rFonts w:hint="eastAsia"/>
          <w:lang w:val="zh-CN"/>
        </w:rPr>
        <w:t>自身</w:t>
      </w:r>
      <w:r w:rsidR="00871FC2" w:rsidRPr="00837150">
        <w:rPr>
          <w:rFonts w:hint="eastAsia"/>
          <w:lang w:val="zh-CN"/>
        </w:rPr>
        <w:t>的</w:t>
      </w:r>
      <w:r w:rsidR="00871FC2">
        <w:rPr>
          <w:rFonts w:hint="eastAsia"/>
          <w:lang w:val="zh-CN"/>
        </w:rPr>
        <w:t>ESG</w:t>
      </w:r>
      <w:r w:rsidR="00871FC2">
        <w:rPr>
          <w:rFonts w:hint="eastAsia"/>
          <w:lang w:val="zh-CN"/>
        </w:rPr>
        <w:t>评分</w:t>
      </w:r>
      <w:r w:rsidR="00871FC2" w:rsidRPr="00837150">
        <w:rPr>
          <w:rFonts w:hint="eastAsia"/>
          <w:lang w:val="zh-CN"/>
        </w:rPr>
        <w:t>的</w:t>
      </w:r>
      <w:r w:rsidR="00871FC2">
        <w:rPr>
          <w:rFonts w:hint="eastAsia"/>
          <w:lang w:val="zh-CN"/>
        </w:rPr>
        <w:t>企业</w:t>
      </w:r>
      <w:r w:rsidR="00DC363D">
        <w:rPr>
          <w:rFonts w:hint="eastAsia"/>
          <w:lang w:val="zh-CN"/>
        </w:rPr>
        <w:t>董事会应更重视高管薪酬结构的安排，要把</w:t>
      </w:r>
      <w:r w:rsidR="00871FC2">
        <w:rPr>
          <w:rFonts w:hint="eastAsia"/>
          <w:lang w:val="zh-CN"/>
        </w:rPr>
        <w:t>提高</w:t>
      </w:r>
      <w:r w:rsidR="00871FC2">
        <w:rPr>
          <w:rFonts w:hint="eastAsia"/>
          <w:lang w:val="zh-CN"/>
        </w:rPr>
        <w:t>Vega</w:t>
      </w:r>
      <w:r w:rsidR="00871FC2" w:rsidRPr="00837150">
        <w:rPr>
          <w:rFonts w:hint="eastAsia"/>
          <w:lang w:val="zh-CN"/>
        </w:rPr>
        <w:t>作为对高管的重要薪酬激励</w:t>
      </w:r>
      <w:bookmarkEnd w:id="4"/>
      <w:r w:rsidR="00871FC2" w:rsidRPr="00837150">
        <w:rPr>
          <w:rFonts w:hint="eastAsia"/>
          <w:lang w:val="zh-CN"/>
        </w:rPr>
        <w:t>。</w:t>
      </w:r>
    </w:p>
    <w:p w14:paraId="0C0E7F2B" w14:textId="34587CAE" w:rsidR="00871FC2" w:rsidRDefault="00871FC2" w:rsidP="00871FC2">
      <w:pPr>
        <w:spacing w:beforeLines="50" w:before="163"/>
        <w:rPr>
          <w:rFonts w:ascii="宋体" w:hAnsi="宋体"/>
        </w:rPr>
      </w:pPr>
      <w:r w:rsidRPr="00881820">
        <w:rPr>
          <w:rFonts w:eastAsia="黑体"/>
          <w:b/>
          <w:bCs/>
        </w:rPr>
        <w:t>关键词：</w:t>
      </w:r>
      <w:bookmarkStart w:id="5" w:name="_Hlk101896090"/>
      <w:r w:rsidR="00AB1F8E">
        <w:rPr>
          <w:rFonts w:ascii="宋体" w:hAnsi="宋体" w:hint="eastAsia"/>
        </w:rPr>
        <w:t>环境、社会责任和公司治理；</w:t>
      </w:r>
      <w:r>
        <w:rPr>
          <w:rFonts w:ascii="宋体" w:hAnsi="宋体" w:hint="eastAsia"/>
        </w:rPr>
        <w:t>高管薪酬</w:t>
      </w:r>
      <w:r w:rsidRPr="00FE320C">
        <w:rPr>
          <w:rFonts w:ascii="宋体" w:hAnsi="宋体"/>
        </w:rPr>
        <w:t>；</w:t>
      </w:r>
      <w:r>
        <w:rPr>
          <w:rFonts w:ascii="宋体" w:hAnsi="宋体" w:hint="eastAsia"/>
        </w:rPr>
        <w:t>公司风险；代理问题</w:t>
      </w:r>
    </w:p>
    <w:bookmarkEnd w:id="5"/>
    <w:p w14:paraId="3E46E561" w14:textId="23315357" w:rsidR="00871FC2" w:rsidRDefault="00871FC2" w:rsidP="00871FC2">
      <w:pPr>
        <w:spacing w:beforeLines="50" w:before="163" w:afterLines="50" w:after="163"/>
        <w:jc w:val="center"/>
        <w:rPr>
          <w:rFonts w:eastAsia="黑体"/>
          <w:b/>
          <w:sz w:val="36"/>
          <w:szCs w:val="36"/>
        </w:rPr>
      </w:pPr>
      <w:r w:rsidRPr="00C54C2A">
        <w:rPr>
          <w:b/>
          <w:bCs/>
        </w:rPr>
        <w:br w:type="page"/>
      </w:r>
    </w:p>
    <w:p w14:paraId="255CF9DC" w14:textId="5B2DEBFA" w:rsidR="00871FC2" w:rsidRPr="007D1671" w:rsidRDefault="00871FC2" w:rsidP="00445D8E">
      <w:pPr>
        <w:pStyle w:val="1"/>
        <w:spacing w:before="163" w:after="163"/>
        <w:rPr>
          <w:color w:val="FF0000"/>
          <w:sz w:val="24"/>
        </w:rPr>
      </w:pPr>
      <w:bookmarkStart w:id="6" w:name="_Toc104478859"/>
      <w:r w:rsidRPr="00C54C2A">
        <w:lastRenderedPageBreak/>
        <w:t>Abstract</w:t>
      </w:r>
      <w:bookmarkEnd w:id="6"/>
    </w:p>
    <w:p w14:paraId="3D925FD2" w14:textId="2596CF3B" w:rsidR="00DF6104" w:rsidRPr="00DF6104" w:rsidRDefault="00DF6104" w:rsidP="00DF6104">
      <w:pPr>
        <w:ind w:firstLineChars="200" w:firstLine="480"/>
      </w:pPr>
      <w:r w:rsidRPr="00DF6104">
        <w:t>ESG (environment, social responsibility and corporate governance) has become a representative indicator of the sustainable development ability of major companies around the world. In order to study the impact of executive wealth sensitivity on ESG performance of Listed Companies in China, this paper uses the sensitivity of general managers' wealth to stock price and stock price volatility</w:t>
      </w:r>
      <w:r>
        <w:t xml:space="preserve"> </w:t>
      </w:r>
      <w:r w:rsidRPr="00DF6104">
        <w:t>of 53 listed companies in China from 2014 to 2019 to provide empirical evidence to prove that executive compensation structure affects ESG performance.</w:t>
      </w:r>
    </w:p>
    <w:p w14:paraId="57FC9DEF" w14:textId="3809C0F2" w:rsidR="00DF6104" w:rsidRPr="00DF6104" w:rsidRDefault="00DF6104" w:rsidP="00DF6104">
      <w:pPr>
        <w:ind w:firstLineChars="200" w:firstLine="480"/>
      </w:pPr>
      <w:r w:rsidRPr="00DF6104">
        <w:t>This paper found that Delta had a significant negative impact on ESG score, while Vega had a significant positive relationship with ESG score. This shows that executives with lower delta and higher Vega are more likely to make ESG related investments to improve enterprise ESG performance. The explanation is that executives make ESG related investments to increase enterprise risk, because they believe that ESG related investments will reduce the stock price and promote the fluctuation of stock price. Therefore, in order to maximize their own wealth, executives pursue ESG related investments</w:t>
      </w:r>
      <w:r>
        <w:t xml:space="preserve">. </w:t>
      </w:r>
      <w:r w:rsidRPr="00DF6104">
        <w:t>Moreover, the effect of risk-taking effect</w:t>
      </w:r>
      <w:r>
        <w:t xml:space="preserve"> </w:t>
      </w:r>
      <w:r w:rsidRPr="00DF6104">
        <w:t>on ESG performance is more significant and stable than the incentive effect, indicating that executives may be more confident that ESG related investments will increase stock price volatility.</w:t>
      </w:r>
    </w:p>
    <w:p w14:paraId="5F1836F7" w14:textId="50F0480A" w:rsidR="00DF6104" w:rsidRDefault="002B6021" w:rsidP="00DF6104">
      <w:pPr>
        <w:ind w:firstLineChars="200" w:firstLine="480"/>
      </w:pPr>
      <w:r>
        <w:rPr>
          <w:rFonts w:hint="eastAsia"/>
        </w:rPr>
        <w:t>After</w:t>
      </w:r>
      <w:r>
        <w:t xml:space="preserve"> </w:t>
      </w:r>
      <w:r>
        <w:rPr>
          <w:rFonts w:hint="eastAsia"/>
        </w:rPr>
        <w:t>all</w:t>
      </w:r>
      <w:r w:rsidR="00DF6104" w:rsidRPr="00DF6104">
        <w:t>, executives do not think that ESG related investment is a way to enhance enterprise value, but a way to improve their wealth by improving Vega, which suggests that the board of directors of enterprises who want to improve their ESG score should pay more attention to the arrangement of executive compensation structure and take improving Vega as an important compensation incentive for executives</w:t>
      </w:r>
      <w:r w:rsidR="00DF6104">
        <w:rPr>
          <w:rFonts w:hint="eastAsia"/>
        </w:rPr>
        <w:t>.</w:t>
      </w:r>
    </w:p>
    <w:p w14:paraId="5E18E6E2" w14:textId="7C5E47F6" w:rsidR="00871FC2" w:rsidRPr="005F208F" w:rsidRDefault="00DF6104" w:rsidP="00DF6104">
      <w:r w:rsidRPr="00DF6104">
        <w:t>.</w:t>
      </w:r>
      <w:r w:rsidR="00871FC2" w:rsidRPr="00566B53">
        <w:rPr>
          <w:b/>
        </w:rPr>
        <w:t>Key Words</w:t>
      </w:r>
      <w:r w:rsidR="00871FC2" w:rsidRPr="00566B53">
        <w:rPr>
          <w:b/>
        </w:rPr>
        <w:t>：</w:t>
      </w:r>
      <w:r w:rsidR="00871FC2" w:rsidRPr="00B66703">
        <w:rPr>
          <w:rFonts w:hint="eastAsia"/>
        </w:rPr>
        <w:t>Vega</w:t>
      </w:r>
      <w:r w:rsidR="00871FC2">
        <w:rPr>
          <w:rFonts w:hint="eastAsia"/>
        </w:rPr>
        <w:t>;</w:t>
      </w:r>
      <w:r w:rsidR="00871FC2">
        <w:t xml:space="preserve"> </w:t>
      </w:r>
      <w:r w:rsidR="00871FC2" w:rsidRPr="00B66703">
        <w:rPr>
          <w:rFonts w:hint="eastAsia"/>
        </w:rPr>
        <w:t>ESG</w:t>
      </w:r>
      <w:r w:rsidR="00871FC2">
        <w:rPr>
          <w:rFonts w:hint="eastAsia"/>
        </w:rPr>
        <w:t>;</w:t>
      </w:r>
      <w:r w:rsidR="00871FC2">
        <w:t xml:space="preserve"> </w:t>
      </w:r>
      <w:r w:rsidR="00871FC2" w:rsidRPr="00B66703">
        <w:rPr>
          <w:rFonts w:hint="eastAsia"/>
        </w:rPr>
        <w:t>Delta</w:t>
      </w:r>
      <w:r w:rsidR="00871FC2">
        <w:t xml:space="preserve">; </w:t>
      </w:r>
      <w:r w:rsidR="00871FC2" w:rsidRPr="00B66703">
        <w:t>Executive compensation; Corporate risks; Agency problem</w:t>
      </w:r>
      <w:r w:rsidR="005F208F">
        <w:br w:type="page"/>
      </w:r>
    </w:p>
    <w:sdt>
      <w:sdtPr>
        <w:rPr>
          <w:rFonts w:ascii="Times New Roman" w:eastAsia="宋体" w:hAnsi="Times New Roman" w:cs="Times New Roman"/>
          <w:color w:val="auto"/>
          <w:kern w:val="2"/>
          <w:sz w:val="21"/>
          <w:szCs w:val="20"/>
          <w:lang w:val="zh-CN"/>
        </w:rPr>
        <w:id w:val="-2069025034"/>
        <w:docPartObj>
          <w:docPartGallery w:val="Table of Contents"/>
          <w:docPartUnique/>
        </w:docPartObj>
      </w:sdtPr>
      <w:sdtEndPr>
        <w:rPr>
          <w:bCs/>
          <w:sz w:val="24"/>
          <w:szCs w:val="24"/>
        </w:rPr>
      </w:sdtEndPr>
      <w:sdtContent>
        <w:p w14:paraId="307C219C" w14:textId="68419189" w:rsidR="00B07956" w:rsidRPr="00633CE3" w:rsidRDefault="000018E0" w:rsidP="00972E87">
          <w:pPr>
            <w:pStyle w:val="TOC"/>
            <w:tabs>
              <w:tab w:val="left" w:pos="2800"/>
              <w:tab w:val="center" w:pos="4153"/>
            </w:tabs>
            <w:spacing w:before="163" w:after="163"/>
            <w:rPr>
              <w:rFonts w:ascii="黑体" w:eastAsia="黑体" w:hAnsi="黑体"/>
              <w:b/>
              <w:bCs/>
              <w:color w:val="000000" w:themeColor="text1"/>
              <w:sz w:val="36"/>
              <w:szCs w:val="36"/>
            </w:rPr>
          </w:pPr>
          <w:r>
            <w:rPr>
              <w:rFonts w:ascii="Times New Roman" w:eastAsia="宋体" w:hAnsi="Times New Roman" w:cs="Times New Roman"/>
              <w:color w:val="auto"/>
              <w:kern w:val="2"/>
              <w:sz w:val="21"/>
              <w:szCs w:val="20"/>
              <w:lang w:val="zh-CN"/>
            </w:rPr>
            <w:tab/>
          </w:r>
          <w:r>
            <w:rPr>
              <w:rFonts w:ascii="Times New Roman" w:eastAsia="宋体" w:hAnsi="Times New Roman" w:cs="Times New Roman"/>
              <w:color w:val="auto"/>
              <w:kern w:val="2"/>
              <w:sz w:val="21"/>
              <w:szCs w:val="20"/>
              <w:lang w:val="zh-CN"/>
            </w:rPr>
            <w:tab/>
          </w:r>
          <w:r w:rsidR="00B07956" w:rsidRPr="00633CE3">
            <w:rPr>
              <w:rFonts w:ascii="黑体" w:eastAsia="黑体" w:hAnsi="黑体"/>
              <w:b/>
              <w:bCs/>
              <w:color w:val="000000" w:themeColor="text1"/>
              <w:sz w:val="36"/>
              <w:szCs w:val="36"/>
              <w:lang w:val="zh-CN"/>
            </w:rPr>
            <w:t>目</w:t>
          </w:r>
          <w:r w:rsidR="00633CE3">
            <w:rPr>
              <w:rFonts w:ascii="黑体" w:eastAsia="黑体" w:hAnsi="黑体" w:hint="eastAsia"/>
              <w:b/>
              <w:bCs/>
              <w:color w:val="000000" w:themeColor="text1"/>
              <w:sz w:val="36"/>
              <w:szCs w:val="36"/>
              <w:lang w:val="zh-CN"/>
            </w:rPr>
            <w:t xml:space="preserve"> </w:t>
          </w:r>
          <w:r w:rsidR="00633CE3">
            <w:rPr>
              <w:rFonts w:ascii="黑体" w:eastAsia="黑体" w:hAnsi="黑体"/>
              <w:b/>
              <w:bCs/>
              <w:color w:val="000000" w:themeColor="text1"/>
              <w:sz w:val="36"/>
              <w:szCs w:val="36"/>
              <w:lang w:val="zh-CN"/>
            </w:rPr>
            <w:t xml:space="preserve"> </w:t>
          </w:r>
          <w:r w:rsidR="00B07956" w:rsidRPr="00633CE3">
            <w:rPr>
              <w:rFonts w:ascii="黑体" w:eastAsia="黑体" w:hAnsi="黑体"/>
              <w:b/>
              <w:bCs/>
              <w:color w:val="000000" w:themeColor="text1"/>
              <w:sz w:val="36"/>
              <w:szCs w:val="36"/>
              <w:lang w:val="zh-CN"/>
            </w:rPr>
            <w:t>录</w:t>
          </w:r>
        </w:p>
        <w:p w14:paraId="2E9AA719" w14:textId="20CDDF09" w:rsidR="00CB2073" w:rsidRPr="00CB2073" w:rsidRDefault="00DB27D7">
          <w:pPr>
            <w:pStyle w:val="TOC1"/>
            <w:rPr>
              <w:rFonts w:asciiTheme="minorHAnsi" w:eastAsiaTheme="minorEastAsia" w:hAnsiTheme="minorHAnsi" w:cstheme="minorBidi"/>
              <w:b w:val="0"/>
              <w:bCs w:val="0"/>
              <w:sz w:val="21"/>
              <w:szCs w:val="22"/>
            </w:rPr>
          </w:pPr>
          <w:r w:rsidRPr="00CB2073">
            <w:rPr>
              <w:b w:val="0"/>
              <w:bCs w:val="0"/>
            </w:rPr>
            <w:fldChar w:fldCharType="begin"/>
          </w:r>
          <w:r w:rsidRPr="00CB2073">
            <w:rPr>
              <w:b w:val="0"/>
              <w:bCs w:val="0"/>
            </w:rPr>
            <w:instrText xml:space="preserve"> TOC \o "1-2" \h \z \u </w:instrText>
          </w:r>
          <w:r w:rsidRPr="00CB2073">
            <w:rPr>
              <w:b w:val="0"/>
              <w:bCs w:val="0"/>
            </w:rPr>
            <w:fldChar w:fldCharType="separate"/>
          </w:r>
          <w:hyperlink w:anchor="_Toc104478858" w:history="1">
            <w:r w:rsidR="00CB2073" w:rsidRPr="00CB2073">
              <w:rPr>
                <w:rStyle w:val="a7"/>
              </w:rPr>
              <w:t>摘</w:t>
            </w:r>
            <w:r w:rsidR="00CB2073" w:rsidRPr="00CB2073">
              <w:rPr>
                <w:rStyle w:val="a7"/>
              </w:rPr>
              <w:t xml:space="preserve">  </w:t>
            </w:r>
            <w:r w:rsidR="00CB2073" w:rsidRPr="00CB2073">
              <w:rPr>
                <w:rStyle w:val="a7"/>
              </w:rPr>
              <w:t>要</w:t>
            </w:r>
            <w:r w:rsidR="00CB2073" w:rsidRPr="00CB2073">
              <w:rPr>
                <w:b w:val="0"/>
                <w:webHidden/>
              </w:rPr>
              <w:tab/>
            </w:r>
            <w:r w:rsidR="00CB2073" w:rsidRPr="00CB2073">
              <w:rPr>
                <w:b w:val="0"/>
                <w:webHidden/>
              </w:rPr>
              <w:fldChar w:fldCharType="begin"/>
            </w:r>
            <w:r w:rsidR="00CB2073" w:rsidRPr="00CB2073">
              <w:rPr>
                <w:b w:val="0"/>
                <w:webHidden/>
              </w:rPr>
              <w:instrText xml:space="preserve"> PAGEREF _Toc104478858 \h </w:instrText>
            </w:r>
            <w:r w:rsidR="00CB2073" w:rsidRPr="00CB2073">
              <w:rPr>
                <w:b w:val="0"/>
                <w:webHidden/>
              </w:rPr>
            </w:r>
            <w:r w:rsidR="00CB2073" w:rsidRPr="00CB2073">
              <w:rPr>
                <w:b w:val="0"/>
                <w:webHidden/>
              </w:rPr>
              <w:fldChar w:fldCharType="separate"/>
            </w:r>
            <w:r w:rsidR="00AA0519">
              <w:rPr>
                <w:b w:val="0"/>
                <w:webHidden/>
              </w:rPr>
              <w:t>I</w:t>
            </w:r>
            <w:r w:rsidR="00CB2073" w:rsidRPr="00CB2073">
              <w:rPr>
                <w:b w:val="0"/>
                <w:webHidden/>
              </w:rPr>
              <w:fldChar w:fldCharType="end"/>
            </w:r>
          </w:hyperlink>
        </w:p>
        <w:p w14:paraId="7E093D19" w14:textId="3D9A7D22" w:rsidR="00CB2073" w:rsidRPr="00CB2073" w:rsidRDefault="00FB2F2B">
          <w:pPr>
            <w:pStyle w:val="TOC1"/>
            <w:rPr>
              <w:rFonts w:asciiTheme="minorHAnsi" w:eastAsiaTheme="minorEastAsia" w:hAnsiTheme="minorHAnsi" w:cstheme="minorBidi"/>
              <w:b w:val="0"/>
              <w:bCs w:val="0"/>
              <w:sz w:val="21"/>
              <w:szCs w:val="22"/>
            </w:rPr>
          </w:pPr>
          <w:hyperlink w:anchor="_Toc104478859" w:history="1">
            <w:r w:rsidR="00CB2073" w:rsidRPr="00CB2073">
              <w:rPr>
                <w:rStyle w:val="a7"/>
              </w:rPr>
              <w:t>Abstract</w:t>
            </w:r>
            <w:r w:rsidR="00CB2073" w:rsidRPr="00CB2073">
              <w:rPr>
                <w:b w:val="0"/>
                <w:webHidden/>
              </w:rPr>
              <w:tab/>
            </w:r>
            <w:r w:rsidR="00CB2073" w:rsidRPr="00CB2073">
              <w:rPr>
                <w:b w:val="0"/>
                <w:webHidden/>
              </w:rPr>
              <w:fldChar w:fldCharType="begin"/>
            </w:r>
            <w:r w:rsidR="00CB2073" w:rsidRPr="00CB2073">
              <w:rPr>
                <w:b w:val="0"/>
                <w:webHidden/>
              </w:rPr>
              <w:instrText xml:space="preserve"> PAGEREF _Toc104478859 \h </w:instrText>
            </w:r>
            <w:r w:rsidR="00CB2073" w:rsidRPr="00CB2073">
              <w:rPr>
                <w:b w:val="0"/>
                <w:webHidden/>
              </w:rPr>
            </w:r>
            <w:r w:rsidR="00CB2073" w:rsidRPr="00CB2073">
              <w:rPr>
                <w:b w:val="0"/>
                <w:webHidden/>
              </w:rPr>
              <w:fldChar w:fldCharType="separate"/>
            </w:r>
            <w:r w:rsidR="00AA0519">
              <w:rPr>
                <w:b w:val="0"/>
                <w:webHidden/>
              </w:rPr>
              <w:t>II</w:t>
            </w:r>
            <w:r w:rsidR="00CB2073" w:rsidRPr="00CB2073">
              <w:rPr>
                <w:b w:val="0"/>
                <w:webHidden/>
              </w:rPr>
              <w:fldChar w:fldCharType="end"/>
            </w:r>
          </w:hyperlink>
        </w:p>
        <w:p w14:paraId="4379F22D" w14:textId="46CA3EA0" w:rsidR="00CB2073" w:rsidRPr="00CB2073" w:rsidRDefault="00FB2F2B">
          <w:pPr>
            <w:pStyle w:val="TOC1"/>
            <w:rPr>
              <w:rFonts w:asciiTheme="minorHAnsi" w:eastAsiaTheme="minorEastAsia" w:hAnsiTheme="minorHAnsi" w:cstheme="minorBidi"/>
              <w:b w:val="0"/>
              <w:bCs w:val="0"/>
              <w:sz w:val="21"/>
              <w:szCs w:val="22"/>
            </w:rPr>
          </w:pPr>
          <w:hyperlink w:anchor="_Toc104478860" w:history="1">
            <w:r w:rsidR="00CB2073" w:rsidRPr="00CB2073">
              <w:rPr>
                <w:rStyle w:val="a7"/>
              </w:rPr>
              <w:t xml:space="preserve">1 </w:t>
            </w:r>
            <w:r w:rsidR="00703708">
              <w:rPr>
                <w:rStyle w:val="a7"/>
              </w:rPr>
              <w:t xml:space="preserve">  </w:t>
            </w:r>
            <w:r w:rsidR="00CB2073" w:rsidRPr="00CB2073">
              <w:rPr>
                <w:rStyle w:val="a7"/>
              </w:rPr>
              <w:t>绪论</w:t>
            </w:r>
            <w:r w:rsidR="00CB2073" w:rsidRPr="00CB2073">
              <w:rPr>
                <w:b w:val="0"/>
                <w:webHidden/>
              </w:rPr>
              <w:tab/>
            </w:r>
            <w:r w:rsidR="00CB2073" w:rsidRPr="00CB2073">
              <w:rPr>
                <w:b w:val="0"/>
                <w:webHidden/>
              </w:rPr>
              <w:fldChar w:fldCharType="begin"/>
            </w:r>
            <w:r w:rsidR="00CB2073" w:rsidRPr="00CB2073">
              <w:rPr>
                <w:b w:val="0"/>
                <w:webHidden/>
              </w:rPr>
              <w:instrText xml:space="preserve"> PAGEREF _Toc104478860 \h </w:instrText>
            </w:r>
            <w:r w:rsidR="00CB2073" w:rsidRPr="00CB2073">
              <w:rPr>
                <w:b w:val="0"/>
                <w:webHidden/>
              </w:rPr>
            </w:r>
            <w:r w:rsidR="00CB2073" w:rsidRPr="00CB2073">
              <w:rPr>
                <w:b w:val="0"/>
                <w:webHidden/>
              </w:rPr>
              <w:fldChar w:fldCharType="separate"/>
            </w:r>
            <w:r w:rsidR="00AA0519">
              <w:rPr>
                <w:b w:val="0"/>
                <w:webHidden/>
              </w:rPr>
              <w:t>1</w:t>
            </w:r>
            <w:r w:rsidR="00CB2073" w:rsidRPr="00CB2073">
              <w:rPr>
                <w:b w:val="0"/>
                <w:webHidden/>
              </w:rPr>
              <w:fldChar w:fldCharType="end"/>
            </w:r>
          </w:hyperlink>
        </w:p>
        <w:p w14:paraId="384C7932" w14:textId="139ADFBE" w:rsidR="00CB2073" w:rsidRPr="00CB2073" w:rsidRDefault="00FB2F2B" w:rsidP="00CB2073">
          <w:pPr>
            <w:pStyle w:val="TOC2"/>
            <w:ind w:leftChars="0" w:left="0"/>
            <w:rPr>
              <w:rFonts w:asciiTheme="minorHAnsi" w:eastAsiaTheme="minorEastAsia" w:hAnsiTheme="minorHAnsi" w:cstheme="minorBidi"/>
              <w:sz w:val="21"/>
              <w:szCs w:val="22"/>
            </w:rPr>
          </w:pPr>
          <w:hyperlink w:anchor="_Toc104478861" w:history="1">
            <w:r w:rsidR="00CB2073" w:rsidRPr="00CB2073">
              <w:rPr>
                <w:rStyle w:val="a7"/>
              </w:rPr>
              <w:t xml:space="preserve">1.1 </w:t>
            </w:r>
            <w:r w:rsidR="00703708">
              <w:rPr>
                <w:rStyle w:val="a7"/>
              </w:rPr>
              <w:t xml:space="preserve"> </w:t>
            </w:r>
            <w:r w:rsidR="00CB2073" w:rsidRPr="00CB2073">
              <w:rPr>
                <w:rStyle w:val="a7"/>
              </w:rPr>
              <w:t>研究背景及意义</w:t>
            </w:r>
            <w:r w:rsidR="00CB2073" w:rsidRPr="00CB2073">
              <w:rPr>
                <w:webHidden/>
              </w:rPr>
              <w:tab/>
            </w:r>
            <w:r w:rsidR="00CB2073" w:rsidRPr="00CB2073">
              <w:rPr>
                <w:webHidden/>
              </w:rPr>
              <w:fldChar w:fldCharType="begin"/>
            </w:r>
            <w:r w:rsidR="00CB2073" w:rsidRPr="00CB2073">
              <w:rPr>
                <w:webHidden/>
              </w:rPr>
              <w:instrText xml:space="preserve"> PAGEREF _Toc104478861 \h </w:instrText>
            </w:r>
            <w:r w:rsidR="00CB2073" w:rsidRPr="00CB2073">
              <w:rPr>
                <w:webHidden/>
              </w:rPr>
            </w:r>
            <w:r w:rsidR="00CB2073" w:rsidRPr="00CB2073">
              <w:rPr>
                <w:webHidden/>
              </w:rPr>
              <w:fldChar w:fldCharType="separate"/>
            </w:r>
            <w:r w:rsidR="00AA0519">
              <w:rPr>
                <w:webHidden/>
              </w:rPr>
              <w:t>1</w:t>
            </w:r>
            <w:r w:rsidR="00CB2073" w:rsidRPr="00CB2073">
              <w:rPr>
                <w:webHidden/>
              </w:rPr>
              <w:fldChar w:fldCharType="end"/>
            </w:r>
          </w:hyperlink>
        </w:p>
        <w:p w14:paraId="68D24CA0" w14:textId="35F243F8" w:rsidR="00CB2073" w:rsidRPr="00CB2073" w:rsidRDefault="00FB2F2B" w:rsidP="00CB2073">
          <w:pPr>
            <w:pStyle w:val="TOC2"/>
            <w:ind w:leftChars="0" w:left="0"/>
            <w:rPr>
              <w:rFonts w:asciiTheme="minorHAnsi" w:eastAsiaTheme="minorEastAsia" w:hAnsiTheme="minorHAnsi" w:cstheme="minorBidi"/>
              <w:sz w:val="21"/>
              <w:szCs w:val="22"/>
            </w:rPr>
          </w:pPr>
          <w:hyperlink w:anchor="_Toc104478862" w:history="1">
            <w:r w:rsidR="00CB2073" w:rsidRPr="00CB2073">
              <w:rPr>
                <w:rStyle w:val="a7"/>
              </w:rPr>
              <w:t xml:space="preserve">1.2 </w:t>
            </w:r>
            <w:r w:rsidR="00703708">
              <w:rPr>
                <w:rStyle w:val="a7"/>
              </w:rPr>
              <w:t xml:space="preserve"> </w:t>
            </w:r>
            <w:r w:rsidR="00CB2073" w:rsidRPr="00CB2073">
              <w:rPr>
                <w:rStyle w:val="a7"/>
              </w:rPr>
              <w:t>文献综述</w:t>
            </w:r>
            <w:r w:rsidR="00CB2073" w:rsidRPr="00CB2073">
              <w:rPr>
                <w:webHidden/>
              </w:rPr>
              <w:tab/>
            </w:r>
            <w:r w:rsidR="00CB2073" w:rsidRPr="00CB2073">
              <w:rPr>
                <w:webHidden/>
              </w:rPr>
              <w:fldChar w:fldCharType="begin"/>
            </w:r>
            <w:r w:rsidR="00CB2073" w:rsidRPr="00CB2073">
              <w:rPr>
                <w:webHidden/>
              </w:rPr>
              <w:instrText xml:space="preserve"> PAGEREF _Toc104478862 \h </w:instrText>
            </w:r>
            <w:r w:rsidR="00CB2073" w:rsidRPr="00CB2073">
              <w:rPr>
                <w:webHidden/>
              </w:rPr>
            </w:r>
            <w:r w:rsidR="00CB2073" w:rsidRPr="00CB2073">
              <w:rPr>
                <w:webHidden/>
              </w:rPr>
              <w:fldChar w:fldCharType="separate"/>
            </w:r>
            <w:r w:rsidR="00AA0519">
              <w:rPr>
                <w:webHidden/>
              </w:rPr>
              <w:t>3</w:t>
            </w:r>
            <w:r w:rsidR="00CB2073" w:rsidRPr="00CB2073">
              <w:rPr>
                <w:webHidden/>
              </w:rPr>
              <w:fldChar w:fldCharType="end"/>
            </w:r>
          </w:hyperlink>
        </w:p>
        <w:p w14:paraId="66D291AE" w14:textId="1B36831D" w:rsidR="00CB2073" w:rsidRPr="00CB2073" w:rsidRDefault="00FB2F2B" w:rsidP="00CB2073">
          <w:pPr>
            <w:pStyle w:val="TOC2"/>
            <w:ind w:leftChars="0" w:left="0"/>
            <w:rPr>
              <w:rFonts w:asciiTheme="minorHAnsi" w:eastAsiaTheme="minorEastAsia" w:hAnsiTheme="minorHAnsi" w:cstheme="minorBidi"/>
              <w:sz w:val="21"/>
              <w:szCs w:val="22"/>
            </w:rPr>
          </w:pPr>
          <w:hyperlink w:anchor="_Toc104478863" w:history="1">
            <w:r w:rsidR="00CB2073" w:rsidRPr="00CB2073">
              <w:rPr>
                <w:rStyle w:val="a7"/>
              </w:rPr>
              <w:t xml:space="preserve">1.3 </w:t>
            </w:r>
            <w:r w:rsidR="00703708">
              <w:rPr>
                <w:rStyle w:val="a7"/>
              </w:rPr>
              <w:t xml:space="preserve"> </w:t>
            </w:r>
            <w:r w:rsidR="00CB2073" w:rsidRPr="00CB2073">
              <w:rPr>
                <w:rStyle w:val="a7"/>
              </w:rPr>
              <w:t>研究内容与研究方法</w:t>
            </w:r>
            <w:r w:rsidR="00CB2073" w:rsidRPr="00CB2073">
              <w:rPr>
                <w:webHidden/>
              </w:rPr>
              <w:tab/>
            </w:r>
            <w:r w:rsidR="00CB2073" w:rsidRPr="00CB2073">
              <w:rPr>
                <w:webHidden/>
              </w:rPr>
              <w:fldChar w:fldCharType="begin"/>
            </w:r>
            <w:r w:rsidR="00CB2073" w:rsidRPr="00CB2073">
              <w:rPr>
                <w:webHidden/>
              </w:rPr>
              <w:instrText xml:space="preserve"> PAGEREF _Toc104478863 \h </w:instrText>
            </w:r>
            <w:r w:rsidR="00CB2073" w:rsidRPr="00CB2073">
              <w:rPr>
                <w:webHidden/>
              </w:rPr>
            </w:r>
            <w:r w:rsidR="00CB2073" w:rsidRPr="00CB2073">
              <w:rPr>
                <w:webHidden/>
              </w:rPr>
              <w:fldChar w:fldCharType="separate"/>
            </w:r>
            <w:r w:rsidR="00AA0519">
              <w:rPr>
                <w:webHidden/>
              </w:rPr>
              <w:t>8</w:t>
            </w:r>
            <w:r w:rsidR="00CB2073" w:rsidRPr="00CB2073">
              <w:rPr>
                <w:webHidden/>
              </w:rPr>
              <w:fldChar w:fldCharType="end"/>
            </w:r>
          </w:hyperlink>
        </w:p>
        <w:p w14:paraId="372BAE35" w14:textId="5245535B" w:rsidR="00CB2073" w:rsidRPr="00CB2073" w:rsidRDefault="00FB2F2B" w:rsidP="00CB2073">
          <w:pPr>
            <w:pStyle w:val="TOC2"/>
            <w:ind w:leftChars="0" w:left="0"/>
            <w:rPr>
              <w:rFonts w:asciiTheme="minorHAnsi" w:eastAsiaTheme="minorEastAsia" w:hAnsiTheme="minorHAnsi" w:cstheme="minorBidi"/>
              <w:sz w:val="21"/>
              <w:szCs w:val="22"/>
            </w:rPr>
          </w:pPr>
          <w:hyperlink w:anchor="_Toc104478864" w:history="1">
            <w:r w:rsidR="00CB2073" w:rsidRPr="00CB2073">
              <w:rPr>
                <w:rStyle w:val="a7"/>
              </w:rPr>
              <w:t xml:space="preserve">1.4 </w:t>
            </w:r>
            <w:r w:rsidR="00703708">
              <w:rPr>
                <w:rStyle w:val="a7"/>
              </w:rPr>
              <w:t xml:space="preserve"> </w:t>
            </w:r>
            <w:r w:rsidR="00CB2073" w:rsidRPr="00CB2073">
              <w:rPr>
                <w:rStyle w:val="a7"/>
              </w:rPr>
              <w:t>研究创新点</w:t>
            </w:r>
            <w:r w:rsidR="00CB2073" w:rsidRPr="00CB2073">
              <w:rPr>
                <w:webHidden/>
              </w:rPr>
              <w:tab/>
            </w:r>
            <w:r w:rsidR="00CB2073" w:rsidRPr="00CB2073">
              <w:rPr>
                <w:webHidden/>
              </w:rPr>
              <w:fldChar w:fldCharType="begin"/>
            </w:r>
            <w:r w:rsidR="00CB2073" w:rsidRPr="00CB2073">
              <w:rPr>
                <w:webHidden/>
              </w:rPr>
              <w:instrText xml:space="preserve"> PAGEREF _Toc104478864 \h </w:instrText>
            </w:r>
            <w:r w:rsidR="00CB2073" w:rsidRPr="00CB2073">
              <w:rPr>
                <w:webHidden/>
              </w:rPr>
            </w:r>
            <w:r w:rsidR="00CB2073" w:rsidRPr="00CB2073">
              <w:rPr>
                <w:webHidden/>
              </w:rPr>
              <w:fldChar w:fldCharType="separate"/>
            </w:r>
            <w:r w:rsidR="00AA0519">
              <w:rPr>
                <w:webHidden/>
              </w:rPr>
              <w:t>10</w:t>
            </w:r>
            <w:r w:rsidR="00CB2073" w:rsidRPr="00CB2073">
              <w:rPr>
                <w:webHidden/>
              </w:rPr>
              <w:fldChar w:fldCharType="end"/>
            </w:r>
          </w:hyperlink>
        </w:p>
        <w:p w14:paraId="21C6F39C" w14:textId="15F41FD7" w:rsidR="00CB2073" w:rsidRPr="00CB2073" w:rsidRDefault="00FB2F2B">
          <w:pPr>
            <w:pStyle w:val="TOC1"/>
            <w:rPr>
              <w:rFonts w:asciiTheme="minorHAnsi" w:eastAsiaTheme="minorEastAsia" w:hAnsiTheme="minorHAnsi" w:cstheme="minorBidi"/>
              <w:b w:val="0"/>
              <w:bCs w:val="0"/>
              <w:sz w:val="21"/>
              <w:szCs w:val="22"/>
            </w:rPr>
          </w:pPr>
          <w:hyperlink w:anchor="_Toc104478865" w:history="1">
            <w:r w:rsidR="00CB2073" w:rsidRPr="00CB2073">
              <w:rPr>
                <w:rStyle w:val="a7"/>
              </w:rPr>
              <w:t xml:space="preserve">2 </w:t>
            </w:r>
            <w:r w:rsidR="00703708">
              <w:rPr>
                <w:rStyle w:val="a7"/>
              </w:rPr>
              <w:t xml:space="preserve">  </w:t>
            </w:r>
            <w:r w:rsidR="00CB2073" w:rsidRPr="00CB2073">
              <w:rPr>
                <w:rStyle w:val="a7"/>
              </w:rPr>
              <w:t>理论背景与研究假设</w:t>
            </w:r>
            <w:r w:rsidR="00CB2073" w:rsidRPr="00CB2073">
              <w:rPr>
                <w:b w:val="0"/>
                <w:webHidden/>
              </w:rPr>
              <w:tab/>
            </w:r>
            <w:r w:rsidR="00CB2073" w:rsidRPr="00CB2073">
              <w:rPr>
                <w:b w:val="0"/>
                <w:webHidden/>
              </w:rPr>
              <w:fldChar w:fldCharType="begin"/>
            </w:r>
            <w:r w:rsidR="00CB2073" w:rsidRPr="00CB2073">
              <w:rPr>
                <w:b w:val="0"/>
                <w:webHidden/>
              </w:rPr>
              <w:instrText xml:space="preserve"> PAGEREF _Toc104478865 \h </w:instrText>
            </w:r>
            <w:r w:rsidR="00CB2073" w:rsidRPr="00CB2073">
              <w:rPr>
                <w:b w:val="0"/>
                <w:webHidden/>
              </w:rPr>
            </w:r>
            <w:r w:rsidR="00CB2073" w:rsidRPr="00CB2073">
              <w:rPr>
                <w:b w:val="0"/>
                <w:webHidden/>
              </w:rPr>
              <w:fldChar w:fldCharType="separate"/>
            </w:r>
            <w:r w:rsidR="00AA0519">
              <w:rPr>
                <w:b w:val="0"/>
                <w:webHidden/>
              </w:rPr>
              <w:t>12</w:t>
            </w:r>
            <w:r w:rsidR="00CB2073" w:rsidRPr="00CB2073">
              <w:rPr>
                <w:b w:val="0"/>
                <w:webHidden/>
              </w:rPr>
              <w:fldChar w:fldCharType="end"/>
            </w:r>
          </w:hyperlink>
        </w:p>
        <w:p w14:paraId="687C5EAB" w14:textId="41BA0FB3" w:rsidR="00CB2073" w:rsidRPr="00CB2073" w:rsidRDefault="00FB2F2B" w:rsidP="00CB2073">
          <w:pPr>
            <w:pStyle w:val="TOC2"/>
            <w:ind w:leftChars="0" w:left="0"/>
            <w:rPr>
              <w:rFonts w:asciiTheme="minorHAnsi" w:eastAsiaTheme="minorEastAsia" w:hAnsiTheme="minorHAnsi" w:cstheme="minorBidi"/>
              <w:sz w:val="21"/>
              <w:szCs w:val="22"/>
            </w:rPr>
          </w:pPr>
          <w:hyperlink w:anchor="_Toc104478866" w:history="1">
            <w:r w:rsidR="00CB2073" w:rsidRPr="00CB2073">
              <w:rPr>
                <w:rStyle w:val="a7"/>
              </w:rPr>
              <w:t>2.1</w:t>
            </w:r>
            <w:r w:rsidR="00703708">
              <w:rPr>
                <w:rStyle w:val="a7"/>
              </w:rPr>
              <w:t xml:space="preserve"> </w:t>
            </w:r>
            <w:r w:rsidR="00CB2073" w:rsidRPr="00CB2073">
              <w:rPr>
                <w:rStyle w:val="a7"/>
              </w:rPr>
              <w:t xml:space="preserve"> </w:t>
            </w:r>
            <w:r w:rsidR="00CB2073" w:rsidRPr="00CB2073">
              <w:rPr>
                <w:rStyle w:val="a7"/>
              </w:rPr>
              <w:t>股权激励下高管激励效应和风险承担效应的理论基础</w:t>
            </w:r>
            <w:r w:rsidR="00CB2073" w:rsidRPr="00CB2073">
              <w:rPr>
                <w:webHidden/>
              </w:rPr>
              <w:tab/>
            </w:r>
            <w:r w:rsidR="00CB2073" w:rsidRPr="00CB2073">
              <w:rPr>
                <w:webHidden/>
              </w:rPr>
              <w:fldChar w:fldCharType="begin"/>
            </w:r>
            <w:r w:rsidR="00CB2073" w:rsidRPr="00CB2073">
              <w:rPr>
                <w:webHidden/>
              </w:rPr>
              <w:instrText xml:space="preserve"> PAGEREF _Toc104478866 \h </w:instrText>
            </w:r>
            <w:r w:rsidR="00CB2073" w:rsidRPr="00CB2073">
              <w:rPr>
                <w:webHidden/>
              </w:rPr>
            </w:r>
            <w:r w:rsidR="00CB2073" w:rsidRPr="00CB2073">
              <w:rPr>
                <w:webHidden/>
              </w:rPr>
              <w:fldChar w:fldCharType="separate"/>
            </w:r>
            <w:r w:rsidR="00AA0519">
              <w:rPr>
                <w:webHidden/>
              </w:rPr>
              <w:t>12</w:t>
            </w:r>
            <w:r w:rsidR="00CB2073" w:rsidRPr="00CB2073">
              <w:rPr>
                <w:webHidden/>
              </w:rPr>
              <w:fldChar w:fldCharType="end"/>
            </w:r>
          </w:hyperlink>
        </w:p>
        <w:p w14:paraId="0648AC67" w14:textId="075661A8" w:rsidR="00CB2073" w:rsidRPr="00CB2073" w:rsidRDefault="00FB2F2B" w:rsidP="00CB2073">
          <w:pPr>
            <w:pStyle w:val="TOC2"/>
            <w:ind w:leftChars="0" w:left="0"/>
            <w:rPr>
              <w:rFonts w:asciiTheme="minorHAnsi" w:eastAsiaTheme="minorEastAsia" w:hAnsiTheme="minorHAnsi" w:cstheme="minorBidi"/>
              <w:sz w:val="21"/>
              <w:szCs w:val="22"/>
            </w:rPr>
          </w:pPr>
          <w:hyperlink w:anchor="_Toc104478867" w:history="1">
            <w:r w:rsidR="00CB2073" w:rsidRPr="00CB2073">
              <w:rPr>
                <w:rStyle w:val="a7"/>
              </w:rPr>
              <w:t>2.2</w:t>
            </w:r>
            <w:r w:rsidR="00703708">
              <w:rPr>
                <w:rStyle w:val="a7"/>
              </w:rPr>
              <w:t xml:space="preserve"> </w:t>
            </w:r>
            <w:r w:rsidR="00CB2073" w:rsidRPr="00CB2073">
              <w:rPr>
                <w:rStyle w:val="a7"/>
              </w:rPr>
              <w:t xml:space="preserve"> </w:t>
            </w:r>
            <w:r w:rsidR="00CB2073" w:rsidRPr="00CB2073">
              <w:rPr>
                <w:rStyle w:val="a7"/>
              </w:rPr>
              <w:t>股权激励下高管激励效应对企业</w:t>
            </w:r>
            <w:r w:rsidR="00CB2073" w:rsidRPr="00CB2073">
              <w:rPr>
                <w:rStyle w:val="a7"/>
              </w:rPr>
              <w:t>ESG</w:t>
            </w:r>
            <w:r w:rsidR="00CB2073" w:rsidRPr="00CB2073">
              <w:rPr>
                <w:rStyle w:val="a7"/>
              </w:rPr>
              <w:t>的影响机制分析</w:t>
            </w:r>
            <w:r w:rsidR="00CB2073" w:rsidRPr="00CB2073">
              <w:rPr>
                <w:webHidden/>
              </w:rPr>
              <w:tab/>
            </w:r>
            <w:r w:rsidR="00CB2073" w:rsidRPr="00CB2073">
              <w:rPr>
                <w:webHidden/>
              </w:rPr>
              <w:fldChar w:fldCharType="begin"/>
            </w:r>
            <w:r w:rsidR="00CB2073" w:rsidRPr="00CB2073">
              <w:rPr>
                <w:webHidden/>
              </w:rPr>
              <w:instrText xml:space="preserve"> PAGEREF _Toc104478867 \h </w:instrText>
            </w:r>
            <w:r w:rsidR="00CB2073" w:rsidRPr="00CB2073">
              <w:rPr>
                <w:webHidden/>
              </w:rPr>
            </w:r>
            <w:r w:rsidR="00CB2073" w:rsidRPr="00CB2073">
              <w:rPr>
                <w:webHidden/>
              </w:rPr>
              <w:fldChar w:fldCharType="separate"/>
            </w:r>
            <w:r w:rsidR="00AA0519">
              <w:rPr>
                <w:webHidden/>
              </w:rPr>
              <w:t>12</w:t>
            </w:r>
            <w:r w:rsidR="00CB2073" w:rsidRPr="00CB2073">
              <w:rPr>
                <w:webHidden/>
              </w:rPr>
              <w:fldChar w:fldCharType="end"/>
            </w:r>
          </w:hyperlink>
        </w:p>
        <w:p w14:paraId="2D0A9C93" w14:textId="0077A00C" w:rsidR="00CB2073" w:rsidRPr="00CB2073" w:rsidRDefault="00FB2F2B" w:rsidP="00CB2073">
          <w:pPr>
            <w:pStyle w:val="TOC2"/>
            <w:ind w:leftChars="0" w:left="0"/>
            <w:rPr>
              <w:rFonts w:asciiTheme="minorHAnsi" w:eastAsiaTheme="minorEastAsia" w:hAnsiTheme="minorHAnsi" w:cstheme="minorBidi"/>
              <w:sz w:val="21"/>
              <w:szCs w:val="22"/>
            </w:rPr>
          </w:pPr>
          <w:hyperlink w:anchor="_Toc104478868" w:history="1">
            <w:r w:rsidR="00CB2073" w:rsidRPr="00CB2073">
              <w:rPr>
                <w:rStyle w:val="a7"/>
              </w:rPr>
              <w:t xml:space="preserve">2.3 </w:t>
            </w:r>
            <w:r w:rsidR="00703708">
              <w:rPr>
                <w:rStyle w:val="a7"/>
              </w:rPr>
              <w:t xml:space="preserve"> </w:t>
            </w:r>
            <w:r w:rsidR="00CB2073" w:rsidRPr="00CB2073">
              <w:rPr>
                <w:rStyle w:val="a7"/>
              </w:rPr>
              <w:t>股权激励下高管风险承担效应对企业</w:t>
            </w:r>
            <w:r w:rsidR="00CB2073" w:rsidRPr="00CB2073">
              <w:rPr>
                <w:rStyle w:val="a7"/>
              </w:rPr>
              <w:t>ESG</w:t>
            </w:r>
            <w:r w:rsidR="00CB2073" w:rsidRPr="00CB2073">
              <w:rPr>
                <w:rStyle w:val="a7"/>
              </w:rPr>
              <w:t>的影响机制分析</w:t>
            </w:r>
            <w:r w:rsidR="00CB2073" w:rsidRPr="00CB2073">
              <w:rPr>
                <w:webHidden/>
              </w:rPr>
              <w:tab/>
            </w:r>
            <w:r w:rsidR="00CB2073" w:rsidRPr="00CB2073">
              <w:rPr>
                <w:webHidden/>
              </w:rPr>
              <w:fldChar w:fldCharType="begin"/>
            </w:r>
            <w:r w:rsidR="00CB2073" w:rsidRPr="00CB2073">
              <w:rPr>
                <w:webHidden/>
              </w:rPr>
              <w:instrText xml:space="preserve"> PAGEREF _Toc104478868 \h </w:instrText>
            </w:r>
            <w:r w:rsidR="00CB2073" w:rsidRPr="00CB2073">
              <w:rPr>
                <w:webHidden/>
              </w:rPr>
            </w:r>
            <w:r w:rsidR="00CB2073" w:rsidRPr="00CB2073">
              <w:rPr>
                <w:webHidden/>
              </w:rPr>
              <w:fldChar w:fldCharType="separate"/>
            </w:r>
            <w:r w:rsidR="00AA0519">
              <w:rPr>
                <w:webHidden/>
              </w:rPr>
              <w:t>13</w:t>
            </w:r>
            <w:r w:rsidR="00CB2073" w:rsidRPr="00CB2073">
              <w:rPr>
                <w:webHidden/>
              </w:rPr>
              <w:fldChar w:fldCharType="end"/>
            </w:r>
          </w:hyperlink>
        </w:p>
        <w:p w14:paraId="0B256CE0" w14:textId="24635169" w:rsidR="00CB2073" w:rsidRPr="00CB2073" w:rsidRDefault="00FB2F2B">
          <w:pPr>
            <w:pStyle w:val="TOC1"/>
            <w:rPr>
              <w:rFonts w:asciiTheme="minorHAnsi" w:eastAsiaTheme="minorEastAsia" w:hAnsiTheme="minorHAnsi" w:cstheme="minorBidi"/>
              <w:b w:val="0"/>
              <w:bCs w:val="0"/>
              <w:sz w:val="21"/>
              <w:szCs w:val="22"/>
            </w:rPr>
          </w:pPr>
          <w:hyperlink w:anchor="_Toc104478869" w:history="1">
            <w:r w:rsidR="00CB2073" w:rsidRPr="00CB2073">
              <w:rPr>
                <w:rStyle w:val="a7"/>
              </w:rPr>
              <w:t>3</w:t>
            </w:r>
            <w:r w:rsidR="00CB2073" w:rsidRPr="00CB2073">
              <w:rPr>
                <w:rStyle w:val="a7"/>
                <w:rFonts w:ascii="黑体"/>
              </w:rPr>
              <w:t xml:space="preserve"> </w:t>
            </w:r>
            <w:r w:rsidR="00703708">
              <w:rPr>
                <w:rStyle w:val="a7"/>
                <w:rFonts w:ascii="黑体"/>
              </w:rPr>
              <w:t xml:space="preserve">  </w:t>
            </w:r>
            <w:r w:rsidR="00CB2073" w:rsidRPr="00CB2073">
              <w:rPr>
                <w:rStyle w:val="a7"/>
              </w:rPr>
              <w:t>研究设计与数据描述</w:t>
            </w:r>
            <w:r w:rsidR="00CB2073" w:rsidRPr="00CB2073">
              <w:rPr>
                <w:b w:val="0"/>
                <w:webHidden/>
              </w:rPr>
              <w:tab/>
            </w:r>
            <w:r w:rsidR="00CB2073" w:rsidRPr="00CB2073">
              <w:rPr>
                <w:b w:val="0"/>
                <w:webHidden/>
              </w:rPr>
              <w:fldChar w:fldCharType="begin"/>
            </w:r>
            <w:r w:rsidR="00CB2073" w:rsidRPr="00CB2073">
              <w:rPr>
                <w:b w:val="0"/>
                <w:webHidden/>
              </w:rPr>
              <w:instrText xml:space="preserve"> PAGEREF _Toc104478869 \h </w:instrText>
            </w:r>
            <w:r w:rsidR="00CB2073" w:rsidRPr="00CB2073">
              <w:rPr>
                <w:b w:val="0"/>
                <w:webHidden/>
              </w:rPr>
            </w:r>
            <w:r w:rsidR="00CB2073" w:rsidRPr="00CB2073">
              <w:rPr>
                <w:b w:val="0"/>
                <w:webHidden/>
              </w:rPr>
              <w:fldChar w:fldCharType="separate"/>
            </w:r>
            <w:r w:rsidR="00AA0519">
              <w:rPr>
                <w:b w:val="0"/>
                <w:webHidden/>
              </w:rPr>
              <w:t>15</w:t>
            </w:r>
            <w:r w:rsidR="00CB2073" w:rsidRPr="00CB2073">
              <w:rPr>
                <w:b w:val="0"/>
                <w:webHidden/>
              </w:rPr>
              <w:fldChar w:fldCharType="end"/>
            </w:r>
          </w:hyperlink>
        </w:p>
        <w:p w14:paraId="35CE8D11" w14:textId="032325B2" w:rsidR="00CB2073" w:rsidRPr="00CB2073" w:rsidRDefault="00FB2F2B" w:rsidP="00CB2073">
          <w:pPr>
            <w:pStyle w:val="TOC2"/>
            <w:ind w:leftChars="0" w:left="0"/>
            <w:rPr>
              <w:rFonts w:asciiTheme="minorHAnsi" w:eastAsiaTheme="minorEastAsia" w:hAnsiTheme="minorHAnsi" w:cstheme="minorBidi"/>
              <w:sz w:val="21"/>
              <w:szCs w:val="22"/>
            </w:rPr>
          </w:pPr>
          <w:hyperlink w:anchor="_Toc104478870" w:history="1">
            <w:r w:rsidR="00CB2073" w:rsidRPr="00CB2073">
              <w:rPr>
                <w:rStyle w:val="a7"/>
              </w:rPr>
              <w:t xml:space="preserve">3.1 </w:t>
            </w:r>
            <w:r w:rsidR="00703708">
              <w:rPr>
                <w:rStyle w:val="a7"/>
              </w:rPr>
              <w:t xml:space="preserve"> </w:t>
            </w:r>
            <w:r w:rsidR="00CB2073" w:rsidRPr="00CB2073">
              <w:rPr>
                <w:rStyle w:val="a7"/>
              </w:rPr>
              <w:t>研究变量与数据来源</w:t>
            </w:r>
            <w:r w:rsidR="00CB2073" w:rsidRPr="00CB2073">
              <w:rPr>
                <w:webHidden/>
              </w:rPr>
              <w:tab/>
            </w:r>
            <w:r w:rsidR="00CB2073" w:rsidRPr="00CB2073">
              <w:rPr>
                <w:webHidden/>
              </w:rPr>
              <w:fldChar w:fldCharType="begin"/>
            </w:r>
            <w:r w:rsidR="00CB2073" w:rsidRPr="00CB2073">
              <w:rPr>
                <w:webHidden/>
              </w:rPr>
              <w:instrText xml:space="preserve"> PAGEREF _Toc104478870 \h </w:instrText>
            </w:r>
            <w:r w:rsidR="00CB2073" w:rsidRPr="00CB2073">
              <w:rPr>
                <w:webHidden/>
              </w:rPr>
            </w:r>
            <w:r w:rsidR="00CB2073" w:rsidRPr="00CB2073">
              <w:rPr>
                <w:webHidden/>
              </w:rPr>
              <w:fldChar w:fldCharType="separate"/>
            </w:r>
            <w:r w:rsidR="00AA0519">
              <w:rPr>
                <w:webHidden/>
              </w:rPr>
              <w:t>15</w:t>
            </w:r>
            <w:r w:rsidR="00CB2073" w:rsidRPr="00CB2073">
              <w:rPr>
                <w:webHidden/>
              </w:rPr>
              <w:fldChar w:fldCharType="end"/>
            </w:r>
          </w:hyperlink>
        </w:p>
        <w:p w14:paraId="500687C9" w14:textId="5719F633" w:rsidR="00CB2073" w:rsidRPr="00CB2073" w:rsidRDefault="00FB2F2B" w:rsidP="00CB2073">
          <w:pPr>
            <w:pStyle w:val="TOC2"/>
            <w:ind w:leftChars="0" w:left="0"/>
            <w:rPr>
              <w:rFonts w:asciiTheme="minorHAnsi" w:eastAsiaTheme="minorEastAsia" w:hAnsiTheme="minorHAnsi" w:cstheme="minorBidi"/>
              <w:sz w:val="21"/>
              <w:szCs w:val="22"/>
            </w:rPr>
          </w:pPr>
          <w:hyperlink w:anchor="_Toc104478871" w:history="1">
            <w:r w:rsidR="00CB2073" w:rsidRPr="00CB2073">
              <w:rPr>
                <w:rStyle w:val="a7"/>
              </w:rPr>
              <w:t xml:space="preserve">3.2 </w:t>
            </w:r>
            <w:r w:rsidR="00703708">
              <w:rPr>
                <w:rStyle w:val="a7"/>
              </w:rPr>
              <w:t xml:space="preserve"> </w:t>
            </w:r>
            <w:r w:rsidR="00CB2073" w:rsidRPr="00CB2073">
              <w:rPr>
                <w:rStyle w:val="a7"/>
              </w:rPr>
              <w:t>模型设定</w:t>
            </w:r>
            <w:r w:rsidR="00CB2073" w:rsidRPr="00CB2073">
              <w:rPr>
                <w:webHidden/>
              </w:rPr>
              <w:tab/>
            </w:r>
            <w:r w:rsidR="00CB2073" w:rsidRPr="00CB2073">
              <w:rPr>
                <w:webHidden/>
              </w:rPr>
              <w:fldChar w:fldCharType="begin"/>
            </w:r>
            <w:r w:rsidR="00CB2073" w:rsidRPr="00CB2073">
              <w:rPr>
                <w:webHidden/>
              </w:rPr>
              <w:instrText xml:space="preserve"> PAGEREF _Toc104478871 \h </w:instrText>
            </w:r>
            <w:r w:rsidR="00CB2073" w:rsidRPr="00CB2073">
              <w:rPr>
                <w:webHidden/>
              </w:rPr>
            </w:r>
            <w:r w:rsidR="00CB2073" w:rsidRPr="00CB2073">
              <w:rPr>
                <w:webHidden/>
              </w:rPr>
              <w:fldChar w:fldCharType="separate"/>
            </w:r>
            <w:r w:rsidR="00AA0519">
              <w:rPr>
                <w:webHidden/>
              </w:rPr>
              <w:t>16</w:t>
            </w:r>
            <w:r w:rsidR="00CB2073" w:rsidRPr="00CB2073">
              <w:rPr>
                <w:webHidden/>
              </w:rPr>
              <w:fldChar w:fldCharType="end"/>
            </w:r>
          </w:hyperlink>
        </w:p>
        <w:p w14:paraId="25941638" w14:textId="175FEFDF" w:rsidR="00CB2073" w:rsidRPr="00CB2073" w:rsidRDefault="00FB2F2B" w:rsidP="00CB2073">
          <w:pPr>
            <w:pStyle w:val="TOC2"/>
            <w:ind w:leftChars="0" w:left="0"/>
            <w:rPr>
              <w:rFonts w:asciiTheme="minorHAnsi" w:eastAsiaTheme="minorEastAsia" w:hAnsiTheme="minorHAnsi" w:cstheme="minorBidi"/>
              <w:sz w:val="21"/>
              <w:szCs w:val="22"/>
            </w:rPr>
          </w:pPr>
          <w:hyperlink w:anchor="_Toc104478872" w:history="1">
            <w:r w:rsidR="00CB2073" w:rsidRPr="00CB2073">
              <w:rPr>
                <w:rStyle w:val="a7"/>
              </w:rPr>
              <w:t xml:space="preserve">3.3 </w:t>
            </w:r>
            <w:r w:rsidR="00703708">
              <w:rPr>
                <w:rStyle w:val="a7"/>
              </w:rPr>
              <w:t xml:space="preserve"> </w:t>
            </w:r>
            <w:r w:rsidR="00CB2073" w:rsidRPr="00CB2073">
              <w:rPr>
                <w:rStyle w:val="a7"/>
              </w:rPr>
              <w:t>数据描述性统计</w:t>
            </w:r>
            <w:r w:rsidR="00CB2073" w:rsidRPr="00CB2073">
              <w:rPr>
                <w:webHidden/>
              </w:rPr>
              <w:tab/>
            </w:r>
            <w:r w:rsidR="00CB2073" w:rsidRPr="00CB2073">
              <w:rPr>
                <w:webHidden/>
              </w:rPr>
              <w:fldChar w:fldCharType="begin"/>
            </w:r>
            <w:r w:rsidR="00CB2073" w:rsidRPr="00CB2073">
              <w:rPr>
                <w:webHidden/>
              </w:rPr>
              <w:instrText xml:space="preserve"> PAGEREF _Toc104478872 \h </w:instrText>
            </w:r>
            <w:r w:rsidR="00CB2073" w:rsidRPr="00CB2073">
              <w:rPr>
                <w:webHidden/>
              </w:rPr>
            </w:r>
            <w:r w:rsidR="00CB2073" w:rsidRPr="00CB2073">
              <w:rPr>
                <w:webHidden/>
              </w:rPr>
              <w:fldChar w:fldCharType="separate"/>
            </w:r>
            <w:r w:rsidR="00AA0519">
              <w:rPr>
                <w:webHidden/>
              </w:rPr>
              <w:t>18</w:t>
            </w:r>
            <w:r w:rsidR="00CB2073" w:rsidRPr="00CB2073">
              <w:rPr>
                <w:webHidden/>
              </w:rPr>
              <w:fldChar w:fldCharType="end"/>
            </w:r>
          </w:hyperlink>
        </w:p>
        <w:p w14:paraId="3D2520E9" w14:textId="52D211CE" w:rsidR="00CB2073" w:rsidRPr="00CB2073" w:rsidRDefault="00FB2F2B">
          <w:pPr>
            <w:pStyle w:val="TOC1"/>
            <w:rPr>
              <w:rFonts w:asciiTheme="minorHAnsi" w:eastAsiaTheme="minorEastAsia" w:hAnsiTheme="minorHAnsi" w:cstheme="minorBidi"/>
              <w:b w:val="0"/>
              <w:bCs w:val="0"/>
              <w:sz w:val="21"/>
              <w:szCs w:val="22"/>
            </w:rPr>
          </w:pPr>
          <w:hyperlink w:anchor="_Toc104478873" w:history="1">
            <w:r w:rsidR="00CB2073" w:rsidRPr="00CB2073">
              <w:rPr>
                <w:rStyle w:val="a7"/>
              </w:rPr>
              <w:t>4</w:t>
            </w:r>
            <w:r w:rsidR="00CB2073" w:rsidRPr="00CB2073">
              <w:rPr>
                <w:rStyle w:val="a7"/>
                <w:rFonts w:ascii="黑体"/>
              </w:rPr>
              <w:t xml:space="preserve"> </w:t>
            </w:r>
            <w:r w:rsidR="00703708">
              <w:rPr>
                <w:rStyle w:val="a7"/>
                <w:rFonts w:ascii="黑体"/>
              </w:rPr>
              <w:t xml:space="preserve">  </w:t>
            </w:r>
            <w:r w:rsidR="00CB2073" w:rsidRPr="00CB2073">
              <w:rPr>
                <w:rStyle w:val="a7"/>
              </w:rPr>
              <w:t>实证结果与分析</w:t>
            </w:r>
            <w:r w:rsidR="00CB2073" w:rsidRPr="00CB2073">
              <w:rPr>
                <w:b w:val="0"/>
                <w:webHidden/>
              </w:rPr>
              <w:tab/>
            </w:r>
            <w:r w:rsidR="00CB2073" w:rsidRPr="00CB2073">
              <w:rPr>
                <w:b w:val="0"/>
                <w:webHidden/>
              </w:rPr>
              <w:fldChar w:fldCharType="begin"/>
            </w:r>
            <w:r w:rsidR="00CB2073" w:rsidRPr="00CB2073">
              <w:rPr>
                <w:b w:val="0"/>
                <w:webHidden/>
              </w:rPr>
              <w:instrText xml:space="preserve"> PAGEREF _Toc104478873 \h </w:instrText>
            </w:r>
            <w:r w:rsidR="00CB2073" w:rsidRPr="00CB2073">
              <w:rPr>
                <w:b w:val="0"/>
                <w:webHidden/>
              </w:rPr>
            </w:r>
            <w:r w:rsidR="00CB2073" w:rsidRPr="00CB2073">
              <w:rPr>
                <w:b w:val="0"/>
                <w:webHidden/>
              </w:rPr>
              <w:fldChar w:fldCharType="separate"/>
            </w:r>
            <w:r w:rsidR="00AA0519">
              <w:rPr>
                <w:b w:val="0"/>
                <w:webHidden/>
              </w:rPr>
              <w:t>20</w:t>
            </w:r>
            <w:r w:rsidR="00CB2073" w:rsidRPr="00CB2073">
              <w:rPr>
                <w:b w:val="0"/>
                <w:webHidden/>
              </w:rPr>
              <w:fldChar w:fldCharType="end"/>
            </w:r>
          </w:hyperlink>
        </w:p>
        <w:p w14:paraId="546C57D2" w14:textId="447BA805" w:rsidR="00CB2073" w:rsidRPr="00CB2073" w:rsidRDefault="00FB2F2B" w:rsidP="00CB2073">
          <w:pPr>
            <w:pStyle w:val="TOC2"/>
            <w:ind w:leftChars="0" w:left="0"/>
            <w:rPr>
              <w:rFonts w:asciiTheme="minorHAnsi" w:eastAsiaTheme="minorEastAsia" w:hAnsiTheme="minorHAnsi" w:cstheme="minorBidi"/>
              <w:sz w:val="21"/>
              <w:szCs w:val="22"/>
            </w:rPr>
          </w:pPr>
          <w:hyperlink w:anchor="_Toc104478874" w:history="1">
            <w:r w:rsidR="00CB2073" w:rsidRPr="00CB2073">
              <w:rPr>
                <w:rStyle w:val="a7"/>
              </w:rPr>
              <w:t xml:space="preserve">4.1 </w:t>
            </w:r>
            <w:r w:rsidR="00703708">
              <w:rPr>
                <w:rStyle w:val="a7"/>
              </w:rPr>
              <w:t xml:space="preserve"> </w:t>
            </w:r>
            <w:r w:rsidR="00CB2073" w:rsidRPr="00CB2073">
              <w:rPr>
                <w:rStyle w:val="a7"/>
              </w:rPr>
              <w:t>相关性分析</w:t>
            </w:r>
            <w:r w:rsidR="00CB2073" w:rsidRPr="00CB2073">
              <w:rPr>
                <w:webHidden/>
              </w:rPr>
              <w:tab/>
            </w:r>
            <w:r w:rsidR="00CB2073" w:rsidRPr="00CB2073">
              <w:rPr>
                <w:webHidden/>
              </w:rPr>
              <w:fldChar w:fldCharType="begin"/>
            </w:r>
            <w:r w:rsidR="00CB2073" w:rsidRPr="00CB2073">
              <w:rPr>
                <w:webHidden/>
              </w:rPr>
              <w:instrText xml:space="preserve"> PAGEREF _Toc104478874 \h </w:instrText>
            </w:r>
            <w:r w:rsidR="00CB2073" w:rsidRPr="00CB2073">
              <w:rPr>
                <w:webHidden/>
              </w:rPr>
            </w:r>
            <w:r w:rsidR="00CB2073" w:rsidRPr="00CB2073">
              <w:rPr>
                <w:webHidden/>
              </w:rPr>
              <w:fldChar w:fldCharType="separate"/>
            </w:r>
            <w:r w:rsidR="00AA0519">
              <w:rPr>
                <w:webHidden/>
              </w:rPr>
              <w:t>20</w:t>
            </w:r>
            <w:r w:rsidR="00CB2073" w:rsidRPr="00CB2073">
              <w:rPr>
                <w:webHidden/>
              </w:rPr>
              <w:fldChar w:fldCharType="end"/>
            </w:r>
          </w:hyperlink>
        </w:p>
        <w:p w14:paraId="5B71F093" w14:textId="5A870BBD" w:rsidR="00CB2073" w:rsidRPr="00CB2073" w:rsidRDefault="00FB2F2B" w:rsidP="00CB2073">
          <w:pPr>
            <w:pStyle w:val="TOC2"/>
            <w:ind w:leftChars="0" w:left="0"/>
            <w:rPr>
              <w:rFonts w:asciiTheme="minorHAnsi" w:eastAsiaTheme="minorEastAsia" w:hAnsiTheme="minorHAnsi" w:cstheme="minorBidi"/>
              <w:sz w:val="21"/>
              <w:szCs w:val="22"/>
            </w:rPr>
          </w:pPr>
          <w:hyperlink w:anchor="_Toc104478875" w:history="1">
            <w:r w:rsidR="00CB2073" w:rsidRPr="00CB2073">
              <w:rPr>
                <w:rStyle w:val="a7"/>
              </w:rPr>
              <w:t xml:space="preserve">4.2 </w:t>
            </w:r>
            <w:r w:rsidR="00703708">
              <w:rPr>
                <w:rStyle w:val="a7"/>
              </w:rPr>
              <w:t xml:space="preserve"> </w:t>
            </w:r>
            <w:r w:rsidR="00CB2073" w:rsidRPr="00CB2073">
              <w:rPr>
                <w:rStyle w:val="a7"/>
              </w:rPr>
              <w:t>行业固定效应回归分析</w:t>
            </w:r>
            <w:r w:rsidR="00CB2073" w:rsidRPr="00CB2073">
              <w:rPr>
                <w:webHidden/>
              </w:rPr>
              <w:tab/>
            </w:r>
            <w:r w:rsidR="00CB2073" w:rsidRPr="00CB2073">
              <w:rPr>
                <w:webHidden/>
              </w:rPr>
              <w:fldChar w:fldCharType="begin"/>
            </w:r>
            <w:r w:rsidR="00CB2073" w:rsidRPr="00CB2073">
              <w:rPr>
                <w:webHidden/>
              </w:rPr>
              <w:instrText xml:space="preserve"> PAGEREF _Toc104478875 \h </w:instrText>
            </w:r>
            <w:r w:rsidR="00CB2073" w:rsidRPr="00CB2073">
              <w:rPr>
                <w:webHidden/>
              </w:rPr>
            </w:r>
            <w:r w:rsidR="00CB2073" w:rsidRPr="00CB2073">
              <w:rPr>
                <w:webHidden/>
              </w:rPr>
              <w:fldChar w:fldCharType="separate"/>
            </w:r>
            <w:r w:rsidR="00AA0519">
              <w:rPr>
                <w:webHidden/>
              </w:rPr>
              <w:t>20</w:t>
            </w:r>
            <w:r w:rsidR="00CB2073" w:rsidRPr="00CB2073">
              <w:rPr>
                <w:webHidden/>
              </w:rPr>
              <w:fldChar w:fldCharType="end"/>
            </w:r>
          </w:hyperlink>
        </w:p>
        <w:p w14:paraId="3D2716B6" w14:textId="1389CABE" w:rsidR="00CB2073" w:rsidRPr="00CB2073" w:rsidRDefault="00FB2F2B" w:rsidP="00CB2073">
          <w:pPr>
            <w:pStyle w:val="TOC2"/>
            <w:ind w:leftChars="0" w:left="0"/>
            <w:rPr>
              <w:rFonts w:asciiTheme="minorHAnsi" w:eastAsiaTheme="minorEastAsia" w:hAnsiTheme="minorHAnsi" w:cstheme="minorBidi"/>
              <w:sz w:val="21"/>
              <w:szCs w:val="22"/>
            </w:rPr>
          </w:pPr>
          <w:hyperlink w:anchor="_Toc104478876" w:history="1">
            <w:r w:rsidR="00CB2073" w:rsidRPr="00CB2073">
              <w:rPr>
                <w:rStyle w:val="a7"/>
              </w:rPr>
              <w:t xml:space="preserve">4.3 </w:t>
            </w:r>
            <w:r w:rsidR="00703708">
              <w:rPr>
                <w:rStyle w:val="a7"/>
              </w:rPr>
              <w:t xml:space="preserve"> </w:t>
            </w:r>
            <w:r w:rsidR="00CB2073" w:rsidRPr="00CB2073">
              <w:rPr>
                <w:rStyle w:val="a7"/>
              </w:rPr>
              <w:t>研发费用作控制变量的进一步研究</w:t>
            </w:r>
            <w:r w:rsidR="00CB2073" w:rsidRPr="00CB2073">
              <w:rPr>
                <w:webHidden/>
              </w:rPr>
              <w:tab/>
            </w:r>
            <w:r w:rsidR="00CB2073" w:rsidRPr="00CB2073">
              <w:rPr>
                <w:webHidden/>
              </w:rPr>
              <w:fldChar w:fldCharType="begin"/>
            </w:r>
            <w:r w:rsidR="00CB2073" w:rsidRPr="00CB2073">
              <w:rPr>
                <w:webHidden/>
              </w:rPr>
              <w:instrText xml:space="preserve"> PAGEREF _Toc104478876 \h </w:instrText>
            </w:r>
            <w:r w:rsidR="00CB2073" w:rsidRPr="00CB2073">
              <w:rPr>
                <w:webHidden/>
              </w:rPr>
            </w:r>
            <w:r w:rsidR="00CB2073" w:rsidRPr="00CB2073">
              <w:rPr>
                <w:webHidden/>
              </w:rPr>
              <w:fldChar w:fldCharType="separate"/>
            </w:r>
            <w:r w:rsidR="00AA0519">
              <w:rPr>
                <w:webHidden/>
              </w:rPr>
              <w:t>24</w:t>
            </w:r>
            <w:r w:rsidR="00CB2073" w:rsidRPr="00CB2073">
              <w:rPr>
                <w:webHidden/>
              </w:rPr>
              <w:fldChar w:fldCharType="end"/>
            </w:r>
          </w:hyperlink>
        </w:p>
        <w:p w14:paraId="1F9F1FC2" w14:textId="5D059523" w:rsidR="00CB2073" w:rsidRPr="00CB2073" w:rsidRDefault="00FB2F2B" w:rsidP="00CB2073">
          <w:pPr>
            <w:pStyle w:val="TOC2"/>
            <w:ind w:leftChars="0" w:left="0"/>
            <w:rPr>
              <w:rFonts w:asciiTheme="minorHAnsi" w:eastAsiaTheme="minorEastAsia" w:hAnsiTheme="minorHAnsi" w:cstheme="minorBidi"/>
              <w:sz w:val="21"/>
              <w:szCs w:val="22"/>
            </w:rPr>
          </w:pPr>
          <w:hyperlink w:anchor="_Toc104478877" w:history="1">
            <w:r w:rsidR="00CB2073" w:rsidRPr="00CB2073">
              <w:rPr>
                <w:rStyle w:val="a7"/>
              </w:rPr>
              <w:t xml:space="preserve">4.4 </w:t>
            </w:r>
            <w:r w:rsidR="00703708">
              <w:rPr>
                <w:rStyle w:val="a7"/>
              </w:rPr>
              <w:t xml:space="preserve"> </w:t>
            </w:r>
            <w:r w:rsidR="00CB2073" w:rsidRPr="00CB2073">
              <w:rPr>
                <w:rStyle w:val="a7"/>
              </w:rPr>
              <w:t>内生性问题</w:t>
            </w:r>
            <w:r w:rsidR="00CB2073" w:rsidRPr="00CB2073">
              <w:rPr>
                <w:webHidden/>
              </w:rPr>
              <w:tab/>
            </w:r>
            <w:r w:rsidR="00CB2073" w:rsidRPr="00CB2073">
              <w:rPr>
                <w:webHidden/>
              </w:rPr>
              <w:fldChar w:fldCharType="begin"/>
            </w:r>
            <w:r w:rsidR="00CB2073" w:rsidRPr="00CB2073">
              <w:rPr>
                <w:webHidden/>
              </w:rPr>
              <w:instrText xml:space="preserve"> PAGEREF _Toc104478877 \h </w:instrText>
            </w:r>
            <w:r w:rsidR="00CB2073" w:rsidRPr="00CB2073">
              <w:rPr>
                <w:webHidden/>
              </w:rPr>
            </w:r>
            <w:r w:rsidR="00CB2073" w:rsidRPr="00CB2073">
              <w:rPr>
                <w:webHidden/>
              </w:rPr>
              <w:fldChar w:fldCharType="separate"/>
            </w:r>
            <w:r w:rsidR="00AA0519">
              <w:rPr>
                <w:webHidden/>
              </w:rPr>
              <w:t>27</w:t>
            </w:r>
            <w:r w:rsidR="00CB2073" w:rsidRPr="00CB2073">
              <w:rPr>
                <w:webHidden/>
              </w:rPr>
              <w:fldChar w:fldCharType="end"/>
            </w:r>
          </w:hyperlink>
        </w:p>
        <w:p w14:paraId="36920E93" w14:textId="746585B8" w:rsidR="00CB2073" w:rsidRPr="00CB2073" w:rsidRDefault="00FB2F2B">
          <w:pPr>
            <w:pStyle w:val="TOC1"/>
            <w:rPr>
              <w:rFonts w:asciiTheme="minorHAnsi" w:eastAsiaTheme="minorEastAsia" w:hAnsiTheme="minorHAnsi" w:cstheme="minorBidi"/>
              <w:b w:val="0"/>
              <w:bCs w:val="0"/>
              <w:sz w:val="21"/>
              <w:szCs w:val="22"/>
            </w:rPr>
          </w:pPr>
          <w:hyperlink w:anchor="_Toc104478878" w:history="1">
            <w:r w:rsidR="00CB2073" w:rsidRPr="00CB2073">
              <w:rPr>
                <w:rStyle w:val="a7"/>
              </w:rPr>
              <w:t>5</w:t>
            </w:r>
            <w:r w:rsidR="00703708">
              <w:rPr>
                <w:rStyle w:val="a7"/>
                <w:rFonts w:ascii="黑体"/>
              </w:rPr>
              <w:t xml:space="preserve">   </w:t>
            </w:r>
            <w:r w:rsidR="00CB2073" w:rsidRPr="00CB2073">
              <w:rPr>
                <w:rStyle w:val="a7"/>
                <w:rFonts w:ascii="黑体"/>
              </w:rPr>
              <w:t>研究</w:t>
            </w:r>
            <w:r w:rsidR="00CB2073" w:rsidRPr="00CB2073">
              <w:rPr>
                <w:rStyle w:val="a7"/>
              </w:rPr>
              <w:t>结论</w:t>
            </w:r>
            <w:r w:rsidR="00CB2073" w:rsidRPr="00CB2073">
              <w:rPr>
                <w:b w:val="0"/>
                <w:webHidden/>
              </w:rPr>
              <w:tab/>
            </w:r>
            <w:r w:rsidR="00CB2073" w:rsidRPr="00CB2073">
              <w:rPr>
                <w:b w:val="0"/>
                <w:webHidden/>
              </w:rPr>
              <w:fldChar w:fldCharType="begin"/>
            </w:r>
            <w:r w:rsidR="00CB2073" w:rsidRPr="00CB2073">
              <w:rPr>
                <w:b w:val="0"/>
                <w:webHidden/>
              </w:rPr>
              <w:instrText xml:space="preserve"> PAGEREF _Toc104478878 \h </w:instrText>
            </w:r>
            <w:r w:rsidR="00CB2073" w:rsidRPr="00CB2073">
              <w:rPr>
                <w:b w:val="0"/>
                <w:webHidden/>
              </w:rPr>
            </w:r>
            <w:r w:rsidR="00CB2073" w:rsidRPr="00CB2073">
              <w:rPr>
                <w:b w:val="0"/>
                <w:webHidden/>
              </w:rPr>
              <w:fldChar w:fldCharType="separate"/>
            </w:r>
            <w:r w:rsidR="00AA0519">
              <w:rPr>
                <w:b w:val="0"/>
                <w:webHidden/>
              </w:rPr>
              <w:t>29</w:t>
            </w:r>
            <w:r w:rsidR="00CB2073" w:rsidRPr="00CB2073">
              <w:rPr>
                <w:b w:val="0"/>
                <w:webHidden/>
              </w:rPr>
              <w:fldChar w:fldCharType="end"/>
            </w:r>
          </w:hyperlink>
        </w:p>
        <w:p w14:paraId="1C45E09E" w14:textId="0FEEF8D6" w:rsidR="00CB2073" w:rsidRPr="00CB2073" w:rsidRDefault="00FB2F2B" w:rsidP="00CB2073">
          <w:pPr>
            <w:pStyle w:val="TOC2"/>
            <w:ind w:leftChars="0" w:left="0"/>
            <w:rPr>
              <w:rFonts w:asciiTheme="minorHAnsi" w:eastAsiaTheme="minorEastAsia" w:hAnsiTheme="minorHAnsi" w:cstheme="minorBidi"/>
              <w:sz w:val="21"/>
              <w:szCs w:val="22"/>
            </w:rPr>
          </w:pPr>
          <w:hyperlink w:anchor="_Toc104478879" w:history="1">
            <w:r w:rsidR="00CB2073" w:rsidRPr="00CB2073">
              <w:rPr>
                <w:rStyle w:val="a7"/>
              </w:rPr>
              <w:t xml:space="preserve">5.1 </w:t>
            </w:r>
            <w:r w:rsidR="00703708">
              <w:rPr>
                <w:rStyle w:val="a7"/>
              </w:rPr>
              <w:t xml:space="preserve"> </w:t>
            </w:r>
            <w:r w:rsidR="00CB2073" w:rsidRPr="00CB2073">
              <w:rPr>
                <w:rStyle w:val="a7"/>
              </w:rPr>
              <w:t>研究结论</w:t>
            </w:r>
            <w:r w:rsidR="00CB2073" w:rsidRPr="00CB2073">
              <w:rPr>
                <w:webHidden/>
              </w:rPr>
              <w:tab/>
            </w:r>
            <w:r w:rsidR="00CB2073" w:rsidRPr="00CB2073">
              <w:rPr>
                <w:webHidden/>
              </w:rPr>
              <w:fldChar w:fldCharType="begin"/>
            </w:r>
            <w:r w:rsidR="00CB2073" w:rsidRPr="00CB2073">
              <w:rPr>
                <w:webHidden/>
              </w:rPr>
              <w:instrText xml:space="preserve"> PAGEREF _Toc104478879 \h </w:instrText>
            </w:r>
            <w:r w:rsidR="00CB2073" w:rsidRPr="00CB2073">
              <w:rPr>
                <w:webHidden/>
              </w:rPr>
            </w:r>
            <w:r w:rsidR="00CB2073" w:rsidRPr="00CB2073">
              <w:rPr>
                <w:webHidden/>
              </w:rPr>
              <w:fldChar w:fldCharType="separate"/>
            </w:r>
            <w:r w:rsidR="00AA0519">
              <w:rPr>
                <w:webHidden/>
              </w:rPr>
              <w:t>29</w:t>
            </w:r>
            <w:r w:rsidR="00CB2073" w:rsidRPr="00CB2073">
              <w:rPr>
                <w:webHidden/>
              </w:rPr>
              <w:fldChar w:fldCharType="end"/>
            </w:r>
          </w:hyperlink>
        </w:p>
        <w:p w14:paraId="3FC6BE41" w14:textId="15EB0F0E" w:rsidR="00CB2073" w:rsidRPr="00CB2073" w:rsidRDefault="00FB2F2B" w:rsidP="00CB2073">
          <w:pPr>
            <w:pStyle w:val="TOC2"/>
            <w:ind w:leftChars="0" w:left="0"/>
            <w:rPr>
              <w:rFonts w:asciiTheme="minorHAnsi" w:eastAsiaTheme="minorEastAsia" w:hAnsiTheme="minorHAnsi" w:cstheme="minorBidi"/>
              <w:sz w:val="21"/>
              <w:szCs w:val="22"/>
            </w:rPr>
          </w:pPr>
          <w:hyperlink w:anchor="_Toc104478880" w:history="1">
            <w:r w:rsidR="00CB2073" w:rsidRPr="00CB2073">
              <w:rPr>
                <w:rStyle w:val="a7"/>
              </w:rPr>
              <w:t xml:space="preserve">5.2 </w:t>
            </w:r>
            <w:r w:rsidR="00703708">
              <w:rPr>
                <w:rStyle w:val="a7"/>
              </w:rPr>
              <w:t xml:space="preserve"> </w:t>
            </w:r>
            <w:r w:rsidR="00CB2073" w:rsidRPr="00CB2073">
              <w:rPr>
                <w:rStyle w:val="a7"/>
              </w:rPr>
              <w:t>研究启示与不足</w:t>
            </w:r>
            <w:r w:rsidR="00CB2073" w:rsidRPr="00CB2073">
              <w:rPr>
                <w:webHidden/>
              </w:rPr>
              <w:tab/>
            </w:r>
            <w:r w:rsidR="00CB2073" w:rsidRPr="00CB2073">
              <w:rPr>
                <w:webHidden/>
              </w:rPr>
              <w:fldChar w:fldCharType="begin"/>
            </w:r>
            <w:r w:rsidR="00CB2073" w:rsidRPr="00CB2073">
              <w:rPr>
                <w:webHidden/>
              </w:rPr>
              <w:instrText xml:space="preserve"> PAGEREF _Toc104478880 \h </w:instrText>
            </w:r>
            <w:r w:rsidR="00CB2073" w:rsidRPr="00CB2073">
              <w:rPr>
                <w:webHidden/>
              </w:rPr>
            </w:r>
            <w:r w:rsidR="00CB2073" w:rsidRPr="00CB2073">
              <w:rPr>
                <w:webHidden/>
              </w:rPr>
              <w:fldChar w:fldCharType="separate"/>
            </w:r>
            <w:r w:rsidR="00AA0519">
              <w:rPr>
                <w:webHidden/>
              </w:rPr>
              <w:t>30</w:t>
            </w:r>
            <w:r w:rsidR="00CB2073" w:rsidRPr="00CB2073">
              <w:rPr>
                <w:webHidden/>
              </w:rPr>
              <w:fldChar w:fldCharType="end"/>
            </w:r>
          </w:hyperlink>
        </w:p>
        <w:p w14:paraId="467D8793" w14:textId="1432748E" w:rsidR="00CB2073" w:rsidRPr="00CB2073" w:rsidRDefault="00FB2F2B">
          <w:pPr>
            <w:pStyle w:val="TOC1"/>
            <w:rPr>
              <w:rFonts w:asciiTheme="minorHAnsi" w:eastAsiaTheme="minorEastAsia" w:hAnsiTheme="minorHAnsi" w:cstheme="minorBidi"/>
              <w:b w:val="0"/>
              <w:bCs w:val="0"/>
              <w:sz w:val="21"/>
              <w:szCs w:val="22"/>
            </w:rPr>
          </w:pPr>
          <w:hyperlink w:anchor="_Toc104478881" w:history="1">
            <w:r w:rsidR="00CB2073" w:rsidRPr="00CB2073">
              <w:rPr>
                <w:rStyle w:val="a7"/>
              </w:rPr>
              <w:t>致谢</w:t>
            </w:r>
            <w:r w:rsidR="00CB2073" w:rsidRPr="00CB2073">
              <w:rPr>
                <w:b w:val="0"/>
                <w:webHidden/>
              </w:rPr>
              <w:tab/>
            </w:r>
            <w:r w:rsidR="00CB2073" w:rsidRPr="00CB2073">
              <w:rPr>
                <w:b w:val="0"/>
                <w:webHidden/>
              </w:rPr>
              <w:fldChar w:fldCharType="begin"/>
            </w:r>
            <w:r w:rsidR="00CB2073" w:rsidRPr="00CB2073">
              <w:rPr>
                <w:b w:val="0"/>
                <w:webHidden/>
              </w:rPr>
              <w:instrText xml:space="preserve"> PAGEREF _Toc104478881 \h </w:instrText>
            </w:r>
            <w:r w:rsidR="00CB2073" w:rsidRPr="00CB2073">
              <w:rPr>
                <w:b w:val="0"/>
                <w:webHidden/>
              </w:rPr>
            </w:r>
            <w:r w:rsidR="00CB2073" w:rsidRPr="00CB2073">
              <w:rPr>
                <w:b w:val="0"/>
                <w:webHidden/>
              </w:rPr>
              <w:fldChar w:fldCharType="separate"/>
            </w:r>
            <w:r w:rsidR="00AA0519">
              <w:rPr>
                <w:b w:val="0"/>
                <w:webHidden/>
              </w:rPr>
              <w:t>31</w:t>
            </w:r>
            <w:r w:rsidR="00CB2073" w:rsidRPr="00CB2073">
              <w:rPr>
                <w:b w:val="0"/>
                <w:webHidden/>
              </w:rPr>
              <w:fldChar w:fldCharType="end"/>
            </w:r>
          </w:hyperlink>
        </w:p>
        <w:p w14:paraId="58C6E293" w14:textId="29017974" w:rsidR="00CB2073" w:rsidRPr="00CB2073" w:rsidRDefault="00FB2F2B">
          <w:pPr>
            <w:pStyle w:val="TOC1"/>
            <w:rPr>
              <w:rFonts w:asciiTheme="minorHAnsi" w:eastAsiaTheme="minorEastAsia" w:hAnsiTheme="minorHAnsi" w:cstheme="minorBidi"/>
              <w:b w:val="0"/>
              <w:bCs w:val="0"/>
              <w:sz w:val="21"/>
              <w:szCs w:val="22"/>
            </w:rPr>
          </w:pPr>
          <w:hyperlink w:anchor="_Toc104478882" w:history="1">
            <w:r w:rsidR="00CB2073" w:rsidRPr="00CB2073">
              <w:rPr>
                <w:rStyle w:val="a7"/>
              </w:rPr>
              <w:t>参考文献</w:t>
            </w:r>
            <w:r w:rsidR="00CB2073" w:rsidRPr="00CB2073">
              <w:rPr>
                <w:b w:val="0"/>
                <w:webHidden/>
              </w:rPr>
              <w:tab/>
            </w:r>
            <w:r w:rsidR="00CB2073" w:rsidRPr="00CB2073">
              <w:rPr>
                <w:b w:val="0"/>
                <w:webHidden/>
              </w:rPr>
              <w:fldChar w:fldCharType="begin"/>
            </w:r>
            <w:r w:rsidR="00CB2073" w:rsidRPr="00CB2073">
              <w:rPr>
                <w:b w:val="0"/>
                <w:webHidden/>
              </w:rPr>
              <w:instrText xml:space="preserve"> PAGEREF _Toc104478882 \h </w:instrText>
            </w:r>
            <w:r w:rsidR="00CB2073" w:rsidRPr="00CB2073">
              <w:rPr>
                <w:b w:val="0"/>
                <w:webHidden/>
              </w:rPr>
            </w:r>
            <w:r w:rsidR="00CB2073" w:rsidRPr="00CB2073">
              <w:rPr>
                <w:b w:val="0"/>
                <w:webHidden/>
              </w:rPr>
              <w:fldChar w:fldCharType="separate"/>
            </w:r>
            <w:r w:rsidR="00AA0519">
              <w:rPr>
                <w:b w:val="0"/>
                <w:webHidden/>
              </w:rPr>
              <w:t>32</w:t>
            </w:r>
            <w:r w:rsidR="00CB2073" w:rsidRPr="00CB2073">
              <w:rPr>
                <w:b w:val="0"/>
                <w:webHidden/>
              </w:rPr>
              <w:fldChar w:fldCharType="end"/>
            </w:r>
          </w:hyperlink>
        </w:p>
        <w:p w14:paraId="60EF08E0" w14:textId="7C709846" w:rsidR="00CB2073" w:rsidRPr="00CB2073" w:rsidRDefault="00FB2F2B">
          <w:pPr>
            <w:pStyle w:val="TOC1"/>
            <w:rPr>
              <w:rFonts w:asciiTheme="minorHAnsi" w:eastAsiaTheme="minorEastAsia" w:hAnsiTheme="minorHAnsi" w:cstheme="minorBidi"/>
              <w:b w:val="0"/>
              <w:bCs w:val="0"/>
              <w:sz w:val="21"/>
              <w:szCs w:val="22"/>
            </w:rPr>
          </w:pPr>
          <w:hyperlink w:anchor="_Toc104478883" w:history="1">
            <w:r w:rsidR="00CB2073" w:rsidRPr="00CB2073">
              <w:rPr>
                <w:rStyle w:val="a7"/>
                <w:rFonts w:eastAsia="黑体"/>
                <w:kern w:val="44"/>
              </w:rPr>
              <w:t>附录</w:t>
            </w:r>
            <w:r w:rsidR="00CB2073" w:rsidRPr="00CB2073">
              <w:rPr>
                <w:b w:val="0"/>
                <w:webHidden/>
              </w:rPr>
              <w:tab/>
            </w:r>
            <w:r w:rsidR="00CB2073" w:rsidRPr="00CB2073">
              <w:rPr>
                <w:b w:val="0"/>
                <w:webHidden/>
              </w:rPr>
              <w:fldChar w:fldCharType="begin"/>
            </w:r>
            <w:r w:rsidR="00CB2073" w:rsidRPr="00CB2073">
              <w:rPr>
                <w:b w:val="0"/>
                <w:webHidden/>
              </w:rPr>
              <w:instrText xml:space="preserve"> PAGEREF _Toc104478883 \h </w:instrText>
            </w:r>
            <w:r w:rsidR="00CB2073" w:rsidRPr="00CB2073">
              <w:rPr>
                <w:b w:val="0"/>
                <w:webHidden/>
              </w:rPr>
            </w:r>
            <w:r w:rsidR="00CB2073" w:rsidRPr="00CB2073">
              <w:rPr>
                <w:b w:val="0"/>
                <w:webHidden/>
              </w:rPr>
              <w:fldChar w:fldCharType="separate"/>
            </w:r>
            <w:r w:rsidR="00AA0519">
              <w:rPr>
                <w:b w:val="0"/>
                <w:webHidden/>
              </w:rPr>
              <w:t>36</w:t>
            </w:r>
            <w:r w:rsidR="00CB2073" w:rsidRPr="00CB2073">
              <w:rPr>
                <w:b w:val="0"/>
                <w:webHidden/>
              </w:rPr>
              <w:fldChar w:fldCharType="end"/>
            </w:r>
          </w:hyperlink>
        </w:p>
        <w:p w14:paraId="4FF5E538" w14:textId="66DC5AF7" w:rsidR="00445D8E" w:rsidRPr="000B1BE6" w:rsidRDefault="00DB27D7" w:rsidP="00DB27D7">
          <w:pPr>
            <w:jc w:val="left"/>
            <w:rPr>
              <w:szCs w:val="24"/>
            </w:rPr>
            <w:sectPr w:rsidR="00445D8E" w:rsidRPr="000B1BE6" w:rsidSect="00EA58B0">
              <w:footerReference w:type="default" r:id="rId13"/>
              <w:pgSz w:w="11906" w:h="16838"/>
              <w:pgMar w:top="1418" w:right="1701" w:bottom="1134" w:left="1701" w:header="851" w:footer="624" w:gutter="0"/>
              <w:pgNumType w:fmt="upperRoman" w:start="1"/>
              <w:cols w:space="425"/>
              <w:docGrid w:type="linesAndChars" w:linePitch="326"/>
            </w:sectPr>
          </w:pPr>
          <w:r w:rsidRPr="00CB2073">
            <w:rPr>
              <w:bCs/>
              <w:noProof/>
              <w:szCs w:val="24"/>
            </w:rPr>
            <w:fldChar w:fldCharType="end"/>
          </w:r>
        </w:p>
      </w:sdtContent>
    </w:sdt>
    <w:p w14:paraId="2E8EC376" w14:textId="4E849596" w:rsidR="00871FC2" w:rsidRPr="00002AAE" w:rsidRDefault="00871FC2" w:rsidP="00481278">
      <w:pPr>
        <w:pStyle w:val="1"/>
        <w:spacing w:before="163" w:after="163"/>
        <w:rPr>
          <w:rFonts w:ascii="楷体_GB2312" w:eastAsia="楷体_GB2312"/>
        </w:rPr>
      </w:pPr>
      <w:bookmarkStart w:id="7" w:name="_Toc102342815"/>
      <w:bookmarkStart w:id="8" w:name="_Toc104478860"/>
      <w:r w:rsidRPr="00855C85">
        <w:rPr>
          <w:szCs w:val="36"/>
        </w:rPr>
        <w:lastRenderedPageBreak/>
        <w:t>1</w:t>
      </w:r>
      <w:r>
        <w:rPr>
          <w:rFonts w:hint="eastAsia"/>
          <w:szCs w:val="36"/>
        </w:rPr>
        <w:t xml:space="preserve"> </w:t>
      </w:r>
      <w:r w:rsidRPr="00002AAE">
        <w:rPr>
          <w:rFonts w:hint="eastAsia"/>
        </w:rPr>
        <w:t>绪论</w:t>
      </w:r>
      <w:bookmarkEnd w:id="7"/>
      <w:bookmarkEnd w:id="8"/>
    </w:p>
    <w:p w14:paraId="35ED4721" w14:textId="3EED4A9E" w:rsidR="00871FC2" w:rsidRPr="00871FC2" w:rsidRDefault="00871FC2" w:rsidP="00871FC2">
      <w:pPr>
        <w:pStyle w:val="2"/>
        <w:spacing w:before="163" w:after="163"/>
      </w:pPr>
      <w:bookmarkStart w:id="9" w:name="_Toc102342816"/>
      <w:bookmarkStart w:id="10" w:name="_Toc104478861"/>
      <w:r w:rsidRPr="00855C85">
        <w:rPr>
          <w:rFonts w:cs="Times New Roman"/>
        </w:rPr>
        <w:t>1.1</w:t>
      </w:r>
      <w:r w:rsidRPr="00871FC2">
        <w:rPr>
          <w:rFonts w:hint="eastAsia"/>
        </w:rPr>
        <w:t xml:space="preserve"> </w:t>
      </w:r>
      <w:r w:rsidRPr="00871FC2">
        <w:rPr>
          <w:rFonts w:hint="eastAsia"/>
        </w:rPr>
        <w:t>研究背景及意义</w:t>
      </w:r>
      <w:bookmarkEnd w:id="9"/>
      <w:bookmarkEnd w:id="10"/>
    </w:p>
    <w:p w14:paraId="6ACE9ED8" w14:textId="34F98E86" w:rsidR="00871FC2" w:rsidRDefault="00871FC2" w:rsidP="000573DA">
      <w:pPr>
        <w:ind w:firstLineChars="200" w:firstLine="480"/>
      </w:pPr>
      <w:bookmarkStart w:id="11" w:name="_Hlk102668465"/>
      <w:r w:rsidRPr="009E3829">
        <w:rPr>
          <w:rFonts w:hint="eastAsia"/>
        </w:rPr>
        <w:t>如今，</w:t>
      </w:r>
      <w:r>
        <w:rPr>
          <w:rFonts w:hint="eastAsia"/>
        </w:rPr>
        <w:t>企业</w:t>
      </w:r>
      <w:r w:rsidRPr="009E3829">
        <w:rPr>
          <w:rFonts w:hint="eastAsia"/>
        </w:rPr>
        <w:t>对</w:t>
      </w:r>
      <w:r w:rsidRPr="009E3829">
        <w:rPr>
          <w:rFonts w:hint="eastAsia"/>
        </w:rPr>
        <w:t>ESG</w:t>
      </w:r>
      <w:r w:rsidRPr="009E3829">
        <w:rPr>
          <w:rFonts w:hint="eastAsia"/>
        </w:rPr>
        <w:t>（环境、社会和治理）计划的承诺和追求</w:t>
      </w:r>
      <w:r>
        <w:rPr>
          <w:rFonts w:hint="eastAsia"/>
        </w:rPr>
        <w:t>与</w:t>
      </w:r>
      <w:r w:rsidRPr="009E3829">
        <w:rPr>
          <w:rFonts w:hint="eastAsia"/>
        </w:rPr>
        <w:t>对利润的传统追求</w:t>
      </w:r>
      <w:r>
        <w:rPr>
          <w:rFonts w:hint="eastAsia"/>
        </w:rPr>
        <w:t>之间的种种问题成为</w:t>
      </w:r>
      <w:r w:rsidRPr="009E3829">
        <w:rPr>
          <w:rFonts w:hint="eastAsia"/>
        </w:rPr>
        <w:t>公司治理界</w:t>
      </w:r>
      <w:r>
        <w:rPr>
          <w:rFonts w:hint="eastAsia"/>
        </w:rPr>
        <w:t>非常</w:t>
      </w:r>
      <w:r w:rsidRPr="009E3829">
        <w:rPr>
          <w:rFonts w:hint="eastAsia"/>
        </w:rPr>
        <w:t>热门的</w:t>
      </w:r>
      <w:r>
        <w:rPr>
          <w:rFonts w:hint="eastAsia"/>
        </w:rPr>
        <w:t>学术</w:t>
      </w:r>
      <w:r w:rsidRPr="009E3829">
        <w:rPr>
          <w:rFonts w:hint="eastAsia"/>
        </w:rPr>
        <w:t>话题</w:t>
      </w:r>
      <w:bookmarkEnd w:id="11"/>
      <w:r w:rsidRPr="009E3829">
        <w:rPr>
          <w:rFonts w:hint="eastAsia"/>
        </w:rPr>
        <w:t>。</w:t>
      </w:r>
      <w:r>
        <w:rPr>
          <w:rFonts w:hint="eastAsia"/>
        </w:rPr>
        <w:t>在相关投资者和公众皆愈发关注企业</w:t>
      </w:r>
      <w:r>
        <w:rPr>
          <w:rFonts w:hint="eastAsia"/>
        </w:rPr>
        <w:t>ESG</w:t>
      </w:r>
      <w:r>
        <w:rPr>
          <w:rFonts w:hint="eastAsia"/>
        </w:rPr>
        <w:t>评分或等级的当今，企业</w:t>
      </w:r>
      <w:r w:rsidRPr="009E3829">
        <w:rPr>
          <w:rFonts w:hint="eastAsia"/>
        </w:rPr>
        <w:t>如何激励高管追求</w:t>
      </w:r>
      <w:r w:rsidRPr="009E3829">
        <w:rPr>
          <w:rFonts w:hint="eastAsia"/>
        </w:rPr>
        <w:t>ESG</w:t>
      </w:r>
      <w:r w:rsidRPr="009E3829">
        <w:rPr>
          <w:rFonts w:hint="eastAsia"/>
        </w:rPr>
        <w:t>目标</w:t>
      </w:r>
      <w:r>
        <w:rPr>
          <w:rFonts w:hint="eastAsia"/>
        </w:rPr>
        <w:t>？</w:t>
      </w:r>
      <w:r w:rsidRPr="009E3829">
        <w:rPr>
          <w:rFonts w:hint="eastAsia"/>
        </w:rPr>
        <w:t>越来越多的公司将高管薪酬</w:t>
      </w:r>
      <w:r w:rsidR="002C3414">
        <w:rPr>
          <w:rFonts w:hint="eastAsia"/>
        </w:rPr>
        <w:t>结构</w:t>
      </w:r>
      <w:r w:rsidRPr="009E3829">
        <w:rPr>
          <w:rFonts w:hint="eastAsia"/>
        </w:rPr>
        <w:t>与</w:t>
      </w:r>
      <w:r w:rsidRPr="009E3829">
        <w:rPr>
          <w:rFonts w:hint="eastAsia"/>
        </w:rPr>
        <w:t>ESG</w:t>
      </w:r>
      <w:r>
        <w:rPr>
          <w:rFonts w:hint="eastAsia"/>
        </w:rPr>
        <w:t>评分</w:t>
      </w:r>
      <w:r w:rsidRPr="009E3829">
        <w:rPr>
          <w:rFonts w:hint="eastAsia"/>
        </w:rPr>
        <w:t>联系起来，</w:t>
      </w:r>
      <w:r>
        <w:rPr>
          <w:rFonts w:hint="eastAsia"/>
        </w:rPr>
        <w:t>但似乎我们仍然未知它们</w:t>
      </w:r>
      <w:r w:rsidR="002C3414">
        <w:rPr>
          <w:rFonts w:hint="eastAsia"/>
        </w:rPr>
        <w:t>之间</w:t>
      </w:r>
      <w:r>
        <w:rPr>
          <w:rFonts w:hint="eastAsia"/>
        </w:rPr>
        <w:t>的</w:t>
      </w:r>
      <w:r w:rsidR="002C3414">
        <w:rPr>
          <w:rFonts w:hint="eastAsia"/>
        </w:rPr>
        <w:t>具体</w:t>
      </w:r>
      <w:r>
        <w:rPr>
          <w:rFonts w:hint="eastAsia"/>
        </w:rPr>
        <w:t>关系</w:t>
      </w:r>
      <w:r w:rsidRPr="009E3829">
        <w:rPr>
          <w:rFonts w:hint="eastAsia"/>
        </w:rPr>
        <w:t>。</w:t>
      </w:r>
    </w:p>
    <w:p w14:paraId="13B0A6DA" w14:textId="0BCB222D" w:rsidR="00871FC2" w:rsidRDefault="00D42884" w:rsidP="000573DA">
      <w:pPr>
        <w:ind w:firstLineChars="200" w:firstLine="480"/>
      </w:pPr>
      <w:r>
        <w:rPr>
          <w:rFonts w:hint="eastAsia"/>
        </w:rPr>
        <w:t>现代经济社会中，</w:t>
      </w:r>
      <w:r w:rsidR="00871FC2" w:rsidRPr="00404245">
        <w:t>信息披露是</w:t>
      </w:r>
      <w:r w:rsidR="00A520B8">
        <w:rPr>
          <w:rFonts w:hint="eastAsia"/>
        </w:rPr>
        <w:t>投资者对企业信任问题的关键</w:t>
      </w:r>
      <w:r>
        <w:rPr>
          <w:rFonts w:hint="eastAsia"/>
        </w:rPr>
        <w:t>，可以有效缓解信息不对称问题</w:t>
      </w:r>
      <w:r w:rsidR="00871FC2" w:rsidRPr="00404245">
        <w:t>。随着社会的进步，</w:t>
      </w:r>
      <w:r>
        <w:rPr>
          <w:rFonts w:hint="eastAsia"/>
        </w:rPr>
        <w:t>除了以往的传统财务性指标</w:t>
      </w:r>
      <w:r w:rsidR="00871FC2" w:rsidRPr="00404245">
        <w:t>，</w:t>
      </w:r>
      <w:r w:rsidRPr="00404245">
        <w:t>环境、社会和公司治理（</w:t>
      </w:r>
      <w:r w:rsidRPr="00404245">
        <w:t>environment, social and governance</w:t>
      </w:r>
      <w:r w:rsidRPr="00404245">
        <w:t>，</w:t>
      </w:r>
      <w:r w:rsidRPr="00404245">
        <w:t>ESG</w:t>
      </w:r>
      <w:r w:rsidRPr="00404245">
        <w:t>）</w:t>
      </w:r>
      <w:r>
        <w:rPr>
          <w:rFonts w:hint="eastAsia"/>
        </w:rPr>
        <w:t>这样的非财务性指标信息也逐渐成为经济行为参与者都重视的内容</w:t>
      </w:r>
      <w:r w:rsidR="00871FC2" w:rsidRPr="00404245">
        <w:t>。</w:t>
      </w:r>
      <w:r w:rsidR="00BB1D31">
        <w:rPr>
          <w:rFonts w:hint="eastAsia"/>
        </w:rPr>
        <w:t>需要说明：</w:t>
      </w:r>
      <w:r w:rsidR="00BB1D31" w:rsidRPr="00BB1D31">
        <w:rPr>
          <w:rFonts w:hint="eastAsia"/>
        </w:rPr>
        <w:t>ESG</w:t>
      </w:r>
      <w:r w:rsidR="00BB1D31" w:rsidRPr="00BB1D31">
        <w:rPr>
          <w:rFonts w:hint="eastAsia"/>
        </w:rPr>
        <w:t>是</w:t>
      </w:r>
      <w:r w:rsidR="00BB1D31" w:rsidRPr="00BB1D31">
        <w:rPr>
          <w:rFonts w:hint="eastAsia"/>
        </w:rPr>
        <w:t>20</w:t>
      </w:r>
      <w:r w:rsidR="00BB1D31" w:rsidRPr="00BB1D31">
        <w:rPr>
          <w:rFonts w:hint="eastAsia"/>
        </w:rPr>
        <w:t>家金融机构在</w:t>
      </w:r>
      <w:r w:rsidR="00BB1D31" w:rsidRPr="00BB1D31">
        <w:rPr>
          <w:rFonts w:hint="eastAsia"/>
        </w:rPr>
        <w:t>2004</w:t>
      </w:r>
      <w:r w:rsidR="00BB1D31" w:rsidRPr="00BB1D31">
        <w:rPr>
          <w:rFonts w:hint="eastAsia"/>
        </w:rPr>
        <w:t>年的一份报告中为响应联合国秘书长</w:t>
      </w:r>
      <w:r w:rsidR="00BB1D31" w:rsidRPr="00BB1D31">
        <w:rPr>
          <w:rFonts w:hint="eastAsia"/>
        </w:rPr>
        <w:t>Kofi Anon</w:t>
      </w:r>
      <w:r w:rsidR="00BB1D31" w:rsidRPr="00BB1D31">
        <w:rPr>
          <w:rFonts w:hint="eastAsia"/>
        </w:rPr>
        <w:t>的呼吁而开发的首字母缩写</w:t>
      </w:r>
      <w:r w:rsidR="007738D1">
        <w:rPr>
          <w:rFonts w:hint="eastAsia"/>
        </w:rPr>
        <w:t>，</w:t>
      </w:r>
      <w:r w:rsidR="00871FC2" w:rsidRPr="00404245">
        <w:t>此后，</w:t>
      </w:r>
      <w:r>
        <w:rPr>
          <w:rFonts w:hint="eastAsia"/>
        </w:rPr>
        <w:t>ESG</w:t>
      </w:r>
      <w:r>
        <w:rPr>
          <w:rFonts w:hint="eastAsia"/>
        </w:rPr>
        <w:t>成为全球范围内各个公司可持续性发展能力的一项最重要的指标</w:t>
      </w:r>
      <w:r w:rsidR="007738D1">
        <w:rPr>
          <w:rFonts w:hint="eastAsia"/>
        </w:rPr>
        <w:t>，</w:t>
      </w:r>
      <w:r w:rsidR="00371A21">
        <w:rPr>
          <w:rFonts w:hint="eastAsia"/>
        </w:rPr>
        <w:t>研究表明全球范围内披露</w:t>
      </w:r>
      <w:r w:rsidR="00537040" w:rsidRPr="00537040">
        <w:rPr>
          <w:rFonts w:hint="eastAsia"/>
        </w:rPr>
        <w:t>ESG</w:t>
      </w:r>
      <w:r w:rsidR="00537040" w:rsidRPr="00537040">
        <w:rPr>
          <w:rFonts w:hint="eastAsia"/>
        </w:rPr>
        <w:t>数据的公司数量呈</w:t>
      </w:r>
      <w:proofErr w:type="gramStart"/>
      <w:r w:rsidR="00537040" w:rsidRPr="00537040">
        <w:rPr>
          <w:rFonts w:hint="eastAsia"/>
        </w:rPr>
        <w:t>指数级</w:t>
      </w:r>
      <w:proofErr w:type="gramEnd"/>
      <w:r w:rsidR="00537040" w:rsidRPr="00537040">
        <w:rPr>
          <w:rFonts w:hint="eastAsia"/>
        </w:rPr>
        <w:t>增长。</w:t>
      </w:r>
      <w:r w:rsidR="00537040" w:rsidRPr="00537040">
        <w:rPr>
          <w:rFonts w:hint="eastAsia"/>
        </w:rPr>
        <w:t>20</w:t>
      </w:r>
      <w:r w:rsidR="00537040" w:rsidRPr="00537040">
        <w:rPr>
          <w:rFonts w:hint="eastAsia"/>
        </w:rPr>
        <w:t>世纪</w:t>
      </w:r>
      <w:r w:rsidR="00537040" w:rsidRPr="00537040">
        <w:rPr>
          <w:rFonts w:hint="eastAsia"/>
        </w:rPr>
        <w:t>90</w:t>
      </w:r>
      <w:r w:rsidR="00537040" w:rsidRPr="00537040">
        <w:rPr>
          <w:rFonts w:hint="eastAsia"/>
        </w:rPr>
        <w:t>年代初，只有不到</w:t>
      </w:r>
      <w:r w:rsidR="00537040" w:rsidRPr="00537040">
        <w:rPr>
          <w:rFonts w:hint="eastAsia"/>
        </w:rPr>
        <w:t>20</w:t>
      </w:r>
      <w:r w:rsidR="00537040" w:rsidRPr="00537040">
        <w:rPr>
          <w:rFonts w:hint="eastAsia"/>
        </w:rPr>
        <w:t>家公司披露了</w:t>
      </w:r>
      <w:r w:rsidR="00537040" w:rsidRPr="00537040">
        <w:rPr>
          <w:rFonts w:hint="eastAsia"/>
        </w:rPr>
        <w:t>ESG</w:t>
      </w:r>
      <w:r w:rsidR="00537040" w:rsidRPr="00537040">
        <w:rPr>
          <w:rFonts w:hint="eastAsia"/>
        </w:rPr>
        <w:t>数据，而到</w:t>
      </w:r>
      <w:r w:rsidR="00537040" w:rsidRPr="00537040">
        <w:rPr>
          <w:rFonts w:hint="eastAsia"/>
        </w:rPr>
        <w:t>2016</w:t>
      </w:r>
      <w:r w:rsidR="00537040" w:rsidRPr="00537040">
        <w:rPr>
          <w:rFonts w:hint="eastAsia"/>
        </w:rPr>
        <w:t>年，发布可持续性或综合报告的公司数量已增至近</w:t>
      </w:r>
      <w:r w:rsidR="00537040" w:rsidRPr="00537040">
        <w:rPr>
          <w:rFonts w:hint="eastAsia"/>
        </w:rPr>
        <w:t>9000</w:t>
      </w:r>
      <w:r w:rsidR="00537040" w:rsidRPr="00537040">
        <w:rPr>
          <w:rFonts w:hint="eastAsia"/>
        </w:rPr>
        <w:t>家。投资者对</w:t>
      </w:r>
      <w:r w:rsidR="00537040" w:rsidRPr="00537040">
        <w:rPr>
          <w:rFonts w:hint="eastAsia"/>
        </w:rPr>
        <w:t>ESG</w:t>
      </w:r>
      <w:r w:rsidR="00537040" w:rsidRPr="00537040">
        <w:rPr>
          <w:rFonts w:hint="eastAsia"/>
        </w:rPr>
        <w:t>数据的兴趣也迅速增长。</w:t>
      </w:r>
      <w:r w:rsidR="00537040" w:rsidRPr="00537040">
        <w:rPr>
          <w:rFonts w:hint="eastAsia"/>
        </w:rPr>
        <w:t>2006</w:t>
      </w:r>
      <w:r w:rsidR="00537040" w:rsidRPr="00537040">
        <w:rPr>
          <w:rFonts w:hint="eastAsia"/>
        </w:rPr>
        <w:t>年启动的《联合国负责任投资原则》的签署国承诺将</w:t>
      </w:r>
      <w:r w:rsidR="00537040" w:rsidRPr="00537040">
        <w:rPr>
          <w:rFonts w:hint="eastAsia"/>
        </w:rPr>
        <w:t>ESG</w:t>
      </w:r>
      <w:r w:rsidR="00537040" w:rsidRPr="00537040">
        <w:rPr>
          <w:rFonts w:hint="eastAsia"/>
        </w:rPr>
        <w:t>问题纳入其投资分析和所有权政策和实践中。据统计截至</w:t>
      </w:r>
      <w:r w:rsidR="00537040" w:rsidRPr="00537040">
        <w:rPr>
          <w:rFonts w:hint="eastAsia"/>
        </w:rPr>
        <w:t>2016</w:t>
      </w:r>
      <w:r w:rsidR="00537040" w:rsidRPr="00537040">
        <w:rPr>
          <w:rFonts w:hint="eastAsia"/>
        </w:rPr>
        <w:t>年，《原则》约有</w:t>
      </w:r>
      <w:r w:rsidR="00537040" w:rsidRPr="00537040">
        <w:rPr>
          <w:rFonts w:hint="eastAsia"/>
        </w:rPr>
        <w:t>1400</w:t>
      </w:r>
      <w:r w:rsidR="00537040" w:rsidRPr="00537040">
        <w:rPr>
          <w:rFonts w:hint="eastAsia"/>
        </w:rPr>
        <w:t>个签署方，管理的总资产约为</w:t>
      </w:r>
      <w:r w:rsidR="00537040" w:rsidRPr="00537040">
        <w:rPr>
          <w:rFonts w:hint="eastAsia"/>
        </w:rPr>
        <w:t>60</w:t>
      </w:r>
      <w:proofErr w:type="gramStart"/>
      <w:r w:rsidR="00537040" w:rsidRPr="00537040">
        <w:rPr>
          <w:rFonts w:hint="eastAsia"/>
        </w:rPr>
        <w:t>万亿</w:t>
      </w:r>
      <w:proofErr w:type="gramEnd"/>
      <w:r w:rsidR="00537040" w:rsidRPr="00537040">
        <w:rPr>
          <w:rFonts w:hint="eastAsia"/>
        </w:rPr>
        <w:t>美元。</w:t>
      </w:r>
      <w:r w:rsidR="00B52167">
        <w:rPr>
          <w:rFonts w:hint="eastAsia"/>
        </w:rPr>
        <w:t>而</w:t>
      </w:r>
      <w:r w:rsidR="00871FC2" w:rsidRPr="00404245">
        <w:t>近年来，我国</w:t>
      </w:r>
      <w:r w:rsidR="00B52167">
        <w:rPr>
          <w:rFonts w:hint="eastAsia"/>
        </w:rPr>
        <w:t>更新了各种</w:t>
      </w:r>
      <w:r w:rsidR="00B52167">
        <w:rPr>
          <w:rFonts w:hint="eastAsia"/>
        </w:rPr>
        <w:t>ESG</w:t>
      </w:r>
      <w:r w:rsidR="00B52167">
        <w:rPr>
          <w:rFonts w:hint="eastAsia"/>
        </w:rPr>
        <w:t>相关信息的披露要求</w:t>
      </w:r>
      <w:r w:rsidR="00871FC2" w:rsidRPr="00404245">
        <w:t>。</w:t>
      </w:r>
      <w:r w:rsidR="00B52167">
        <w:rPr>
          <w:rFonts w:hint="eastAsia"/>
        </w:rPr>
        <w:t>如</w:t>
      </w:r>
      <w:r w:rsidR="00871FC2" w:rsidRPr="00404245">
        <w:t xml:space="preserve">2010 </w:t>
      </w:r>
      <w:r w:rsidR="00871FC2" w:rsidRPr="00404245">
        <w:t>年</w:t>
      </w:r>
      <w:r w:rsidR="00B52167">
        <w:t>9</w:t>
      </w:r>
      <w:r w:rsidR="00B52167">
        <w:rPr>
          <w:rFonts w:hint="eastAsia"/>
        </w:rPr>
        <w:t>月</w:t>
      </w:r>
      <w:r w:rsidR="00871FC2" w:rsidRPr="00404245">
        <w:t xml:space="preserve">14 </w:t>
      </w:r>
      <w:r w:rsidR="00871FC2" w:rsidRPr="00404245">
        <w:t>日</w:t>
      </w:r>
      <w:r w:rsidR="00B52167">
        <w:rPr>
          <w:rFonts w:hint="eastAsia"/>
        </w:rPr>
        <w:t>的</w:t>
      </w:r>
      <w:r w:rsidR="00871FC2" w:rsidRPr="00404245">
        <w:t>《上市公司环境信息披露指南（征求意见稿）》，</w:t>
      </w:r>
      <w:r w:rsidR="00B52167">
        <w:rPr>
          <w:rFonts w:hint="eastAsia"/>
        </w:rPr>
        <w:t>第一次</w:t>
      </w:r>
      <w:r w:rsidR="001B419B">
        <w:rPr>
          <w:rFonts w:hint="eastAsia"/>
        </w:rPr>
        <w:t>将</w:t>
      </w:r>
      <w:r w:rsidR="00871FC2" w:rsidRPr="00404245">
        <w:t>环境事件纳入</w:t>
      </w:r>
      <w:r w:rsidR="00B52167">
        <w:rPr>
          <w:rFonts w:hint="eastAsia"/>
        </w:rPr>
        <w:t>我国</w:t>
      </w:r>
      <w:r w:rsidR="00871FC2" w:rsidRPr="00404245">
        <w:t>上市公司环境信息披露</w:t>
      </w:r>
      <w:r w:rsidR="00B52167">
        <w:rPr>
          <w:rFonts w:hint="eastAsia"/>
        </w:rPr>
        <w:t>的要求</w:t>
      </w:r>
      <w:r w:rsidR="00871FC2" w:rsidRPr="00404245">
        <w:t>范围</w:t>
      </w:r>
      <w:r w:rsidR="001B419B">
        <w:rPr>
          <w:rFonts w:hint="eastAsia"/>
        </w:rPr>
        <w:t>。</w:t>
      </w:r>
      <w:r w:rsidR="00B52167">
        <w:rPr>
          <w:rFonts w:hint="eastAsia"/>
        </w:rPr>
        <w:t>除了环境相关披露要求，</w:t>
      </w:r>
      <w:r w:rsidR="00BF558D">
        <w:rPr>
          <w:rFonts w:hint="eastAsia"/>
        </w:rPr>
        <w:t>关于社会责任、公司治理的信息披露</w:t>
      </w:r>
      <w:r w:rsidR="00B52167">
        <w:rPr>
          <w:rFonts w:hint="eastAsia"/>
        </w:rPr>
        <w:t>准则</w:t>
      </w:r>
      <w:r w:rsidR="00BF558D">
        <w:rPr>
          <w:rFonts w:hint="eastAsia"/>
        </w:rPr>
        <w:t>也同时逐步展开。</w:t>
      </w:r>
      <w:r w:rsidR="007738D1">
        <w:rPr>
          <w:rFonts w:hint="eastAsia"/>
        </w:rPr>
        <w:t>在这种环境下</w:t>
      </w:r>
      <w:r w:rsidR="00871FC2" w:rsidRPr="00404245">
        <w:t>，国内外</w:t>
      </w:r>
      <w:r w:rsidR="007738D1">
        <w:rPr>
          <w:rFonts w:hint="eastAsia"/>
        </w:rPr>
        <w:t>各种评分机构和研究者纷纷展开了关于</w:t>
      </w:r>
      <w:r w:rsidR="00BF558D">
        <w:rPr>
          <w:rFonts w:hint="eastAsia"/>
        </w:rPr>
        <w:t>企业</w:t>
      </w:r>
      <w:r w:rsidR="00871FC2" w:rsidRPr="00404245">
        <w:t>ESG</w:t>
      </w:r>
      <w:r w:rsidR="007738D1">
        <w:rPr>
          <w:rFonts w:hint="eastAsia"/>
        </w:rPr>
        <w:t>表现和评价体系</w:t>
      </w:r>
      <w:r w:rsidR="00871FC2" w:rsidRPr="00404245">
        <w:t>的研究和应用。</w:t>
      </w:r>
      <w:r w:rsidR="00BB1D31">
        <w:rPr>
          <w:rFonts w:hint="eastAsia"/>
        </w:rPr>
        <w:t>而</w:t>
      </w:r>
      <w:r w:rsidR="00BB1D31" w:rsidRPr="00BB1D31">
        <w:rPr>
          <w:rFonts w:hint="eastAsia"/>
        </w:rPr>
        <w:t>在与企业相关的研究中，大量</w:t>
      </w:r>
      <w:r w:rsidR="00BB1D31">
        <w:rPr>
          <w:rFonts w:hint="eastAsia"/>
        </w:rPr>
        <w:t>企业的</w:t>
      </w:r>
      <w:r w:rsidR="00BB1D31" w:rsidRPr="00BB1D31">
        <w:rPr>
          <w:rFonts w:hint="eastAsia"/>
        </w:rPr>
        <w:t>行为与企业的</w:t>
      </w:r>
      <w:r w:rsidR="00BB1D31" w:rsidRPr="00BB1D31">
        <w:rPr>
          <w:rFonts w:hint="eastAsia"/>
        </w:rPr>
        <w:t>ESG</w:t>
      </w:r>
      <w:r w:rsidR="00BB1D31">
        <w:rPr>
          <w:rFonts w:hint="eastAsia"/>
        </w:rPr>
        <w:t>环境</w:t>
      </w:r>
      <w:r w:rsidR="00BB1D31" w:rsidRPr="00BB1D31">
        <w:rPr>
          <w:rFonts w:hint="eastAsia"/>
        </w:rPr>
        <w:t>有关，</w:t>
      </w:r>
      <w:r w:rsidR="00BB1D31">
        <w:rPr>
          <w:rFonts w:hint="eastAsia"/>
        </w:rPr>
        <w:t>ESG</w:t>
      </w:r>
      <w:r w:rsidR="00BB1D31">
        <w:rPr>
          <w:rFonts w:hint="eastAsia"/>
        </w:rPr>
        <w:t>在这其中</w:t>
      </w:r>
      <w:r w:rsidR="00BB1D31" w:rsidRPr="00BB1D31">
        <w:rPr>
          <w:rFonts w:hint="eastAsia"/>
        </w:rPr>
        <w:t>既</w:t>
      </w:r>
      <w:r w:rsidR="00BB1D31">
        <w:rPr>
          <w:rFonts w:hint="eastAsia"/>
        </w:rPr>
        <w:t>可作为</w:t>
      </w:r>
      <w:r w:rsidR="00BB1D31" w:rsidRPr="00BB1D31">
        <w:rPr>
          <w:rFonts w:hint="eastAsia"/>
        </w:rPr>
        <w:t>因变量，也</w:t>
      </w:r>
      <w:r w:rsidR="00BB1D31">
        <w:rPr>
          <w:rFonts w:hint="eastAsia"/>
        </w:rPr>
        <w:t>可作为</w:t>
      </w:r>
      <w:r w:rsidR="00BB1D31" w:rsidRPr="00BB1D31">
        <w:rPr>
          <w:rFonts w:hint="eastAsia"/>
        </w:rPr>
        <w:t>自变量。虽然大多数研究</w:t>
      </w:r>
      <w:r w:rsidR="00BB1D31">
        <w:rPr>
          <w:rFonts w:hint="eastAsia"/>
        </w:rPr>
        <w:t>并没有给出一致答案</w:t>
      </w:r>
      <w:r w:rsidR="00BB1D31" w:rsidRPr="00BB1D31">
        <w:rPr>
          <w:rFonts w:hint="eastAsia"/>
        </w:rPr>
        <w:t>，但许多研究最终都涉及一个更广泛的问题：</w:t>
      </w:r>
      <w:r w:rsidR="00BB1D31" w:rsidRPr="00BB1D31">
        <w:rPr>
          <w:rFonts w:hint="eastAsia"/>
        </w:rPr>
        <w:t>ESG</w:t>
      </w:r>
      <w:r w:rsidR="00BB1D31" w:rsidRPr="00BB1D31">
        <w:rPr>
          <w:rFonts w:hint="eastAsia"/>
        </w:rPr>
        <w:t>活动是否有益于股东</w:t>
      </w:r>
      <w:r w:rsidR="009248CE">
        <w:rPr>
          <w:rFonts w:hint="eastAsia"/>
        </w:rPr>
        <w:t>和公司总体利益</w:t>
      </w:r>
      <w:r w:rsidR="00BB1D31" w:rsidRPr="00BB1D31">
        <w:rPr>
          <w:rFonts w:hint="eastAsia"/>
        </w:rPr>
        <w:t>？</w:t>
      </w:r>
    </w:p>
    <w:p w14:paraId="7AFDBFB3" w14:textId="7B93B9F8" w:rsidR="00871FC2" w:rsidRPr="00DA1541" w:rsidRDefault="00181FC8" w:rsidP="000573DA">
      <w:pPr>
        <w:ind w:firstLineChars="200" w:firstLine="480"/>
      </w:pPr>
      <w:r w:rsidRPr="00181FC8">
        <w:rPr>
          <w:rFonts w:hint="eastAsia"/>
        </w:rPr>
        <w:lastRenderedPageBreak/>
        <w:t>在理想的世界里，</w:t>
      </w:r>
      <w:r w:rsidRPr="00181FC8">
        <w:rPr>
          <w:rFonts w:hint="eastAsia"/>
        </w:rPr>
        <w:t>CEO</w:t>
      </w:r>
      <w:r w:rsidRPr="00181FC8">
        <w:rPr>
          <w:rFonts w:hint="eastAsia"/>
        </w:rPr>
        <w:t>和股东的利益会完全一致。首席执行官做出的每一个决定都会使股东价值最大化。然而，管理者以提高自身效用为目标来解决自身的最大化问题；这就是所谓的代理问题。公司治理政策旨在确保管理者以与股东价值最大化一致的方式行事，这一目标的一部分是通过薪酬政策实现的。最优薪酬合同是一种促进管理决策，使股东价值最大化的合同。这涉及到通过现金、股票和期权支付，让</w:t>
      </w:r>
      <w:r w:rsidRPr="00181FC8">
        <w:rPr>
          <w:rFonts w:hint="eastAsia"/>
        </w:rPr>
        <w:t>CEO</w:t>
      </w:r>
      <w:r w:rsidRPr="00181FC8">
        <w:rPr>
          <w:rFonts w:hint="eastAsia"/>
        </w:rPr>
        <w:t>面临不同的风险</w:t>
      </w:r>
      <w:r w:rsidRPr="00181FC8">
        <w:rPr>
          <w:rFonts w:hint="eastAsia"/>
        </w:rPr>
        <w:t>/</w:t>
      </w:r>
      <w:r w:rsidRPr="00181FC8">
        <w:rPr>
          <w:rFonts w:hint="eastAsia"/>
        </w:rPr>
        <w:t>回报激励组合，以缓解代理问题。总之，目前高管股权激励被认为是解决企业代理问题的一种有效方式，而且管理者薪酬敏感性问题也是最优契约理论的一大重要内容</w:t>
      </w:r>
      <w:r>
        <w:rPr>
          <w:rFonts w:hint="eastAsia"/>
        </w:rPr>
        <w:t>。</w:t>
      </w:r>
      <w:r w:rsidRPr="00181FC8">
        <w:rPr>
          <w:rFonts w:hint="eastAsia"/>
        </w:rPr>
        <w:t>在投资决策中，高管们针对公司所有者来说是风险规避者，高管们可能会为了自身薪酬的短期利益而放弃有利于公司长期发展的高风险投资项目，而股权激励的风险承担效应就可以缓解这种冲突，抑制高管的风险规避倾向，这一观点已经得到有效的证明</w:t>
      </w:r>
      <w:r>
        <w:rPr>
          <w:rFonts w:hint="eastAsia"/>
        </w:rPr>
        <w:t>，而股权激励这一行为也逐渐被中国规范化，</w:t>
      </w:r>
      <w:r w:rsidR="00A30AA6">
        <w:rPr>
          <w:rFonts w:hint="eastAsia"/>
        </w:rPr>
        <w:t>例如：</w:t>
      </w:r>
      <w:r w:rsidR="00871FC2" w:rsidRPr="00DA1541">
        <w:rPr>
          <w:rFonts w:hint="eastAsia"/>
        </w:rPr>
        <w:t>我国证监会</w:t>
      </w:r>
      <w:r w:rsidR="00B52167">
        <w:rPr>
          <w:rFonts w:hint="eastAsia"/>
        </w:rPr>
        <w:t>在</w:t>
      </w:r>
      <w:r w:rsidR="00871FC2" w:rsidRPr="00DA1541">
        <w:rPr>
          <w:rFonts w:hint="eastAsia"/>
        </w:rPr>
        <w:t xml:space="preserve">2016 </w:t>
      </w:r>
      <w:r w:rsidR="00871FC2" w:rsidRPr="00DA1541">
        <w:rPr>
          <w:rFonts w:hint="eastAsia"/>
        </w:rPr>
        <w:t>年</w:t>
      </w:r>
      <w:r w:rsidR="00871FC2" w:rsidRPr="00DA1541">
        <w:rPr>
          <w:rFonts w:hint="eastAsia"/>
        </w:rPr>
        <w:t>7</w:t>
      </w:r>
      <w:r w:rsidR="00871FC2" w:rsidRPr="00DA1541">
        <w:rPr>
          <w:rFonts w:hint="eastAsia"/>
        </w:rPr>
        <w:t>月</w:t>
      </w:r>
      <w:r w:rsidR="00B52167">
        <w:rPr>
          <w:rFonts w:hint="eastAsia"/>
        </w:rPr>
        <w:t>发布的</w:t>
      </w:r>
      <w:r w:rsidR="00871FC2" w:rsidRPr="00DA1541">
        <w:rPr>
          <w:rFonts w:hint="eastAsia"/>
        </w:rPr>
        <w:t>《上市公司股权激励管理办法》</w:t>
      </w:r>
      <w:r>
        <w:rPr>
          <w:rFonts w:hint="eastAsia"/>
        </w:rPr>
        <w:t>就是规范化的一个表现</w:t>
      </w:r>
      <w:r w:rsidR="00871FC2">
        <w:rPr>
          <w:rFonts w:hint="eastAsia"/>
        </w:rPr>
        <w:t>。</w:t>
      </w:r>
    </w:p>
    <w:p w14:paraId="49AD2C26" w14:textId="0E9817F6" w:rsidR="00871FC2" w:rsidRPr="00A539FB" w:rsidRDefault="00871FC2" w:rsidP="001B419B">
      <w:pPr>
        <w:ind w:firstLineChars="200" w:firstLine="480"/>
      </w:pPr>
      <w:r>
        <w:rPr>
          <w:rFonts w:hint="eastAsia"/>
        </w:rPr>
        <w:t>股权激励下高管财富对股票价格及波动率的敏感性</w:t>
      </w:r>
      <w:r w:rsidRPr="00560BDE">
        <w:rPr>
          <w:rFonts w:hint="eastAsia"/>
        </w:rPr>
        <w:t>对公司业绩、投资和政策决策等有着深远的影响；然而，它对</w:t>
      </w:r>
      <w:r>
        <w:rPr>
          <w:rFonts w:hint="eastAsia"/>
        </w:rPr>
        <w:t>ESG</w:t>
      </w:r>
      <w:r w:rsidRPr="00560BDE">
        <w:rPr>
          <w:rFonts w:hint="eastAsia"/>
        </w:rPr>
        <w:t>的影响还没有得到充分的研究。研究高管薪酬与</w:t>
      </w:r>
      <w:r>
        <w:rPr>
          <w:rFonts w:hint="eastAsia"/>
        </w:rPr>
        <w:t>ESG</w:t>
      </w:r>
      <w:r w:rsidRPr="00560BDE">
        <w:rPr>
          <w:rFonts w:hint="eastAsia"/>
        </w:rPr>
        <w:t>之间联系的文献</w:t>
      </w:r>
      <w:r>
        <w:rPr>
          <w:rFonts w:hint="eastAsia"/>
        </w:rPr>
        <w:t>基本</w:t>
      </w:r>
      <w:r w:rsidRPr="00560BDE">
        <w:rPr>
          <w:rFonts w:hint="eastAsia"/>
        </w:rPr>
        <w:t>只关注</w:t>
      </w:r>
      <w:r>
        <w:rPr>
          <w:rFonts w:hint="eastAsia"/>
        </w:rPr>
        <w:t>到</w:t>
      </w:r>
      <w:r>
        <w:rPr>
          <w:rFonts w:hint="eastAsia"/>
        </w:rPr>
        <w:t>ESG</w:t>
      </w:r>
      <w:r>
        <w:rPr>
          <w:rFonts w:hint="eastAsia"/>
        </w:rPr>
        <w:t>组成部分——社会责任</w:t>
      </w:r>
      <w:r w:rsidR="00BB1D31">
        <w:rPr>
          <w:rFonts w:hint="eastAsia"/>
        </w:rPr>
        <w:t>（</w:t>
      </w:r>
      <w:r w:rsidR="00BB1D31">
        <w:rPr>
          <w:rFonts w:hint="eastAsia"/>
        </w:rPr>
        <w:t>CSR</w:t>
      </w:r>
      <w:r w:rsidR="00BB1D31">
        <w:rPr>
          <w:rFonts w:hint="eastAsia"/>
        </w:rPr>
        <w:t>）</w:t>
      </w:r>
      <w:r>
        <w:rPr>
          <w:rFonts w:hint="eastAsia"/>
        </w:rPr>
        <w:t>，并且没有考虑到高管财富的敏感性，</w:t>
      </w:r>
      <w:r w:rsidRPr="00560BDE">
        <w:rPr>
          <w:rFonts w:hint="eastAsia"/>
        </w:rPr>
        <w:t>一些人使用滞后的长期高管薪酬衡量标准或奖金和股票期权薪酬的百分比。尽管</w:t>
      </w:r>
      <w:r w:rsidR="005F7E88">
        <w:rPr>
          <w:rFonts w:hint="eastAsia"/>
        </w:rPr>
        <w:t>一些</w:t>
      </w:r>
      <w:r w:rsidRPr="00560BDE">
        <w:rPr>
          <w:rFonts w:hint="eastAsia"/>
        </w:rPr>
        <w:t>研究</w:t>
      </w:r>
      <w:r w:rsidR="005F7E88">
        <w:rPr>
          <w:rFonts w:hint="eastAsia"/>
        </w:rPr>
        <w:t>以及</w:t>
      </w:r>
      <w:r w:rsidRPr="00560BDE">
        <w:rPr>
          <w:rFonts w:hint="eastAsia"/>
        </w:rPr>
        <w:t>探讨了</w:t>
      </w:r>
      <w:r>
        <w:rPr>
          <w:rFonts w:hint="eastAsia"/>
        </w:rPr>
        <w:t>高管</w:t>
      </w:r>
      <w:r w:rsidRPr="00560BDE">
        <w:rPr>
          <w:rFonts w:hint="eastAsia"/>
        </w:rPr>
        <w:t>薪酬如何激励</w:t>
      </w:r>
      <w:r w:rsidR="005F7E88">
        <w:rPr>
          <w:rFonts w:hint="eastAsia"/>
        </w:rPr>
        <w:t>ESG</w:t>
      </w:r>
      <w:r w:rsidR="005F7E88">
        <w:rPr>
          <w:rFonts w:hint="eastAsia"/>
        </w:rPr>
        <w:t>中一个重要组成部分——</w:t>
      </w:r>
      <w:r w:rsidRPr="00560BDE">
        <w:rPr>
          <w:rFonts w:hint="eastAsia"/>
        </w:rPr>
        <w:t>企业社会责任参与，</w:t>
      </w:r>
      <w:r w:rsidR="00BB1D31">
        <w:rPr>
          <w:rFonts w:hint="eastAsia"/>
        </w:rPr>
        <w:t>在次需要说明</w:t>
      </w:r>
      <w:r w:rsidR="00BB1D31">
        <w:rPr>
          <w:rFonts w:hint="eastAsia"/>
        </w:rPr>
        <w:t>ESG</w:t>
      </w:r>
      <w:r w:rsidR="00BB1D31">
        <w:rPr>
          <w:rFonts w:hint="eastAsia"/>
        </w:rPr>
        <w:t>与</w:t>
      </w:r>
      <w:r w:rsidR="00BB1D31">
        <w:rPr>
          <w:rFonts w:hint="eastAsia"/>
        </w:rPr>
        <w:t>CSR</w:t>
      </w:r>
      <w:r w:rsidR="00BB1D31" w:rsidRPr="00BB1D31">
        <w:rPr>
          <w:rFonts w:hint="eastAsia"/>
        </w:rPr>
        <w:t>这两个术语之间的一个区别是，</w:t>
      </w:r>
      <w:r w:rsidR="00BB1D31" w:rsidRPr="00BB1D31">
        <w:rPr>
          <w:rFonts w:hint="eastAsia"/>
        </w:rPr>
        <w:t>ESG</w:t>
      </w:r>
      <w:r w:rsidR="00BB1D31" w:rsidRPr="00BB1D31">
        <w:rPr>
          <w:rFonts w:hint="eastAsia"/>
        </w:rPr>
        <w:t>明确包括治理，而</w:t>
      </w:r>
      <w:r w:rsidR="00BB1D31" w:rsidRPr="00BB1D31">
        <w:rPr>
          <w:rFonts w:hint="eastAsia"/>
        </w:rPr>
        <w:t>CSR</w:t>
      </w:r>
      <w:r w:rsidR="00BB1D31" w:rsidRPr="00BB1D31">
        <w:rPr>
          <w:rFonts w:hint="eastAsia"/>
        </w:rPr>
        <w:t>间接包括治理问题，</w:t>
      </w:r>
      <w:r w:rsidR="00BB1D31">
        <w:rPr>
          <w:rFonts w:hint="eastAsia"/>
        </w:rPr>
        <w:t>虽然</w:t>
      </w:r>
      <w:r w:rsidR="00BB1D31" w:rsidRPr="00BB1D31">
        <w:rPr>
          <w:rFonts w:hint="eastAsia"/>
        </w:rPr>
        <w:t>它们与环境和社会因素有关。因此，</w:t>
      </w:r>
      <w:r w:rsidR="00BB1D31" w:rsidRPr="00BB1D31">
        <w:rPr>
          <w:rFonts w:hint="eastAsia"/>
        </w:rPr>
        <w:t>ESG</w:t>
      </w:r>
      <w:r w:rsidR="00BB1D31" w:rsidRPr="00BB1D31">
        <w:rPr>
          <w:rFonts w:hint="eastAsia"/>
        </w:rPr>
        <w:t>往往是一个比</w:t>
      </w:r>
      <w:r w:rsidR="00BB1D31" w:rsidRPr="00BB1D31">
        <w:rPr>
          <w:rFonts w:hint="eastAsia"/>
        </w:rPr>
        <w:t>CSR</w:t>
      </w:r>
      <w:r w:rsidR="00BB1D31" w:rsidRPr="00BB1D31">
        <w:rPr>
          <w:rFonts w:hint="eastAsia"/>
        </w:rPr>
        <w:t>更宽泛的术语。</w:t>
      </w:r>
      <w:r w:rsidRPr="00560BDE">
        <w:rPr>
          <w:rFonts w:hint="eastAsia"/>
        </w:rPr>
        <w:t>通过使用薪酬敏感性，我们可以从</w:t>
      </w:r>
      <w:r>
        <w:rPr>
          <w:rFonts w:hint="eastAsia"/>
        </w:rPr>
        <w:t>股权激励的</w:t>
      </w:r>
      <w:r w:rsidRPr="00560BDE">
        <w:rPr>
          <w:rFonts w:hint="eastAsia"/>
        </w:rPr>
        <w:t>角度理解企业</w:t>
      </w:r>
      <w:r>
        <w:rPr>
          <w:rFonts w:hint="eastAsia"/>
        </w:rPr>
        <w:t>高管</w:t>
      </w:r>
      <w:r>
        <w:rPr>
          <w:rFonts w:hint="eastAsia"/>
        </w:rPr>
        <w:t>ESG</w:t>
      </w:r>
      <w:r>
        <w:rPr>
          <w:rFonts w:hint="eastAsia"/>
        </w:rPr>
        <w:t>相关</w:t>
      </w:r>
      <w:r w:rsidRPr="00560BDE">
        <w:rPr>
          <w:rFonts w:hint="eastAsia"/>
        </w:rPr>
        <w:t>投资背后的潜在动机，而不仅仅是</w:t>
      </w:r>
      <w:r>
        <w:rPr>
          <w:rFonts w:hint="eastAsia"/>
        </w:rPr>
        <w:t>关注这些</w:t>
      </w:r>
      <w:r w:rsidRPr="00560BDE">
        <w:rPr>
          <w:rFonts w:hint="eastAsia"/>
        </w:rPr>
        <w:t>投资是否进行。更高的</w:t>
      </w:r>
      <w:r>
        <w:rPr>
          <w:rFonts w:hint="eastAsia"/>
        </w:rPr>
        <w:t>Vega</w:t>
      </w:r>
      <w:proofErr w:type="gramStart"/>
      <w:r w:rsidRPr="00560BDE">
        <w:rPr>
          <w:rFonts w:hint="eastAsia"/>
        </w:rPr>
        <w:t>激励</w:t>
      </w:r>
      <w:r>
        <w:rPr>
          <w:rFonts w:hint="eastAsia"/>
        </w:rPr>
        <w:t>高管</w:t>
      </w:r>
      <w:r w:rsidRPr="00560BDE">
        <w:rPr>
          <w:rFonts w:hint="eastAsia"/>
        </w:rPr>
        <w:t>追求</w:t>
      </w:r>
      <w:proofErr w:type="gramEnd"/>
      <w:r w:rsidRPr="00560BDE">
        <w:rPr>
          <w:rFonts w:hint="eastAsia"/>
        </w:rPr>
        <w:t>增加股价波动的政策，而更高的</w:t>
      </w:r>
      <w:r>
        <w:rPr>
          <w:rFonts w:hint="eastAsia"/>
        </w:rPr>
        <w:t>Delta</w:t>
      </w:r>
      <w:r w:rsidRPr="00560BDE">
        <w:rPr>
          <w:rFonts w:hint="eastAsia"/>
        </w:rPr>
        <w:t>激励</w:t>
      </w:r>
      <w:r w:rsidR="005F7E88">
        <w:rPr>
          <w:rFonts w:hint="eastAsia"/>
        </w:rPr>
        <w:t>企业高管</w:t>
      </w:r>
      <w:proofErr w:type="gramStart"/>
      <w:r w:rsidR="005F7E88">
        <w:rPr>
          <w:rFonts w:hint="eastAsia"/>
        </w:rPr>
        <w:t>们</w:t>
      </w:r>
      <w:r w:rsidRPr="00560BDE">
        <w:rPr>
          <w:rFonts w:hint="eastAsia"/>
        </w:rPr>
        <w:t>提</w:t>
      </w:r>
      <w:proofErr w:type="gramEnd"/>
      <w:r w:rsidRPr="00560BDE">
        <w:rPr>
          <w:rFonts w:hint="eastAsia"/>
        </w:rPr>
        <w:t>高</w:t>
      </w:r>
      <w:r w:rsidR="005F7E88">
        <w:rPr>
          <w:rFonts w:hint="eastAsia"/>
        </w:rPr>
        <w:t>公司</w:t>
      </w:r>
      <w:r w:rsidRPr="00560BDE">
        <w:rPr>
          <w:rFonts w:hint="eastAsia"/>
        </w:rPr>
        <w:t>股价。了解</w:t>
      </w:r>
      <w:r>
        <w:rPr>
          <w:rFonts w:hint="eastAsia"/>
        </w:rPr>
        <w:t>高管</w:t>
      </w:r>
      <w:r w:rsidRPr="00560BDE">
        <w:rPr>
          <w:rFonts w:hint="eastAsia"/>
        </w:rPr>
        <w:t>如何应对与</w:t>
      </w:r>
      <w:r>
        <w:rPr>
          <w:rFonts w:hint="eastAsia"/>
        </w:rPr>
        <w:t>企业</w:t>
      </w:r>
      <w:r>
        <w:rPr>
          <w:rFonts w:hint="eastAsia"/>
        </w:rPr>
        <w:t>ESG</w:t>
      </w:r>
      <w:r>
        <w:rPr>
          <w:rFonts w:hint="eastAsia"/>
        </w:rPr>
        <w:t>环境</w:t>
      </w:r>
      <w:r w:rsidRPr="00560BDE">
        <w:rPr>
          <w:rFonts w:hint="eastAsia"/>
        </w:rPr>
        <w:t>相关的激励，对于设计薪酬政策至关重要，这些政策不仅能最大</w:t>
      </w:r>
      <w:r w:rsidR="005F7E88">
        <w:rPr>
          <w:rFonts w:hint="eastAsia"/>
        </w:rPr>
        <w:t>程度</w:t>
      </w:r>
      <w:r w:rsidRPr="00560BDE">
        <w:rPr>
          <w:rFonts w:hint="eastAsia"/>
        </w:rPr>
        <w:t>地实现</w:t>
      </w:r>
      <w:r w:rsidR="005F7E88">
        <w:rPr>
          <w:rFonts w:hint="eastAsia"/>
        </w:rPr>
        <w:t>增加</w:t>
      </w:r>
      <w:r w:rsidRPr="00560BDE">
        <w:rPr>
          <w:rFonts w:hint="eastAsia"/>
        </w:rPr>
        <w:t>股东价值</w:t>
      </w:r>
      <w:r w:rsidR="005F7E88">
        <w:rPr>
          <w:rFonts w:hint="eastAsia"/>
        </w:rPr>
        <w:t>的目标</w:t>
      </w:r>
      <w:r w:rsidRPr="00560BDE">
        <w:rPr>
          <w:rFonts w:hint="eastAsia"/>
        </w:rPr>
        <w:t>，还能在日益受到社会认知影响的经营环境中促进企业</w:t>
      </w:r>
      <w:r>
        <w:rPr>
          <w:rFonts w:hint="eastAsia"/>
        </w:rPr>
        <w:t>环保、社会责任等</w:t>
      </w:r>
      <w:r w:rsidRPr="00560BDE">
        <w:rPr>
          <w:rFonts w:hint="eastAsia"/>
        </w:rPr>
        <w:t>意识</w:t>
      </w:r>
      <w:r>
        <w:rPr>
          <w:rFonts w:hint="eastAsia"/>
        </w:rPr>
        <w:t>。</w:t>
      </w:r>
      <w:r w:rsidR="00F82225">
        <w:rPr>
          <w:rFonts w:hint="eastAsia"/>
        </w:rPr>
        <w:t>因此，</w:t>
      </w:r>
      <w:r w:rsidR="0002328C">
        <w:rPr>
          <w:rFonts w:hint="eastAsia"/>
        </w:rPr>
        <w:t>实践和学术意义上，</w:t>
      </w:r>
      <w:r w:rsidR="00F82225">
        <w:rPr>
          <w:rFonts w:hint="eastAsia"/>
        </w:rPr>
        <w:t>研究企业高管薪酬敏感性与</w:t>
      </w:r>
      <w:r w:rsidR="00F82225">
        <w:rPr>
          <w:rFonts w:hint="eastAsia"/>
        </w:rPr>
        <w:lastRenderedPageBreak/>
        <w:t>ESG</w:t>
      </w:r>
      <w:r w:rsidR="00F82225">
        <w:rPr>
          <w:rFonts w:hint="eastAsia"/>
        </w:rPr>
        <w:t>评分之间的关系</w:t>
      </w:r>
      <w:r w:rsidR="0002328C">
        <w:rPr>
          <w:rFonts w:hint="eastAsia"/>
        </w:rPr>
        <w:t>都</w:t>
      </w:r>
      <w:r w:rsidR="00F82225">
        <w:rPr>
          <w:rFonts w:hint="eastAsia"/>
        </w:rPr>
        <w:t>是非常重要且急迫的</w:t>
      </w:r>
      <w:r w:rsidR="0002328C">
        <w:rPr>
          <w:rFonts w:hint="eastAsia"/>
        </w:rPr>
        <w:t>。</w:t>
      </w:r>
    </w:p>
    <w:p w14:paraId="13838E8A" w14:textId="678CCD63" w:rsidR="00871FC2" w:rsidRPr="000F30CD" w:rsidRDefault="00871FC2" w:rsidP="00871FC2">
      <w:pPr>
        <w:pStyle w:val="2"/>
        <w:spacing w:before="163" w:after="163"/>
        <w:rPr>
          <w:rFonts w:ascii="宋体" w:hAnsi="宋体"/>
        </w:rPr>
      </w:pPr>
      <w:bookmarkStart w:id="12" w:name="_Toc102342817"/>
      <w:bookmarkStart w:id="13" w:name="_Toc104478862"/>
      <w:r w:rsidRPr="00CB2073">
        <w:rPr>
          <w:rFonts w:cs="Times New Roman"/>
        </w:rPr>
        <w:t>1.2</w:t>
      </w:r>
      <w:r w:rsidR="00CB2073">
        <w:rPr>
          <w:rFonts w:cs="Times New Roman"/>
        </w:rPr>
        <w:t xml:space="preserve"> </w:t>
      </w:r>
      <w:r>
        <w:rPr>
          <w:rFonts w:hint="eastAsia"/>
        </w:rPr>
        <w:t>文献综述</w:t>
      </w:r>
      <w:bookmarkEnd w:id="12"/>
      <w:bookmarkEnd w:id="13"/>
    </w:p>
    <w:p w14:paraId="39000AB7" w14:textId="719E1563" w:rsidR="00871FC2" w:rsidRPr="00871FC2" w:rsidRDefault="00871FC2" w:rsidP="00871FC2">
      <w:pPr>
        <w:pStyle w:val="3"/>
      </w:pPr>
      <w:bookmarkStart w:id="14" w:name="_Toc102342818"/>
      <w:bookmarkStart w:id="15" w:name="_Toc102668381"/>
      <w:bookmarkStart w:id="16" w:name="_Toc102745508"/>
      <w:bookmarkStart w:id="17" w:name="_Toc102854683"/>
      <w:bookmarkStart w:id="18" w:name="_Toc103038522"/>
      <w:bookmarkStart w:id="19" w:name="_Toc103093648"/>
      <w:bookmarkStart w:id="20" w:name="_Toc103345028"/>
      <w:bookmarkStart w:id="21" w:name="_Toc103549466"/>
      <w:r w:rsidRPr="00871FC2">
        <w:t>1.2.1</w:t>
      </w:r>
      <w:r w:rsidRPr="00871FC2">
        <w:rPr>
          <w:rFonts w:hint="eastAsia"/>
        </w:rPr>
        <w:t xml:space="preserve"> </w:t>
      </w:r>
      <w:r w:rsidRPr="00871FC2">
        <w:rPr>
          <w:rFonts w:hint="eastAsia"/>
        </w:rPr>
        <w:t>高管薪酬研究综述</w:t>
      </w:r>
      <w:bookmarkEnd w:id="14"/>
      <w:bookmarkEnd w:id="15"/>
      <w:bookmarkEnd w:id="16"/>
      <w:bookmarkEnd w:id="17"/>
      <w:bookmarkEnd w:id="18"/>
      <w:bookmarkEnd w:id="19"/>
      <w:bookmarkEnd w:id="20"/>
      <w:bookmarkEnd w:id="21"/>
    </w:p>
    <w:p w14:paraId="51A7EC5D" w14:textId="458BC119" w:rsidR="00871FC2" w:rsidRPr="00941165" w:rsidRDefault="00871FC2" w:rsidP="000573DA">
      <w:pPr>
        <w:ind w:firstLineChars="200" w:firstLine="480"/>
      </w:pPr>
      <w:bookmarkStart w:id="22" w:name="_Hlk103089050"/>
      <w:r w:rsidRPr="00941165">
        <w:rPr>
          <w:rFonts w:hint="eastAsia"/>
        </w:rPr>
        <w:t>在理想的世界里，</w:t>
      </w:r>
      <w:r w:rsidRPr="00941165">
        <w:rPr>
          <w:rFonts w:hint="eastAsia"/>
        </w:rPr>
        <w:t>CEO</w:t>
      </w:r>
      <w:r w:rsidRPr="00941165">
        <w:rPr>
          <w:rFonts w:hint="eastAsia"/>
        </w:rPr>
        <w:t>和股东的利益会完全一致。首席执行官做出的每一个决定都会使股东价值最大化。然而，管理者以提高自身效用为目标来解决自身的最大化问题；这就是所谓的代理问题</w:t>
      </w:r>
      <w:r w:rsidR="00D63DDA" w:rsidRPr="00A23442">
        <w:rPr>
          <w:vertAlign w:val="superscript"/>
        </w:rPr>
        <w:fldChar w:fldCharType="begin"/>
      </w:r>
      <w:r w:rsidR="00D63DDA" w:rsidRPr="00A23442">
        <w:rPr>
          <w:vertAlign w:val="superscript"/>
        </w:rPr>
        <w:instrText xml:space="preserve"> </w:instrText>
      </w:r>
      <w:r w:rsidR="00D63DDA" w:rsidRPr="00A23442">
        <w:rPr>
          <w:rFonts w:hint="eastAsia"/>
          <w:vertAlign w:val="superscript"/>
        </w:rPr>
        <w:instrText>REF _Ref102395917 \r \h</w:instrText>
      </w:r>
      <w:r w:rsidR="00D63DDA" w:rsidRPr="00A23442">
        <w:rPr>
          <w:vertAlign w:val="superscript"/>
        </w:rPr>
        <w:instrText>\#</w:instrText>
      </w:r>
      <w:r w:rsidR="00A23442" w:rsidRPr="00A23442">
        <w:rPr>
          <w:vertAlign w:val="superscript"/>
        </w:rPr>
        <w:instrText>"</w:instrText>
      </w:r>
      <w:r w:rsidR="00D63DDA" w:rsidRPr="00A23442">
        <w:rPr>
          <w:vertAlign w:val="superscript"/>
        </w:rPr>
        <w:instrText>[0</w:instrText>
      </w:r>
      <w:r w:rsidR="00A23442" w:rsidRPr="00A23442">
        <w:rPr>
          <w:vertAlign w:val="superscript"/>
        </w:rPr>
        <w:instrText>"</w:instrText>
      </w:r>
      <w:r w:rsidR="00A23442">
        <w:rPr>
          <w:vertAlign w:val="superscript"/>
        </w:rPr>
        <w:instrText xml:space="preserve"> \* MERGEFORMAT </w:instrText>
      </w:r>
      <w:r w:rsidR="00D63DDA" w:rsidRPr="00A23442">
        <w:rPr>
          <w:vertAlign w:val="superscript"/>
        </w:rPr>
      </w:r>
      <w:r w:rsidR="00D63DDA" w:rsidRPr="00A23442">
        <w:rPr>
          <w:vertAlign w:val="superscript"/>
        </w:rPr>
        <w:fldChar w:fldCharType="separate"/>
      </w:r>
      <w:r w:rsidR="00AA0519" w:rsidRPr="00A23442">
        <w:rPr>
          <w:vertAlign w:val="superscript"/>
        </w:rPr>
        <w:t>[</w:t>
      </w:r>
      <w:r w:rsidR="00AA0519">
        <w:rPr>
          <w:vertAlign w:val="superscript"/>
        </w:rPr>
        <w:t>1</w:t>
      </w:r>
      <w:r w:rsidR="00D63DDA" w:rsidRPr="00A23442">
        <w:rPr>
          <w:vertAlign w:val="superscript"/>
        </w:rPr>
        <w:fldChar w:fldCharType="end"/>
      </w:r>
      <w:r w:rsidR="00A23442" w:rsidRPr="00A23442">
        <w:rPr>
          <w:vertAlign w:val="superscript"/>
        </w:rPr>
        <w:t>,</w:t>
      </w:r>
      <w:r w:rsidR="00D63DDA" w:rsidRPr="00A23442">
        <w:rPr>
          <w:vertAlign w:val="superscript"/>
        </w:rPr>
        <w:fldChar w:fldCharType="begin"/>
      </w:r>
      <w:r w:rsidR="00D63DDA" w:rsidRPr="00A23442">
        <w:rPr>
          <w:vertAlign w:val="superscript"/>
        </w:rPr>
        <w:instrText xml:space="preserve"> REF _Ref102395920 \r \h\#"0]"</w:instrText>
      </w:r>
      <w:r w:rsidR="00A23442">
        <w:rPr>
          <w:vertAlign w:val="superscript"/>
        </w:rPr>
        <w:instrText xml:space="preserve"> \* MERGEFORMAT </w:instrText>
      </w:r>
      <w:r w:rsidR="00D63DDA" w:rsidRPr="00A23442">
        <w:rPr>
          <w:vertAlign w:val="superscript"/>
        </w:rPr>
      </w:r>
      <w:r w:rsidR="00D63DDA" w:rsidRPr="00A23442">
        <w:rPr>
          <w:vertAlign w:val="superscript"/>
        </w:rPr>
        <w:fldChar w:fldCharType="separate"/>
      </w:r>
      <w:r w:rsidR="00AA0519">
        <w:rPr>
          <w:vertAlign w:val="superscript"/>
        </w:rPr>
        <w:t>2</w:t>
      </w:r>
      <w:r w:rsidR="00AA0519" w:rsidRPr="00A23442">
        <w:rPr>
          <w:vertAlign w:val="superscript"/>
        </w:rPr>
        <w:t>]</w:t>
      </w:r>
      <w:r w:rsidR="00D63DDA" w:rsidRPr="00A23442">
        <w:rPr>
          <w:vertAlign w:val="superscript"/>
        </w:rPr>
        <w:fldChar w:fldCharType="end"/>
      </w:r>
      <w:r w:rsidRPr="00941165">
        <w:rPr>
          <w:rFonts w:hint="eastAsia"/>
        </w:rPr>
        <w:t>。公司治理政策旨在确保管理者以与股东价值最大化一致的方式行事，这一目标的一部分是通过薪酬政策实现的</w:t>
      </w:r>
      <w:r w:rsidR="00A23442" w:rsidRPr="00A23442">
        <w:rPr>
          <w:vertAlign w:val="superscript"/>
        </w:rPr>
        <w:fldChar w:fldCharType="begin"/>
      </w:r>
      <w:r w:rsidR="00A23442" w:rsidRPr="00A23442">
        <w:rPr>
          <w:vertAlign w:val="superscript"/>
        </w:rPr>
        <w:instrText xml:space="preserve"> </w:instrText>
      </w:r>
      <w:r w:rsidR="00A23442" w:rsidRPr="00A23442">
        <w:rPr>
          <w:rFonts w:hint="eastAsia"/>
          <w:vertAlign w:val="superscript"/>
        </w:rPr>
        <w:instrText>REF _Ref102395917 \r \h</w:instrText>
      </w:r>
      <w:r w:rsidR="00A23442" w:rsidRPr="00A23442">
        <w:rPr>
          <w:vertAlign w:val="superscript"/>
        </w:rPr>
        <w:instrText xml:space="preserve"> \#"[0"</w:instrText>
      </w:r>
      <w:r w:rsidR="00A23442">
        <w:rPr>
          <w:vertAlign w:val="superscript"/>
        </w:rPr>
        <w:instrText xml:space="preserve"> \* MERGEFORMAT </w:instrText>
      </w:r>
      <w:r w:rsidR="00A23442" w:rsidRPr="00A23442">
        <w:rPr>
          <w:vertAlign w:val="superscript"/>
        </w:rPr>
      </w:r>
      <w:r w:rsidR="00A23442" w:rsidRPr="00A23442">
        <w:rPr>
          <w:vertAlign w:val="superscript"/>
        </w:rPr>
        <w:fldChar w:fldCharType="separate"/>
      </w:r>
      <w:r w:rsidR="00AA0519" w:rsidRPr="00A23442">
        <w:rPr>
          <w:vertAlign w:val="superscript"/>
        </w:rPr>
        <w:t>[</w:t>
      </w:r>
      <w:r w:rsidR="00AA0519">
        <w:rPr>
          <w:vertAlign w:val="superscript"/>
        </w:rPr>
        <w:t>1</w:t>
      </w:r>
      <w:r w:rsidR="00A23442" w:rsidRPr="00A23442">
        <w:rPr>
          <w:vertAlign w:val="superscript"/>
        </w:rPr>
        <w:fldChar w:fldCharType="end"/>
      </w:r>
      <w:r w:rsidR="00A23442" w:rsidRPr="00A23442">
        <w:rPr>
          <w:vertAlign w:val="superscript"/>
        </w:rPr>
        <w:t>,</w:t>
      </w:r>
      <w:r w:rsidR="00A23442" w:rsidRPr="00A23442">
        <w:rPr>
          <w:vertAlign w:val="superscript"/>
        </w:rPr>
        <w:fldChar w:fldCharType="begin"/>
      </w:r>
      <w:r w:rsidR="00A23442" w:rsidRPr="00A23442">
        <w:rPr>
          <w:vertAlign w:val="superscript"/>
        </w:rPr>
        <w:instrText xml:space="preserve"> REF _Ref102395920 \r \h \#"0]" </w:instrText>
      </w:r>
      <w:r w:rsidR="00A23442">
        <w:rPr>
          <w:vertAlign w:val="superscript"/>
        </w:rPr>
        <w:instrText xml:space="preserve"> \* MERGEFORMAT </w:instrText>
      </w:r>
      <w:r w:rsidR="00A23442" w:rsidRPr="00A23442">
        <w:rPr>
          <w:vertAlign w:val="superscript"/>
        </w:rPr>
      </w:r>
      <w:r w:rsidR="00A23442" w:rsidRPr="00A23442">
        <w:rPr>
          <w:vertAlign w:val="superscript"/>
        </w:rPr>
        <w:fldChar w:fldCharType="separate"/>
      </w:r>
      <w:r w:rsidR="00AA0519">
        <w:rPr>
          <w:vertAlign w:val="superscript"/>
        </w:rPr>
        <w:t>2</w:t>
      </w:r>
      <w:r w:rsidR="00AA0519" w:rsidRPr="00A23442">
        <w:rPr>
          <w:vertAlign w:val="superscript"/>
        </w:rPr>
        <w:t>]</w:t>
      </w:r>
      <w:r w:rsidR="00A23442" w:rsidRPr="00A23442">
        <w:rPr>
          <w:vertAlign w:val="superscript"/>
        </w:rPr>
        <w:fldChar w:fldCharType="end"/>
      </w:r>
      <w:r w:rsidRPr="00941165">
        <w:rPr>
          <w:rFonts w:hint="eastAsia"/>
        </w:rPr>
        <w:t>。最优薪酬合同是一种促进管理决策，使股东价值最大化的合同。这涉及到通过现金、股票和期权支付，让</w:t>
      </w:r>
      <w:r w:rsidRPr="00941165">
        <w:rPr>
          <w:rFonts w:hint="eastAsia"/>
        </w:rPr>
        <w:t>CEO</w:t>
      </w:r>
      <w:r w:rsidRPr="00941165">
        <w:rPr>
          <w:rFonts w:hint="eastAsia"/>
        </w:rPr>
        <w:t>面临不同的风险</w:t>
      </w:r>
      <w:r w:rsidRPr="00941165">
        <w:rPr>
          <w:rFonts w:hint="eastAsia"/>
        </w:rPr>
        <w:t>/</w:t>
      </w:r>
      <w:r w:rsidRPr="00941165">
        <w:rPr>
          <w:rFonts w:hint="eastAsia"/>
        </w:rPr>
        <w:t>回报激励组合，以缓解代理问题</w:t>
      </w:r>
      <w:r w:rsidR="00A23442" w:rsidRPr="00A0154C">
        <w:rPr>
          <w:vertAlign w:val="superscript"/>
        </w:rPr>
        <w:fldChar w:fldCharType="begin"/>
      </w:r>
      <w:r w:rsidR="00A23442" w:rsidRPr="00A0154C">
        <w:rPr>
          <w:vertAlign w:val="superscript"/>
        </w:rPr>
        <w:instrText xml:space="preserve"> </w:instrText>
      </w:r>
      <w:r w:rsidR="00A23442" w:rsidRPr="00A0154C">
        <w:rPr>
          <w:rFonts w:hint="eastAsia"/>
          <w:vertAlign w:val="superscript"/>
        </w:rPr>
        <w:instrText>REF _Ref102396547 \r \h</w:instrText>
      </w:r>
      <w:r w:rsidR="00A23442" w:rsidRPr="00A0154C">
        <w:rPr>
          <w:vertAlign w:val="superscript"/>
        </w:rPr>
        <w:instrText xml:space="preserve">  \* MERGEFORMAT </w:instrText>
      </w:r>
      <w:r w:rsidR="00A23442" w:rsidRPr="00A0154C">
        <w:rPr>
          <w:vertAlign w:val="superscript"/>
        </w:rPr>
      </w:r>
      <w:r w:rsidR="00A23442" w:rsidRPr="00A0154C">
        <w:rPr>
          <w:vertAlign w:val="superscript"/>
        </w:rPr>
        <w:fldChar w:fldCharType="separate"/>
      </w:r>
      <w:r w:rsidR="00AA0519">
        <w:rPr>
          <w:vertAlign w:val="superscript"/>
        </w:rPr>
        <w:t>[3]</w:t>
      </w:r>
      <w:r w:rsidR="00A23442" w:rsidRPr="00A0154C">
        <w:rPr>
          <w:vertAlign w:val="superscript"/>
        </w:rPr>
        <w:fldChar w:fldCharType="end"/>
      </w:r>
      <w:r w:rsidRPr="00941165">
        <w:rPr>
          <w:rFonts w:hint="eastAsia"/>
        </w:rPr>
        <w:t>。</w:t>
      </w:r>
      <w:bookmarkEnd w:id="22"/>
      <w:r w:rsidR="00595F9E" w:rsidRPr="00941165">
        <w:rPr>
          <w:rFonts w:hint="eastAsia"/>
        </w:rPr>
        <w:t>Jensen</w:t>
      </w:r>
      <w:r w:rsidR="005174C3">
        <w:rPr>
          <w:rFonts w:hint="eastAsia"/>
        </w:rPr>
        <w:t>等</w:t>
      </w:r>
      <w:r w:rsidR="00A0154C" w:rsidRPr="00A0154C">
        <w:rPr>
          <w:vertAlign w:val="superscript"/>
        </w:rPr>
        <w:fldChar w:fldCharType="begin"/>
      </w:r>
      <w:r w:rsidR="00A0154C" w:rsidRPr="00A0154C">
        <w:rPr>
          <w:vertAlign w:val="superscript"/>
        </w:rPr>
        <w:instrText xml:space="preserve"> </w:instrText>
      </w:r>
      <w:r w:rsidR="00A0154C" w:rsidRPr="00A0154C">
        <w:rPr>
          <w:rFonts w:hint="eastAsia"/>
          <w:vertAlign w:val="superscript"/>
        </w:rPr>
        <w:instrText>REF _Ref102396700 \r \h</w:instrText>
      </w:r>
      <w:r w:rsidR="00A0154C" w:rsidRPr="00A0154C">
        <w:rPr>
          <w:vertAlign w:val="superscript"/>
        </w:rPr>
        <w:instrText xml:space="preserve"> </w:instrText>
      </w:r>
      <w:r w:rsidR="00A0154C">
        <w:rPr>
          <w:vertAlign w:val="superscript"/>
        </w:rPr>
        <w:instrText xml:space="preserve"> \* MERGEFORMAT </w:instrText>
      </w:r>
      <w:r w:rsidR="00A0154C" w:rsidRPr="00A0154C">
        <w:rPr>
          <w:vertAlign w:val="superscript"/>
        </w:rPr>
      </w:r>
      <w:r w:rsidR="00A0154C" w:rsidRPr="00A0154C">
        <w:rPr>
          <w:vertAlign w:val="superscript"/>
        </w:rPr>
        <w:fldChar w:fldCharType="separate"/>
      </w:r>
      <w:r w:rsidR="00AA0519">
        <w:rPr>
          <w:vertAlign w:val="superscript"/>
        </w:rPr>
        <w:t>[4]</w:t>
      </w:r>
      <w:r w:rsidR="00A0154C" w:rsidRPr="00A0154C">
        <w:rPr>
          <w:vertAlign w:val="superscript"/>
        </w:rPr>
        <w:fldChar w:fldCharType="end"/>
      </w:r>
      <w:r w:rsidRPr="00941165">
        <w:rPr>
          <w:rFonts w:hint="eastAsia"/>
        </w:rPr>
        <w:t>认为，首席执行官的薪酬应该与股东福利有实质性的联系。这一想法在整个</w:t>
      </w:r>
      <w:r w:rsidRPr="00941165">
        <w:rPr>
          <w:rFonts w:hint="eastAsia"/>
        </w:rPr>
        <w:t>20</w:t>
      </w:r>
      <w:r w:rsidRPr="00941165">
        <w:rPr>
          <w:rFonts w:hint="eastAsia"/>
        </w:rPr>
        <w:t>世纪</w:t>
      </w:r>
      <w:r w:rsidRPr="00941165">
        <w:rPr>
          <w:rFonts w:hint="eastAsia"/>
        </w:rPr>
        <w:t>90</w:t>
      </w:r>
      <w:r w:rsidRPr="00941165">
        <w:rPr>
          <w:rFonts w:hint="eastAsia"/>
        </w:rPr>
        <w:t>年代得到了极大的推动，</w:t>
      </w:r>
      <w:r w:rsidR="00595F9E">
        <w:rPr>
          <w:rFonts w:hint="eastAsia"/>
        </w:rPr>
        <w:t>Hall</w:t>
      </w:r>
      <w:r w:rsidR="00595F9E">
        <w:rPr>
          <w:rFonts w:hint="eastAsia"/>
        </w:rPr>
        <w:t>和</w:t>
      </w:r>
      <w:r w:rsidR="00595F9E" w:rsidRPr="00595F9E">
        <w:t>Liebman</w:t>
      </w:r>
      <w:r w:rsidR="00A0154C" w:rsidRPr="00A0154C">
        <w:rPr>
          <w:vertAlign w:val="superscript"/>
        </w:rPr>
        <w:fldChar w:fldCharType="begin"/>
      </w:r>
      <w:r w:rsidR="00A0154C" w:rsidRPr="00A0154C">
        <w:rPr>
          <w:vertAlign w:val="superscript"/>
        </w:rPr>
        <w:instrText xml:space="preserve"> </w:instrText>
      </w:r>
      <w:r w:rsidR="00A0154C" w:rsidRPr="00A0154C">
        <w:rPr>
          <w:rFonts w:hint="eastAsia"/>
          <w:vertAlign w:val="superscript"/>
        </w:rPr>
        <w:instrText>REF _Ref102396732 \r \h</w:instrText>
      </w:r>
      <w:r w:rsidR="00A0154C" w:rsidRPr="00A0154C">
        <w:rPr>
          <w:vertAlign w:val="superscript"/>
        </w:rPr>
        <w:instrText xml:space="preserve"> \#"[0" </w:instrText>
      </w:r>
      <w:r w:rsidR="00A0154C">
        <w:rPr>
          <w:vertAlign w:val="superscript"/>
        </w:rPr>
        <w:instrText xml:space="preserve"> \* MERGEFORMAT </w:instrText>
      </w:r>
      <w:r w:rsidR="00A0154C" w:rsidRPr="00A0154C">
        <w:rPr>
          <w:vertAlign w:val="superscript"/>
        </w:rPr>
      </w:r>
      <w:r w:rsidR="00A0154C" w:rsidRPr="00A0154C">
        <w:rPr>
          <w:vertAlign w:val="superscript"/>
        </w:rPr>
        <w:fldChar w:fldCharType="separate"/>
      </w:r>
      <w:r w:rsidR="00AA0519" w:rsidRPr="00A0154C">
        <w:rPr>
          <w:vertAlign w:val="superscript"/>
        </w:rPr>
        <w:t>[</w:t>
      </w:r>
      <w:r w:rsidR="00AA0519">
        <w:rPr>
          <w:vertAlign w:val="superscript"/>
        </w:rPr>
        <w:t>5</w:t>
      </w:r>
      <w:r w:rsidR="00A0154C" w:rsidRPr="00A0154C">
        <w:rPr>
          <w:vertAlign w:val="superscript"/>
        </w:rPr>
        <w:fldChar w:fldCharType="end"/>
      </w:r>
      <w:r w:rsidR="00A0154C" w:rsidRPr="00A0154C">
        <w:rPr>
          <w:vertAlign w:val="superscript"/>
        </w:rPr>
        <w:t>,</w:t>
      </w:r>
      <w:r w:rsidR="00A0154C" w:rsidRPr="00A0154C">
        <w:rPr>
          <w:vertAlign w:val="superscript"/>
        </w:rPr>
        <w:fldChar w:fldCharType="begin"/>
      </w:r>
      <w:r w:rsidR="00A0154C" w:rsidRPr="00A0154C">
        <w:rPr>
          <w:vertAlign w:val="superscript"/>
        </w:rPr>
        <w:instrText xml:space="preserve"> REF _Ref102396733 \r \h \#"0]" </w:instrText>
      </w:r>
      <w:r w:rsidR="00A0154C">
        <w:rPr>
          <w:vertAlign w:val="superscript"/>
        </w:rPr>
        <w:instrText xml:space="preserve"> \* MERGEFORMAT </w:instrText>
      </w:r>
      <w:r w:rsidR="00A0154C" w:rsidRPr="00A0154C">
        <w:rPr>
          <w:vertAlign w:val="superscript"/>
        </w:rPr>
      </w:r>
      <w:r w:rsidR="00A0154C" w:rsidRPr="00A0154C">
        <w:rPr>
          <w:vertAlign w:val="superscript"/>
        </w:rPr>
        <w:fldChar w:fldCharType="separate"/>
      </w:r>
      <w:r w:rsidR="00AA0519">
        <w:rPr>
          <w:vertAlign w:val="superscript"/>
        </w:rPr>
        <w:t>6</w:t>
      </w:r>
      <w:r w:rsidR="00AA0519" w:rsidRPr="00A0154C">
        <w:rPr>
          <w:vertAlign w:val="superscript"/>
        </w:rPr>
        <w:t>]</w:t>
      </w:r>
      <w:r w:rsidR="00A0154C" w:rsidRPr="00A0154C">
        <w:rPr>
          <w:vertAlign w:val="superscript"/>
        </w:rPr>
        <w:fldChar w:fldCharType="end"/>
      </w:r>
      <w:r w:rsidRPr="00941165">
        <w:rPr>
          <w:rFonts w:hint="eastAsia"/>
        </w:rPr>
        <w:t>记录了这一时期基于股权的</w:t>
      </w:r>
      <w:r w:rsidRPr="00941165">
        <w:rPr>
          <w:rFonts w:hint="eastAsia"/>
        </w:rPr>
        <w:t>CEO</w:t>
      </w:r>
      <w:r w:rsidRPr="00941165">
        <w:rPr>
          <w:rFonts w:hint="eastAsia"/>
        </w:rPr>
        <w:t>薪酬的大幅增加。</w:t>
      </w:r>
      <w:r w:rsidRPr="00941165">
        <w:rPr>
          <w:rFonts w:hint="eastAsia"/>
        </w:rPr>
        <w:t>CEO</w:t>
      </w:r>
      <w:r w:rsidRPr="00941165">
        <w:rPr>
          <w:rFonts w:hint="eastAsia"/>
        </w:rPr>
        <w:t>薪酬包括三个部分：现金、股票和期权。根据最优契约理论，当公司董事会</w:t>
      </w:r>
      <w:r w:rsidR="007446FE">
        <w:rPr>
          <w:rFonts w:hint="eastAsia"/>
        </w:rPr>
        <w:t>认为合理的高管薪酬结构可以</w:t>
      </w:r>
      <w:r w:rsidRPr="00941165">
        <w:rPr>
          <w:rFonts w:hint="eastAsia"/>
        </w:rPr>
        <w:t>通过降低代理成本实现股东价值最大化</w:t>
      </w:r>
      <w:r w:rsidR="00A0154C" w:rsidRPr="00A0154C">
        <w:rPr>
          <w:vertAlign w:val="superscript"/>
        </w:rPr>
        <w:fldChar w:fldCharType="begin"/>
      </w:r>
      <w:r w:rsidR="00A0154C" w:rsidRPr="00A0154C">
        <w:rPr>
          <w:vertAlign w:val="superscript"/>
        </w:rPr>
        <w:instrText xml:space="preserve"> </w:instrText>
      </w:r>
      <w:r w:rsidR="00A0154C" w:rsidRPr="00A0154C">
        <w:rPr>
          <w:rFonts w:hint="eastAsia"/>
          <w:vertAlign w:val="superscript"/>
        </w:rPr>
        <w:instrText>REF _Ref102396805 \r \h</w:instrText>
      </w:r>
      <w:r w:rsidR="00A0154C" w:rsidRPr="00A0154C">
        <w:rPr>
          <w:vertAlign w:val="superscript"/>
        </w:rPr>
        <w:instrText xml:space="preserve"> </w:instrText>
      </w:r>
      <w:r w:rsidR="00A0154C">
        <w:rPr>
          <w:vertAlign w:val="superscript"/>
        </w:rPr>
        <w:instrText xml:space="preserve"> \* MERGEFORMAT </w:instrText>
      </w:r>
      <w:r w:rsidR="00A0154C" w:rsidRPr="00A0154C">
        <w:rPr>
          <w:vertAlign w:val="superscript"/>
        </w:rPr>
      </w:r>
      <w:r w:rsidR="00A0154C" w:rsidRPr="00A0154C">
        <w:rPr>
          <w:vertAlign w:val="superscript"/>
        </w:rPr>
        <w:fldChar w:fldCharType="separate"/>
      </w:r>
      <w:r w:rsidR="00AA0519">
        <w:rPr>
          <w:vertAlign w:val="superscript"/>
        </w:rPr>
        <w:t>[7]</w:t>
      </w:r>
      <w:r w:rsidR="00A0154C" w:rsidRPr="00A0154C">
        <w:rPr>
          <w:vertAlign w:val="superscript"/>
        </w:rPr>
        <w:fldChar w:fldCharType="end"/>
      </w:r>
      <w:r w:rsidRPr="00941165">
        <w:rPr>
          <w:rFonts w:hint="eastAsia"/>
        </w:rPr>
        <w:t>。这就提出了一个问题：</w:t>
      </w:r>
      <w:r w:rsidRPr="00941165">
        <w:rPr>
          <w:rFonts w:hint="eastAsia"/>
        </w:rPr>
        <w:t>CEO</w:t>
      </w:r>
      <w:r w:rsidRPr="00941165">
        <w:rPr>
          <w:rFonts w:hint="eastAsia"/>
        </w:rPr>
        <w:t>们如何应对不同薪酬方案的不同风险</w:t>
      </w:r>
      <w:r w:rsidRPr="00941165">
        <w:rPr>
          <w:rFonts w:hint="eastAsia"/>
        </w:rPr>
        <w:t>/</w:t>
      </w:r>
      <w:r w:rsidRPr="00941165">
        <w:rPr>
          <w:rFonts w:hint="eastAsia"/>
        </w:rPr>
        <w:t>回报组合？当然，与薪酬中当前现金部分相关的</w:t>
      </w:r>
      <w:r w:rsidRPr="00941165">
        <w:rPr>
          <w:rFonts w:hint="eastAsia"/>
        </w:rPr>
        <w:t>CEO</w:t>
      </w:r>
      <w:r w:rsidRPr="00941165">
        <w:rPr>
          <w:rFonts w:hint="eastAsia"/>
        </w:rPr>
        <w:t>薪酬与未来股价走势无关。然而，基于权益的薪酬表现出不同的回报特征，这取决于所使用的工具。基于股票的薪酬将随股票价格线性移动，导致增量为</w:t>
      </w:r>
      <w:r w:rsidRPr="00941165">
        <w:rPr>
          <w:rFonts w:hint="eastAsia"/>
        </w:rPr>
        <w:t>1</w:t>
      </w:r>
      <w:r w:rsidRPr="00941165">
        <w:rPr>
          <w:rFonts w:hint="eastAsia"/>
        </w:rPr>
        <w:t>；然而，期权报酬的敏感性完全取决于合同的结构。鉴于首席执行官厌恶风险，几乎总是高度暴露于公司特定的风险中，仅仅制定薪酬政策来模仿股东的薪酬敏感性是不够的。即使激励管理者采取行动增加股东财富，他们仍可能选择降低个人投资组合风险的次优政策</w:t>
      </w:r>
      <w:r w:rsidR="00A0154C" w:rsidRPr="00A0154C">
        <w:rPr>
          <w:vertAlign w:val="superscript"/>
        </w:rPr>
        <w:fldChar w:fldCharType="begin"/>
      </w:r>
      <w:r w:rsidR="00A0154C" w:rsidRPr="00A0154C">
        <w:rPr>
          <w:vertAlign w:val="superscript"/>
        </w:rPr>
        <w:instrText xml:space="preserve"> </w:instrText>
      </w:r>
      <w:r w:rsidR="00A0154C" w:rsidRPr="00A0154C">
        <w:rPr>
          <w:rFonts w:hint="eastAsia"/>
          <w:vertAlign w:val="superscript"/>
        </w:rPr>
        <w:instrText>REF _Ref102396824 \r \h</w:instrText>
      </w:r>
      <w:r w:rsidR="00A0154C" w:rsidRPr="00A0154C">
        <w:rPr>
          <w:vertAlign w:val="superscript"/>
        </w:rPr>
        <w:instrText xml:space="preserve"> </w:instrText>
      </w:r>
      <w:r w:rsidR="00A0154C">
        <w:rPr>
          <w:vertAlign w:val="superscript"/>
        </w:rPr>
        <w:instrText xml:space="preserve"> \* MERGEFORMAT </w:instrText>
      </w:r>
      <w:r w:rsidR="00A0154C" w:rsidRPr="00A0154C">
        <w:rPr>
          <w:vertAlign w:val="superscript"/>
        </w:rPr>
      </w:r>
      <w:r w:rsidR="00A0154C" w:rsidRPr="00A0154C">
        <w:rPr>
          <w:vertAlign w:val="superscript"/>
        </w:rPr>
        <w:fldChar w:fldCharType="separate"/>
      </w:r>
      <w:r w:rsidR="00AA0519">
        <w:rPr>
          <w:vertAlign w:val="superscript"/>
        </w:rPr>
        <w:t>[8]</w:t>
      </w:r>
      <w:r w:rsidR="00A0154C" w:rsidRPr="00A0154C">
        <w:rPr>
          <w:vertAlign w:val="superscript"/>
        </w:rPr>
        <w:fldChar w:fldCharType="end"/>
      </w:r>
      <w:r w:rsidRPr="00941165">
        <w:rPr>
          <w:rFonts w:hint="eastAsia"/>
        </w:rPr>
        <w:t>。因此，需要了解</w:t>
      </w:r>
      <w:r w:rsidRPr="00941165">
        <w:rPr>
          <w:rFonts w:hint="eastAsia"/>
        </w:rPr>
        <w:t>CEO</w:t>
      </w:r>
      <w:r w:rsidRPr="00941165">
        <w:rPr>
          <w:rFonts w:hint="eastAsia"/>
        </w:rPr>
        <w:t>面临的风险，以及这些风险如何影响决策。</w:t>
      </w:r>
    </w:p>
    <w:p w14:paraId="32239C7A" w14:textId="57006B61" w:rsidR="00871FC2" w:rsidRPr="00941165" w:rsidRDefault="00871FC2" w:rsidP="000573DA">
      <w:pPr>
        <w:ind w:firstLineChars="200" w:firstLine="480"/>
      </w:pPr>
      <w:r w:rsidRPr="00941165">
        <w:rPr>
          <w:rFonts w:hint="eastAsia"/>
        </w:rPr>
        <w:t>Jensen</w:t>
      </w:r>
      <w:r w:rsidR="005174C3">
        <w:rPr>
          <w:rFonts w:hint="eastAsia"/>
        </w:rPr>
        <w:t>等</w:t>
      </w:r>
      <w:r w:rsidR="00A0154C" w:rsidRPr="00A0154C">
        <w:rPr>
          <w:vertAlign w:val="superscript"/>
        </w:rPr>
        <w:fldChar w:fldCharType="begin"/>
      </w:r>
      <w:r w:rsidR="00A0154C" w:rsidRPr="00A0154C">
        <w:rPr>
          <w:vertAlign w:val="superscript"/>
        </w:rPr>
        <w:instrText xml:space="preserve"> </w:instrText>
      </w:r>
      <w:r w:rsidR="00A0154C" w:rsidRPr="00A0154C">
        <w:rPr>
          <w:rFonts w:hint="eastAsia"/>
          <w:vertAlign w:val="superscript"/>
        </w:rPr>
        <w:instrText>REF _Ref102396700 \r \h</w:instrText>
      </w:r>
      <w:r w:rsidR="00A0154C" w:rsidRPr="00A0154C">
        <w:rPr>
          <w:vertAlign w:val="superscript"/>
        </w:rPr>
        <w:instrText xml:space="preserve"> </w:instrText>
      </w:r>
      <w:r w:rsidR="00A0154C">
        <w:rPr>
          <w:vertAlign w:val="superscript"/>
        </w:rPr>
        <w:instrText xml:space="preserve"> \* MERGEFORMAT </w:instrText>
      </w:r>
      <w:r w:rsidR="00A0154C" w:rsidRPr="00A0154C">
        <w:rPr>
          <w:vertAlign w:val="superscript"/>
        </w:rPr>
      </w:r>
      <w:r w:rsidR="00A0154C" w:rsidRPr="00A0154C">
        <w:rPr>
          <w:vertAlign w:val="superscript"/>
        </w:rPr>
        <w:fldChar w:fldCharType="separate"/>
      </w:r>
      <w:r w:rsidR="00AA0519">
        <w:rPr>
          <w:vertAlign w:val="superscript"/>
        </w:rPr>
        <w:t>[4]</w:t>
      </w:r>
      <w:r w:rsidR="00A0154C" w:rsidRPr="00A0154C">
        <w:rPr>
          <w:vertAlign w:val="superscript"/>
        </w:rPr>
        <w:fldChar w:fldCharType="end"/>
      </w:r>
      <w:r w:rsidRPr="00941165">
        <w:rPr>
          <w:rFonts w:hint="eastAsia"/>
        </w:rPr>
        <w:t>认为，作为一种减轻因机构担忧而产生的成本的方法，</w:t>
      </w:r>
      <w:r w:rsidRPr="00941165">
        <w:rPr>
          <w:rFonts w:hint="eastAsia"/>
        </w:rPr>
        <w:t>CEO</w:t>
      </w:r>
      <w:r w:rsidRPr="00941165">
        <w:rPr>
          <w:rFonts w:hint="eastAsia"/>
        </w:rPr>
        <w:t>的薪酬应该与股东价值密切相关。他们认为，由于股东无法完全观察到管理行为和投资机会，基于股权的薪酬鼓励了增加股东财富的管理行为。根据这一说法，在整个</w:t>
      </w:r>
      <w:r w:rsidRPr="00941165">
        <w:rPr>
          <w:rFonts w:hint="eastAsia"/>
        </w:rPr>
        <w:t>20</w:t>
      </w:r>
      <w:r w:rsidRPr="00941165">
        <w:rPr>
          <w:rFonts w:hint="eastAsia"/>
        </w:rPr>
        <w:t>世纪</w:t>
      </w:r>
      <w:r w:rsidRPr="00941165">
        <w:rPr>
          <w:rFonts w:hint="eastAsia"/>
        </w:rPr>
        <w:t>90</w:t>
      </w:r>
      <w:r w:rsidRPr="00941165">
        <w:rPr>
          <w:rFonts w:hint="eastAsia"/>
        </w:rPr>
        <w:t>年代，股票期权报酬和首席执行官</w:t>
      </w:r>
      <w:proofErr w:type="gramStart"/>
      <w:r w:rsidRPr="00941165">
        <w:rPr>
          <w:rFonts w:hint="eastAsia"/>
        </w:rPr>
        <w:t>薪</w:t>
      </w:r>
      <w:proofErr w:type="gramEnd"/>
      <w:r w:rsidRPr="00941165">
        <w:rPr>
          <w:rFonts w:hint="eastAsia"/>
        </w:rPr>
        <w:t>酬对公司股价的敏感性都出现了大幅</w:t>
      </w:r>
      <w:r w:rsidRPr="00941165">
        <w:rPr>
          <w:rFonts w:hint="eastAsia"/>
        </w:rPr>
        <w:lastRenderedPageBreak/>
        <w:t>增长。</w:t>
      </w:r>
      <w:r w:rsidRPr="00941165">
        <w:rPr>
          <w:rFonts w:hint="eastAsia"/>
        </w:rPr>
        <w:t>Perry</w:t>
      </w:r>
      <w:r w:rsidR="005174C3">
        <w:rPr>
          <w:rFonts w:hint="eastAsia"/>
        </w:rPr>
        <w:t>等</w:t>
      </w:r>
      <w:r w:rsidR="00A0154C" w:rsidRPr="00A0154C">
        <w:rPr>
          <w:vertAlign w:val="superscript"/>
        </w:rPr>
        <w:fldChar w:fldCharType="begin"/>
      </w:r>
      <w:r w:rsidR="00A0154C" w:rsidRPr="00A0154C">
        <w:rPr>
          <w:vertAlign w:val="superscript"/>
        </w:rPr>
        <w:instrText xml:space="preserve"> </w:instrText>
      </w:r>
      <w:r w:rsidR="00A0154C" w:rsidRPr="00A0154C">
        <w:rPr>
          <w:rFonts w:hint="eastAsia"/>
          <w:vertAlign w:val="superscript"/>
        </w:rPr>
        <w:instrText>REF _Ref102396856 \r \h</w:instrText>
      </w:r>
      <w:r w:rsidR="00A0154C" w:rsidRPr="00A0154C">
        <w:rPr>
          <w:vertAlign w:val="superscript"/>
        </w:rPr>
        <w:instrText xml:space="preserve"> </w:instrText>
      </w:r>
      <w:r w:rsidR="00A0154C">
        <w:rPr>
          <w:vertAlign w:val="superscript"/>
        </w:rPr>
        <w:instrText xml:space="preserve"> \* MERGEFORMAT </w:instrText>
      </w:r>
      <w:r w:rsidR="00A0154C" w:rsidRPr="00A0154C">
        <w:rPr>
          <w:vertAlign w:val="superscript"/>
        </w:rPr>
      </w:r>
      <w:r w:rsidR="00A0154C" w:rsidRPr="00A0154C">
        <w:rPr>
          <w:vertAlign w:val="superscript"/>
        </w:rPr>
        <w:fldChar w:fldCharType="separate"/>
      </w:r>
      <w:r w:rsidR="00AA0519">
        <w:rPr>
          <w:vertAlign w:val="superscript"/>
        </w:rPr>
        <w:t>[9]</w:t>
      </w:r>
      <w:r w:rsidR="00A0154C" w:rsidRPr="00A0154C">
        <w:rPr>
          <w:vertAlign w:val="superscript"/>
        </w:rPr>
        <w:fldChar w:fldCharType="end"/>
      </w:r>
      <w:r w:rsidRPr="00941165">
        <w:rPr>
          <w:rFonts w:hint="eastAsia"/>
        </w:rPr>
        <w:t>提出了一个问题，即高管薪酬绩效敏感性的增加是否过度，因为在牛市期间（比如</w:t>
      </w:r>
      <w:r w:rsidRPr="00941165">
        <w:rPr>
          <w:rFonts w:hint="eastAsia"/>
        </w:rPr>
        <w:t>20</w:t>
      </w:r>
      <w:r w:rsidRPr="00941165">
        <w:rPr>
          <w:rFonts w:hint="eastAsia"/>
        </w:rPr>
        <w:t>世纪</w:t>
      </w:r>
      <w:r w:rsidRPr="00941165">
        <w:rPr>
          <w:rFonts w:hint="eastAsia"/>
        </w:rPr>
        <w:t>90</w:t>
      </w:r>
      <w:r w:rsidRPr="00941165">
        <w:rPr>
          <w:rFonts w:hint="eastAsia"/>
        </w:rPr>
        <w:t>年代），</w:t>
      </w:r>
      <w:r w:rsidRPr="00941165">
        <w:rPr>
          <w:rFonts w:hint="eastAsia"/>
        </w:rPr>
        <w:t>CEO</w:t>
      </w:r>
      <w:r w:rsidRPr="00941165">
        <w:rPr>
          <w:rFonts w:hint="eastAsia"/>
        </w:rPr>
        <w:t>可能会从股东那里收取超额租金。这一想法建立在</w:t>
      </w:r>
      <w:proofErr w:type="spellStart"/>
      <w:r w:rsidRPr="000B1BE6">
        <w:rPr>
          <w:rFonts w:hint="eastAsia"/>
        </w:rPr>
        <w:t>Bebchuk</w:t>
      </w:r>
      <w:proofErr w:type="spellEnd"/>
      <w:r w:rsidRPr="000B1BE6">
        <w:rPr>
          <w:rFonts w:hint="eastAsia"/>
        </w:rPr>
        <w:t>等</w:t>
      </w:r>
      <w:r w:rsidR="00B43D11" w:rsidRPr="00B43D11">
        <w:rPr>
          <w:vertAlign w:val="superscript"/>
        </w:rPr>
        <w:fldChar w:fldCharType="begin"/>
      </w:r>
      <w:r w:rsidR="00B43D11" w:rsidRPr="00B43D11">
        <w:rPr>
          <w:vertAlign w:val="superscript"/>
        </w:rPr>
        <w:instrText xml:space="preserve"> </w:instrText>
      </w:r>
      <w:r w:rsidR="00B43D11" w:rsidRPr="00B43D11">
        <w:rPr>
          <w:rFonts w:hint="eastAsia"/>
          <w:vertAlign w:val="superscript"/>
        </w:rPr>
        <w:instrText>REF _Ref102396805 \r \h</w:instrText>
      </w:r>
      <w:r w:rsidR="00B43D11" w:rsidRPr="00B43D11">
        <w:rPr>
          <w:vertAlign w:val="superscript"/>
        </w:rPr>
        <w:instrText xml:space="preserve"> </w:instrText>
      </w:r>
      <w:r w:rsidR="00B43D11">
        <w:rPr>
          <w:vertAlign w:val="superscript"/>
        </w:rPr>
        <w:instrText xml:space="preserve"> \* MERGEFORMAT </w:instrText>
      </w:r>
      <w:r w:rsidR="00B43D11" w:rsidRPr="00B43D11">
        <w:rPr>
          <w:vertAlign w:val="superscript"/>
        </w:rPr>
      </w:r>
      <w:r w:rsidR="00B43D11" w:rsidRPr="00B43D11">
        <w:rPr>
          <w:vertAlign w:val="superscript"/>
        </w:rPr>
        <w:fldChar w:fldCharType="separate"/>
      </w:r>
      <w:r w:rsidR="00AA0519">
        <w:rPr>
          <w:vertAlign w:val="superscript"/>
        </w:rPr>
        <w:t>[7]</w:t>
      </w:r>
      <w:r w:rsidR="00B43D11" w:rsidRPr="00B43D11">
        <w:rPr>
          <w:vertAlign w:val="superscript"/>
        </w:rPr>
        <w:fldChar w:fldCharType="end"/>
      </w:r>
      <w:r w:rsidRPr="00941165">
        <w:rPr>
          <w:rFonts w:hint="eastAsia"/>
        </w:rPr>
        <w:t>的基础上，其中探讨了</w:t>
      </w:r>
      <w:r w:rsidRPr="00941165">
        <w:rPr>
          <w:rFonts w:hint="eastAsia"/>
        </w:rPr>
        <w:t>CEO</w:t>
      </w:r>
      <w:r w:rsidRPr="00941165">
        <w:rPr>
          <w:rFonts w:hint="eastAsia"/>
        </w:rPr>
        <w:t>权力问题，作为令人困惑的薪酬实践的理由，例如在设计基于股权的薪酬方案时，缺乏过滤影响股价的一般市场</w:t>
      </w:r>
      <w:r w:rsidRPr="00941165">
        <w:rPr>
          <w:rFonts w:hint="eastAsia"/>
        </w:rPr>
        <w:t>/</w:t>
      </w:r>
      <w:r w:rsidRPr="00941165">
        <w:rPr>
          <w:rFonts w:hint="eastAsia"/>
        </w:rPr>
        <w:t>行业因素的控制。</w:t>
      </w:r>
      <w:proofErr w:type="spellStart"/>
      <w:r w:rsidRPr="00941165">
        <w:rPr>
          <w:rFonts w:hint="eastAsia"/>
        </w:rPr>
        <w:t>Bebchuk</w:t>
      </w:r>
      <w:proofErr w:type="spellEnd"/>
      <w:r w:rsidRPr="00941165">
        <w:rPr>
          <w:rFonts w:hint="eastAsia"/>
        </w:rPr>
        <w:t>等</w:t>
      </w:r>
      <w:r w:rsidR="00B43D11" w:rsidRPr="00B43D11">
        <w:rPr>
          <w:vertAlign w:val="superscript"/>
        </w:rPr>
        <w:fldChar w:fldCharType="begin"/>
      </w:r>
      <w:r w:rsidR="00B43D11" w:rsidRPr="00B43D11">
        <w:rPr>
          <w:vertAlign w:val="superscript"/>
        </w:rPr>
        <w:instrText xml:space="preserve"> </w:instrText>
      </w:r>
      <w:r w:rsidR="00B43D11" w:rsidRPr="00B43D11">
        <w:rPr>
          <w:rFonts w:hint="eastAsia"/>
          <w:vertAlign w:val="superscript"/>
        </w:rPr>
        <w:instrText>REF _Ref102396805 \r \h</w:instrText>
      </w:r>
      <w:r w:rsidR="00B43D11" w:rsidRPr="00B43D11">
        <w:rPr>
          <w:vertAlign w:val="superscript"/>
        </w:rPr>
        <w:instrText xml:space="preserve"> </w:instrText>
      </w:r>
      <w:r w:rsidR="00B43D11">
        <w:rPr>
          <w:vertAlign w:val="superscript"/>
        </w:rPr>
        <w:instrText xml:space="preserve"> \* MERGEFORMAT </w:instrText>
      </w:r>
      <w:r w:rsidR="00B43D11" w:rsidRPr="00B43D11">
        <w:rPr>
          <w:vertAlign w:val="superscript"/>
        </w:rPr>
      </w:r>
      <w:r w:rsidR="00B43D11" w:rsidRPr="00B43D11">
        <w:rPr>
          <w:vertAlign w:val="superscript"/>
        </w:rPr>
        <w:fldChar w:fldCharType="separate"/>
      </w:r>
      <w:r w:rsidR="00AA0519">
        <w:rPr>
          <w:vertAlign w:val="superscript"/>
        </w:rPr>
        <w:t>[7]</w:t>
      </w:r>
      <w:r w:rsidR="00B43D11" w:rsidRPr="00B43D11">
        <w:rPr>
          <w:vertAlign w:val="superscript"/>
        </w:rPr>
        <w:fldChar w:fldCharType="end"/>
      </w:r>
      <w:r w:rsidRPr="00941165">
        <w:rPr>
          <w:rFonts w:hint="eastAsia"/>
        </w:rPr>
        <w:t>探讨了公司董事会在通过</w:t>
      </w:r>
      <w:r w:rsidRPr="00941165">
        <w:rPr>
          <w:rFonts w:hint="eastAsia"/>
        </w:rPr>
        <w:t>CEO</w:t>
      </w:r>
      <w:r w:rsidRPr="00941165">
        <w:rPr>
          <w:rFonts w:hint="eastAsia"/>
        </w:rPr>
        <w:t>权力设定</w:t>
      </w:r>
      <w:r w:rsidRPr="00941165">
        <w:rPr>
          <w:rFonts w:hint="eastAsia"/>
        </w:rPr>
        <w:t>CEO</w:t>
      </w:r>
      <w:r w:rsidRPr="00941165">
        <w:rPr>
          <w:rFonts w:hint="eastAsia"/>
        </w:rPr>
        <w:t>薪酬时受到限制的观点。理由是，有权势的首席执行官对董事会有一定程度的影响力，可以利用这种影响力改变自己的薪酬结构，从而从股东那里获取租金。</w:t>
      </w:r>
    </w:p>
    <w:p w14:paraId="1B36D55B" w14:textId="0C7B4589" w:rsidR="00871FC2" w:rsidRPr="00941165" w:rsidRDefault="00871FC2" w:rsidP="000573DA">
      <w:pPr>
        <w:ind w:firstLineChars="200" w:firstLine="480"/>
      </w:pPr>
      <w:r w:rsidRPr="00941165">
        <w:rPr>
          <w:rFonts w:hint="eastAsia"/>
        </w:rPr>
        <w:t>许多文献都认为，如果有效实施，将</w:t>
      </w:r>
      <w:r w:rsidRPr="00941165">
        <w:rPr>
          <w:rFonts w:hint="eastAsia"/>
        </w:rPr>
        <w:t>CEO</w:t>
      </w:r>
      <w:r w:rsidRPr="00941165">
        <w:rPr>
          <w:rFonts w:hint="eastAsia"/>
        </w:rPr>
        <w:t>薪酬与股东财富挂钩可以在许多情况下降低代理成本。然而，考虑到围绕信息不完善、事后合同执行的可行性以及股东和首席执行官的异质性的担忧，确定适当的薪酬组合以实现股东价值最大化是一个有争议的问题。简单地将</w:t>
      </w:r>
      <w:r w:rsidRPr="00941165">
        <w:rPr>
          <w:rFonts w:hint="eastAsia"/>
        </w:rPr>
        <w:t>CEO</w:t>
      </w:r>
      <w:r w:rsidRPr="00941165">
        <w:rPr>
          <w:rFonts w:hint="eastAsia"/>
        </w:rPr>
        <w:t>薪酬与股东财富联系起来的想法的一个大问题是，由于基于股权的薪酬，厌恶风险的</w:t>
      </w:r>
      <w:r w:rsidRPr="00941165">
        <w:rPr>
          <w:rFonts w:hint="eastAsia"/>
        </w:rPr>
        <w:t>CEO</w:t>
      </w:r>
      <w:r w:rsidRPr="00941165">
        <w:rPr>
          <w:rFonts w:hint="eastAsia"/>
        </w:rPr>
        <w:t>过度暴露于公司特定的风险。这与多元化股东形成了对比，多元化股东是许多公司的所有者，其净值对给定公司的价格变化不那么敏感。</w:t>
      </w:r>
      <w:r w:rsidRPr="00941165">
        <w:rPr>
          <w:rFonts w:hint="eastAsia"/>
        </w:rPr>
        <w:t>Smith</w:t>
      </w:r>
      <w:r w:rsidR="005174C3">
        <w:rPr>
          <w:rFonts w:hint="eastAsia"/>
        </w:rPr>
        <w:t>等</w:t>
      </w:r>
      <w:r w:rsidR="00B43D11" w:rsidRPr="00B43D11">
        <w:rPr>
          <w:vertAlign w:val="superscript"/>
        </w:rPr>
        <w:fldChar w:fldCharType="begin"/>
      </w:r>
      <w:r w:rsidR="00B43D11" w:rsidRPr="00B43D11">
        <w:rPr>
          <w:vertAlign w:val="superscript"/>
        </w:rPr>
        <w:instrText xml:space="preserve"> </w:instrText>
      </w:r>
      <w:r w:rsidR="00B43D11" w:rsidRPr="00B43D11">
        <w:rPr>
          <w:rFonts w:hint="eastAsia"/>
          <w:vertAlign w:val="superscript"/>
        </w:rPr>
        <w:instrText>REF _Ref102396824 \r \h</w:instrText>
      </w:r>
      <w:r w:rsidR="00B43D11" w:rsidRPr="00B43D11">
        <w:rPr>
          <w:vertAlign w:val="superscript"/>
        </w:rPr>
        <w:instrText xml:space="preserve">  \* MERGEFORMAT </w:instrText>
      </w:r>
      <w:r w:rsidR="00B43D11" w:rsidRPr="00B43D11">
        <w:rPr>
          <w:vertAlign w:val="superscript"/>
        </w:rPr>
      </w:r>
      <w:r w:rsidR="00B43D11" w:rsidRPr="00B43D11">
        <w:rPr>
          <w:vertAlign w:val="superscript"/>
        </w:rPr>
        <w:fldChar w:fldCharType="separate"/>
      </w:r>
      <w:r w:rsidR="00AA0519">
        <w:rPr>
          <w:vertAlign w:val="superscript"/>
        </w:rPr>
        <w:t>[8]</w:t>
      </w:r>
      <w:r w:rsidR="00B43D11" w:rsidRPr="00B43D11">
        <w:rPr>
          <w:vertAlign w:val="superscript"/>
        </w:rPr>
        <w:fldChar w:fldCharType="end"/>
      </w:r>
      <w:r w:rsidRPr="00941165">
        <w:rPr>
          <w:rFonts w:hint="eastAsia"/>
        </w:rPr>
        <w:t>以</w:t>
      </w:r>
      <w:r w:rsidRPr="00941165">
        <w:rPr>
          <w:rFonts w:hint="eastAsia"/>
        </w:rPr>
        <w:t>Ross</w:t>
      </w:r>
      <w:r w:rsidR="00B43D11" w:rsidRPr="00B43D11">
        <w:rPr>
          <w:vertAlign w:val="superscript"/>
        </w:rPr>
        <w:fldChar w:fldCharType="begin"/>
      </w:r>
      <w:r w:rsidR="00B43D11" w:rsidRPr="00B43D11">
        <w:rPr>
          <w:vertAlign w:val="superscript"/>
        </w:rPr>
        <w:instrText xml:space="preserve"> </w:instrText>
      </w:r>
      <w:r w:rsidR="00B43D11" w:rsidRPr="00B43D11">
        <w:rPr>
          <w:rFonts w:hint="eastAsia"/>
          <w:vertAlign w:val="superscript"/>
        </w:rPr>
        <w:instrText>REF _Ref102396937 \r \h</w:instrText>
      </w:r>
      <w:r w:rsidR="00B43D11" w:rsidRPr="00B43D11">
        <w:rPr>
          <w:vertAlign w:val="superscript"/>
        </w:rPr>
        <w:instrText xml:space="preserve"> </w:instrText>
      </w:r>
      <w:r w:rsidR="00B43D11">
        <w:rPr>
          <w:vertAlign w:val="superscript"/>
        </w:rPr>
        <w:instrText xml:space="preserve"> \* MERGEFORMAT </w:instrText>
      </w:r>
      <w:r w:rsidR="00B43D11" w:rsidRPr="00B43D11">
        <w:rPr>
          <w:vertAlign w:val="superscript"/>
        </w:rPr>
      </w:r>
      <w:r w:rsidR="00B43D11" w:rsidRPr="00B43D11">
        <w:rPr>
          <w:vertAlign w:val="superscript"/>
        </w:rPr>
        <w:fldChar w:fldCharType="separate"/>
      </w:r>
      <w:r w:rsidR="00AA0519">
        <w:rPr>
          <w:vertAlign w:val="superscript"/>
        </w:rPr>
        <w:t>[9]</w:t>
      </w:r>
      <w:r w:rsidR="00B43D11" w:rsidRPr="00B43D11">
        <w:rPr>
          <w:vertAlign w:val="superscript"/>
        </w:rPr>
        <w:fldChar w:fldCharType="end"/>
      </w:r>
      <w:r w:rsidRPr="00941165">
        <w:rPr>
          <w:rFonts w:hint="eastAsia"/>
        </w:rPr>
        <w:t>为基础，论证</w:t>
      </w:r>
      <w:proofErr w:type="gramStart"/>
      <w:r w:rsidRPr="00FC05EB">
        <w:rPr>
          <w:rFonts w:hint="eastAsia"/>
        </w:rPr>
        <w:t>了当总</w:t>
      </w:r>
      <w:proofErr w:type="gramEnd"/>
      <w:r w:rsidRPr="00941165">
        <w:rPr>
          <w:rFonts w:hint="eastAsia"/>
        </w:rPr>
        <w:t>薪酬与公司价值挂钩时，规避风险的首席执行官会如何受到影响，放弃正净现值（</w:t>
      </w:r>
      <w:r w:rsidRPr="00941165">
        <w:rPr>
          <w:rFonts w:hint="eastAsia"/>
        </w:rPr>
        <w:t>NPV</w:t>
      </w:r>
      <w:r w:rsidRPr="00941165">
        <w:rPr>
          <w:rFonts w:hint="eastAsia"/>
        </w:rPr>
        <w:t>）项目。解决这个问题的一个方法是通过使用包含股票期权的</w:t>
      </w:r>
      <w:proofErr w:type="gramStart"/>
      <w:r w:rsidRPr="00941165">
        <w:rPr>
          <w:rFonts w:hint="eastAsia"/>
        </w:rPr>
        <w:t>凸</w:t>
      </w:r>
      <w:proofErr w:type="gramEnd"/>
      <w:r w:rsidRPr="00941165">
        <w:rPr>
          <w:rFonts w:hint="eastAsia"/>
        </w:rPr>
        <w:t>激励方案来缓解预期薪酬效用的凹性。</w:t>
      </w:r>
      <w:proofErr w:type="spellStart"/>
      <w:r w:rsidRPr="00941165">
        <w:rPr>
          <w:rFonts w:hint="eastAsia"/>
        </w:rPr>
        <w:t>Guay</w:t>
      </w:r>
      <w:proofErr w:type="spellEnd"/>
      <w:r w:rsidR="00B43D11" w:rsidRPr="00B43D11">
        <w:rPr>
          <w:vertAlign w:val="superscript"/>
        </w:rPr>
        <w:fldChar w:fldCharType="begin"/>
      </w:r>
      <w:r w:rsidR="00B43D11" w:rsidRPr="00B43D11">
        <w:rPr>
          <w:vertAlign w:val="superscript"/>
        </w:rPr>
        <w:instrText xml:space="preserve"> </w:instrText>
      </w:r>
      <w:r w:rsidR="00B43D11" w:rsidRPr="00B43D11">
        <w:rPr>
          <w:rFonts w:hint="eastAsia"/>
          <w:vertAlign w:val="superscript"/>
        </w:rPr>
        <w:instrText>REF _Ref102396547 \r \h</w:instrText>
      </w:r>
      <w:r w:rsidR="00B43D11" w:rsidRPr="00B43D11">
        <w:rPr>
          <w:vertAlign w:val="superscript"/>
        </w:rPr>
        <w:instrText xml:space="preserve"> </w:instrText>
      </w:r>
      <w:r w:rsidR="00B43D11">
        <w:rPr>
          <w:vertAlign w:val="superscript"/>
        </w:rPr>
        <w:instrText xml:space="preserve"> \* MERGEFORMAT </w:instrText>
      </w:r>
      <w:r w:rsidR="00B43D11" w:rsidRPr="00B43D11">
        <w:rPr>
          <w:vertAlign w:val="superscript"/>
        </w:rPr>
      </w:r>
      <w:r w:rsidR="00B43D11" w:rsidRPr="00B43D11">
        <w:rPr>
          <w:vertAlign w:val="superscript"/>
        </w:rPr>
        <w:fldChar w:fldCharType="separate"/>
      </w:r>
      <w:r w:rsidR="00AA0519">
        <w:rPr>
          <w:vertAlign w:val="superscript"/>
        </w:rPr>
        <w:t>[3]</w:t>
      </w:r>
      <w:r w:rsidR="00B43D11" w:rsidRPr="00B43D11">
        <w:rPr>
          <w:vertAlign w:val="superscript"/>
        </w:rPr>
        <w:fldChar w:fldCharType="end"/>
      </w:r>
      <w:r w:rsidRPr="00941165">
        <w:rPr>
          <w:rFonts w:hint="eastAsia"/>
        </w:rPr>
        <w:t>发现，为管理者提供</w:t>
      </w:r>
      <w:proofErr w:type="gramStart"/>
      <w:r w:rsidRPr="00941165">
        <w:rPr>
          <w:rFonts w:hint="eastAsia"/>
        </w:rPr>
        <w:t>凸</w:t>
      </w:r>
      <w:proofErr w:type="gramEnd"/>
      <w:r w:rsidRPr="00941165">
        <w:rPr>
          <w:rFonts w:hint="eastAsia"/>
        </w:rPr>
        <w:t>型激励计划会鼓励管理者投资风险增加、净现值为正的项目。然而，要为给定的管理者提供多少凸度的问题仍然难以捉摸。事实上，</w:t>
      </w:r>
      <w:r w:rsidRPr="00941165">
        <w:rPr>
          <w:rFonts w:hint="eastAsia"/>
        </w:rPr>
        <w:t>Ross</w:t>
      </w:r>
      <w:r w:rsidR="00B43D11" w:rsidRPr="00B43D11">
        <w:rPr>
          <w:vertAlign w:val="superscript"/>
        </w:rPr>
        <w:fldChar w:fldCharType="begin"/>
      </w:r>
      <w:r w:rsidR="00B43D11" w:rsidRPr="00B43D11">
        <w:rPr>
          <w:vertAlign w:val="superscript"/>
        </w:rPr>
        <w:instrText xml:space="preserve"> </w:instrText>
      </w:r>
      <w:r w:rsidR="00B43D11" w:rsidRPr="00B43D11">
        <w:rPr>
          <w:rFonts w:hint="eastAsia"/>
          <w:vertAlign w:val="superscript"/>
        </w:rPr>
        <w:instrText>REF _Ref102396962 \r \h</w:instrText>
      </w:r>
      <w:r w:rsidR="00B43D11" w:rsidRPr="00B43D11">
        <w:rPr>
          <w:vertAlign w:val="superscript"/>
        </w:rPr>
        <w:instrText xml:space="preserve"> </w:instrText>
      </w:r>
      <w:r w:rsidR="00B43D11">
        <w:rPr>
          <w:vertAlign w:val="superscript"/>
        </w:rPr>
        <w:instrText xml:space="preserve"> \* MERGEFORMAT </w:instrText>
      </w:r>
      <w:r w:rsidR="00B43D11" w:rsidRPr="00B43D11">
        <w:rPr>
          <w:vertAlign w:val="superscript"/>
        </w:rPr>
      </w:r>
      <w:r w:rsidR="00B43D11" w:rsidRPr="00B43D11">
        <w:rPr>
          <w:vertAlign w:val="superscript"/>
        </w:rPr>
        <w:fldChar w:fldCharType="separate"/>
      </w:r>
      <w:r w:rsidR="00AA0519">
        <w:rPr>
          <w:vertAlign w:val="superscript"/>
        </w:rPr>
        <w:t>[11]</w:t>
      </w:r>
      <w:r w:rsidR="00B43D11" w:rsidRPr="00B43D11">
        <w:rPr>
          <w:vertAlign w:val="superscript"/>
        </w:rPr>
        <w:fldChar w:fldCharType="end"/>
      </w:r>
      <w:r w:rsidRPr="00941165">
        <w:rPr>
          <w:rFonts w:hint="eastAsia"/>
        </w:rPr>
        <w:t>证明，不存在使所有预期效用最大化者减少风险规避的激励计划</w:t>
      </w:r>
      <w:r w:rsidRPr="00941165">
        <w:rPr>
          <w:rFonts w:hint="eastAsia"/>
        </w:rPr>
        <w:t>.</w:t>
      </w:r>
    </w:p>
    <w:p w14:paraId="21A3C027" w14:textId="2C3E7C20" w:rsidR="00871FC2" w:rsidRDefault="00871FC2" w:rsidP="000573DA">
      <w:pPr>
        <w:ind w:firstLineChars="200" w:firstLine="480"/>
      </w:pPr>
      <w:r w:rsidRPr="00941165">
        <w:rPr>
          <w:rFonts w:hint="eastAsia"/>
        </w:rPr>
        <w:t>有大量文献详细介绍了首席执行官对薪酬结构中期权产生的激励的反应。</w:t>
      </w:r>
      <w:proofErr w:type="spellStart"/>
      <w:r w:rsidRPr="00941165">
        <w:rPr>
          <w:rFonts w:hint="eastAsia"/>
        </w:rPr>
        <w:t>Defusco</w:t>
      </w:r>
      <w:proofErr w:type="spellEnd"/>
      <w:r w:rsidRPr="00941165">
        <w:rPr>
          <w:rFonts w:hint="eastAsia"/>
        </w:rPr>
        <w:t>等</w:t>
      </w:r>
      <w:r w:rsidR="00B43D11" w:rsidRPr="00B43D11">
        <w:rPr>
          <w:vertAlign w:val="superscript"/>
        </w:rPr>
        <w:fldChar w:fldCharType="begin"/>
      </w:r>
      <w:r w:rsidR="00B43D11" w:rsidRPr="00B43D11">
        <w:rPr>
          <w:vertAlign w:val="superscript"/>
        </w:rPr>
        <w:instrText xml:space="preserve"> </w:instrText>
      </w:r>
      <w:r w:rsidR="00B43D11" w:rsidRPr="00B43D11">
        <w:rPr>
          <w:rFonts w:hint="eastAsia"/>
          <w:vertAlign w:val="superscript"/>
        </w:rPr>
        <w:instrText>REF _Ref102396886 \r \h</w:instrText>
      </w:r>
      <w:r w:rsidR="00B43D11" w:rsidRPr="00B43D11">
        <w:rPr>
          <w:vertAlign w:val="superscript"/>
        </w:rPr>
        <w:instrText xml:space="preserve"> </w:instrText>
      </w:r>
      <w:r w:rsidR="00B43D11">
        <w:rPr>
          <w:vertAlign w:val="superscript"/>
        </w:rPr>
        <w:instrText xml:space="preserve"> \* MERGEFORMAT </w:instrText>
      </w:r>
      <w:r w:rsidR="00B43D11" w:rsidRPr="00B43D11">
        <w:rPr>
          <w:vertAlign w:val="superscript"/>
        </w:rPr>
      </w:r>
      <w:r w:rsidR="00B43D11" w:rsidRPr="00B43D11">
        <w:rPr>
          <w:vertAlign w:val="superscript"/>
        </w:rPr>
        <w:fldChar w:fldCharType="separate"/>
      </w:r>
      <w:r w:rsidR="00AA0519">
        <w:rPr>
          <w:vertAlign w:val="superscript"/>
        </w:rPr>
        <w:t>[12]</w:t>
      </w:r>
      <w:r w:rsidR="00B43D11" w:rsidRPr="00B43D11">
        <w:rPr>
          <w:vertAlign w:val="superscript"/>
        </w:rPr>
        <w:fldChar w:fldCharType="end"/>
      </w:r>
      <w:r w:rsidRPr="00941165">
        <w:rPr>
          <w:rFonts w:hint="eastAsia"/>
        </w:rPr>
        <w:t>发现，</w:t>
      </w:r>
      <w:r w:rsidRPr="00941165">
        <w:rPr>
          <w:rFonts w:hint="eastAsia"/>
        </w:rPr>
        <w:t>1978</w:t>
      </w:r>
      <w:r w:rsidRPr="00941165">
        <w:rPr>
          <w:rFonts w:hint="eastAsia"/>
        </w:rPr>
        <w:t>年至</w:t>
      </w:r>
      <w:r w:rsidRPr="00941165">
        <w:rPr>
          <w:rFonts w:hint="eastAsia"/>
        </w:rPr>
        <w:t>1988</w:t>
      </w:r>
      <w:r w:rsidRPr="00941165">
        <w:rPr>
          <w:rFonts w:hint="eastAsia"/>
        </w:rPr>
        <w:t>年</w:t>
      </w:r>
      <w:proofErr w:type="gramStart"/>
      <w:r w:rsidRPr="00FC05EB">
        <w:rPr>
          <w:rFonts w:hint="eastAsia"/>
        </w:rPr>
        <w:t>间批准</w:t>
      </w:r>
      <w:proofErr w:type="gramEnd"/>
      <w:r w:rsidRPr="00941165">
        <w:rPr>
          <w:rFonts w:hint="eastAsia"/>
        </w:rPr>
        <w:t>高管股票期权计划的公司，其股票回报率差异增大。</w:t>
      </w:r>
      <w:r w:rsidRPr="00941165">
        <w:rPr>
          <w:rFonts w:hint="eastAsia"/>
        </w:rPr>
        <w:t>Ju</w:t>
      </w:r>
      <w:r w:rsidRPr="00941165">
        <w:rPr>
          <w:rFonts w:hint="eastAsia"/>
        </w:rPr>
        <w:t>等</w:t>
      </w:r>
      <w:r w:rsidR="00B43D11" w:rsidRPr="00B43D11">
        <w:rPr>
          <w:vertAlign w:val="superscript"/>
        </w:rPr>
        <w:fldChar w:fldCharType="begin"/>
      </w:r>
      <w:r w:rsidR="00B43D11" w:rsidRPr="00B43D11">
        <w:rPr>
          <w:vertAlign w:val="superscript"/>
        </w:rPr>
        <w:instrText xml:space="preserve"> </w:instrText>
      </w:r>
      <w:r w:rsidR="00B43D11" w:rsidRPr="00B43D11">
        <w:rPr>
          <w:rFonts w:hint="eastAsia"/>
          <w:vertAlign w:val="superscript"/>
        </w:rPr>
        <w:instrText>REF _Ref102396986 \r \h</w:instrText>
      </w:r>
      <w:r w:rsidR="00B43D11" w:rsidRPr="00B43D11">
        <w:rPr>
          <w:vertAlign w:val="superscript"/>
        </w:rPr>
        <w:instrText xml:space="preserve"> </w:instrText>
      </w:r>
      <w:r w:rsidR="00B43D11">
        <w:rPr>
          <w:vertAlign w:val="superscript"/>
        </w:rPr>
        <w:instrText xml:space="preserve"> \* MERGEFORMAT </w:instrText>
      </w:r>
      <w:r w:rsidR="00B43D11" w:rsidRPr="00B43D11">
        <w:rPr>
          <w:vertAlign w:val="superscript"/>
        </w:rPr>
      </w:r>
      <w:r w:rsidR="00B43D11" w:rsidRPr="00B43D11">
        <w:rPr>
          <w:vertAlign w:val="superscript"/>
        </w:rPr>
        <w:fldChar w:fldCharType="separate"/>
      </w:r>
      <w:r w:rsidR="00AA0519">
        <w:rPr>
          <w:vertAlign w:val="superscript"/>
        </w:rPr>
        <w:t>[13]</w:t>
      </w:r>
      <w:r w:rsidR="00B43D11" w:rsidRPr="00B43D11">
        <w:rPr>
          <w:vertAlign w:val="superscript"/>
        </w:rPr>
        <w:fldChar w:fldCharType="end"/>
      </w:r>
      <w:r w:rsidRPr="00941165">
        <w:rPr>
          <w:rFonts w:hint="eastAsia"/>
        </w:rPr>
        <w:t>表明，使用看涨期权可能会导致太多或太少的冒险行为。</w:t>
      </w:r>
      <w:proofErr w:type="spellStart"/>
      <w:r w:rsidRPr="00941165">
        <w:rPr>
          <w:rFonts w:hint="eastAsia"/>
        </w:rPr>
        <w:t>Jolls</w:t>
      </w:r>
      <w:proofErr w:type="spellEnd"/>
      <w:r w:rsidR="006A70FD">
        <w:rPr>
          <w:rFonts w:hint="eastAsia"/>
        </w:rPr>
        <w:t>等</w:t>
      </w:r>
      <w:r w:rsidR="00B43D11" w:rsidRPr="00B43D11">
        <w:rPr>
          <w:vertAlign w:val="superscript"/>
        </w:rPr>
        <w:fldChar w:fldCharType="begin"/>
      </w:r>
      <w:r w:rsidR="00B43D11" w:rsidRPr="00B43D11">
        <w:rPr>
          <w:vertAlign w:val="superscript"/>
        </w:rPr>
        <w:instrText xml:space="preserve"> </w:instrText>
      </w:r>
      <w:r w:rsidR="00B43D11" w:rsidRPr="00B43D11">
        <w:rPr>
          <w:rFonts w:hint="eastAsia"/>
          <w:vertAlign w:val="superscript"/>
        </w:rPr>
        <w:instrText>REF _Ref102396997 \r \h</w:instrText>
      </w:r>
      <w:r w:rsidR="00B43D11" w:rsidRPr="00B43D11">
        <w:rPr>
          <w:vertAlign w:val="superscript"/>
        </w:rPr>
        <w:instrText xml:space="preserve"> </w:instrText>
      </w:r>
      <w:r w:rsidR="00B43D11">
        <w:rPr>
          <w:vertAlign w:val="superscript"/>
        </w:rPr>
        <w:instrText xml:space="preserve"> \* MERGEFORMAT </w:instrText>
      </w:r>
      <w:r w:rsidR="00B43D11" w:rsidRPr="00B43D11">
        <w:rPr>
          <w:vertAlign w:val="superscript"/>
        </w:rPr>
      </w:r>
      <w:r w:rsidR="00B43D11" w:rsidRPr="00B43D11">
        <w:rPr>
          <w:vertAlign w:val="superscript"/>
        </w:rPr>
        <w:fldChar w:fldCharType="separate"/>
      </w:r>
      <w:r w:rsidR="00AA0519">
        <w:rPr>
          <w:vertAlign w:val="superscript"/>
        </w:rPr>
        <w:t>[14]</w:t>
      </w:r>
      <w:r w:rsidR="00B43D11" w:rsidRPr="00B43D11">
        <w:rPr>
          <w:vertAlign w:val="superscript"/>
        </w:rPr>
        <w:fldChar w:fldCharType="end"/>
      </w:r>
      <w:r w:rsidRPr="00941165">
        <w:rPr>
          <w:rFonts w:hint="eastAsia"/>
        </w:rPr>
        <w:t>表明，获得期权报酬的</w:t>
      </w:r>
      <w:r w:rsidRPr="00941165">
        <w:rPr>
          <w:rFonts w:hint="eastAsia"/>
        </w:rPr>
        <w:t>CEO</w:t>
      </w:r>
      <w:r w:rsidRPr="00941165">
        <w:rPr>
          <w:rFonts w:hint="eastAsia"/>
        </w:rPr>
        <w:t>更有可能进行股票回购，而不是派发股息。</w:t>
      </w:r>
      <w:r w:rsidRPr="00941165">
        <w:rPr>
          <w:rFonts w:hint="eastAsia"/>
        </w:rPr>
        <w:t>Knopf</w:t>
      </w:r>
      <w:r w:rsidRPr="00941165">
        <w:rPr>
          <w:rFonts w:hint="eastAsia"/>
        </w:rPr>
        <w:t>等</w:t>
      </w:r>
      <w:r w:rsidR="00B43D11" w:rsidRPr="00B43D11">
        <w:rPr>
          <w:vertAlign w:val="superscript"/>
        </w:rPr>
        <w:fldChar w:fldCharType="begin"/>
      </w:r>
      <w:r w:rsidR="00B43D11" w:rsidRPr="00B43D11">
        <w:rPr>
          <w:vertAlign w:val="superscript"/>
        </w:rPr>
        <w:instrText xml:space="preserve"> </w:instrText>
      </w:r>
      <w:r w:rsidR="00B43D11" w:rsidRPr="00B43D11">
        <w:rPr>
          <w:rFonts w:hint="eastAsia"/>
          <w:vertAlign w:val="superscript"/>
        </w:rPr>
        <w:instrText>REF _Ref102397009 \r \h</w:instrText>
      </w:r>
      <w:r w:rsidR="00B43D11" w:rsidRPr="00B43D11">
        <w:rPr>
          <w:vertAlign w:val="superscript"/>
        </w:rPr>
        <w:instrText xml:space="preserve"> </w:instrText>
      </w:r>
      <w:r w:rsidR="00B43D11">
        <w:rPr>
          <w:vertAlign w:val="superscript"/>
        </w:rPr>
        <w:instrText xml:space="preserve"> \* MERGEFORMAT </w:instrText>
      </w:r>
      <w:r w:rsidR="00B43D11" w:rsidRPr="00B43D11">
        <w:rPr>
          <w:vertAlign w:val="superscript"/>
        </w:rPr>
      </w:r>
      <w:r w:rsidR="00B43D11" w:rsidRPr="00B43D11">
        <w:rPr>
          <w:vertAlign w:val="superscript"/>
        </w:rPr>
        <w:fldChar w:fldCharType="separate"/>
      </w:r>
      <w:r w:rsidR="00AA0519">
        <w:rPr>
          <w:vertAlign w:val="superscript"/>
        </w:rPr>
        <w:t>[15]</w:t>
      </w:r>
      <w:r w:rsidR="00B43D11" w:rsidRPr="00B43D11">
        <w:rPr>
          <w:vertAlign w:val="superscript"/>
        </w:rPr>
        <w:fldChar w:fldCharType="end"/>
      </w:r>
      <w:r w:rsidRPr="00941165">
        <w:rPr>
          <w:rFonts w:hint="eastAsia"/>
        </w:rPr>
        <w:t>表明，公司内部使用衍生品进行套期保值与</w:t>
      </w:r>
      <w:r w:rsidR="00B43D11">
        <w:t>V</w:t>
      </w:r>
      <w:r w:rsidRPr="00941165">
        <w:rPr>
          <w:rFonts w:hint="eastAsia"/>
        </w:rPr>
        <w:t>ega</w:t>
      </w:r>
      <w:r w:rsidRPr="00941165">
        <w:rPr>
          <w:rFonts w:hint="eastAsia"/>
        </w:rPr>
        <w:t>呈负相关，与</w:t>
      </w:r>
      <w:r w:rsidR="00B43D11">
        <w:t>D</w:t>
      </w:r>
      <w:r w:rsidRPr="00941165">
        <w:rPr>
          <w:rFonts w:hint="eastAsia"/>
        </w:rPr>
        <w:t>elta</w:t>
      </w:r>
      <w:r w:rsidRPr="00941165">
        <w:rPr>
          <w:rFonts w:hint="eastAsia"/>
        </w:rPr>
        <w:t>呈正相关。</w:t>
      </w:r>
      <w:r w:rsidRPr="00941165">
        <w:rPr>
          <w:rFonts w:hint="eastAsia"/>
        </w:rPr>
        <w:t>Ryan</w:t>
      </w:r>
      <w:r w:rsidRPr="00941165">
        <w:rPr>
          <w:rFonts w:hint="eastAsia"/>
        </w:rPr>
        <w:t>和</w:t>
      </w:r>
      <w:r w:rsidRPr="00941165">
        <w:rPr>
          <w:rFonts w:hint="eastAsia"/>
        </w:rPr>
        <w:t>Wiggins</w:t>
      </w:r>
      <w:r w:rsidR="00B43D11" w:rsidRPr="00B43D11">
        <w:rPr>
          <w:vertAlign w:val="superscript"/>
        </w:rPr>
        <w:fldChar w:fldCharType="begin"/>
      </w:r>
      <w:r w:rsidR="00B43D11" w:rsidRPr="00B43D11">
        <w:rPr>
          <w:vertAlign w:val="superscript"/>
        </w:rPr>
        <w:instrText xml:space="preserve"> </w:instrText>
      </w:r>
      <w:r w:rsidR="00B43D11" w:rsidRPr="00B43D11">
        <w:rPr>
          <w:rFonts w:hint="eastAsia"/>
          <w:vertAlign w:val="superscript"/>
        </w:rPr>
        <w:instrText>REF _Ref102397027 \r \h</w:instrText>
      </w:r>
      <w:r w:rsidR="00B43D11" w:rsidRPr="00B43D11">
        <w:rPr>
          <w:vertAlign w:val="superscript"/>
        </w:rPr>
        <w:instrText xml:space="preserve"> </w:instrText>
      </w:r>
      <w:r w:rsidR="00B43D11">
        <w:rPr>
          <w:vertAlign w:val="superscript"/>
        </w:rPr>
        <w:instrText xml:space="preserve"> \* MERGEFORMAT </w:instrText>
      </w:r>
      <w:r w:rsidR="00B43D11" w:rsidRPr="00B43D11">
        <w:rPr>
          <w:vertAlign w:val="superscript"/>
        </w:rPr>
      </w:r>
      <w:r w:rsidR="00B43D11" w:rsidRPr="00B43D11">
        <w:rPr>
          <w:vertAlign w:val="superscript"/>
        </w:rPr>
        <w:fldChar w:fldCharType="separate"/>
      </w:r>
      <w:r w:rsidR="00AA0519">
        <w:rPr>
          <w:vertAlign w:val="superscript"/>
        </w:rPr>
        <w:t>[16]</w:t>
      </w:r>
      <w:r w:rsidR="00B43D11" w:rsidRPr="00B43D11">
        <w:rPr>
          <w:vertAlign w:val="superscript"/>
        </w:rPr>
        <w:fldChar w:fldCharType="end"/>
      </w:r>
      <w:r w:rsidRPr="00941165">
        <w:rPr>
          <w:rFonts w:hint="eastAsia"/>
        </w:rPr>
        <w:t>发现，股票期权授予与研发支出的增加是一致的。科恩等人</w:t>
      </w:r>
      <w:r w:rsidR="00B43D11" w:rsidRPr="00B43D11">
        <w:rPr>
          <w:vertAlign w:val="superscript"/>
        </w:rPr>
        <w:fldChar w:fldCharType="begin"/>
      </w:r>
      <w:r w:rsidR="00B43D11" w:rsidRPr="00B43D11">
        <w:rPr>
          <w:vertAlign w:val="superscript"/>
        </w:rPr>
        <w:instrText xml:space="preserve"> </w:instrText>
      </w:r>
      <w:r w:rsidR="00B43D11" w:rsidRPr="00B43D11">
        <w:rPr>
          <w:rFonts w:hint="eastAsia"/>
          <w:vertAlign w:val="superscript"/>
        </w:rPr>
        <w:instrText>REF _Ref102397109 \r \h</w:instrText>
      </w:r>
      <w:r w:rsidR="00B43D11" w:rsidRPr="00B43D11">
        <w:rPr>
          <w:vertAlign w:val="superscript"/>
        </w:rPr>
        <w:instrText xml:space="preserve"> </w:instrText>
      </w:r>
      <w:r w:rsidR="00B43D11">
        <w:rPr>
          <w:vertAlign w:val="superscript"/>
        </w:rPr>
        <w:instrText xml:space="preserve"> \* MERGEFORMAT </w:instrText>
      </w:r>
      <w:r w:rsidR="00B43D11" w:rsidRPr="00B43D11">
        <w:rPr>
          <w:vertAlign w:val="superscript"/>
        </w:rPr>
      </w:r>
      <w:r w:rsidR="00B43D11" w:rsidRPr="00B43D11">
        <w:rPr>
          <w:vertAlign w:val="superscript"/>
        </w:rPr>
        <w:fldChar w:fldCharType="separate"/>
      </w:r>
      <w:r w:rsidR="00AA0519">
        <w:rPr>
          <w:vertAlign w:val="superscript"/>
        </w:rPr>
        <w:t>[17]</w:t>
      </w:r>
      <w:r w:rsidR="00B43D11" w:rsidRPr="00B43D11">
        <w:rPr>
          <w:vertAlign w:val="superscript"/>
        </w:rPr>
        <w:fldChar w:fldCharType="end"/>
      </w:r>
      <w:r w:rsidRPr="00941165">
        <w:rPr>
          <w:rFonts w:hint="eastAsia"/>
        </w:rPr>
        <w:t>提供了最有趣的发现。作者扩充了</w:t>
      </w:r>
      <w:r w:rsidRPr="00941165">
        <w:rPr>
          <w:rFonts w:hint="eastAsia"/>
        </w:rPr>
        <w:t>Hall</w:t>
      </w:r>
      <w:r w:rsidRPr="00941165">
        <w:rPr>
          <w:rFonts w:hint="eastAsia"/>
        </w:rPr>
        <w:t>–</w:t>
      </w:r>
      <w:r w:rsidRPr="00941165">
        <w:rPr>
          <w:rFonts w:hint="eastAsia"/>
        </w:rPr>
        <w:t>Liebman</w:t>
      </w:r>
      <w:r w:rsidR="00B43D11" w:rsidRPr="00B43D11">
        <w:rPr>
          <w:vertAlign w:val="superscript"/>
        </w:rPr>
        <w:fldChar w:fldCharType="begin"/>
      </w:r>
      <w:r w:rsidR="00B43D11" w:rsidRPr="00B43D11">
        <w:rPr>
          <w:vertAlign w:val="superscript"/>
        </w:rPr>
        <w:instrText xml:space="preserve"> </w:instrText>
      </w:r>
      <w:r w:rsidR="00B43D11" w:rsidRPr="00B43D11">
        <w:rPr>
          <w:rFonts w:hint="eastAsia"/>
          <w:vertAlign w:val="superscript"/>
        </w:rPr>
        <w:instrText>REF _Ref102396732 \r \h</w:instrText>
      </w:r>
      <w:r w:rsidR="00B43D11" w:rsidRPr="00B43D11">
        <w:rPr>
          <w:vertAlign w:val="superscript"/>
        </w:rPr>
        <w:instrText xml:space="preserve"> </w:instrText>
      </w:r>
      <w:r w:rsidR="00B43D11">
        <w:rPr>
          <w:vertAlign w:val="superscript"/>
        </w:rPr>
        <w:instrText xml:space="preserve"> \* MERGEFORMAT </w:instrText>
      </w:r>
      <w:r w:rsidR="00B43D11" w:rsidRPr="00B43D11">
        <w:rPr>
          <w:vertAlign w:val="superscript"/>
        </w:rPr>
      </w:r>
      <w:r w:rsidR="00B43D11" w:rsidRPr="00B43D11">
        <w:rPr>
          <w:vertAlign w:val="superscript"/>
        </w:rPr>
        <w:fldChar w:fldCharType="separate"/>
      </w:r>
      <w:r w:rsidR="00AA0519">
        <w:rPr>
          <w:vertAlign w:val="superscript"/>
        </w:rPr>
        <w:t>[5]</w:t>
      </w:r>
      <w:r w:rsidR="00B43D11" w:rsidRPr="00B43D11">
        <w:rPr>
          <w:vertAlign w:val="superscript"/>
        </w:rPr>
        <w:fldChar w:fldCharType="end"/>
      </w:r>
      <w:r w:rsidRPr="00941165">
        <w:rPr>
          <w:rFonts w:hint="eastAsia"/>
        </w:rPr>
        <w:t>关于高管期权持有量的数据库，并使用</w:t>
      </w:r>
      <w:r w:rsidRPr="00941165">
        <w:rPr>
          <w:rFonts w:hint="eastAsia"/>
        </w:rPr>
        <w:t>Black</w:t>
      </w:r>
      <w:r w:rsidRPr="00941165">
        <w:rPr>
          <w:rFonts w:hint="eastAsia"/>
        </w:rPr>
        <w:t>–</w:t>
      </w:r>
      <w:r w:rsidRPr="00941165">
        <w:rPr>
          <w:rFonts w:hint="eastAsia"/>
        </w:rPr>
        <w:t>Scholes</w:t>
      </w:r>
      <w:r w:rsidR="00B43D11" w:rsidRPr="00B43D11">
        <w:rPr>
          <w:vertAlign w:val="superscript"/>
        </w:rPr>
        <w:fldChar w:fldCharType="begin"/>
      </w:r>
      <w:r w:rsidR="00B43D11" w:rsidRPr="00B43D11">
        <w:rPr>
          <w:vertAlign w:val="superscript"/>
        </w:rPr>
        <w:instrText xml:space="preserve"> </w:instrText>
      </w:r>
      <w:r w:rsidR="00B43D11" w:rsidRPr="00B43D11">
        <w:rPr>
          <w:rFonts w:hint="eastAsia"/>
          <w:vertAlign w:val="superscript"/>
        </w:rPr>
        <w:instrText>REF _Ref102397141 \r \h</w:instrText>
      </w:r>
      <w:r w:rsidR="00B43D11" w:rsidRPr="00B43D11">
        <w:rPr>
          <w:vertAlign w:val="superscript"/>
        </w:rPr>
        <w:instrText xml:space="preserve"> </w:instrText>
      </w:r>
      <w:r w:rsidR="00B43D11">
        <w:rPr>
          <w:vertAlign w:val="superscript"/>
        </w:rPr>
        <w:instrText xml:space="preserve"> \* MERGEFORMAT </w:instrText>
      </w:r>
      <w:r w:rsidR="00B43D11" w:rsidRPr="00B43D11">
        <w:rPr>
          <w:vertAlign w:val="superscript"/>
        </w:rPr>
      </w:r>
      <w:r w:rsidR="00B43D11" w:rsidRPr="00B43D11">
        <w:rPr>
          <w:vertAlign w:val="superscript"/>
        </w:rPr>
        <w:fldChar w:fldCharType="separate"/>
      </w:r>
      <w:r w:rsidR="00AA0519">
        <w:rPr>
          <w:vertAlign w:val="superscript"/>
        </w:rPr>
        <w:t>[18]</w:t>
      </w:r>
      <w:r w:rsidR="00B43D11" w:rsidRPr="00B43D11">
        <w:rPr>
          <w:vertAlign w:val="superscript"/>
        </w:rPr>
        <w:fldChar w:fldCharType="end"/>
      </w:r>
      <w:r w:rsidRPr="00941165">
        <w:rPr>
          <w:rFonts w:hint="eastAsia"/>
        </w:rPr>
        <w:t>方法对持有量进行估值。然后，他们计算了</w:t>
      </w:r>
      <w:r w:rsidRPr="00941165">
        <w:rPr>
          <w:rFonts w:hint="eastAsia"/>
        </w:rPr>
        <w:t>CEO</w:t>
      </w:r>
      <w:proofErr w:type="gramStart"/>
      <w:r w:rsidRPr="00941165">
        <w:rPr>
          <w:rFonts w:hint="eastAsia"/>
        </w:rPr>
        <w:lastRenderedPageBreak/>
        <w:t>薪</w:t>
      </w:r>
      <w:proofErr w:type="gramEnd"/>
      <w:r w:rsidRPr="00941165">
        <w:rPr>
          <w:rFonts w:hint="eastAsia"/>
        </w:rPr>
        <w:t>酬对公司价格波动变化的弹性，发现高管对期权薪酬</w:t>
      </w:r>
      <w:r w:rsidR="0062220C">
        <w:rPr>
          <w:rFonts w:hint="eastAsia"/>
        </w:rPr>
        <w:t>结构导致的</w:t>
      </w:r>
      <w:r w:rsidRPr="00941165">
        <w:rPr>
          <w:rFonts w:hint="eastAsia"/>
        </w:rPr>
        <w:t>激励做出反应。</w:t>
      </w:r>
      <w:r w:rsidR="0062220C">
        <w:rPr>
          <w:rFonts w:hint="eastAsia"/>
        </w:rPr>
        <w:t>所以</w:t>
      </w:r>
      <w:r w:rsidRPr="00941165">
        <w:rPr>
          <w:rFonts w:hint="eastAsia"/>
        </w:rPr>
        <w:t>，</w:t>
      </w:r>
      <w:r w:rsidR="00BB073C">
        <w:rPr>
          <w:rFonts w:hint="eastAsia"/>
        </w:rPr>
        <w:t>本文</w:t>
      </w:r>
      <w:r w:rsidRPr="00941165">
        <w:rPr>
          <w:rFonts w:hint="eastAsia"/>
        </w:rPr>
        <w:t>进一步推测，随着</w:t>
      </w:r>
      <w:r w:rsidR="00B43D11">
        <w:t>V</w:t>
      </w:r>
      <w:r w:rsidRPr="00941165">
        <w:rPr>
          <w:rFonts w:hint="eastAsia"/>
        </w:rPr>
        <w:t>ega</w:t>
      </w:r>
      <w:r w:rsidRPr="00941165">
        <w:rPr>
          <w:rFonts w:hint="eastAsia"/>
        </w:rPr>
        <w:t>的增加，</w:t>
      </w:r>
      <w:r w:rsidRPr="00941165">
        <w:rPr>
          <w:rFonts w:hint="eastAsia"/>
        </w:rPr>
        <w:t>CEO</w:t>
      </w:r>
      <w:r w:rsidRPr="00941165">
        <w:rPr>
          <w:rFonts w:hint="eastAsia"/>
        </w:rPr>
        <w:t>们可能会承担负</w:t>
      </w:r>
      <w:r w:rsidRPr="00941165">
        <w:rPr>
          <w:rFonts w:hint="eastAsia"/>
        </w:rPr>
        <w:t>NPV</w:t>
      </w:r>
      <w:r w:rsidRPr="00941165">
        <w:rPr>
          <w:rFonts w:hint="eastAsia"/>
        </w:rPr>
        <w:t>项目，</w:t>
      </w:r>
      <w:r w:rsidR="00BB073C">
        <w:rPr>
          <w:rFonts w:hint="eastAsia"/>
        </w:rPr>
        <w:t>因为它们可能增加</w:t>
      </w:r>
      <w:r w:rsidRPr="00941165">
        <w:rPr>
          <w:rFonts w:hint="eastAsia"/>
        </w:rPr>
        <w:t>公司</w:t>
      </w:r>
      <w:r w:rsidR="00BB073C">
        <w:rPr>
          <w:rFonts w:hint="eastAsia"/>
        </w:rPr>
        <w:t>股价</w:t>
      </w:r>
      <w:r w:rsidRPr="00941165">
        <w:rPr>
          <w:rFonts w:hint="eastAsia"/>
        </w:rPr>
        <w:t>的波动性。这是与</w:t>
      </w:r>
      <w:r w:rsidR="00BB073C">
        <w:rPr>
          <w:rFonts w:hint="eastAsia"/>
        </w:rPr>
        <w:t>本文</w:t>
      </w:r>
      <w:r w:rsidRPr="00941165">
        <w:rPr>
          <w:rFonts w:hint="eastAsia"/>
        </w:rPr>
        <w:t>相关的一个关键发现，因为它提出了一个问题：面对投资项目盈利能力的不确定性，高管们可能会做些什么。</w:t>
      </w:r>
      <w:r>
        <w:rPr>
          <w:rFonts w:hint="eastAsia"/>
        </w:rPr>
        <w:t xml:space="preserve"> </w:t>
      </w:r>
    </w:p>
    <w:p w14:paraId="220F6592" w14:textId="7E3490A4" w:rsidR="00871FC2" w:rsidRPr="005B5018" w:rsidRDefault="00871FC2" w:rsidP="00871FC2">
      <w:pPr>
        <w:pStyle w:val="3"/>
        <w:rPr>
          <w:rFonts w:ascii="宋体" w:hAnsi="宋体"/>
        </w:rPr>
      </w:pPr>
      <w:bookmarkStart w:id="23" w:name="_Toc102342819"/>
      <w:bookmarkStart w:id="24" w:name="_Toc102668382"/>
      <w:bookmarkStart w:id="25" w:name="_Toc102745509"/>
      <w:bookmarkStart w:id="26" w:name="_Toc102854684"/>
      <w:bookmarkStart w:id="27" w:name="_Toc103038523"/>
      <w:bookmarkStart w:id="28" w:name="_Toc103093649"/>
      <w:bookmarkStart w:id="29" w:name="_Toc103345029"/>
      <w:bookmarkStart w:id="30" w:name="_Toc103549467"/>
      <w:r w:rsidRPr="005B5018">
        <w:t>1.2.2</w:t>
      </w:r>
      <w:r w:rsidRPr="005B5018">
        <w:rPr>
          <w:rFonts w:hint="eastAsia"/>
        </w:rPr>
        <w:t xml:space="preserve"> </w:t>
      </w:r>
      <w:r w:rsidRPr="005B5018">
        <w:rPr>
          <w:rFonts w:hint="eastAsia"/>
        </w:rPr>
        <w:t>高管股权激励研究综述</w:t>
      </w:r>
      <w:bookmarkEnd w:id="23"/>
      <w:bookmarkEnd w:id="24"/>
      <w:bookmarkEnd w:id="25"/>
      <w:bookmarkEnd w:id="26"/>
      <w:bookmarkEnd w:id="27"/>
      <w:bookmarkEnd w:id="28"/>
      <w:bookmarkEnd w:id="29"/>
      <w:bookmarkEnd w:id="30"/>
    </w:p>
    <w:p w14:paraId="43B85DDE" w14:textId="77777777" w:rsidR="00871FC2" w:rsidRPr="00A30502" w:rsidRDefault="00871FC2" w:rsidP="000573DA">
      <w:pPr>
        <w:ind w:firstLineChars="200" w:firstLine="480"/>
      </w:pPr>
      <w:r w:rsidRPr="00A30502">
        <w:rPr>
          <w:rFonts w:hint="eastAsia"/>
        </w:rPr>
        <w:t>为了更好地理解</w:t>
      </w:r>
      <w:r>
        <w:rPr>
          <w:rFonts w:hint="eastAsia"/>
        </w:rPr>
        <w:t>风险</w:t>
      </w:r>
      <w:r w:rsidRPr="00A30502">
        <w:rPr>
          <w:rFonts w:hint="eastAsia"/>
        </w:rPr>
        <w:t>激励，我们首先考虑</w:t>
      </w:r>
      <w:r>
        <w:rPr>
          <w:rFonts w:hint="eastAsia"/>
        </w:rPr>
        <w:t>高管</w:t>
      </w:r>
      <w:r w:rsidRPr="00A30502">
        <w:rPr>
          <w:rFonts w:hint="eastAsia"/>
        </w:rPr>
        <w:t>薪酬</w:t>
      </w:r>
      <w:r>
        <w:rPr>
          <w:rFonts w:hint="eastAsia"/>
        </w:rPr>
        <w:t>结构</w:t>
      </w:r>
      <w:r w:rsidRPr="00A30502">
        <w:rPr>
          <w:rFonts w:hint="eastAsia"/>
        </w:rPr>
        <w:t>的构成。一般来说，</w:t>
      </w:r>
      <w:r>
        <w:rPr>
          <w:rFonts w:hint="eastAsia"/>
        </w:rPr>
        <w:t>高管</w:t>
      </w:r>
      <w:r w:rsidRPr="00A30502">
        <w:rPr>
          <w:rFonts w:hint="eastAsia"/>
        </w:rPr>
        <w:t>总薪酬包括非股权薪酬（如基本工资和奖金）加上股权薪酬（即股票期权和股票奖励）。</w:t>
      </w:r>
    </w:p>
    <w:p w14:paraId="7DB603FA" w14:textId="6EAA160B" w:rsidR="00871FC2" w:rsidRPr="00A30502" w:rsidRDefault="00871FC2" w:rsidP="000573DA">
      <w:pPr>
        <w:ind w:firstLineChars="200" w:firstLine="480"/>
      </w:pPr>
      <w:r w:rsidRPr="00A30502">
        <w:rPr>
          <w:rFonts w:hint="eastAsia"/>
        </w:rPr>
        <w:t>风险承担激励的最重要来源来自股票期权</w:t>
      </w:r>
      <w:r w:rsidR="00492B70">
        <w:rPr>
          <w:rFonts w:hint="eastAsia"/>
        </w:rPr>
        <w:t>，</w:t>
      </w:r>
      <w:r w:rsidRPr="00A30502">
        <w:rPr>
          <w:rFonts w:hint="eastAsia"/>
        </w:rPr>
        <w:t>股票期权薪酬的一个重要特征是其非线性</w:t>
      </w:r>
      <w:proofErr w:type="gramStart"/>
      <w:r w:rsidRPr="00A30502">
        <w:rPr>
          <w:rFonts w:hint="eastAsia"/>
        </w:rPr>
        <w:t>凸</w:t>
      </w:r>
      <w:proofErr w:type="gramEnd"/>
      <w:r w:rsidRPr="00A30502">
        <w:rPr>
          <w:rFonts w:hint="eastAsia"/>
        </w:rPr>
        <w:t>回报。也就是说，回报是不对称的（上限最大损失与无限最大利润）。当股票价格高于行权价格时，上行潜力是无限的。然而，当股票价格低于行权价格时，损失是有限的。因此，股票期权通过增加公司股票回报的波动性，为</w:t>
      </w:r>
      <w:r>
        <w:rPr>
          <w:rFonts w:hint="eastAsia"/>
        </w:rPr>
        <w:t>高管</w:t>
      </w:r>
      <w:r w:rsidRPr="00A30502">
        <w:rPr>
          <w:rFonts w:hint="eastAsia"/>
        </w:rPr>
        <w:t>提供了承担更大风险的激励。因此，期权中的</w:t>
      </w:r>
      <w:r>
        <w:rPr>
          <w:rFonts w:hint="eastAsia"/>
        </w:rPr>
        <w:t>高管</w:t>
      </w:r>
      <w:r w:rsidRPr="00A30502">
        <w:rPr>
          <w:rFonts w:hint="eastAsia"/>
        </w:rPr>
        <w:t>财富对股票回报波动率的敏感性</w:t>
      </w:r>
      <w:r>
        <w:rPr>
          <w:rFonts w:hint="eastAsia"/>
        </w:rPr>
        <w:t>（</w:t>
      </w:r>
      <w:r>
        <w:rPr>
          <w:rFonts w:hint="eastAsia"/>
        </w:rPr>
        <w:t>Vega</w:t>
      </w:r>
      <w:r>
        <w:rPr>
          <w:rFonts w:hint="eastAsia"/>
        </w:rPr>
        <w:t>）</w:t>
      </w:r>
      <w:r w:rsidRPr="00A30502">
        <w:rPr>
          <w:rFonts w:hint="eastAsia"/>
        </w:rPr>
        <w:t>在文献中通常被用作</w:t>
      </w:r>
      <w:r>
        <w:rPr>
          <w:rFonts w:hint="eastAsia"/>
        </w:rPr>
        <w:t>高管</w:t>
      </w:r>
      <w:r w:rsidRPr="00A30502">
        <w:rPr>
          <w:rFonts w:hint="eastAsia"/>
        </w:rPr>
        <w:t>风险承担激励的替代指标。</w:t>
      </w:r>
      <w:r w:rsidRPr="00A30502">
        <w:rPr>
          <w:rFonts w:hint="eastAsia"/>
        </w:rPr>
        <w:t>Vega</w:t>
      </w:r>
      <w:r w:rsidRPr="00A30502">
        <w:rPr>
          <w:rFonts w:hint="eastAsia"/>
        </w:rPr>
        <w:t>的定义是，由于公司股票波动率增加</w:t>
      </w:r>
      <w:r w:rsidRPr="00A30502">
        <w:rPr>
          <w:rFonts w:hint="eastAsia"/>
        </w:rPr>
        <w:t>1%</w:t>
      </w:r>
      <w:r w:rsidRPr="00A30502">
        <w:rPr>
          <w:rFonts w:hint="eastAsia"/>
        </w:rPr>
        <w:t>，</w:t>
      </w:r>
      <w:r w:rsidR="00492B70">
        <w:rPr>
          <w:rFonts w:hint="eastAsia"/>
        </w:rPr>
        <w:t>高管</w:t>
      </w:r>
      <w:r w:rsidRPr="00A30502">
        <w:rPr>
          <w:rFonts w:hint="eastAsia"/>
        </w:rPr>
        <w:t>的期权组合价值发生</w:t>
      </w:r>
      <w:r w:rsidR="00492B70">
        <w:rPr>
          <w:rFonts w:hint="eastAsia"/>
        </w:rPr>
        <w:t>的</w:t>
      </w:r>
      <w:r w:rsidRPr="00A30502">
        <w:rPr>
          <w:rFonts w:hint="eastAsia"/>
        </w:rPr>
        <w:t>变化</w:t>
      </w:r>
      <w:r w:rsidR="0062220C" w:rsidRPr="0062220C">
        <w:rPr>
          <w:vertAlign w:val="superscript"/>
        </w:rPr>
        <w:fldChar w:fldCharType="begin"/>
      </w:r>
      <w:r w:rsidR="0062220C" w:rsidRPr="0062220C">
        <w:rPr>
          <w:vertAlign w:val="superscript"/>
        </w:rPr>
        <w:instrText xml:space="preserve"> </w:instrText>
      </w:r>
      <w:r w:rsidR="0062220C" w:rsidRPr="0062220C">
        <w:rPr>
          <w:rFonts w:hint="eastAsia"/>
          <w:vertAlign w:val="superscript"/>
        </w:rPr>
        <w:instrText>REF _Ref102397198 \r \h</w:instrText>
      </w:r>
      <w:r w:rsidR="0062220C" w:rsidRPr="0062220C">
        <w:rPr>
          <w:vertAlign w:val="superscript"/>
        </w:rPr>
        <w:instrText xml:space="preserve"> </w:instrText>
      </w:r>
      <w:r w:rsidR="0062220C">
        <w:rPr>
          <w:vertAlign w:val="superscript"/>
        </w:rPr>
        <w:instrText xml:space="preserve"> \* MERGEFORMAT </w:instrText>
      </w:r>
      <w:r w:rsidR="0062220C" w:rsidRPr="0062220C">
        <w:rPr>
          <w:vertAlign w:val="superscript"/>
        </w:rPr>
      </w:r>
      <w:r w:rsidR="0062220C" w:rsidRPr="0062220C">
        <w:rPr>
          <w:vertAlign w:val="superscript"/>
        </w:rPr>
        <w:fldChar w:fldCharType="separate"/>
      </w:r>
      <w:r w:rsidR="00AA0519">
        <w:rPr>
          <w:vertAlign w:val="superscript"/>
        </w:rPr>
        <w:t>[19]</w:t>
      </w:r>
      <w:r w:rsidR="0062220C" w:rsidRPr="0062220C">
        <w:rPr>
          <w:vertAlign w:val="superscript"/>
        </w:rPr>
        <w:fldChar w:fldCharType="end"/>
      </w:r>
      <w:r w:rsidR="00492B70">
        <w:rPr>
          <w:rFonts w:hint="eastAsia"/>
        </w:rPr>
        <w:t>。</w:t>
      </w:r>
    </w:p>
    <w:p w14:paraId="4A6E9676" w14:textId="5E5BAF51" w:rsidR="00871FC2" w:rsidRPr="00941165" w:rsidRDefault="00871FC2" w:rsidP="000573DA">
      <w:pPr>
        <w:ind w:firstLineChars="200" w:firstLine="480"/>
      </w:pPr>
      <w:r w:rsidRPr="00941165">
        <w:rPr>
          <w:rFonts w:hint="eastAsia"/>
        </w:rPr>
        <w:t>有大量文献利用</w:t>
      </w:r>
      <w:r w:rsidRPr="00941165">
        <w:rPr>
          <w:rFonts w:hint="eastAsia"/>
        </w:rPr>
        <w:t>Black-Scholes</w:t>
      </w:r>
      <w:r w:rsidRPr="00941165">
        <w:rPr>
          <w:rFonts w:hint="eastAsia"/>
        </w:rPr>
        <w:t>期权定价模型的闭式解，得出期权价格相对于基础价格（</w:t>
      </w:r>
      <w:r>
        <w:rPr>
          <w:rFonts w:hint="eastAsia"/>
        </w:rPr>
        <w:t>D</w:t>
      </w:r>
      <w:r w:rsidRPr="00941165">
        <w:rPr>
          <w:rFonts w:hint="eastAsia"/>
        </w:rPr>
        <w:t>elta</w:t>
      </w:r>
      <w:r w:rsidRPr="00941165">
        <w:rPr>
          <w:rFonts w:hint="eastAsia"/>
        </w:rPr>
        <w:t>）和波动率（</w:t>
      </w:r>
      <w:r>
        <w:rPr>
          <w:rFonts w:hint="eastAsia"/>
        </w:rPr>
        <w:t>V</w:t>
      </w:r>
      <w:r w:rsidRPr="00941165">
        <w:rPr>
          <w:rFonts w:hint="eastAsia"/>
        </w:rPr>
        <w:t>ega</w:t>
      </w:r>
      <w:r w:rsidRPr="00941165">
        <w:rPr>
          <w:rFonts w:hint="eastAsia"/>
        </w:rPr>
        <w:t>）的</w:t>
      </w:r>
      <w:r>
        <w:rPr>
          <w:rFonts w:hint="eastAsia"/>
        </w:rPr>
        <w:t>敏感性</w:t>
      </w:r>
      <w:r w:rsidR="0062220C">
        <w:rPr>
          <w:rFonts w:hint="eastAsia"/>
        </w:rPr>
        <w:t>的公式</w:t>
      </w:r>
      <w:r w:rsidR="00BB073C" w:rsidRPr="00BB073C">
        <w:rPr>
          <w:vertAlign w:val="superscript"/>
        </w:rPr>
        <w:fldChar w:fldCharType="begin"/>
      </w:r>
      <w:r w:rsidR="00BB073C" w:rsidRPr="00BB073C">
        <w:rPr>
          <w:vertAlign w:val="superscript"/>
        </w:rPr>
        <w:instrText xml:space="preserve"> </w:instrText>
      </w:r>
      <w:r w:rsidR="00BB073C" w:rsidRPr="00BB073C">
        <w:rPr>
          <w:rFonts w:hint="eastAsia"/>
          <w:vertAlign w:val="superscript"/>
        </w:rPr>
        <w:instrText>REF _Ref102397198 \r \h</w:instrText>
      </w:r>
      <w:r w:rsidR="00BB073C" w:rsidRPr="00BB073C">
        <w:rPr>
          <w:vertAlign w:val="superscript"/>
        </w:rPr>
        <w:instrText xml:space="preserve">  \* MERGEFORMAT </w:instrText>
      </w:r>
      <w:r w:rsidR="00BB073C" w:rsidRPr="00BB073C">
        <w:rPr>
          <w:vertAlign w:val="superscript"/>
        </w:rPr>
      </w:r>
      <w:r w:rsidR="00BB073C" w:rsidRPr="00BB073C">
        <w:rPr>
          <w:vertAlign w:val="superscript"/>
        </w:rPr>
        <w:fldChar w:fldCharType="separate"/>
      </w:r>
      <w:r w:rsidR="00AA0519">
        <w:rPr>
          <w:vertAlign w:val="superscript"/>
        </w:rPr>
        <w:t>[19]</w:t>
      </w:r>
      <w:r w:rsidR="00BB073C" w:rsidRPr="00BB073C">
        <w:rPr>
          <w:vertAlign w:val="superscript"/>
        </w:rPr>
        <w:fldChar w:fldCharType="end"/>
      </w:r>
      <w:r w:rsidRPr="00941165">
        <w:rPr>
          <w:rFonts w:hint="eastAsia"/>
        </w:rPr>
        <w:t>。然而，</w:t>
      </w:r>
      <w:r>
        <w:rPr>
          <w:rFonts w:hint="eastAsia"/>
        </w:rPr>
        <w:t>D</w:t>
      </w:r>
      <w:r w:rsidRPr="00941165">
        <w:rPr>
          <w:rFonts w:hint="eastAsia"/>
        </w:rPr>
        <w:t>elta</w:t>
      </w:r>
      <w:r w:rsidRPr="00941165">
        <w:rPr>
          <w:rFonts w:hint="eastAsia"/>
        </w:rPr>
        <w:t>和</w:t>
      </w:r>
      <w:r>
        <w:rPr>
          <w:rFonts w:hint="eastAsia"/>
        </w:rPr>
        <w:t>V</w:t>
      </w:r>
      <w:r w:rsidRPr="00941165">
        <w:rPr>
          <w:rFonts w:hint="eastAsia"/>
        </w:rPr>
        <w:t>ega</w:t>
      </w:r>
      <w:r w:rsidRPr="00941165">
        <w:rPr>
          <w:rFonts w:hint="eastAsia"/>
        </w:rPr>
        <w:t>如何适应给定的模型已被解释为多种方式。一些研究试图使用企业特征来估计</w:t>
      </w:r>
      <w:r w:rsidR="00492B70">
        <w:rPr>
          <w:rFonts w:hint="eastAsia"/>
        </w:rPr>
        <w:t>D</w:t>
      </w:r>
      <w:r w:rsidRPr="00941165">
        <w:rPr>
          <w:rFonts w:hint="eastAsia"/>
        </w:rPr>
        <w:t>elta</w:t>
      </w:r>
      <w:r w:rsidRPr="00941165">
        <w:rPr>
          <w:rFonts w:hint="eastAsia"/>
        </w:rPr>
        <w:t>作为因变量</w:t>
      </w:r>
      <w:r w:rsidR="00BB073C" w:rsidRPr="00BB073C">
        <w:rPr>
          <w:vertAlign w:val="superscript"/>
        </w:rPr>
        <w:fldChar w:fldCharType="begin"/>
      </w:r>
      <w:r w:rsidR="00BB073C" w:rsidRPr="00BB073C">
        <w:rPr>
          <w:vertAlign w:val="superscript"/>
        </w:rPr>
        <w:instrText xml:space="preserve"> </w:instrText>
      </w:r>
      <w:r w:rsidR="00BB073C" w:rsidRPr="00BB073C">
        <w:rPr>
          <w:rFonts w:hint="eastAsia"/>
          <w:vertAlign w:val="superscript"/>
        </w:rPr>
        <w:instrText>REF _Ref102397198 \r \h</w:instrText>
      </w:r>
      <w:r w:rsidR="00BB073C" w:rsidRPr="00BB073C">
        <w:rPr>
          <w:vertAlign w:val="superscript"/>
        </w:rPr>
        <w:instrText xml:space="preserve">  \* MERGEFORMAT </w:instrText>
      </w:r>
      <w:r w:rsidR="00BB073C" w:rsidRPr="00BB073C">
        <w:rPr>
          <w:vertAlign w:val="superscript"/>
        </w:rPr>
      </w:r>
      <w:r w:rsidR="00BB073C" w:rsidRPr="00BB073C">
        <w:rPr>
          <w:vertAlign w:val="superscript"/>
        </w:rPr>
        <w:fldChar w:fldCharType="separate"/>
      </w:r>
      <w:r w:rsidR="00AA0519">
        <w:rPr>
          <w:vertAlign w:val="superscript"/>
        </w:rPr>
        <w:t>[19]</w:t>
      </w:r>
      <w:r w:rsidR="00BB073C" w:rsidRPr="00BB073C">
        <w:rPr>
          <w:vertAlign w:val="superscript"/>
        </w:rPr>
        <w:fldChar w:fldCharType="end"/>
      </w:r>
      <w:r w:rsidRPr="00941165">
        <w:rPr>
          <w:rFonts w:hint="eastAsia"/>
        </w:rPr>
        <w:t>，而其他研究则使用</w:t>
      </w:r>
      <w:r w:rsidR="00492B70">
        <w:rPr>
          <w:rFonts w:hint="eastAsia"/>
        </w:rPr>
        <w:t>D</w:t>
      </w:r>
      <w:r w:rsidRPr="00941165">
        <w:rPr>
          <w:rFonts w:hint="eastAsia"/>
        </w:rPr>
        <w:t>elta</w:t>
      </w:r>
      <w:r w:rsidRPr="00941165">
        <w:rPr>
          <w:rFonts w:hint="eastAsia"/>
        </w:rPr>
        <w:t>作为自变量</w:t>
      </w:r>
      <w:r w:rsidRPr="0062220C">
        <w:rPr>
          <w:rFonts w:hint="eastAsia"/>
          <w:vertAlign w:val="superscript"/>
        </w:rPr>
        <w:t>[21]</w:t>
      </w:r>
      <w:r w:rsidRPr="00941165">
        <w:rPr>
          <w:rFonts w:hint="eastAsia"/>
        </w:rPr>
        <w:t>。许多研究完全忽略了</w:t>
      </w:r>
      <w:r w:rsidR="00492B70">
        <w:rPr>
          <w:rFonts w:hint="eastAsia"/>
        </w:rPr>
        <w:t>V</w:t>
      </w:r>
      <w:r w:rsidRPr="00941165">
        <w:rPr>
          <w:rFonts w:hint="eastAsia"/>
        </w:rPr>
        <w:t>ega</w:t>
      </w:r>
      <w:r w:rsidRPr="00941165">
        <w:rPr>
          <w:rFonts w:hint="eastAsia"/>
        </w:rPr>
        <w:t>，部分原因是</w:t>
      </w:r>
      <w:r w:rsidR="00492B70">
        <w:rPr>
          <w:rFonts w:hint="eastAsia"/>
        </w:rPr>
        <w:t>V</w:t>
      </w:r>
      <w:r w:rsidRPr="00941165">
        <w:rPr>
          <w:rFonts w:hint="eastAsia"/>
        </w:rPr>
        <w:t>ega</w:t>
      </w:r>
      <w:r w:rsidRPr="00941165">
        <w:rPr>
          <w:rFonts w:hint="eastAsia"/>
        </w:rPr>
        <w:t>很难计算，而且更容易找到</w:t>
      </w:r>
      <w:r w:rsidR="00492B70">
        <w:rPr>
          <w:rFonts w:hint="eastAsia"/>
        </w:rPr>
        <w:t>D</w:t>
      </w:r>
      <w:r w:rsidRPr="00941165">
        <w:rPr>
          <w:rFonts w:hint="eastAsia"/>
        </w:rPr>
        <w:t>elta</w:t>
      </w:r>
      <w:r w:rsidRPr="00941165">
        <w:rPr>
          <w:rFonts w:hint="eastAsia"/>
        </w:rPr>
        <w:t>的</w:t>
      </w:r>
      <w:r w:rsidR="00492B70">
        <w:rPr>
          <w:rFonts w:hint="eastAsia"/>
        </w:rPr>
        <w:t>代替量</w:t>
      </w:r>
      <w:r w:rsidRPr="00941165">
        <w:rPr>
          <w:rFonts w:hint="eastAsia"/>
        </w:rPr>
        <w:t>，例如持有的期权数量、授予的期权或某个时间点的期权价值。</w:t>
      </w:r>
    </w:p>
    <w:p w14:paraId="0F8F10AD" w14:textId="5DDA4265" w:rsidR="00871FC2" w:rsidRPr="00560BDE" w:rsidRDefault="00871FC2" w:rsidP="00131903">
      <w:pPr>
        <w:ind w:firstLineChars="200" w:firstLine="480"/>
      </w:pPr>
      <w:r w:rsidRPr="00941165">
        <w:rPr>
          <w:rFonts w:hint="eastAsia"/>
        </w:rPr>
        <w:t>Core</w:t>
      </w:r>
      <w:r w:rsidR="005174C3">
        <w:rPr>
          <w:rFonts w:hint="eastAsia"/>
        </w:rPr>
        <w:t>等</w:t>
      </w:r>
      <w:r w:rsidR="0062220C" w:rsidRPr="0062220C">
        <w:rPr>
          <w:vertAlign w:val="superscript"/>
        </w:rPr>
        <w:fldChar w:fldCharType="begin"/>
      </w:r>
      <w:r w:rsidR="0062220C" w:rsidRPr="0062220C">
        <w:rPr>
          <w:vertAlign w:val="superscript"/>
        </w:rPr>
        <w:instrText xml:space="preserve"> </w:instrText>
      </w:r>
      <w:r w:rsidR="0062220C" w:rsidRPr="0062220C">
        <w:rPr>
          <w:rFonts w:hint="eastAsia"/>
          <w:vertAlign w:val="superscript"/>
        </w:rPr>
        <w:instrText>REF _Ref102397198 \r \h</w:instrText>
      </w:r>
      <w:r w:rsidR="0062220C" w:rsidRPr="0062220C">
        <w:rPr>
          <w:vertAlign w:val="superscript"/>
        </w:rPr>
        <w:instrText xml:space="preserve"> </w:instrText>
      </w:r>
      <w:r w:rsidR="0062220C">
        <w:rPr>
          <w:vertAlign w:val="superscript"/>
        </w:rPr>
        <w:instrText xml:space="preserve"> \* MERGEFORMAT </w:instrText>
      </w:r>
      <w:r w:rsidR="0062220C" w:rsidRPr="0062220C">
        <w:rPr>
          <w:vertAlign w:val="superscript"/>
        </w:rPr>
      </w:r>
      <w:r w:rsidR="0062220C" w:rsidRPr="0062220C">
        <w:rPr>
          <w:vertAlign w:val="superscript"/>
        </w:rPr>
        <w:fldChar w:fldCharType="separate"/>
      </w:r>
      <w:r w:rsidR="00AA0519">
        <w:rPr>
          <w:vertAlign w:val="superscript"/>
        </w:rPr>
        <w:t>[19]</w:t>
      </w:r>
      <w:r w:rsidR="0062220C" w:rsidRPr="0062220C">
        <w:rPr>
          <w:vertAlign w:val="superscript"/>
        </w:rPr>
        <w:fldChar w:fldCharType="end"/>
      </w:r>
      <w:r w:rsidRPr="00941165">
        <w:rPr>
          <w:rFonts w:hint="eastAsia"/>
        </w:rPr>
        <w:t>在很大程度上解决了这个问题，他们开发了一种方法来提高</w:t>
      </w:r>
      <w:r w:rsidR="00941F71">
        <w:rPr>
          <w:rFonts w:hint="eastAsia"/>
        </w:rPr>
        <w:t>D</w:t>
      </w:r>
      <w:r w:rsidRPr="00941165">
        <w:rPr>
          <w:rFonts w:hint="eastAsia"/>
        </w:rPr>
        <w:t>elta</w:t>
      </w:r>
      <w:r w:rsidRPr="00941165">
        <w:rPr>
          <w:rFonts w:hint="eastAsia"/>
        </w:rPr>
        <w:t>和</w:t>
      </w:r>
      <w:r w:rsidR="0062220C">
        <w:t>V</w:t>
      </w:r>
      <w:r w:rsidRPr="00941165">
        <w:rPr>
          <w:rFonts w:hint="eastAsia"/>
        </w:rPr>
        <w:t>ega</w:t>
      </w:r>
      <w:r w:rsidRPr="00941165">
        <w:rPr>
          <w:rFonts w:hint="eastAsia"/>
        </w:rPr>
        <w:t>估计的准确性。在这项创新之后，</w:t>
      </w:r>
      <w:r w:rsidRPr="00941165">
        <w:rPr>
          <w:rFonts w:hint="eastAsia"/>
        </w:rPr>
        <w:t>Coles</w:t>
      </w:r>
      <w:r w:rsidRPr="00941165">
        <w:rPr>
          <w:rFonts w:hint="eastAsia"/>
        </w:rPr>
        <w:t>等人认为，</w:t>
      </w:r>
      <w:r w:rsidRPr="00941165">
        <w:rPr>
          <w:rFonts w:hint="eastAsia"/>
        </w:rPr>
        <w:t>Vega</w:t>
      </w:r>
      <w:r w:rsidRPr="00941165">
        <w:rPr>
          <w:rFonts w:hint="eastAsia"/>
        </w:rPr>
        <w:t>和</w:t>
      </w:r>
      <w:r w:rsidRPr="00941165">
        <w:rPr>
          <w:rFonts w:hint="eastAsia"/>
        </w:rPr>
        <w:t>Delta</w:t>
      </w:r>
      <w:r w:rsidRPr="00941165">
        <w:rPr>
          <w:rFonts w:hint="eastAsia"/>
        </w:rPr>
        <w:t>都应该被视为独立变量，由股东从外部选择，以促进</w:t>
      </w:r>
      <w:r w:rsidRPr="00941165">
        <w:rPr>
          <w:rFonts w:hint="eastAsia"/>
        </w:rPr>
        <w:t>CEO</w:t>
      </w:r>
      <w:r w:rsidRPr="00941165">
        <w:rPr>
          <w:rFonts w:hint="eastAsia"/>
        </w:rPr>
        <w:t>的预期决策。他们使用</w:t>
      </w:r>
      <w:bookmarkStart w:id="31" w:name="_Hlk102664865"/>
      <w:r w:rsidRPr="00941165">
        <w:rPr>
          <w:rFonts w:hint="eastAsia"/>
        </w:rPr>
        <w:t>Core</w:t>
      </w:r>
      <w:r w:rsidR="005174C3" w:rsidRPr="0062220C">
        <w:rPr>
          <w:vertAlign w:val="superscript"/>
        </w:rPr>
        <w:t xml:space="preserve"> </w:t>
      </w:r>
      <w:r w:rsidR="0062220C" w:rsidRPr="0062220C">
        <w:rPr>
          <w:vertAlign w:val="superscript"/>
        </w:rPr>
        <w:fldChar w:fldCharType="begin"/>
      </w:r>
      <w:r w:rsidR="0062220C" w:rsidRPr="0062220C">
        <w:rPr>
          <w:vertAlign w:val="superscript"/>
        </w:rPr>
        <w:instrText xml:space="preserve"> </w:instrText>
      </w:r>
      <w:r w:rsidR="0062220C" w:rsidRPr="0062220C">
        <w:rPr>
          <w:rFonts w:hint="eastAsia"/>
          <w:vertAlign w:val="superscript"/>
        </w:rPr>
        <w:instrText>REF _Ref102397198 \r \h</w:instrText>
      </w:r>
      <w:r w:rsidR="0062220C" w:rsidRPr="0062220C">
        <w:rPr>
          <w:vertAlign w:val="superscript"/>
        </w:rPr>
        <w:instrText xml:space="preserve"> </w:instrText>
      </w:r>
      <w:r w:rsidR="0062220C">
        <w:rPr>
          <w:vertAlign w:val="superscript"/>
        </w:rPr>
        <w:instrText xml:space="preserve"> \* MERGEFORMAT </w:instrText>
      </w:r>
      <w:r w:rsidR="0062220C" w:rsidRPr="0062220C">
        <w:rPr>
          <w:vertAlign w:val="superscript"/>
        </w:rPr>
      </w:r>
      <w:r w:rsidR="0062220C" w:rsidRPr="0062220C">
        <w:rPr>
          <w:vertAlign w:val="superscript"/>
        </w:rPr>
        <w:fldChar w:fldCharType="separate"/>
      </w:r>
      <w:r w:rsidR="00AA0519">
        <w:rPr>
          <w:vertAlign w:val="superscript"/>
        </w:rPr>
        <w:t>[19]</w:t>
      </w:r>
      <w:r w:rsidR="0062220C" w:rsidRPr="0062220C">
        <w:rPr>
          <w:vertAlign w:val="superscript"/>
        </w:rPr>
        <w:fldChar w:fldCharType="end"/>
      </w:r>
      <w:r w:rsidRPr="00941165">
        <w:rPr>
          <w:rFonts w:hint="eastAsia"/>
        </w:rPr>
        <w:t>的方法来确定更高的</w:t>
      </w:r>
      <w:r w:rsidRPr="00941165">
        <w:rPr>
          <w:rFonts w:hint="eastAsia"/>
        </w:rPr>
        <w:t>Vega</w:t>
      </w:r>
      <w:r w:rsidRPr="00941165">
        <w:rPr>
          <w:rFonts w:hint="eastAsia"/>
        </w:rPr>
        <w:t>会导致执行风险更高的公司政策，包括更高的研发支出、更少的资本支出、更集中的产品线和更高的杠杆率。他们还发现，就这些指标而言，</w:t>
      </w:r>
      <w:r w:rsidRPr="00941165">
        <w:rPr>
          <w:rFonts w:hint="eastAsia"/>
        </w:rPr>
        <w:lastRenderedPageBreak/>
        <w:t>Delta</w:t>
      </w:r>
      <w:r w:rsidRPr="00941165">
        <w:rPr>
          <w:rFonts w:hint="eastAsia"/>
        </w:rPr>
        <w:t>通常与</w:t>
      </w:r>
      <w:r w:rsidRPr="00941165">
        <w:rPr>
          <w:rFonts w:hint="eastAsia"/>
        </w:rPr>
        <w:t>Vega</w:t>
      </w:r>
      <w:r w:rsidRPr="00941165">
        <w:rPr>
          <w:rFonts w:hint="eastAsia"/>
        </w:rPr>
        <w:t>呈负相关。</w:t>
      </w:r>
      <w:bookmarkEnd w:id="31"/>
      <w:r w:rsidRPr="00941165">
        <w:rPr>
          <w:rFonts w:hint="eastAsia"/>
        </w:rPr>
        <w:t>从最优合约的角度来看，关键点在于</w:t>
      </w:r>
      <w:r w:rsidRPr="00941165">
        <w:rPr>
          <w:rFonts w:hint="eastAsia"/>
        </w:rPr>
        <w:t>Delta</w:t>
      </w:r>
      <w:r w:rsidRPr="00941165">
        <w:rPr>
          <w:rFonts w:hint="eastAsia"/>
        </w:rPr>
        <w:t>将管理层薪酬变化的方向与股东的方向保持一致，而</w:t>
      </w:r>
      <w:r w:rsidRPr="00941165">
        <w:rPr>
          <w:rFonts w:hint="eastAsia"/>
        </w:rPr>
        <w:t>Vega</w:t>
      </w:r>
      <w:r w:rsidRPr="00941165">
        <w:rPr>
          <w:rFonts w:hint="eastAsia"/>
        </w:rPr>
        <w:t>可以用来缓解</w:t>
      </w:r>
      <w:r w:rsidR="00E2022F">
        <w:rPr>
          <w:rFonts w:hint="eastAsia"/>
        </w:rPr>
        <w:t>高管们的</w:t>
      </w:r>
      <w:r w:rsidRPr="00941165">
        <w:rPr>
          <w:rFonts w:hint="eastAsia"/>
        </w:rPr>
        <w:t>风险规避倾向。</w:t>
      </w:r>
      <w:r w:rsidR="00941F71">
        <w:rPr>
          <w:rFonts w:hint="eastAsia"/>
        </w:rPr>
        <w:t>总之，</w:t>
      </w:r>
      <w:r w:rsidR="00941F71" w:rsidRPr="00941165">
        <w:rPr>
          <w:rFonts w:hint="eastAsia"/>
        </w:rPr>
        <w:t>Core</w:t>
      </w:r>
      <w:r w:rsidR="005174C3">
        <w:rPr>
          <w:rFonts w:hint="eastAsia"/>
        </w:rPr>
        <w:t>等</w:t>
      </w:r>
      <w:r w:rsidR="00941F71" w:rsidRPr="0062220C">
        <w:rPr>
          <w:vertAlign w:val="superscript"/>
        </w:rPr>
        <w:fldChar w:fldCharType="begin"/>
      </w:r>
      <w:r w:rsidR="00941F71" w:rsidRPr="0062220C">
        <w:rPr>
          <w:vertAlign w:val="superscript"/>
        </w:rPr>
        <w:instrText xml:space="preserve"> </w:instrText>
      </w:r>
      <w:r w:rsidR="00941F71" w:rsidRPr="0062220C">
        <w:rPr>
          <w:rFonts w:hint="eastAsia"/>
          <w:vertAlign w:val="superscript"/>
        </w:rPr>
        <w:instrText>REF _Ref102397198 \r \h</w:instrText>
      </w:r>
      <w:r w:rsidR="00941F71" w:rsidRPr="0062220C">
        <w:rPr>
          <w:vertAlign w:val="superscript"/>
        </w:rPr>
        <w:instrText xml:space="preserve"> </w:instrText>
      </w:r>
      <w:r w:rsidR="00941F71">
        <w:rPr>
          <w:vertAlign w:val="superscript"/>
        </w:rPr>
        <w:instrText xml:space="preserve"> \* MERGEFORMAT </w:instrText>
      </w:r>
      <w:r w:rsidR="00941F71" w:rsidRPr="0062220C">
        <w:rPr>
          <w:vertAlign w:val="superscript"/>
        </w:rPr>
      </w:r>
      <w:r w:rsidR="00941F71" w:rsidRPr="0062220C">
        <w:rPr>
          <w:vertAlign w:val="superscript"/>
        </w:rPr>
        <w:fldChar w:fldCharType="separate"/>
      </w:r>
      <w:r w:rsidR="00AA0519">
        <w:rPr>
          <w:vertAlign w:val="superscript"/>
        </w:rPr>
        <w:t>[19]</w:t>
      </w:r>
      <w:r w:rsidR="00941F71" w:rsidRPr="0062220C">
        <w:rPr>
          <w:vertAlign w:val="superscript"/>
        </w:rPr>
        <w:fldChar w:fldCharType="end"/>
      </w:r>
      <w:r w:rsidR="00941F71">
        <w:rPr>
          <w:rFonts w:hint="eastAsia"/>
        </w:rPr>
        <w:t>给出了最合理的</w:t>
      </w:r>
      <w:r w:rsidR="00941F71">
        <w:rPr>
          <w:rFonts w:hint="eastAsia"/>
        </w:rPr>
        <w:t>Delta</w:t>
      </w:r>
      <w:r w:rsidR="00941F71">
        <w:rPr>
          <w:rFonts w:hint="eastAsia"/>
        </w:rPr>
        <w:t>与</w:t>
      </w:r>
      <w:r w:rsidR="00941F71">
        <w:rPr>
          <w:rFonts w:hint="eastAsia"/>
        </w:rPr>
        <w:t>Vega</w:t>
      </w:r>
      <w:r w:rsidR="00941F71">
        <w:rPr>
          <w:rFonts w:hint="eastAsia"/>
        </w:rPr>
        <w:t>的计算公式和他们之间的关系。</w:t>
      </w:r>
    </w:p>
    <w:p w14:paraId="7E7F6E39" w14:textId="09632807" w:rsidR="00871FC2" w:rsidRPr="005B5018" w:rsidRDefault="00871FC2" w:rsidP="00871FC2">
      <w:pPr>
        <w:pStyle w:val="3"/>
        <w:rPr>
          <w:rFonts w:ascii="宋体" w:hAnsi="宋体"/>
        </w:rPr>
      </w:pPr>
      <w:bookmarkStart w:id="32" w:name="_Toc102342820"/>
      <w:bookmarkStart w:id="33" w:name="_Toc102668383"/>
      <w:bookmarkStart w:id="34" w:name="_Toc102745510"/>
      <w:bookmarkStart w:id="35" w:name="_Toc102854685"/>
      <w:bookmarkStart w:id="36" w:name="_Toc103038524"/>
      <w:bookmarkStart w:id="37" w:name="_Toc103093650"/>
      <w:bookmarkStart w:id="38" w:name="_Toc103345030"/>
      <w:bookmarkStart w:id="39" w:name="_Toc103549468"/>
      <w:r w:rsidRPr="005B5018">
        <w:t>1.2.3</w:t>
      </w:r>
      <w:r w:rsidR="00CB2073">
        <w:t xml:space="preserve"> </w:t>
      </w:r>
      <w:r w:rsidRPr="005B5018">
        <w:rPr>
          <w:rFonts w:hint="eastAsia"/>
        </w:rPr>
        <w:t>ESG</w:t>
      </w:r>
      <w:r w:rsidRPr="005B5018">
        <w:rPr>
          <w:rFonts w:hint="eastAsia"/>
        </w:rPr>
        <w:t>研究综述</w:t>
      </w:r>
      <w:bookmarkEnd w:id="32"/>
      <w:bookmarkEnd w:id="33"/>
      <w:bookmarkEnd w:id="34"/>
      <w:bookmarkEnd w:id="35"/>
      <w:bookmarkEnd w:id="36"/>
      <w:bookmarkEnd w:id="37"/>
      <w:bookmarkEnd w:id="38"/>
      <w:bookmarkEnd w:id="39"/>
    </w:p>
    <w:p w14:paraId="42B323B3" w14:textId="2A7CA6E6" w:rsidR="00624F3A" w:rsidRDefault="00937849" w:rsidP="000573DA">
      <w:pPr>
        <w:ind w:firstLineChars="200" w:firstLine="480"/>
      </w:pPr>
      <w:r w:rsidRPr="00937849">
        <w:rPr>
          <w:rFonts w:hint="eastAsia"/>
        </w:rPr>
        <w:t>40</w:t>
      </w:r>
      <w:r w:rsidRPr="00937849">
        <w:rPr>
          <w:rFonts w:hint="eastAsia"/>
        </w:rPr>
        <w:t>多年来，</w:t>
      </w:r>
      <w:r w:rsidRPr="00937849">
        <w:rPr>
          <w:rFonts w:hint="eastAsia"/>
        </w:rPr>
        <w:t>ESG</w:t>
      </w:r>
      <w:r w:rsidRPr="00937849">
        <w:rPr>
          <w:rFonts w:hint="eastAsia"/>
        </w:rPr>
        <w:t>标准与企业财务绩效（</w:t>
      </w:r>
      <w:r w:rsidRPr="00937849">
        <w:rPr>
          <w:rFonts w:hint="eastAsia"/>
        </w:rPr>
        <w:t>CFP</w:t>
      </w:r>
      <w:r w:rsidRPr="00937849">
        <w:rPr>
          <w:rFonts w:hint="eastAsia"/>
        </w:rPr>
        <w:t>）的相容性问题一直是从业者和学者争论的焦点。尽管</w:t>
      </w:r>
      <w:r w:rsidRPr="00937849">
        <w:rPr>
          <w:rFonts w:hint="eastAsia"/>
        </w:rPr>
        <w:t>ESG-CFP</w:t>
      </w:r>
      <w:r w:rsidRPr="00937849">
        <w:rPr>
          <w:rFonts w:hint="eastAsia"/>
        </w:rPr>
        <w:t>关系有许多积极的例子，但研究人员经常声称结果模棱两可、不确定或相互矛盾</w:t>
      </w:r>
      <w:r w:rsidR="00536B25" w:rsidRPr="00536B25">
        <w:rPr>
          <w:vertAlign w:val="superscript"/>
        </w:rPr>
        <w:fldChar w:fldCharType="begin"/>
      </w:r>
      <w:r w:rsidR="00536B25" w:rsidRPr="00536B25">
        <w:rPr>
          <w:vertAlign w:val="superscript"/>
        </w:rPr>
        <w:instrText xml:space="preserve"> </w:instrText>
      </w:r>
      <w:r w:rsidR="00536B25" w:rsidRPr="00536B25">
        <w:rPr>
          <w:rFonts w:hint="eastAsia"/>
          <w:vertAlign w:val="superscript"/>
        </w:rPr>
        <w:instrText>REF _Ref102403059 \r \h\</w:instrText>
      </w:r>
      <w:r w:rsidR="00536B25" w:rsidRPr="00536B25">
        <w:rPr>
          <w:vertAlign w:val="superscript"/>
        </w:rPr>
        <w:instrText xml:space="preserve">#"[0" </w:instrText>
      </w:r>
      <w:r w:rsidR="00536B25">
        <w:rPr>
          <w:vertAlign w:val="superscript"/>
        </w:rPr>
        <w:instrText xml:space="preserve"> \* MERGEFORMAT </w:instrText>
      </w:r>
      <w:r w:rsidR="00536B25" w:rsidRPr="00536B25">
        <w:rPr>
          <w:vertAlign w:val="superscript"/>
        </w:rPr>
      </w:r>
      <w:r w:rsidR="00536B25" w:rsidRPr="00536B25">
        <w:rPr>
          <w:vertAlign w:val="superscript"/>
        </w:rPr>
        <w:fldChar w:fldCharType="separate"/>
      </w:r>
      <w:r w:rsidR="00AA0519" w:rsidRPr="00536B25">
        <w:rPr>
          <w:vertAlign w:val="superscript"/>
        </w:rPr>
        <w:t>[</w:t>
      </w:r>
      <w:r w:rsidR="00AA0519">
        <w:rPr>
          <w:vertAlign w:val="superscript"/>
        </w:rPr>
        <w:t>20</w:t>
      </w:r>
      <w:r w:rsidR="00536B25" w:rsidRPr="00536B25">
        <w:rPr>
          <w:vertAlign w:val="superscript"/>
        </w:rPr>
        <w:fldChar w:fldCharType="end"/>
      </w:r>
      <w:r w:rsidR="00536B25" w:rsidRPr="00536B25">
        <w:rPr>
          <w:vertAlign w:val="superscript"/>
        </w:rPr>
        <w:t>,</w:t>
      </w:r>
      <w:r w:rsidR="00536B25" w:rsidRPr="00536B25">
        <w:rPr>
          <w:vertAlign w:val="superscript"/>
        </w:rPr>
        <w:fldChar w:fldCharType="begin"/>
      </w:r>
      <w:r w:rsidR="00536B25" w:rsidRPr="00536B25">
        <w:rPr>
          <w:vertAlign w:val="superscript"/>
        </w:rPr>
        <w:instrText xml:space="preserve"> REF _Ref102397428 \r \h\#"0]" </w:instrText>
      </w:r>
      <w:r w:rsidR="00536B25">
        <w:rPr>
          <w:vertAlign w:val="superscript"/>
        </w:rPr>
        <w:instrText xml:space="preserve"> \* MERGEFORMAT </w:instrText>
      </w:r>
      <w:r w:rsidR="00536B25" w:rsidRPr="00536B25">
        <w:rPr>
          <w:vertAlign w:val="superscript"/>
        </w:rPr>
      </w:r>
      <w:r w:rsidR="00536B25" w:rsidRPr="00536B25">
        <w:rPr>
          <w:vertAlign w:val="superscript"/>
        </w:rPr>
        <w:fldChar w:fldCharType="separate"/>
      </w:r>
      <w:r w:rsidR="00AA0519">
        <w:rPr>
          <w:vertAlign w:val="superscript"/>
        </w:rPr>
        <w:t>21</w:t>
      </w:r>
      <w:r w:rsidR="00AA0519" w:rsidRPr="00536B25">
        <w:rPr>
          <w:vertAlign w:val="superscript"/>
        </w:rPr>
        <w:t>]</w:t>
      </w:r>
      <w:r w:rsidR="00536B25" w:rsidRPr="00536B25">
        <w:rPr>
          <w:vertAlign w:val="superscript"/>
        </w:rPr>
        <w:fldChar w:fldCharType="end"/>
      </w:r>
      <w:r w:rsidRPr="00937849">
        <w:rPr>
          <w:rFonts w:hint="eastAsia"/>
        </w:rPr>
        <w:t>。</w:t>
      </w:r>
      <w:r>
        <w:rPr>
          <w:rFonts w:hint="eastAsia"/>
        </w:rPr>
        <w:t>而</w:t>
      </w:r>
      <w:proofErr w:type="spellStart"/>
      <w:r w:rsidR="00ED276C" w:rsidRPr="00ED276C">
        <w:t>Friede</w:t>
      </w:r>
      <w:proofErr w:type="spellEnd"/>
      <w:r w:rsidR="00ED276C">
        <w:rPr>
          <w:rFonts w:hint="eastAsia"/>
        </w:rPr>
        <w:t>等</w:t>
      </w:r>
      <w:r w:rsidR="000366B0" w:rsidRPr="000366B0">
        <w:rPr>
          <w:vertAlign w:val="superscript"/>
        </w:rPr>
        <w:fldChar w:fldCharType="begin"/>
      </w:r>
      <w:r w:rsidR="000366B0" w:rsidRPr="000366B0">
        <w:rPr>
          <w:vertAlign w:val="superscript"/>
        </w:rPr>
        <w:instrText xml:space="preserve"> </w:instrText>
      </w:r>
      <w:r w:rsidR="000366B0" w:rsidRPr="000366B0">
        <w:rPr>
          <w:rFonts w:hint="eastAsia"/>
          <w:vertAlign w:val="superscript"/>
        </w:rPr>
        <w:instrText>REF _Ref102403075 \r \h</w:instrText>
      </w:r>
      <w:r w:rsidR="000366B0" w:rsidRPr="000366B0">
        <w:rPr>
          <w:vertAlign w:val="superscript"/>
        </w:rPr>
        <w:instrText xml:space="preserve"> </w:instrText>
      </w:r>
      <w:r w:rsidR="000366B0">
        <w:rPr>
          <w:vertAlign w:val="superscript"/>
        </w:rPr>
        <w:instrText xml:space="preserve"> \* MERGEFORMAT </w:instrText>
      </w:r>
      <w:r w:rsidR="000366B0" w:rsidRPr="000366B0">
        <w:rPr>
          <w:vertAlign w:val="superscript"/>
        </w:rPr>
      </w:r>
      <w:r w:rsidR="000366B0" w:rsidRPr="000366B0">
        <w:rPr>
          <w:vertAlign w:val="superscript"/>
        </w:rPr>
        <w:fldChar w:fldCharType="separate"/>
      </w:r>
      <w:r w:rsidR="00AA0519">
        <w:rPr>
          <w:vertAlign w:val="superscript"/>
        </w:rPr>
        <w:t>[22]</w:t>
      </w:r>
      <w:r w:rsidR="000366B0" w:rsidRPr="000366B0">
        <w:rPr>
          <w:vertAlign w:val="superscript"/>
        </w:rPr>
        <w:fldChar w:fldCharType="end"/>
      </w:r>
      <w:r w:rsidRPr="00937849">
        <w:rPr>
          <w:rFonts w:hint="eastAsia"/>
        </w:rPr>
        <w:t>通过分析现有</w:t>
      </w:r>
      <w:r w:rsidRPr="00937849">
        <w:rPr>
          <w:rFonts w:hint="eastAsia"/>
        </w:rPr>
        <w:t>ESG</w:t>
      </w:r>
      <w:r w:rsidRPr="00937849">
        <w:rPr>
          <w:rFonts w:hint="eastAsia"/>
        </w:rPr>
        <w:t>–</w:t>
      </w:r>
      <w:r w:rsidRPr="00937849">
        <w:rPr>
          <w:rFonts w:hint="eastAsia"/>
        </w:rPr>
        <w:t>CFP</w:t>
      </w:r>
      <w:r w:rsidRPr="00937849">
        <w:rPr>
          <w:rFonts w:hint="eastAsia"/>
        </w:rPr>
        <w:t>研究中迄今为止最全面的数据集，发现</w:t>
      </w:r>
      <w:r w:rsidRPr="00937849">
        <w:rPr>
          <w:rFonts w:hint="eastAsia"/>
        </w:rPr>
        <w:t>ESG</w:t>
      </w:r>
      <w:r w:rsidRPr="00937849">
        <w:rPr>
          <w:rFonts w:hint="eastAsia"/>
        </w:rPr>
        <w:t>投资的商业案例在经验上是有充分依据的</w:t>
      </w:r>
      <w:r w:rsidR="00ED276C">
        <w:rPr>
          <w:rFonts w:hint="eastAsia"/>
        </w:rPr>
        <w:t>，而且</w:t>
      </w:r>
      <w:r w:rsidRPr="00937849">
        <w:rPr>
          <w:rFonts w:hint="eastAsia"/>
        </w:rPr>
        <w:t>投资</w:t>
      </w:r>
      <w:r w:rsidRPr="00937849">
        <w:rPr>
          <w:rFonts w:hint="eastAsia"/>
        </w:rPr>
        <w:t>ESG</w:t>
      </w:r>
      <w:r w:rsidRPr="00937849">
        <w:rPr>
          <w:rFonts w:hint="eastAsia"/>
        </w:rPr>
        <w:t>在财务上是有回报的</w:t>
      </w:r>
      <w:r w:rsidR="00ED276C">
        <w:rPr>
          <w:rFonts w:hint="eastAsia"/>
        </w:rPr>
        <w:t>，并且</w:t>
      </w:r>
      <w:r w:rsidRPr="00937849">
        <w:rPr>
          <w:rFonts w:hint="eastAsia"/>
        </w:rPr>
        <w:t>强调</w:t>
      </w:r>
      <w:r w:rsidRPr="00937849">
        <w:rPr>
          <w:rFonts w:hint="eastAsia"/>
        </w:rPr>
        <w:t>ESG</w:t>
      </w:r>
      <w:r w:rsidRPr="00937849">
        <w:rPr>
          <w:rFonts w:hint="eastAsia"/>
        </w:rPr>
        <w:t>对</w:t>
      </w:r>
      <w:r w:rsidRPr="00937849">
        <w:rPr>
          <w:rFonts w:hint="eastAsia"/>
        </w:rPr>
        <w:t>CFP</w:t>
      </w:r>
      <w:r w:rsidRPr="00937849">
        <w:rPr>
          <w:rFonts w:hint="eastAsia"/>
        </w:rPr>
        <w:t>的积极影响是稳定的</w:t>
      </w:r>
      <w:r w:rsidR="00536B25" w:rsidRPr="00536B25">
        <w:rPr>
          <w:vertAlign w:val="superscript"/>
        </w:rPr>
        <w:fldChar w:fldCharType="begin"/>
      </w:r>
      <w:r w:rsidR="00536B25" w:rsidRPr="00536B25">
        <w:rPr>
          <w:vertAlign w:val="superscript"/>
        </w:rPr>
        <w:instrText xml:space="preserve"> </w:instrText>
      </w:r>
      <w:r w:rsidR="00536B25" w:rsidRPr="00536B25">
        <w:rPr>
          <w:rFonts w:hint="eastAsia"/>
          <w:vertAlign w:val="superscript"/>
        </w:rPr>
        <w:instrText>REF _Ref102403075 \r \h</w:instrText>
      </w:r>
      <w:r w:rsidR="00536B25" w:rsidRPr="00536B25">
        <w:rPr>
          <w:vertAlign w:val="superscript"/>
        </w:rPr>
        <w:instrText xml:space="preserve"> </w:instrText>
      </w:r>
      <w:r w:rsidR="00536B25">
        <w:rPr>
          <w:vertAlign w:val="superscript"/>
        </w:rPr>
        <w:instrText xml:space="preserve"> \* MERGEFORMAT </w:instrText>
      </w:r>
      <w:r w:rsidR="00536B25" w:rsidRPr="00536B25">
        <w:rPr>
          <w:vertAlign w:val="superscript"/>
        </w:rPr>
      </w:r>
      <w:r w:rsidR="00536B25" w:rsidRPr="00536B25">
        <w:rPr>
          <w:vertAlign w:val="superscript"/>
        </w:rPr>
        <w:fldChar w:fldCharType="separate"/>
      </w:r>
      <w:r w:rsidR="00AA0519">
        <w:rPr>
          <w:vertAlign w:val="superscript"/>
        </w:rPr>
        <w:t>[22]</w:t>
      </w:r>
      <w:r w:rsidR="00536B25" w:rsidRPr="00536B25">
        <w:rPr>
          <w:vertAlign w:val="superscript"/>
        </w:rPr>
        <w:fldChar w:fldCharType="end"/>
      </w:r>
      <w:r w:rsidRPr="00937849">
        <w:rPr>
          <w:rFonts w:hint="eastAsia"/>
        </w:rPr>
        <w:t>。</w:t>
      </w:r>
      <w:r w:rsidR="00ED276C">
        <w:rPr>
          <w:rFonts w:hint="eastAsia"/>
        </w:rPr>
        <w:t>所以尽管仍有争议，更好的</w:t>
      </w:r>
      <w:r w:rsidR="00ED276C">
        <w:rPr>
          <w:rFonts w:hint="eastAsia"/>
        </w:rPr>
        <w:t>ESG</w:t>
      </w:r>
      <w:r w:rsidR="00ED276C">
        <w:rPr>
          <w:rFonts w:hint="eastAsia"/>
        </w:rPr>
        <w:t>环境毋庸置疑研究成为大部分公司追求的一个目标。</w:t>
      </w:r>
      <w:r w:rsidR="00624F3A" w:rsidRPr="00536B25">
        <w:rPr>
          <w:rFonts w:hint="eastAsia"/>
        </w:rPr>
        <w:t>最近的研究表明，</w:t>
      </w:r>
      <w:r w:rsidR="00624F3A" w:rsidRPr="00536B25">
        <w:rPr>
          <w:rFonts w:hint="eastAsia"/>
        </w:rPr>
        <w:t>ESG</w:t>
      </w:r>
      <w:r w:rsidR="00624F3A" w:rsidRPr="00536B25">
        <w:rPr>
          <w:rFonts w:hint="eastAsia"/>
        </w:rPr>
        <w:t>信息与许多有经济意义的影响有关。具体而言，</w:t>
      </w:r>
      <w:r w:rsidR="00624F3A" w:rsidRPr="00536B25">
        <w:rPr>
          <w:rFonts w:hint="eastAsia"/>
        </w:rPr>
        <w:t>ESG</w:t>
      </w:r>
      <w:r w:rsidR="00624F3A" w:rsidRPr="00536B25">
        <w:rPr>
          <w:rFonts w:hint="eastAsia"/>
        </w:rPr>
        <w:t>披露与较低的资本约束</w:t>
      </w:r>
      <w:r w:rsidR="00624F3A" w:rsidRPr="00624F3A">
        <w:rPr>
          <w:vertAlign w:val="superscript"/>
        </w:rPr>
        <w:fldChar w:fldCharType="begin"/>
      </w:r>
      <w:r w:rsidR="00624F3A" w:rsidRPr="00624F3A">
        <w:rPr>
          <w:vertAlign w:val="superscript"/>
        </w:rPr>
        <w:instrText xml:space="preserve"> </w:instrText>
      </w:r>
      <w:r w:rsidR="00624F3A" w:rsidRPr="00624F3A">
        <w:rPr>
          <w:rFonts w:hint="eastAsia"/>
          <w:vertAlign w:val="superscript"/>
        </w:rPr>
        <w:instrText>REF _Ref102403582 \r \h</w:instrText>
      </w:r>
      <w:r w:rsidR="00624F3A" w:rsidRPr="00624F3A">
        <w:rPr>
          <w:vertAlign w:val="superscript"/>
        </w:rPr>
        <w:instrText xml:space="preserve"> </w:instrText>
      </w:r>
      <w:r w:rsidR="00624F3A">
        <w:rPr>
          <w:vertAlign w:val="superscript"/>
        </w:rPr>
        <w:instrText xml:space="preserve"> \* MERGEFORMAT </w:instrText>
      </w:r>
      <w:r w:rsidR="00624F3A" w:rsidRPr="00624F3A">
        <w:rPr>
          <w:vertAlign w:val="superscript"/>
        </w:rPr>
      </w:r>
      <w:r w:rsidR="00624F3A" w:rsidRPr="00624F3A">
        <w:rPr>
          <w:vertAlign w:val="superscript"/>
        </w:rPr>
        <w:fldChar w:fldCharType="separate"/>
      </w:r>
      <w:r w:rsidR="00AA0519">
        <w:rPr>
          <w:vertAlign w:val="superscript"/>
        </w:rPr>
        <w:t>[23]</w:t>
      </w:r>
      <w:r w:rsidR="00624F3A" w:rsidRPr="00624F3A">
        <w:rPr>
          <w:vertAlign w:val="superscript"/>
        </w:rPr>
        <w:fldChar w:fldCharType="end"/>
      </w:r>
      <w:r w:rsidR="00624F3A" w:rsidRPr="00536B25">
        <w:rPr>
          <w:rFonts w:hint="eastAsia"/>
        </w:rPr>
        <w:t>、较低的资本成本</w:t>
      </w:r>
      <w:r w:rsidR="00624F3A" w:rsidRPr="00624F3A">
        <w:rPr>
          <w:vertAlign w:val="superscript"/>
        </w:rPr>
        <w:fldChar w:fldCharType="begin"/>
      </w:r>
      <w:r w:rsidR="00624F3A" w:rsidRPr="00624F3A">
        <w:rPr>
          <w:vertAlign w:val="superscript"/>
        </w:rPr>
        <w:instrText xml:space="preserve"> </w:instrText>
      </w:r>
      <w:r w:rsidR="00624F3A" w:rsidRPr="00624F3A">
        <w:rPr>
          <w:rFonts w:hint="eastAsia"/>
          <w:vertAlign w:val="superscript"/>
        </w:rPr>
        <w:instrText>REF _Ref102403591 \r \h</w:instrText>
      </w:r>
      <w:r w:rsidR="00624F3A" w:rsidRPr="00624F3A">
        <w:rPr>
          <w:vertAlign w:val="superscript"/>
        </w:rPr>
        <w:instrText xml:space="preserve"> </w:instrText>
      </w:r>
      <w:r w:rsidR="00624F3A">
        <w:rPr>
          <w:vertAlign w:val="superscript"/>
        </w:rPr>
        <w:instrText xml:space="preserve"> \* MERGEFORMAT </w:instrText>
      </w:r>
      <w:r w:rsidR="00624F3A" w:rsidRPr="00624F3A">
        <w:rPr>
          <w:vertAlign w:val="superscript"/>
        </w:rPr>
      </w:r>
      <w:r w:rsidR="00624F3A" w:rsidRPr="00624F3A">
        <w:rPr>
          <w:vertAlign w:val="superscript"/>
        </w:rPr>
        <w:fldChar w:fldCharType="separate"/>
      </w:r>
      <w:r w:rsidR="00AA0519">
        <w:rPr>
          <w:vertAlign w:val="superscript"/>
        </w:rPr>
        <w:t>[24]</w:t>
      </w:r>
      <w:r w:rsidR="00624F3A" w:rsidRPr="00624F3A">
        <w:rPr>
          <w:vertAlign w:val="superscript"/>
        </w:rPr>
        <w:fldChar w:fldCharType="end"/>
      </w:r>
      <w:r w:rsidR="00624F3A" w:rsidRPr="00536B25">
        <w:rPr>
          <w:rFonts w:hint="eastAsia"/>
        </w:rPr>
        <w:t>以及围绕强制性</w:t>
      </w:r>
      <w:r w:rsidR="00624F3A" w:rsidRPr="00536B25">
        <w:rPr>
          <w:rFonts w:hint="eastAsia"/>
        </w:rPr>
        <w:t>ESG</w:t>
      </w:r>
      <w:r w:rsidR="00624F3A" w:rsidRPr="00536B25">
        <w:rPr>
          <w:rFonts w:hint="eastAsia"/>
        </w:rPr>
        <w:t>披露法规的股价变动</w:t>
      </w:r>
      <w:r w:rsidR="00624F3A" w:rsidRPr="00624F3A">
        <w:rPr>
          <w:vertAlign w:val="superscript"/>
        </w:rPr>
        <w:fldChar w:fldCharType="begin"/>
      </w:r>
      <w:r w:rsidR="00624F3A" w:rsidRPr="00624F3A">
        <w:rPr>
          <w:vertAlign w:val="superscript"/>
        </w:rPr>
        <w:instrText xml:space="preserve"> </w:instrText>
      </w:r>
      <w:r w:rsidR="00624F3A" w:rsidRPr="00624F3A">
        <w:rPr>
          <w:rFonts w:hint="eastAsia"/>
          <w:vertAlign w:val="superscript"/>
        </w:rPr>
        <w:instrText>REF _Ref102403600 \r \h</w:instrText>
      </w:r>
      <w:r w:rsidR="00624F3A" w:rsidRPr="00624F3A">
        <w:rPr>
          <w:vertAlign w:val="superscript"/>
        </w:rPr>
        <w:instrText xml:space="preserve"> </w:instrText>
      </w:r>
      <w:r w:rsidR="00624F3A">
        <w:rPr>
          <w:vertAlign w:val="superscript"/>
        </w:rPr>
        <w:instrText xml:space="preserve"> \* MERGEFORMAT </w:instrText>
      </w:r>
      <w:r w:rsidR="00624F3A" w:rsidRPr="00624F3A">
        <w:rPr>
          <w:vertAlign w:val="superscript"/>
        </w:rPr>
      </w:r>
      <w:r w:rsidR="00624F3A" w:rsidRPr="00624F3A">
        <w:rPr>
          <w:vertAlign w:val="superscript"/>
        </w:rPr>
        <w:fldChar w:fldCharType="separate"/>
      </w:r>
      <w:r w:rsidR="00AA0519">
        <w:rPr>
          <w:vertAlign w:val="superscript"/>
        </w:rPr>
        <w:t>[25]</w:t>
      </w:r>
      <w:r w:rsidR="00624F3A" w:rsidRPr="00624F3A">
        <w:rPr>
          <w:vertAlign w:val="superscript"/>
        </w:rPr>
        <w:fldChar w:fldCharType="end"/>
      </w:r>
      <w:r w:rsidR="00624F3A" w:rsidRPr="00536B25">
        <w:rPr>
          <w:rFonts w:hint="eastAsia"/>
        </w:rPr>
        <w:t>有关。</w:t>
      </w:r>
    </w:p>
    <w:p w14:paraId="499D4B84" w14:textId="02AB7CAF" w:rsidR="00A505BD" w:rsidRPr="00A505BD" w:rsidRDefault="0084376C" w:rsidP="000573DA">
      <w:pPr>
        <w:ind w:firstLineChars="200" w:firstLine="480"/>
      </w:pPr>
      <w:r>
        <w:rPr>
          <w:rFonts w:hint="eastAsia"/>
        </w:rPr>
        <w:t>针对</w:t>
      </w:r>
      <w:r w:rsidR="00434193">
        <w:rPr>
          <w:rFonts w:hint="eastAsia"/>
        </w:rPr>
        <w:t>与</w:t>
      </w:r>
      <w:r>
        <w:rPr>
          <w:rFonts w:hint="eastAsia"/>
        </w:rPr>
        <w:t>ESG</w:t>
      </w:r>
      <w:r w:rsidR="00434193">
        <w:rPr>
          <w:rFonts w:hint="eastAsia"/>
        </w:rPr>
        <w:t>非常</w:t>
      </w:r>
      <w:r>
        <w:rPr>
          <w:rFonts w:hint="eastAsia"/>
        </w:rPr>
        <w:t>相关的</w:t>
      </w:r>
      <w:r>
        <w:rPr>
          <w:rFonts w:hint="eastAsia"/>
        </w:rPr>
        <w:t>CSR</w:t>
      </w:r>
      <w:r>
        <w:rPr>
          <w:rFonts w:hint="eastAsia"/>
        </w:rPr>
        <w:t>（企业社会责任）的研究比较多，</w:t>
      </w:r>
      <w:r w:rsidR="00434193">
        <w:rPr>
          <w:rFonts w:hint="eastAsia"/>
        </w:rPr>
        <w:t>而</w:t>
      </w:r>
      <w:r w:rsidRPr="0084376C">
        <w:rPr>
          <w:rFonts w:hint="eastAsia"/>
        </w:rPr>
        <w:t>关于企业社会责任对企业价值影响的</w:t>
      </w:r>
      <w:r w:rsidR="00434193">
        <w:rPr>
          <w:rFonts w:hint="eastAsia"/>
        </w:rPr>
        <w:t>研究结果也不一致</w:t>
      </w:r>
      <w:r w:rsidRPr="0084376C">
        <w:rPr>
          <w:rFonts w:hint="eastAsia"/>
        </w:rPr>
        <w:t>，但</w:t>
      </w:r>
      <w:r w:rsidR="00434193">
        <w:rPr>
          <w:rFonts w:hint="eastAsia"/>
        </w:rPr>
        <w:t>已有研究</w:t>
      </w:r>
      <w:r w:rsidRPr="0084376C">
        <w:rPr>
          <w:rFonts w:hint="eastAsia"/>
        </w:rPr>
        <w:t>证明企业社会责任与企业风险之间存在负相关关系</w:t>
      </w:r>
      <w:r w:rsidR="00434193" w:rsidRPr="00434193">
        <w:rPr>
          <w:vertAlign w:val="superscript"/>
        </w:rPr>
        <w:fldChar w:fldCharType="begin"/>
      </w:r>
      <w:r w:rsidR="00434193" w:rsidRPr="00434193">
        <w:rPr>
          <w:vertAlign w:val="superscript"/>
        </w:rPr>
        <w:instrText xml:space="preserve"> </w:instrText>
      </w:r>
      <w:r w:rsidR="00434193" w:rsidRPr="00434193">
        <w:rPr>
          <w:rFonts w:hint="eastAsia"/>
          <w:vertAlign w:val="superscript"/>
        </w:rPr>
        <w:instrText>REF _Ref102404368 \r \h</w:instrText>
      </w:r>
      <w:r w:rsidR="00434193" w:rsidRPr="00434193">
        <w:rPr>
          <w:vertAlign w:val="superscript"/>
        </w:rPr>
        <w:instrText xml:space="preserve"> </w:instrText>
      </w:r>
      <w:r w:rsidR="00434193">
        <w:rPr>
          <w:vertAlign w:val="superscript"/>
        </w:rPr>
        <w:instrText xml:space="preserve"> \* MERGEFORMAT </w:instrText>
      </w:r>
      <w:r w:rsidR="00434193" w:rsidRPr="00434193">
        <w:rPr>
          <w:vertAlign w:val="superscript"/>
        </w:rPr>
      </w:r>
      <w:r w:rsidR="00434193" w:rsidRPr="00434193">
        <w:rPr>
          <w:vertAlign w:val="superscript"/>
        </w:rPr>
        <w:fldChar w:fldCharType="separate"/>
      </w:r>
      <w:r w:rsidR="00AA0519">
        <w:rPr>
          <w:vertAlign w:val="superscript"/>
        </w:rPr>
        <w:t>[26]</w:t>
      </w:r>
      <w:r w:rsidR="00434193" w:rsidRPr="00434193">
        <w:rPr>
          <w:vertAlign w:val="superscript"/>
        </w:rPr>
        <w:fldChar w:fldCharType="end"/>
      </w:r>
      <w:r w:rsidRPr="0084376C">
        <w:rPr>
          <w:rFonts w:hint="eastAsia"/>
        </w:rPr>
        <w:t>。与</w:t>
      </w:r>
      <w:r w:rsidRPr="0084376C">
        <w:rPr>
          <w:rFonts w:hint="eastAsia"/>
        </w:rPr>
        <w:t>CSR</w:t>
      </w:r>
      <w:r w:rsidRPr="0084376C">
        <w:rPr>
          <w:rFonts w:hint="eastAsia"/>
        </w:rPr>
        <w:t>水平较低的</w:t>
      </w:r>
      <w:r w:rsidR="00434193">
        <w:rPr>
          <w:rFonts w:hint="eastAsia"/>
        </w:rPr>
        <w:t>同行业</w:t>
      </w:r>
      <w:r w:rsidRPr="0084376C">
        <w:rPr>
          <w:rFonts w:hint="eastAsia"/>
        </w:rPr>
        <w:t>公司相比，</w:t>
      </w:r>
      <w:r w:rsidRPr="0084376C">
        <w:rPr>
          <w:rFonts w:hint="eastAsia"/>
        </w:rPr>
        <w:t>CSR</w:t>
      </w:r>
      <w:r w:rsidRPr="0084376C">
        <w:rPr>
          <w:rFonts w:hint="eastAsia"/>
        </w:rPr>
        <w:t>水平较高的公司面对意外的负面法律</w:t>
      </w:r>
      <w:r w:rsidRPr="0084376C">
        <w:rPr>
          <w:rFonts w:hint="eastAsia"/>
        </w:rPr>
        <w:t>/</w:t>
      </w:r>
      <w:r w:rsidRPr="0084376C">
        <w:rPr>
          <w:rFonts w:hint="eastAsia"/>
        </w:rPr>
        <w:t>监管行为时，市场反应更为缓和。</w:t>
      </w:r>
      <w:r w:rsidR="00434193">
        <w:rPr>
          <w:rFonts w:hint="eastAsia"/>
        </w:rPr>
        <w:t>对此</w:t>
      </w:r>
      <w:r w:rsidRPr="0084376C">
        <w:rPr>
          <w:rFonts w:hint="eastAsia"/>
        </w:rPr>
        <w:t>有两个著名的理论将企业社会责任和企业风险联系起来。首先，</w:t>
      </w:r>
      <w:r w:rsidRPr="0084376C">
        <w:rPr>
          <w:rFonts w:hint="eastAsia"/>
        </w:rPr>
        <w:t>Godfrey</w:t>
      </w:r>
      <w:r w:rsidR="00434193">
        <w:rPr>
          <w:rFonts w:hint="eastAsia"/>
        </w:rPr>
        <w:t>等</w:t>
      </w:r>
      <w:r w:rsidR="00BB073C" w:rsidRPr="00F95FD7">
        <w:rPr>
          <w:vertAlign w:val="superscript"/>
        </w:rPr>
        <w:fldChar w:fldCharType="begin"/>
      </w:r>
      <w:r w:rsidR="00BB073C" w:rsidRPr="00F95FD7">
        <w:rPr>
          <w:vertAlign w:val="superscript"/>
        </w:rPr>
        <w:instrText xml:space="preserve"> REF _Ref102404603 \r \h </w:instrText>
      </w:r>
      <w:r w:rsidR="00BB073C">
        <w:rPr>
          <w:vertAlign w:val="superscript"/>
        </w:rPr>
        <w:instrText xml:space="preserve"> \* MERGEFORMAT </w:instrText>
      </w:r>
      <w:r w:rsidR="00BB073C" w:rsidRPr="00F95FD7">
        <w:rPr>
          <w:vertAlign w:val="superscript"/>
        </w:rPr>
      </w:r>
      <w:r w:rsidR="00BB073C" w:rsidRPr="00F95FD7">
        <w:rPr>
          <w:vertAlign w:val="superscript"/>
        </w:rPr>
        <w:fldChar w:fldCharType="separate"/>
      </w:r>
      <w:r w:rsidR="00AA0519">
        <w:rPr>
          <w:vertAlign w:val="superscript"/>
        </w:rPr>
        <w:t>[27]</w:t>
      </w:r>
      <w:r w:rsidR="00BB073C" w:rsidRPr="00F95FD7">
        <w:rPr>
          <w:vertAlign w:val="superscript"/>
        </w:rPr>
        <w:fldChar w:fldCharType="end"/>
      </w:r>
      <w:r w:rsidRPr="0084376C">
        <w:rPr>
          <w:rFonts w:hint="eastAsia"/>
        </w:rPr>
        <w:t>认为，企业社会责任通过产生“道德资本”，为企业基于关系的无形资产（如客户忠诚度）提供保险般的保护，从而降低企业风险。</w:t>
      </w:r>
      <w:r w:rsidR="00F95FD7">
        <w:rPr>
          <w:rFonts w:hint="eastAsia"/>
        </w:rPr>
        <w:t>而</w:t>
      </w:r>
      <w:r w:rsidRPr="0084376C">
        <w:rPr>
          <w:rFonts w:hint="eastAsia"/>
        </w:rPr>
        <w:t>Albuquerque</w:t>
      </w:r>
      <w:r w:rsidRPr="0084376C">
        <w:rPr>
          <w:rFonts w:hint="eastAsia"/>
        </w:rPr>
        <w:t>等人认为，企业社会责任是一种产品差异化投资，这会导致需求的价格弹性降低。在需求弹性较低的情况下，经济冲击对企业</w:t>
      </w:r>
      <w:r w:rsidR="00F95FD7">
        <w:rPr>
          <w:rFonts w:hint="eastAsia"/>
        </w:rPr>
        <w:t>财务</w:t>
      </w:r>
      <w:r w:rsidRPr="0084376C">
        <w:rPr>
          <w:rFonts w:hint="eastAsia"/>
        </w:rPr>
        <w:t>绩效的影响较小，从而降低了企业风险</w:t>
      </w:r>
      <w:r w:rsidR="00F95FD7" w:rsidRPr="00F95FD7">
        <w:rPr>
          <w:vertAlign w:val="superscript"/>
        </w:rPr>
        <w:fldChar w:fldCharType="begin"/>
      </w:r>
      <w:r w:rsidR="00F95FD7" w:rsidRPr="00F95FD7">
        <w:rPr>
          <w:vertAlign w:val="superscript"/>
        </w:rPr>
        <w:instrText xml:space="preserve"> </w:instrText>
      </w:r>
      <w:r w:rsidR="00F95FD7" w:rsidRPr="00F95FD7">
        <w:rPr>
          <w:rFonts w:hint="eastAsia"/>
          <w:vertAlign w:val="superscript"/>
        </w:rPr>
        <w:instrText>REF _Ref102404712 \r \h</w:instrText>
      </w:r>
      <w:r w:rsidR="00F95FD7" w:rsidRPr="00F95FD7">
        <w:rPr>
          <w:vertAlign w:val="superscript"/>
        </w:rPr>
        <w:instrText xml:space="preserve"> </w:instrText>
      </w:r>
      <w:r w:rsidR="00F95FD7">
        <w:rPr>
          <w:vertAlign w:val="superscript"/>
        </w:rPr>
        <w:instrText xml:space="preserve"> \* MERGEFORMAT </w:instrText>
      </w:r>
      <w:r w:rsidR="00F95FD7" w:rsidRPr="00F95FD7">
        <w:rPr>
          <w:vertAlign w:val="superscript"/>
        </w:rPr>
      </w:r>
      <w:r w:rsidR="00F95FD7" w:rsidRPr="00F95FD7">
        <w:rPr>
          <w:vertAlign w:val="superscript"/>
        </w:rPr>
        <w:fldChar w:fldCharType="separate"/>
      </w:r>
      <w:r w:rsidR="00AA0519">
        <w:rPr>
          <w:vertAlign w:val="superscript"/>
        </w:rPr>
        <w:t>[28]</w:t>
      </w:r>
      <w:r w:rsidR="00F95FD7" w:rsidRPr="00F95FD7">
        <w:rPr>
          <w:vertAlign w:val="superscript"/>
        </w:rPr>
        <w:fldChar w:fldCharType="end"/>
      </w:r>
      <w:r w:rsidRPr="0084376C">
        <w:rPr>
          <w:rFonts w:hint="eastAsia"/>
        </w:rPr>
        <w:t>。</w:t>
      </w:r>
      <w:r w:rsidR="00A505BD" w:rsidRPr="00A505BD">
        <w:rPr>
          <w:rFonts w:hint="eastAsia"/>
        </w:rPr>
        <w:t>具体而言，风险管理通过降低任何可能导致投资者无法分散的无谓成本（例如破产成本）的风险来提高公司价值。</w:t>
      </w:r>
      <w:r w:rsidR="00A505BD" w:rsidRPr="00A505BD">
        <w:rPr>
          <w:rFonts w:hint="eastAsia"/>
        </w:rPr>
        <w:t>Lin</w:t>
      </w:r>
      <w:r w:rsidR="00A505BD" w:rsidRPr="00A505BD">
        <w:rPr>
          <w:rFonts w:hint="eastAsia"/>
        </w:rPr>
        <w:t>等人扩展了企业社会责任作为针对企业特定特质风险的保险的理论</w:t>
      </w:r>
      <w:r w:rsidR="00A505BD" w:rsidRPr="00A505BD">
        <w:rPr>
          <w:vertAlign w:val="superscript"/>
        </w:rPr>
        <w:fldChar w:fldCharType="begin"/>
      </w:r>
      <w:r w:rsidR="00A505BD" w:rsidRPr="00A505BD">
        <w:rPr>
          <w:vertAlign w:val="superscript"/>
        </w:rPr>
        <w:instrText xml:space="preserve"> </w:instrText>
      </w:r>
      <w:r w:rsidR="00A505BD" w:rsidRPr="00A505BD">
        <w:rPr>
          <w:rFonts w:hint="eastAsia"/>
          <w:vertAlign w:val="superscript"/>
        </w:rPr>
        <w:instrText>REF _Ref102404603 \r \h</w:instrText>
      </w:r>
      <w:r w:rsidR="00A505BD" w:rsidRPr="00A505BD">
        <w:rPr>
          <w:vertAlign w:val="superscript"/>
        </w:rPr>
        <w:instrText xml:space="preserve"> </w:instrText>
      </w:r>
      <w:r w:rsidR="00A505BD">
        <w:rPr>
          <w:vertAlign w:val="superscript"/>
        </w:rPr>
        <w:instrText xml:space="preserve"> \* MERGEFORMAT </w:instrText>
      </w:r>
      <w:r w:rsidR="00A505BD" w:rsidRPr="00A505BD">
        <w:rPr>
          <w:vertAlign w:val="superscript"/>
        </w:rPr>
      </w:r>
      <w:r w:rsidR="00A505BD" w:rsidRPr="00A505BD">
        <w:rPr>
          <w:vertAlign w:val="superscript"/>
        </w:rPr>
        <w:fldChar w:fldCharType="separate"/>
      </w:r>
      <w:r w:rsidR="00AA0519">
        <w:rPr>
          <w:vertAlign w:val="superscript"/>
        </w:rPr>
        <w:t>[27]</w:t>
      </w:r>
      <w:r w:rsidR="00A505BD" w:rsidRPr="00A505BD">
        <w:rPr>
          <w:vertAlign w:val="superscript"/>
        </w:rPr>
        <w:fldChar w:fldCharType="end"/>
      </w:r>
      <w:r w:rsidR="00A505BD" w:rsidRPr="00A505BD">
        <w:rPr>
          <w:rFonts w:hint="eastAsia"/>
        </w:rPr>
        <w:t>，提出企业社会责任产生社会资本，它</w:t>
      </w:r>
      <w:r w:rsidR="00F76208">
        <w:rPr>
          <w:rFonts w:hint="eastAsia"/>
        </w:rPr>
        <w:t>可以增强</w:t>
      </w:r>
      <w:r w:rsidR="00A505BD" w:rsidRPr="00A505BD">
        <w:rPr>
          <w:rFonts w:hint="eastAsia"/>
        </w:rPr>
        <w:t>公民参与、共同信念以及企业与其利</w:t>
      </w:r>
      <w:r w:rsidR="00A505BD" w:rsidRPr="00A505BD">
        <w:rPr>
          <w:rFonts w:hint="eastAsia"/>
        </w:rPr>
        <w:lastRenderedPageBreak/>
        <w:t>益相关者之间的信任</w:t>
      </w:r>
      <w:r w:rsidR="00F76208" w:rsidRPr="00F76208">
        <w:rPr>
          <w:vertAlign w:val="superscript"/>
        </w:rPr>
        <w:fldChar w:fldCharType="begin"/>
      </w:r>
      <w:r w:rsidR="00F76208" w:rsidRPr="00F76208">
        <w:rPr>
          <w:vertAlign w:val="superscript"/>
        </w:rPr>
        <w:instrText xml:space="preserve"> </w:instrText>
      </w:r>
      <w:r w:rsidR="00F76208" w:rsidRPr="00F76208">
        <w:rPr>
          <w:rFonts w:hint="eastAsia"/>
          <w:vertAlign w:val="superscript"/>
        </w:rPr>
        <w:instrText>REF _Ref102415705 \r \h</w:instrText>
      </w:r>
      <w:r w:rsidR="00F76208" w:rsidRPr="00F76208">
        <w:rPr>
          <w:vertAlign w:val="superscript"/>
        </w:rPr>
        <w:instrText xml:space="preserve"> </w:instrText>
      </w:r>
      <w:r w:rsidR="00F76208">
        <w:rPr>
          <w:vertAlign w:val="superscript"/>
        </w:rPr>
        <w:instrText xml:space="preserve"> \* MERGEFORMAT </w:instrText>
      </w:r>
      <w:r w:rsidR="00F76208" w:rsidRPr="00F76208">
        <w:rPr>
          <w:vertAlign w:val="superscript"/>
        </w:rPr>
      </w:r>
      <w:r w:rsidR="00F76208" w:rsidRPr="00F76208">
        <w:rPr>
          <w:vertAlign w:val="superscript"/>
        </w:rPr>
        <w:fldChar w:fldCharType="separate"/>
      </w:r>
      <w:r w:rsidR="00AA0519">
        <w:rPr>
          <w:vertAlign w:val="superscript"/>
        </w:rPr>
        <w:t>[29]</w:t>
      </w:r>
      <w:r w:rsidR="00F76208" w:rsidRPr="00F76208">
        <w:rPr>
          <w:vertAlign w:val="superscript"/>
        </w:rPr>
        <w:fldChar w:fldCharType="end"/>
      </w:r>
      <w:r w:rsidR="00A505BD" w:rsidRPr="00A505BD">
        <w:rPr>
          <w:rFonts w:hint="eastAsia"/>
        </w:rPr>
        <w:t>。企业社会责任的概念通常是指以超越股东利益和法律要求的方式为人民、社区和环境服务的公司政策和活动</w:t>
      </w:r>
      <w:r w:rsidR="00F76208">
        <w:rPr>
          <w:rFonts w:hint="eastAsia"/>
        </w:rPr>
        <w:t>，而社会资本包含四个维度：</w:t>
      </w:r>
      <w:r w:rsidR="00A505BD" w:rsidRPr="00A505BD">
        <w:rPr>
          <w:rFonts w:hint="eastAsia"/>
        </w:rPr>
        <w:t>个人关系</w:t>
      </w:r>
      <w:r w:rsidR="00F76208">
        <w:rPr>
          <w:rFonts w:hint="eastAsia"/>
        </w:rPr>
        <w:t>、</w:t>
      </w:r>
      <w:r w:rsidR="00A505BD" w:rsidRPr="00A505BD">
        <w:rPr>
          <w:rFonts w:hint="eastAsia"/>
        </w:rPr>
        <w:t>社交网络</w:t>
      </w:r>
      <w:r w:rsidR="00F76208">
        <w:rPr>
          <w:rFonts w:hint="eastAsia"/>
        </w:rPr>
        <w:t>、</w:t>
      </w:r>
      <w:r w:rsidR="00A505BD" w:rsidRPr="00A505BD">
        <w:rPr>
          <w:rFonts w:hint="eastAsia"/>
        </w:rPr>
        <w:t>公民参与</w:t>
      </w:r>
      <w:r w:rsidR="00F76208">
        <w:rPr>
          <w:rFonts w:hint="eastAsia"/>
        </w:rPr>
        <w:t>和</w:t>
      </w:r>
      <w:r w:rsidR="00A505BD" w:rsidRPr="00A505BD">
        <w:rPr>
          <w:rFonts w:hint="eastAsia"/>
        </w:rPr>
        <w:t>信任与合作规范。因此</w:t>
      </w:r>
      <w:r w:rsidR="00F76208">
        <w:rPr>
          <w:rFonts w:hint="eastAsia"/>
        </w:rPr>
        <w:t>，</w:t>
      </w:r>
      <w:r w:rsidR="00A505BD" w:rsidRPr="00A505BD">
        <w:rPr>
          <w:rFonts w:hint="eastAsia"/>
        </w:rPr>
        <w:t>企业社会责任可以直接映射到社会资本定义中</w:t>
      </w:r>
      <w:r w:rsidR="00F76208">
        <w:rPr>
          <w:rFonts w:hint="eastAsia"/>
        </w:rPr>
        <w:t>的</w:t>
      </w:r>
      <w:r w:rsidR="00A505BD" w:rsidRPr="00A505BD">
        <w:rPr>
          <w:rFonts w:hint="eastAsia"/>
        </w:rPr>
        <w:t>公民参与和信任与合作规范。</w:t>
      </w:r>
    </w:p>
    <w:p w14:paraId="3266EE81" w14:textId="7820DE6A" w:rsidR="00A505BD" w:rsidRPr="00A505BD" w:rsidRDefault="00F76208" w:rsidP="000573DA">
      <w:pPr>
        <w:ind w:firstLineChars="200" w:firstLine="480"/>
      </w:pPr>
      <w:r>
        <w:rPr>
          <w:rFonts w:hint="eastAsia"/>
        </w:rPr>
        <w:t>而</w:t>
      </w:r>
      <w:r w:rsidRPr="0084376C">
        <w:rPr>
          <w:rFonts w:hint="eastAsia"/>
        </w:rPr>
        <w:t>Albuquerque</w:t>
      </w:r>
      <w:r w:rsidRPr="0084376C">
        <w:rPr>
          <w:rFonts w:hint="eastAsia"/>
        </w:rPr>
        <w:t>等</w:t>
      </w:r>
      <w:r w:rsidR="00BB073C" w:rsidRPr="00F76208">
        <w:rPr>
          <w:vertAlign w:val="superscript"/>
        </w:rPr>
        <w:fldChar w:fldCharType="begin"/>
      </w:r>
      <w:r w:rsidR="00BB073C" w:rsidRPr="00F76208">
        <w:rPr>
          <w:vertAlign w:val="superscript"/>
        </w:rPr>
        <w:instrText xml:space="preserve"> </w:instrText>
      </w:r>
      <w:r w:rsidR="00BB073C" w:rsidRPr="00F76208">
        <w:rPr>
          <w:rFonts w:hint="eastAsia"/>
          <w:vertAlign w:val="superscript"/>
        </w:rPr>
        <w:instrText>REF _Ref102404712 \r \h</w:instrText>
      </w:r>
      <w:r w:rsidR="00BB073C" w:rsidRPr="00F76208">
        <w:rPr>
          <w:vertAlign w:val="superscript"/>
        </w:rPr>
        <w:instrText xml:space="preserve"> </w:instrText>
      </w:r>
      <w:r w:rsidR="00BB073C">
        <w:rPr>
          <w:vertAlign w:val="superscript"/>
        </w:rPr>
        <w:instrText xml:space="preserve"> \* MERGEFORMAT </w:instrText>
      </w:r>
      <w:r w:rsidR="00BB073C" w:rsidRPr="00F76208">
        <w:rPr>
          <w:vertAlign w:val="superscript"/>
        </w:rPr>
      </w:r>
      <w:r w:rsidR="00BB073C" w:rsidRPr="00F76208">
        <w:rPr>
          <w:vertAlign w:val="superscript"/>
        </w:rPr>
        <w:fldChar w:fldCharType="separate"/>
      </w:r>
      <w:r w:rsidR="00AA0519">
        <w:rPr>
          <w:vertAlign w:val="superscript"/>
        </w:rPr>
        <w:t>[28]</w:t>
      </w:r>
      <w:r w:rsidR="00BB073C" w:rsidRPr="00F76208">
        <w:rPr>
          <w:vertAlign w:val="superscript"/>
        </w:rPr>
        <w:fldChar w:fldCharType="end"/>
      </w:r>
      <w:r w:rsidR="00A505BD" w:rsidRPr="00A505BD">
        <w:rPr>
          <w:rFonts w:hint="eastAsia"/>
        </w:rPr>
        <w:t>提出的第二个将企业社会责任与企业风险联系起来的理论是一个行业均衡模型，其中企业社会责任是一种技术投资，旨在增加产品差异化。产品差异化导致公司面临的需求相对较少，从而导致产品价格和利润率较高。较低的需求弹性也会降低企业风险，因为经济冲击对企业绩效的影响较小。在均衡模型中，当企业的行业具有更大的产品差异化、更大的利润率和</w:t>
      </w:r>
      <w:r w:rsidR="00A505BD" w:rsidRPr="00A505BD">
        <w:rPr>
          <w:rFonts w:hint="eastAsia"/>
        </w:rPr>
        <w:t>/</w:t>
      </w:r>
      <w:r w:rsidR="00A505BD" w:rsidRPr="00A505BD">
        <w:rPr>
          <w:rFonts w:hint="eastAsia"/>
        </w:rPr>
        <w:t>或更低的需求弹性时，企业社会责任对风险的负面影响更大。</w:t>
      </w:r>
    </w:p>
    <w:p w14:paraId="1050724E" w14:textId="0337863C" w:rsidR="00A505BD" w:rsidRPr="00A456E1" w:rsidRDefault="00F95FD7" w:rsidP="000573DA">
      <w:pPr>
        <w:ind w:firstLineChars="200" w:firstLine="480"/>
      </w:pPr>
      <w:r>
        <w:rPr>
          <w:rFonts w:hint="eastAsia"/>
        </w:rPr>
        <w:t>而国内针对</w:t>
      </w:r>
      <w:r>
        <w:rPr>
          <w:rFonts w:hint="eastAsia"/>
        </w:rPr>
        <w:t>ESG</w:t>
      </w:r>
      <w:r>
        <w:rPr>
          <w:rFonts w:hint="eastAsia"/>
        </w:rPr>
        <w:t>研究主要集中在评价体系和应用中，</w:t>
      </w:r>
      <w:r w:rsidR="0066471D" w:rsidRPr="00105698">
        <w:rPr>
          <w:rFonts w:hint="eastAsia"/>
        </w:rPr>
        <w:t>如</w:t>
      </w:r>
      <w:proofErr w:type="gramStart"/>
      <w:r w:rsidR="00FC05EB">
        <w:rPr>
          <w:rFonts w:hint="eastAsia"/>
        </w:rPr>
        <w:t>张红力</w:t>
      </w:r>
      <w:r w:rsidR="0066471D" w:rsidRPr="00FC05EB">
        <w:rPr>
          <w:rFonts w:hint="eastAsia"/>
        </w:rPr>
        <w:t>等</w:t>
      </w:r>
      <w:proofErr w:type="gramEnd"/>
      <w:r w:rsidR="00BB073C" w:rsidRPr="00CA5DBC">
        <w:rPr>
          <w:vertAlign w:val="superscript"/>
        </w:rPr>
        <w:fldChar w:fldCharType="begin"/>
      </w:r>
      <w:r w:rsidR="00BB073C" w:rsidRPr="00CA5DBC">
        <w:rPr>
          <w:vertAlign w:val="superscript"/>
        </w:rPr>
        <w:instrText xml:space="preserve"> </w:instrText>
      </w:r>
      <w:r w:rsidR="00BB073C" w:rsidRPr="00CA5DBC">
        <w:rPr>
          <w:rFonts w:hint="eastAsia"/>
          <w:vertAlign w:val="superscript"/>
        </w:rPr>
        <w:instrText>REF _Ref102397532 \r \h</w:instrText>
      </w:r>
      <w:r w:rsidR="00BB073C" w:rsidRPr="00CA5DBC">
        <w:rPr>
          <w:vertAlign w:val="superscript"/>
        </w:rPr>
        <w:instrText xml:space="preserve"> </w:instrText>
      </w:r>
      <w:r w:rsidR="00BB073C">
        <w:rPr>
          <w:vertAlign w:val="superscript"/>
        </w:rPr>
        <w:instrText xml:space="preserve"> \* MERGEFORMAT </w:instrText>
      </w:r>
      <w:r w:rsidR="00BB073C" w:rsidRPr="00CA5DBC">
        <w:rPr>
          <w:vertAlign w:val="superscript"/>
        </w:rPr>
      </w:r>
      <w:r w:rsidR="00BB073C" w:rsidRPr="00CA5DBC">
        <w:rPr>
          <w:vertAlign w:val="superscript"/>
        </w:rPr>
        <w:fldChar w:fldCharType="separate"/>
      </w:r>
      <w:r w:rsidR="00AA0519">
        <w:rPr>
          <w:vertAlign w:val="superscript"/>
        </w:rPr>
        <w:t>[32]</w:t>
      </w:r>
      <w:r w:rsidR="00BB073C" w:rsidRPr="00CA5DBC">
        <w:rPr>
          <w:vertAlign w:val="superscript"/>
        </w:rPr>
        <w:fldChar w:fldCharType="end"/>
      </w:r>
      <w:r w:rsidR="0066471D" w:rsidRPr="0066471D">
        <w:rPr>
          <w:rFonts w:hint="eastAsia"/>
        </w:rPr>
        <w:t>在</w:t>
      </w:r>
      <w:r w:rsidR="0066471D">
        <w:rPr>
          <w:rFonts w:hint="eastAsia"/>
        </w:rPr>
        <w:t>中国</w:t>
      </w:r>
      <w:r w:rsidR="0066471D" w:rsidRPr="0066471D">
        <w:rPr>
          <w:rFonts w:hint="eastAsia"/>
        </w:rPr>
        <w:t>商业银行中</w:t>
      </w:r>
      <w:r w:rsidR="0066471D">
        <w:rPr>
          <w:rFonts w:hint="eastAsia"/>
        </w:rPr>
        <w:t>首次建立</w:t>
      </w:r>
      <w:r w:rsidR="0066471D" w:rsidRPr="0066471D">
        <w:rPr>
          <w:rFonts w:hint="eastAsia"/>
        </w:rPr>
        <w:t>ESG</w:t>
      </w:r>
      <w:r w:rsidR="0066471D" w:rsidRPr="0066471D">
        <w:rPr>
          <w:rFonts w:hint="eastAsia"/>
        </w:rPr>
        <w:t>绿色评级体系</w:t>
      </w:r>
      <w:r w:rsidR="00CA5DBC">
        <w:rPr>
          <w:rFonts w:hint="eastAsia"/>
        </w:rPr>
        <w:t>，</w:t>
      </w:r>
      <w:proofErr w:type="gramStart"/>
      <w:r w:rsidR="00CA5DBC">
        <w:rPr>
          <w:rFonts w:hint="eastAsia"/>
        </w:rPr>
        <w:t>而操群</w:t>
      </w:r>
      <w:proofErr w:type="gramEnd"/>
      <w:r w:rsidR="00BB073C">
        <w:rPr>
          <w:rFonts w:hint="eastAsia"/>
        </w:rPr>
        <w:t>等</w:t>
      </w:r>
      <w:r w:rsidR="00BB073C" w:rsidRPr="00CA5DBC">
        <w:rPr>
          <w:vertAlign w:val="superscript"/>
        </w:rPr>
        <w:fldChar w:fldCharType="begin"/>
      </w:r>
      <w:r w:rsidR="00BB073C" w:rsidRPr="00CA5DBC">
        <w:rPr>
          <w:vertAlign w:val="superscript"/>
        </w:rPr>
        <w:instrText xml:space="preserve"> </w:instrText>
      </w:r>
      <w:r w:rsidR="00BB073C" w:rsidRPr="00CA5DBC">
        <w:rPr>
          <w:rFonts w:hint="eastAsia"/>
          <w:vertAlign w:val="superscript"/>
        </w:rPr>
        <w:instrText>REF _Ref102420064 \r \h</w:instrText>
      </w:r>
      <w:r w:rsidR="00BB073C" w:rsidRPr="00CA5DBC">
        <w:rPr>
          <w:vertAlign w:val="superscript"/>
        </w:rPr>
        <w:instrText xml:space="preserve"> </w:instrText>
      </w:r>
      <w:r w:rsidR="00BB073C">
        <w:rPr>
          <w:vertAlign w:val="superscript"/>
        </w:rPr>
        <w:instrText xml:space="preserve"> \* MERGEFORMAT </w:instrText>
      </w:r>
      <w:r w:rsidR="00BB073C" w:rsidRPr="00CA5DBC">
        <w:rPr>
          <w:vertAlign w:val="superscript"/>
        </w:rPr>
      </w:r>
      <w:r w:rsidR="00BB073C" w:rsidRPr="00CA5DBC">
        <w:rPr>
          <w:vertAlign w:val="superscript"/>
        </w:rPr>
        <w:fldChar w:fldCharType="separate"/>
      </w:r>
      <w:r w:rsidR="00AA0519">
        <w:rPr>
          <w:vertAlign w:val="superscript"/>
        </w:rPr>
        <w:t>[33]</w:t>
      </w:r>
      <w:r w:rsidR="00BB073C" w:rsidRPr="00CA5DBC">
        <w:rPr>
          <w:vertAlign w:val="superscript"/>
        </w:rPr>
        <w:fldChar w:fldCharType="end"/>
      </w:r>
      <w:r w:rsidR="00CA5DBC" w:rsidRPr="00CA5DBC">
        <w:rPr>
          <w:rFonts w:hint="eastAsia"/>
        </w:rPr>
        <w:t>探索性地</w:t>
      </w:r>
      <w:r w:rsidR="00CA5DBC">
        <w:rPr>
          <w:rFonts w:hint="eastAsia"/>
        </w:rPr>
        <w:t>建立</w:t>
      </w:r>
      <w:r w:rsidR="00CA5DBC" w:rsidRPr="00CA5DBC">
        <w:rPr>
          <w:rFonts w:hint="eastAsia"/>
        </w:rPr>
        <w:t>了</w:t>
      </w:r>
      <w:r w:rsidR="00CA5DBC">
        <w:rPr>
          <w:rFonts w:hint="eastAsia"/>
        </w:rPr>
        <w:t>符合中国的</w:t>
      </w:r>
      <w:r w:rsidR="00CA5DBC" w:rsidRPr="00CA5DBC">
        <w:rPr>
          <w:rFonts w:hint="eastAsia"/>
        </w:rPr>
        <w:t>金融</w:t>
      </w:r>
      <w:r w:rsidR="00CA5DBC" w:rsidRPr="00CA5DBC">
        <w:rPr>
          <w:rFonts w:hint="eastAsia"/>
        </w:rPr>
        <w:t>ESG</w:t>
      </w:r>
      <w:r w:rsidR="00CA5DBC" w:rsidRPr="00CA5DBC">
        <w:rPr>
          <w:rFonts w:hint="eastAsia"/>
        </w:rPr>
        <w:t>指标体系</w:t>
      </w:r>
      <w:r w:rsidR="00CA5DBC" w:rsidRPr="00CA5DBC">
        <w:rPr>
          <w:rFonts w:hint="eastAsia"/>
        </w:rPr>
        <w:t>,</w:t>
      </w:r>
      <w:r w:rsidR="00CA5DBC" w:rsidRPr="00CA5DBC">
        <w:rPr>
          <w:rFonts w:hint="eastAsia"/>
        </w:rPr>
        <w:t>并深入</w:t>
      </w:r>
      <w:r w:rsidR="00CA5DBC">
        <w:rPr>
          <w:rFonts w:hint="eastAsia"/>
        </w:rPr>
        <w:t>分析</w:t>
      </w:r>
      <w:r w:rsidR="00CA5DBC" w:rsidRPr="00CA5DBC">
        <w:rPr>
          <w:rFonts w:hint="eastAsia"/>
        </w:rPr>
        <w:t>了</w:t>
      </w:r>
      <w:r w:rsidR="00CA5DBC" w:rsidRPr="00CA5DBC">
        <w:rPr>
          <w:rFonts w:hint="eastAsia"/>
        </w:rPr>
        <w:t>ESG</w:t>
      </w:r>
      <w:r w:rsidR="00CA5DBC" w:rsidRPr="00CA5DBC">
        <w:rPr>
          <w:rFonts w:hint="eastAsia"/>
        </w:rPr>
        <w:t>在中国金融</w:t>
      </w:r>
      <w:r w:rsidR="00CA5DBC">
        <w:rPr>
          <w:rFonts w:hint="eastAsia"/>
        </w:rPr>
        <w:t>市场下发展的问题，而</w:t>
      </w:r>
      <w:r w:rsidR="00CA5DBC" w:rsidRPr="00CA5DBC">
        <w:rPr>
          <w:rFonts w:hint="eastAsia"/>
        </w:rPr>
        <w:t>陈宁</w:t>
      </w:r>
      <w:r w:rsidR="00BB073C">
        <w:rPr>
          <w:rFonts w:hint="eastAsia"/>
        </w:rPr>
        <w:t>等</w:t>
      </w:r>
      <w:r w:rsidR="00BB073C" w:rsidRPr="006723AC">
        <w:rPr>
          <w:vertAlign w:val="superscript"/>
        </w:rPr>
        <w:fldChar w:fldCharType="begin"/>
      </w:r>
      <w:r w:rsidR="00BB073C" w:rsidRPr="006723AC">
        <w:rPr>
          <w:vertAlign w:val="superscript"/>
        </w:rPr>
        <w:instrText xml:space="preserve"> </w:instrText>
      </w:r>
      <w:r w:rsidR="00BB073C" w:rsidRPr="006723AC">
        <w:rPr>
          <w:rFonts w:hint="eastAsia"/>
          <w:vertAlign w:val="superscript"/>
        </w:rPr>
        <w:instrText>REF _Ref102420278 \r \h</w:instrText>
      </w:r>
      <w:r w:rsidR="00BB073C" w:rsidRPr="006723AC">
        <w:rPr>
          <w:vertAlign w:val="superscript"/>
        </w:rPr>
        <w:instrText xml:space="preserve"> </w:instrText>
      </w:r>
      <w:r w:rsidR="00BB073C">
        <w:rPr>
          <w:vertAlign w:val="superscript"/>
        </w:rPr>
        <w:instrText xml:space="preserve"> \* MERGEFORMAT </w:instrText>
      </w:r>
      <w:r w:rsidR="00BB073C" w:rsidRPr="006723AC">
        <w:rPr>
          <w:vertAlign w:val="superscript"/>
        </w:rPr>
      </w:r>
      <w:r w:rsidR="00BB073C" w:rsidRPr="006723AC">
        <w:rPr>
          <w:vertAlign w:val="superscript"/>
        </w:rPr>
        <w:fldChar w:fldCharType="separate"/>
      </w:r>
      <w:r w:rsidR="00AA0519">
        <w:rPr>
          <w:vertAlign w:val="superscript"/>
        </w:rPr>
        <w:t>[34]</w:t>
      </w:r>
      <w:r w:rsidR="00BB073C" w:rsidRPr="006723AC">
        <w:rPr>
          <w:vertAlign w:val="superscript"/>
        </w:rPr>
        <w:fldChar w:fldCharType="end"/>
      </w:r>
      <w:r w:rsidR="00CA5DBC">
        <w:rPr>
          <w:rFonts w:hint="eastAsia"/>
        </w:rPr>
        <w:t>则研究了</w:t>
      </w:r>
      <w:r w:rsidR="00CA5DBC" w:rsidRPr="00CA5DBC">
        <w:rPr>
          <w:rFonts w:hint="eastAsia"/>
        </w:rPr>
        <w:t>国内外</w:t>
      </w:r>
      <w:r w:rsidR="00CA5DBC" w:rsidRPr="00CA5DBC">
        <w:rPr>
          <w:rFonts w:hint="eastAsia"/>
        </w:rPr>
        <w:t>ESG</w:t>
      </w:r>
      <w:r w:rsidR="00CA5DBC" w:rsidRPr="00CA5DBC">
        <w:rPr>
          <w:rFonts w:hint="eastAsia"/>
        </w:rPr>
        <w:t>体系发展</w:t>
      </w:r>
      <w:r w:rsidR="00CA5DBC">
        <w:rPr>
          <w:rFonts w:hint="eastAsia"/>
        </w:rPr>
        <w:t>的异同比较。</w:t>
      </w:r>
      <w:r w:rsidR="006723AC">
        <w:rPr>
          <w:rFonts w:hint="eastAsia"/>
        </w:rPr>
        <w:t>在</w:t>
      </w:r>
      <w:r w:rsidR="006723AC">
        <w:rPr>
          <w:rFonts w:hint="eastAsia"/>
        </w:rPr>
        <w:t>ESG</w:t>
      </w:r>
      <w:r w:rsidR="006723AC">
        <w:rPr>
          <w:rFonts w:hint="eastAsia"/>
        </w:rPr>
        <w:t>与企业其他绩效的关系上，</w:t>
      </w:r>
      <w:r w:rsidR="0066471D" w:rsidRPr="0066471D">
        <w:rPr>
          <w:rFonts w:hint="eastAsia"/>
        </w:rPr>
        <w:t>邱牧远</w:t>
      </w:r>
      <w:r w:rsidR="00BB073C">
        <w:rPr>
          <w:rFonts w:hint="eastAsia"/>
        </w:rPr>
        <w:t>等</w:t>
      </w:r>
      <w:r w:rsidR="00BB073C" w:rsidRPr="006723AC">
        <w:rPr>
          <w:vertAlign w:val="superscript"/>
        </w:rPr>
        <w:fldChar w:fldCharType="begin"/>
      </w:r>
      <w:r w:rsidR="00BB073C" w:rsidRPr="006723AC">
        <w:rPr>
          <w:vertAlign w:val="superscript"/>
        </w:rPr>
        <w:instrText xml:space="preserve"> </w:instrText>
      </w:r>
      <w:r w:rsidR="00BB073C" w:rsidRPr="006723AC">
        <w:rPr>
          <w:rFonts w:hint="eastAsia"/>
          <w:vertAlign w:val="superscript"/>
        </w:rPr>
        <w:instrText>REF _Ref102420341 \r \h</w:instrText>
      </w:r>
      <w:r w:rsidR="00BB073C" w:rsidRPr="006723AC">
        <w:rPr>
          <w:vertAlign w:val="superscript"/>
        </w:rPr>
        <w:instrText xml:space="preserve"> </w:instrText>
      </w:r>
      <w:r w:rsidR="00BB073C">
        <w:rPr>
          <w:vertAlign w:val="superscript"/>
        </w:rPr>
        <w:instrText xml:space="preserve"> \* MERGEFORMAT </w:instrText>
      </w:r>
      <w:r w:rsidR="00BB073C" w:rsidRPr="006723AC">
        <w:rPr>
          <w:vertAlign w:val="superscript"/>
        </w:rPr>
      </w:r>
      <w:r w:rsidR="00BB073C" w:rsidRPr="006723AC">
        <w:rPr>
          <w:vertAlign w:val="superscript"/>
        </w:rPr>
        <w:fldChar w:fldCharType="separate"/>
      </w:r>
      <w:r w:rsidR="00AA0519">
        <w:rPr>
          <w:vertAlign w:val="superscript"/>
        </w:rPr>
        <w:t>[35]</w:t>
      </w:r>
      <w:r w:rsidR="00BB073C" w:rsidRPr="006723AC">
        <w:rPr>
          <w:vertAlign w:val="superscript"/>
        </w:rPr>
        <w:fldChar w:fldCharType="end"/>
      </w:r>
      <w:r w:rsidR="0066471D">
        <w:rPr>
          <w:rFonts w:hint="eastAsia"/>
        </w:rPr>
        <w:t>进行了中国</w:t>
      </w:r>
      <w:r w:rsidR="00941F71" w:rsidRPr="00941F71">
        <w:rPr>
          <w:rFonts w:hint="eastAsia"/>
        </w:rPr>
        <w:t>企业的</w:t>
      </w:r>
      <w:r w:rsidR="00941F71" w:rsidRPr="00941F71">
        <w:rPr>
          <w:rFonts w:hint="eastAsia"/>
        </w:rPr>
        <w:t>ESG</w:t>
      </w:r>
      <w:r w:rsidR="00941F71" w:rsidRPr="00941F71">
        <w:rPr>
          <w:rFonts w:hint="eastAsia"/>
        </w:rPr>
        <w:t>表现对</w:t>
      </w:r>
      <w:r w:rsidR="00941F71">
        <w:rPr>
          <w:rFonts w:hint="eastAsia"/>
        </w:rPr>
        <w:t>企业</w:t>
      </w:r>
      <w:r w:rsidR="00941F71" w:rsidRPr="00941F71">
        <w:rPr>
          <w:rFonts w:hint="eastAsia"/>
        </w:rPr>
        <w:t>融资成本和融资能力的影响</w:t>
      </w:r>
      <w:r w:rsidR="00CA5DBC">
        <w:rPr>
          <w:rFonts w:hint="eastAsia"/>
        </w:rPr>
        <w:t>的</w:t>
      </w:r>
      <w:r w:rsidR="0066471D">
        <w:rPr>
          <w:rFonts w:hint="eastAsia"/>
        </w:rPr>
        <w:t>研究，</w:t>
      </w:r>
      <w:proofErr w:type="gramStart"/>
      <w:r w:rsidR="006723AC" w:rsidRPr="006723AC">
        <w:rPr>
          <w:rFonts w:hint="eastAsia"/>
        </w:rPr>
        <w:t>张巧良</w:t>
      </w:r>
      <w:r w:rsidR="00BB073C">
        <w:rPr>
          <w:rFonts w:hint="eastAsia"/>
        </w:rPr>
        <w:t>等</w:t>
      </w:r>
      <w:proofErr w:type="gramEnd"/>
      <w:r w:rsidR="00BB073C" w:rsidRPr="00BB073C">
        <w:rPr>
          <w:vertAlign w:val="superscript"/>
        </w:rPr>
        <w:fldChar w:fldCharType="begin"/>
      </w:r>
      <w:r w:rsidR="00BB073C" w:rsidRPr="00BB073C">
        <w:rPr>
          <w:vertAlign w:val="superscript"/>
        </w:rPr>
        <w:instrText xml:space="preserve"> </w:instrText>
      </w:r>
      <w:r w:rsidR="00BB073C" w:rsidRPr="00BB073C">
        <w:rPr>
          <w:rFonts w:hint="eastAsia"/>
          <w:vertAlign w:val="superscript"/>
        </w:rPr>
        <w:instrText>REF _Ref102420440 \r \h</w:instrText>
      </w:r>
      <w:r w:rsidR="00BB073C" w:rsidRPr="00BB073C">
        <w:rPr>
          <w:vertAlign w:val="superscript"/>
        </w:rPr>
        <w:instrText xml:space="preserve">  \* MERGEFORMAT </w:instrText>
      </w:r>
      <w:r w:rsidR="00BB073C" w:rsidRPr="00BB073C">
        <w:rPr>
          <w:vertAlign w:val="superscript"/>
        </w:rPr>
      </w:r>
      <w:r w:rsidR="00BB073C" w:rsidRPr="00BB073C">
        <w:rPr>
          <w:vertAlign w:val="superscript"/>
        </w:rPr>
        <w:fldChar w:fldCharType="separate"/>
      </w:r>
      <w:r w:rsidR="00AA0519">
        <w:rPr>
          <w:vertAlign w:val="superscript"/>
        </w:rPr>
        <w:t>[36]</w:t>
      </w:r>
      <w:r w:rsidR="00BB073C" w:rsidRPr="00BB073C">
        <w:rPr>
          <w:vertAlign w:val="superscript"/>
        </w:rPr>
        <w:fldChar w:fldCharType="end"/>
      </w:r>
      <w:r w:rsidR="006723AC">
        <w:rPr>
          <w:rFonts w:hint="eastAsia"/>
        </w:rPr>
        <w:t>则分析了</w:t>
      </w:r>
      <w:r w:rsidR="006723AC" w:rsidRPr="006723AC">
        <w:rPr>
          <w:rFonts w:hint="eastAsia"/>
        </w:rPr>
        <w:t>不同绩效水平与</w:t>
      </w:r>
      <w:r w:rsidR="006723AC">
        <w:rPr>
          <w:rFonts w:hint="eastAsia"/>
        </w:rPr>
        <w:t>不同</w:t>
      </w:r>
      <w:r w:rsidR="006723AC">
        <w:rPr>
          <w:rFonts w:hint="eastAsia"/>
        </w:rPr>
        <w:t>ESG</w:t>
      </w:r>
      <w:r w:rsidR="006723AC">
        <w:rPr>
          <w:rFonts w:hint="eastAsia"/>
        </w:rPr>
        <w:t>披露下</w:t>
      </w:r>
      <w:r w:rsidR="006723AC" w:rsidRPr="006723AC">
        <w:rPr>
          <w:rFonts w:hint="eastAsia"/>
        </w:rPr>
        <w:t>投资者决策中的锚定效应</w:t>
      </w:r>
      <w:r w:rsidR="006723AC">
        <w:rPr>
          <w:rFonts w:hint="eastAsia"/>
        </w:rPr>
        <w:t>大小。</w:t>
      </w:r>
      <w:r w:rsidR="00CA5DBC">
        <w:rPr>
          <w:rFonts w:hint="eastAsia"/>
        </w:rPr>
        <w:t>虽然</w:t>
      </w:r>
      <w:r w:rsidR="006723AC">
        <w:rPr>
          <w:rFonts w:hint="eastAsia"/>
        </w:rPr>
        <w:t>近年来</w:t>
      </w:r>
      <w:r w:rsidR="00CA5DBC">
        <w:rPr>
          <w:rFonts w:hint="eastAsia"/>
        </w:rPr>
        <w:t>国内也对</w:t>
      </w:r>
      <w:r w:rsidR="00CA5DBC">
        <w:rPr>
          <w:rFonts w:hint="eastAsia"/>
        </w:rPr>
        <w:t>ESG</w:t>
      </w:r>
      <w:r w:rsidR="00CA5DBC">
        <w:rPr>
          <w:rFonts w:hint="eastAsia"/>
        </w:rPr>
        <w:t>相关研究日益重视，但</w:t>
      </w:r>
      <w:r w:rsidR="00537040">
        <w:rPr>
          <w:rFonts w:hint="eastAsia"/>
        </w:rPr>
        <w:t>与</w:t>
      </w:r>
      <w:r w:rsidR="00871FC2" w:rsidRPr="00A456E1">
        <w:t>国外</w:t>
      </w:r>
      <w:r w:rsidR="00871FC2" w:rsidRPr="00A456E1">
        <w:t>ESG</w:t>
      </w:r>
      <w:r w:rsidR="00537040">
        <w:rPr>
          <w:rFonts w:hint="eastAsia"/>
        </w:rPr>
        <w:t>相关的</w:t>
      </w:r>
      <w:r w:rsidR="00871FC2" w:rsidRPr="00A456E1">
        <w:t>大量研究成果相比，国内对</w:t>
      </w:r>
      <w:r w:rsidR="00871FC2" w:rsidRPr="00A456E1">
        <w:t xml:space="preserve"> ESG </w:t>
      </w:r>
      <w:r w:rsidR="00871FC2" w:rsidRPr="00A456E1">
        <w:t>的研究明显不足</w:t>
      </w:r>
      <w:r w:rsidR="00CA5DBC">
        <w:rPr>
          <w:rFonts w:hint="eastAsia"/>
        </w:rPr>
        <w:t>，而</w:t>
      </w:r>
      <w:r w:rsidR="006723AC">
        <w:rPr>
          <w:rFonts w:hint="eastAsia"/>
        </w:rPr>
        <w:t>其</w:t>
      </w:r>
      <w:r w:rsidR="00CA5DBC">
        <w:rPr>
          <w:rFonts w:hint="eastAsia"/>
        </w:rPr>
        <w:t>与高管薪酬敏感性的</w:t>
      </w:r>
      <w:r w:rsidR="006723AC">
        <w:rPr>
          <w:rFonts w:hint="eastAsia"/>
        </w:rPr>
        <w:t>相关性</w:t>
      </w:r>
      <w:r w:rsidR="00CA5DBC">
        <w:rPr>
          <w:rFonts w:hint="eastAsia"/>
        </w:rPr>
        <w:t>研究更是还未开展</w:t>
      </w:r>
      <w:r w:rsidR="00624F3A">
        <w:rPr>
          <w:rFonts w:hint="eastAsia"/>
        </w:rPr>
        <w:t>。</w:t>
      </w:r>
    </w:p>
    <w:p w14:paraId="1B0A7041" w14:textId="43CEA842" w:rsidR="00871FC2" w:rsidRPr="00B07956" w:rsidRDefault="00871FC2" w:rsidP="00B07956">
      <w:pPr>
        <w:pStyle w:val="3"/>
      </w:pPr>
      <w:bookmarkStart w:id="40" w:name="_Toc102342821"/>
      <w:bookmarkStart w:id="41" w:name="_Toc102668384"/>
      <w:bookmarkStart w:id="42" w:name="_Toc102745511"/>
      <w:bookmarkStart w:id="43" w:name="_Toc102854686"/>
      <w:bookmarkStart w:id="44" w:name="_Toc103038525"/>
      <w:bookmarkStart w:id="45" w:name="_Toc103093651"/>
      <w:bookmarkStart w:id="46" w:name="_Toc103345031"/>
      <w:bookmarkStart w:id="47" w:name="_Toc103549469"/>
      <w:r w:rsidRPr="00B07956">
        <w:t>1.2.4</w:t>
      </w:r>
      <w:r w:rsidRPr="00B07956">
        <w:rPr>
          <w:rFonts w:hint="eastAsia"/>
        </w:rPr>
        <w:t xml:space="preserve"> </w:t>
      </w:r>
      <w:r w:rsidRPr="00B07956">
        <w:rPr>
          <w:rFonts w:hint="eastAsia"/>
        </w:rPr>
        <w:t>文献评述</w:t>
      </w:r>
      <w:bookmarkEnd w:id="40"/>
      <w:bookmarkEnd w:id="41"/>
      <w:bookmarkEnd w:id="42"/>
      <w:bookmarkEnd w:id="43"/>
      <w:bookmarkEnd w:id="44"/>
      <w:bookmarkEnd w:id="45"/>
      <w:bookmarkEnd w:id="46"/>
      <w:bookmarkEnd w:id="47"/>
    </w:p>
    <w:p w14:paraId="4B688CC8" w14:textId="33405380" w:rsidR="00871FC2" w:rsidRPr="00BB073C" w:rsidRDefault="00871FC2" w:rsidP="00BB073C">
      <w:pPr>
        <w:ind w:firstLineChars="200" w:firstLine="480"/>
      </w:pPr>
      <w:r w:rsidRPr="00895995">
        <w:rPr>
          <w:rFonts w:hint="eastAsia"/>
        </w:rPr>
        <w:t>回顾国内外文献，</w:t>
      </w:r>
      <w:r>
        <w:rPr>
          <w:rFonts w:hint="eastAsia"/>
        </w:rPr>
        <w:t>虽然有大量文献分别针对高管薪酬结构与</w:t>
      </w:r>
      <w:r>
        <w:rPr>
          <w:rFonts w:hint="eastAsia"/>
        </w:rPr>
        <w:t>ESG</w:t>
      </w:r>
      <w:r>
        <w:rPr>
          <w:rFonts w:hint="eastAsia"/>
        </w:rPr>
        <w:t>环境的单独研究，</w:t>
      </w:r>
      <w:r w:rsidR="00AF54ED">
        <w:rPr>
          <w:rFonts w:hint="eastAsia"/>
        </w:rPr>
        <w:t>却</w:t>
      </w:r>
      <w:r w:rsidRPr="00895995">
        <w:rPr>
          <w:rFonts w:hint="eastAsia"/>
        </w:rPr>
        <w:t>鲜少有直接探讨</w:t>
      </w:r>
      <w:r w:rsidRPr="00895995">
        <w:rPr>
          <w:rFonts w:hint="eastAsia"/>
        </w:rPr>
        <w:t xml:space="preserve"> ESG </w:t>
      </w:r>
      <w:r w:rsidRPr="00895995">
        <w:rPr>
          <w:rFonts w:hint="eastAsia"/>
        </w:rPr>
        <w:t>与</w:t>
      </w:r>
      <w:r>
        <w:rPr>
          <w:rFonts w:hint="eastAsia"/>
        </w:rPr>
        <w:t>高管薪酬敏感性</w:t>
      </w:r>
      <w:r w:rsidRPr="00895995">
        <w:rPr>
          <w:rFonts w:hint="eastAsia"/>
        </w:rPr>
        <w:t>的相关关系的研究。对于二者之间的关系，国内目前还没有相关研究，多数学者的研究也都是</w:t>
      </w:r>
      <w:r w:rsidR="006723AC">
        <w:rPr>
          <w:rFonts w:hint="eastAsia"/>
        </w:rPr>
        <w:t>围绕</w:t>
      </w:r>
      <w:r w:rsidRPr="00895995">
        <w:rPr>
          <w:rFonts w:hint="eastAsia"/>
        </w:rPr>
        <w:t>ESG</w:t>
      </w:r>
      <w:r w:rsidRPr="00895995">
        <w:rPr>
          <w:rFonts w:hint="eastAsia"/>
        </w:rPr>
        <w:t>的三个因子中的某一个或某两个因子，研究其与</w:t>
      </w:r>
      <w:r>
        <w:rPr>
          <w:rFonts w:hint="eastAsia"/>
        </w:rPr>
        <w:t>高管薪酬</w:t>
      </w:r>
      <w:r w:rsidRPr="00895995">
        <w:rPr>
          <w:rFonts w:hint="eastAsia"/>
        </w:rPr>
        <w:t>的相关性</w:t>
      </w:r>
      <w:r>
        <w:rPr>
          <w:rFonts w:hint="eastAsia"/>
        </w:rPr>
        <w:t>且很少包含薪酬敏感性内容</w:t>
      </w:r>
      <w:r w:rsidRPr="00895995">
        <w:rPr>
          <w:rFonts w:hint="eastAsia"/>
        </w:rPr>
        <w:t>，例如社会责任、公司治理与</w:t>
      </w:r>
      <w:r>
        <w:rPr>
          <w:rFonts w:hint="eastAsia"/>
        </w:rPr>
        <w:t>高管现金薪酬</w:t>
      </w:r>
      <w:r w:rsidRPr="00895995">
        <w:rPr>
          <w:rFonts w:hint="eastAsia"/>
        </w:rPr>
        <w:t>的相关性等</w:t>
      </w:r>
      <w:r w:rsidR="006723AC">
        <w:rPr>
          <w:rFonts w:hint="eastAsia"/>
        </w:rPr>
        <w:t>，还未详细讨论企业高管的薪酬结构对企业</w:t>
      </w:r>
      <w:r w:rsidR="006723AC">
        <w:rPr>
          <w:rFonts w:hint="eastAsia"/>
        </w:rPr>
        <w:t>ESG</w:t>
      </w:r>
      <w:r w:rsidR="006723AC">
        <w:rPr>
          <w:rFonts w:hint="eastAsia"/>
        </w:rPr>
        <w:t>表现的关系</w:t>
      </w:r>
      <w:r w:rsidRPr="00895995">
        <w:rPr>
          <w:rFonts w:hint="eastAsia"/>
        </w:rPr>
        <w:t>。</w:t>
      </w:r>
    </w:p>
    <w:p w14:paraId="04ED9EEA" w14:textId="4A0D1DD3" w:rsidR="00871FC2" w:rsidRDefault="00871FC2" w:rsidP="00871FC2">
      <w:pPr>
        <w:pStyle w:val="2"/>
        <w:spacing w:before="163" w:after="163"/>
      </w:pPr>
      <w:bookmarkStart w:id="48" w:name="_Toc102342822"/>
      <w:bookmarkStart w:id="49" w:name="_Toc104478863"/>
      <w:r w:rsidRPr="00855C85">
        <w:rPr>
          <w:rFonts w:cs="Times New Roman"/>
        </w:rPr>
        <w:lastRenderedPageBreak/>
        <w:t>1.3</w:t>
      </w:r>
      <w:r w:rsidRPr="000F30CD">
        <w:rPr>
          <w:rFonts w:hint="eastAsia"/>
        </w:rPr>
        <w:t xml:space="preserve"> </w:t>
      </w:r>
      <w:r w:rsidRPr="000F30CD">
        <w:rPr>
          <w:rFonts w:hint="eastAsia"/>
        </w:rPr>
        <w:t>研究内容</w:t>
      </w:r>
      <w:bookmarkEnd w:id="48"/>
      <w:r w:rsidR="00FF517A">
        <w:rPr>
          <w:rFonts w:hint="eastAsia"/>
        </w:rPr>
        <w:t>与研究方法</w:t>
      </w:r>
      <w:bookmarkEnd w:id="49"/>
    </w:p>
    <w:p w14:paraId="743E1412" w14:textId="457F4375" w:rsidR="00FA6D95" w:rsidRPr="00FA6D95" w:rsidRDefault="00FA6D95" w:rsidP="00FA6D95">
      <w:pPr>
        <w:pStyle w:val="3"/>
      </w:pPr>
      <w:bookmarkStart w:id="50" w:name="_Toc102668386"/>
      <w:bookmarkStart w:id="51" w:name="_Toc102745513"/>
      <w:bookmarkStart w:id="52" w:name="_Toc102854688"/>
      <w:bookmarkStart w:id="53" w:name="_Toc103038527"/>
      <w:bookmarkStart w:id="54" w:name="_Toc103093653"/>
      <w:bookmarkStart w:id="55" w:name="_Toc103345033"/>
      <w:bookmarkStart w:id="56" w:name="_Toc103549471"/>
      <w:r>
        <w:rPr>
          <w:rFonts w:hint="eastAsia"/>
        </w:rPr>
        <w:t>1</w:t>
      </w:r>
      <w:r>
        <w:t>.3.1</w:t>
      </w:r>
      <w:r w:rsidR="00703708">
        <w:t xml:space="preserve"> </w:t>
      </w:r>
      <w:r>
        <w:rPr>
          <w:rFonts w:hint="eastAsia"/>
        </w:rPr>
        <w:t>研究内容</w:t>
      </w:r>
      <w:bookmarkEnd w:id="50"/>
      <w:bookmarkEnd w:id="51"/>
      <w:bookmarkEnd w:id="52"/>
      <w:bookmarkEnd w:id="53"/>
      <w:bookmarkEnd w:id="54"/>
      <w:bookmarkEnd w:id="55"/>
      <w:bookmarkEnd w:id="56"/>
    </w:p>
    <w:p w14:paraId="2AF62AB6" w14:textId="2D004C65" w:rsidR="00871FC2" w:rsidRDefault="00871FC2" w:rsidP="000573DA">
      <w:pPr>
        <w:ind w:firstLineChars="200" w:firstLine="480"/>
      </w:pPr>
      <w:r w:rsidRPr="0060312A">
        <w:rPr>
          <w:rFonts w:hint="eastAsia"/>
        </w:rPr>
        <w:t>本文</w:t>
      </w:r>
      <w:r w:rsidR="00500368">
        <w:rPr>
          <w:rFonts w:hint="eastAsia"/>
        </w:rPr>
        <w:t>通过</w:t>
      </w:r>
      <w:r>
        <w:rPr>
          <w:rFonts w:hint="eastAsia"/>
        </w:rPr>
        <w:t>查阅</w:t>
      </w:r>
      <w:r w:rsidRPr="0060312A">
        <w:rPr>
          <w:rFonts w:hint="eastAsia"/>
        </w:rPr>
        <w:t>国内外</w:t>
      </w:r>
      <w:r w:rsidR="00500368">
        <w:rPr>
          <w:rFonts w:hint="eastAsia"/>
        </w:rPr>
        <w:t>与高管薪酬及薪酬敏感性以及企业</w:t>
      </w:r>
      <w:r w:rsidR="00500368">
        <w:rPr>
          <w:rFonts w:hint="eastAsia"/>
        </w:rPr>
        <w:t>ESG</w:t>
      </w:r>
      <w:r w:rsidR="00500368">
        <w:rPr>
          <w:rFonts w:hint="eastAsia"/>
        </w:rPr>
        <w:t>表现及评分的</w:t>
      </w:r>
      <w:r>
        <w:rPr>
          <w:rFonts w:hint="eastAsia"/>
        </w:rPr>
        <w:t>相关的</w:t>
      </w:r>
      <w:r w:rsidR="00181FC8">
        <w:rPr>
          <w:rFonts w:hint="eastAsia"/>
        </w:rPr>
        <w:t>文献研究</w:t>
      </w:r>
      <w:r w:rsidRPr="0060312A">
        <w:rPr>
          <w:rFonts w:hint="eastAsia"/>
        </w:rPr>
        <w:t>，</w:t>
      </w:r>
      <w:r w:rsidR="00181FC8">
        <w:rPr>
          <w:rFonts w:hint="eastAsia"/>
        </w:rPr>
        <w:t>分析前人经验并加以总结；</w:t>
      </w:r>
      <w:r w:rsidRPr="0060312A">
        <w:rPr>
          <w:rFonts w:hint="eastAsia"/>
        </w:rPr>
        <w:t>其次，基于高管风险承担视角，阐述</w:t>
      </w:r>
      <w:r>
        <w:rPr>
          <w:rFonts w:hint="eastAsia"/>
        </w:rPr>
        <w:t>针对高管的</w:t>
      </w:r>
      <w:r w:rsidRPr="0060312A">
        <w:rPr>
          <w:rFonts w:hint="eastAsia"/>
        </w:rPr>
        <w:t>股权激励</w:t>
      </w:r>
      <w:r w:rsidR="00500368">
        <w:rPr>
          <w:rFonts w:hint="eastAsia"/>
        </w:rPr>
        <w:t>下高管薪酬敏感性</w:t>
      </w:r>
      <w:r w:rsidRPr="0060312A">
        <w:rPr>
          <w:rFonts w:hint="eastAsia"/>
        </w:rPr>
        <w:t>对</w:t>
      </w:r>
      <w:r w:rsidR="00500368">
        <w:rPr>
          <w:rFonts w:hint="eastAsia"/>
        </w:rPr>
        <w:t>企业</w:t>
      </w:r>
      <w:r w:rsidRPr="00AF54ED">
        <w:rPr>
          <w:rFonts w:hint="eastAsia"/>
        </w:rPr>
        <w:t>ESG</w:t>
      </w:r>
      <w:r w:rsidR="00500368">
        <w:rPr>
          <w:rFonts w:hint="eastAsia"/>
        </w:rPr>
        <w:t>表现</w:t>
      </w:r>
      <w:r w:rsidRPr="0060312A">
        <w:rPr>
          <w:rFonts w:hint="eastAsia"/>
        </w:rPr>
        <w:t>的影响机制，并做出相应的假设，</w:t>
      </w:r>
      <w:r w:rsidR="00181FC8">
        <w:rPr>
          <w:rFonts w:hint="eastAsia"/>
        </w:rPr>
        <w:t>继而运用</w:t>
      </w:r>
      <w:r w:rsidRPr="0060312A">
        <w:rPr>
          <w:rFonts w:hint="eastAsia"/>
        </w:rPr>
        <w:t xml:space="preserve"> 20</w:t>
      </w:r>
      <w:r>
        <w:t>14</w:t>
      </w:r>
      <w:r w:rsidRPr="0060312A">
        <w:rPr>
          <w:rFonts w:hint="eastAsia"/>
        </w:rPr>
        <w:t>-20</w:t>
      </w:r>
      <w:r>
        <w:t>19</w:t>
      </w:r>
      <w:r w:rsidRPr="0060312A">
        <w:rPr>
          <w:rFonts w:hint="eastAsia"/>
        </w:rPr>
        <w:t xml:space="preserve"> </w:t>
      </w:r>
      <w:r w:rsidRPr="0060312A">
        <w:rPr>
          <w:rFonts w:hint="eastAsia"/>
        </w:rPr>
        <w:t>年的</w:t>
      </w:r>
      <w:r w:rsidR="00181FC8">
        <w:rPr>
          <w:rFonts w:hint="eastAsia"/>
        </w:rPr>
        <w:t>中国</w:t>
      </w:r>
      <w:r w:rsidRPr="0060312A">
        <w:rPr>
          <w:rFonts w:hint="eastAsia"/>
        </w:rPr>
        <w:t>上市公司数据，借助计量经济学</w:t>
      </w:r>
      <w:r w:rsidR="00181FC8">
        <w:rPr>
          <w:rFonts w:hint="eastAsia"/>
        </w:rPr>
        <w:t>的各种</w:t>
      </w:r>
      <w:r w:rsidRPr="0060312A">
        <w:rPr>
          <w:rFonts w:hint="eastAsia"/>
        </w:rPr>
        <w:t>方法，通过构建回归分析模型，做出实证研究：分析股权激励对于高管的两种效应</w:t>
      </w:r>
      <w:r w:rsidRPr="0060312A">
        <w:rPr>
          <w:rFonts w:hint="eastAsia"/>
        </w:rPr>
        <w:t>Delta</w:t>
      </w:r>
      <w:r w:rsidRPr="0060312A">
        <w:rPr>
          <w:rFonts w:hint="eastAsia"/>
        </w:rPr>
        <w:t>（激励效应）和</w:t>
      </w:r>
      <w:r w:rsidRPr="0060312A">
        <w:rPr>
          <w:rFonts w:hint="eastAsia"/>
        </w:rPr>
        <w:t xml:space="preserve"> Vega</w:t>
      </w:r>
      <w:r w:rsidRPr="0060312A">
        <w:rPr>
          <w:rFonts w:hint="eastAsia"/>
        </w:rPr>
        <w:t>（风险承担效应）</w:t>
      </w:r>
      <w:r>
        <w:rPr>
          <w:rFonts w:hint="eastAsia"/>
        </w:rPr>
        <w:t>对企业</w:t>
      </w:r>
      <w:r>
        <w:rPr>
          <w:rFonts w:hint="eastAsia"/>
        </w:rPr>
        <w:t>ESG</w:t>
      </w:r>
      <w:r>
        <w:rPr>
          <w:rFonts w:hint="eastAsia"/>
        </w:rPr>
        <w:t>评分的影响</w:t>
      </w:r>
      <w:r w:rsidRPr="0060312A">
        <w:rPr>
          <w:rFonts w:hint="eastAsia"/>
        </w:rPr>
        <w:t>，并对计量结果给出统计学和经济学意义上的相关解释</w:t>
      </w:r>
      <w:r w:rsidR="00500368">
        <w:rPr>
          <w:rFonts w:hint="eastAsia"/>
        </w:rPr>
        <w:t>和建议</w:t>
      </w:r>
      <w:r w:rsidRPr="0060312A">
        <w:rPr>
          <w:rFonts w:hint="eastAsia"/>
        </w:rPr>
        <w:t>。</w:t>
      </w:r>
    </w:p>
    <w:p w14:paraId="40D14855" w14:textId="70765D3A" w:rsidR="00871FC2" w:rsidRPr="000F30CD" w:rsidRDefault="00871FC2" w:rsidP="00FF517A">
      <w:pPr>
        <w:pStyle w:val="3"/>
        <w:rPr>
          <w:rFonts w:ascii="宋体" w:hAnsi="宋体"/>
        </w:rPr>
      </w:pPr>
      <w:bookmarkStart w:id="57" w:name="_Toc102342823"/>
      <w:bookmarkStart w:id="58" w:name="_Toc102668387"/>
      <w:bookmarkStart w:id="59" w:name="_Toc102745514"/>
      <w:bookmarkStart w:id="60" w:name="_Toc102854689"/>
      <w:bookmarkStart w:id="61" w:name="_Toc103038528"/>
      <w:bookmarkStart w:id="62" w:name="_Toc103093654"/>
      <w:bookmarkStart w:id="63" w:name="_Toc103345034"/>
      <w:bookmarkStart w:id="64" w:name="_Toc103549472"/>
      <w:r w:rsidRPr="00855C85">
        <w:t>1.</w:t>
      </w:r>
      <w:r w:rsidR="00FA6D95">
        <w:t>3.2</w:t>
      </w:r>
      <w:r w:rsidRPr="000F30CD">
        <w:rPr>
          <w:rFonts w:hint="eastAsia"/>
        </w:rPr>
        <w:t xml:space="preserve"> </w:t>
      </w:r>
      <w:r w:rsidRPr="000F30CD">
        <w:rPr>
          <w:rFonts w:hint="eastAsia"/>
        </w:rPr>
        <w:t>研究方法</w:t>
      </w:r>
      <w:bookmarkEnd w:id="57"/>
      <w:bookmarkEnd w:id="58"/>
      <w:bookmarkEnd w:id="59"/>
      <w:bookmarkEnd w:id="60"/>
      <w:bookmarkEnd w:id="61"/>
      <w:bookmarkEnd w:id="62"/>
      <w:bookmarkEnd w:id="63"/>
      <w:bookmarkEnd w:id="64"/>
    </w:p>
    <w:p w14:paraId="0EDA139A" w14:textId="1B220D0F" w:rsidR="007E27EC" w:rsidRDefault="007E27EC" w:rsidP="007E27EC">
      <w:pPr>
        <w:ind w:firstLineChars="200" w:firstLine="480"/>
      </w:pPr>
      <w:r>
        <w:rPr>
          <w:rFonts w:hint="eastAsia"/>
        </w:rPr>
        <w:t>本文采用理论分析与实证分析相结合的研究方法。在理论分析</w:t>
      </w:r>
      <w:r w:rsidR="00AF54ED">
        <w:rPr>
          <w:rFonts w:hint="eastAsia"/>
        </w:rPr>
        <w:t>上</w:t>
      </w:r>
      <w:r>
        <w:rPr>
          <w:rFonts w:hint="eastAsia"/>
        </w:rPr>
        <w:t>，本文通过文献研究法、演绎研究法等方法</w:t>
      </w:r>
      <w:r w:rsidR="00AF54ED">
        <w:rPr>
          <w:rFonts w:hint="eastAsia"/>
        </w:rPr>
        <w:t>整理、归纳、总结了国内外相关的学术研究</w:t>
      </w:r>
      <w:r>
        <w:rPr>
          <w:rFonts w:hint="eastAsia"/>
        </w:rPr>
        <w:t>，</w:t>
      </w:r>
      <w:r w:rsidRPr="007E27EC">
        <w:rPr>
          <w:rFonts w:hint="eastAsia"/>
        </w:rPr>
        <w:t>基于现有关于</w:t>
      </w:r>
      <w:r w:rsidRPr="007E27EC">
        <w:rPr>
          <w:rFonts w:hint="eastAsia"/>
        </w:rPr>
        <w:t>ESG</w:t>
      </w:r>
      <w:r w:rsidRPr="007E27EC">
        <w:rPr>
          <w:rFonts w:hint="eastAsia"/>
        </w:rPr>
        <w:t>与高管风险激励</w:t>
      </w:r>
      <w:r>
        <w:rPr>
          <w:rFonts w:hint="eastAsia"/>
        </w:rPr>
        <w:t>的</w:t>
      </w:r>
      <w:r w:rsidRPr="007E27EC">
        <w:rPr>
          <w:rFonts w:hint="eastAsia"/>
        </w:rPr>
        <w:t>理论，</w:t>
      </w:r>
      <w:r>
        <w:rPr>
          <w:rFonts w:hint="eastAsia"/>
        </w:rPr>
        <w:t>通过逻辑推理论证</w:t>
      </w:r>
      <w:r w:rsidR="00AF54ED">
        <w:rPr>
          <w:rFonts w:hint="eastAsia"/>
        </w:rPr>
        <w:t>高管股权激励下薪酬敏感性对企业</w:t>
      </w:r>
      <w:r w:rsidR="00AF54ED">
        <w:rPr>
          <w:rFonts w:hint="eastAsia"/>
        </w:rPr>
        <w:t>ESG</w:t>
      </w:r>
      <w:r w:rsidR="00AF54ED">
        <w:rPr>
          <w:rFonts w:hint="eastAsia"/>
        </w:rPr>
        <w:t>影响的作用机制</w:t>
      </w:r>
      <w:r w:rsidRPr="007E27EC">
        <w:rPr>
          <w:rFonts w:hint="eastAsia"/>
        </w:rPr>
        <w:t>，并且基于此理论分析提出了相应的研究假设。</w:t>
      </w:r>
      <w:r w:rsidR="00AF54ED">
        <w:rPr>
          <w:rFonts w:hint="eastAsia"/>
        </w:rPr>
        <w:t>而针对实证分析方面</w:t>
      </w:r>
      <w:r>
        <w:rPr>
          <w:rFonts w:hint="eastAsia"/>
        </w:rPr>
        <w:t>，本文</w:t>
      </w:r>
      <w:r w:rsidR="001B419B">
        <w:rPr>
          <w:rFonts w:hint="eastAsia"/>
        </w:rPr>
        <w:t>按照</w:t>
      </w:r>
      <w:r>
        <w:rPr>
          <w:rFonts w:hint="eastAsia"/>
        </w:rPr>
        <w:t>“提出研究假设一一设计</w:t>
      </w:r>
      <w:r w:rsidR="00AF54ED">
        <w:rPr>
          <w:rFonts w:hint="eastAsia"/>
        </w:rPr>
        <w:t>相关</w:t>
      </w:r>
      <w:r>
        <w:rPr>
          <w:rFonts w:hint="eastAsia"/>
        </w:rPr>
        <w:t>模型一一</w:t>
      </w:r>
      <w:r w:rsidR="00AF54ED">
        <w:rPr>
          <w:rFonts w:hint="eastAsia"/>
        </w:rPr>
        <w:t>获取和整理数据</w:t>
      </w:r>
      <w:r>
        <w:rPr>
          <w:rFonts w:hint="eastAsia"/>
        </w:rPr>
        <w:t>一一实证结果</w:t>
      </w:r>
      <w:r w:rsidR="00AF54ED">
        <w:rPr>
          <w:rFonts w:hint="eastAsia"/>
        </w:rPr>
        <w:t>与</w:t>
      </w:r>
      <w:r>
        <w:rPr>
          <w:rFonts w:hint="eastAsia"/>
        </w:rPr>
        <w:t>分析一一稳健性检验”</w:t>
      </w:r>
      <w:r w:rsidR="001B419B">
        <w:rPr>
          <w:rFonts w:hint="eastAsia"/>
        </w:rPr>
        <w:t>的</w:t>
      </w:r>
      <w:r w:rsidR="00AF54ED">
        <w:rPr>
          <w:rFonts w:hint="eastAsia"/>
        </w:rPr>
        <w:t>流程进行研究</w:t>
      </w:r>
      <w:r>
        <w:rPr>
          <w:rFonts w:hint="eastAsia"/>
        </w:rPr>
        <w:t>，检验</w:t>
      </w:r>
      <w:r w:rsidR="00AF54ED">
        <w:rPr>
          <w:rFonts w:hint="eastAsia"/>
        </w:rPr>
        <w:t>我国上市公司高管股权激励下薪酬敏感性对企业</w:t>
      </w:r>
      <w:r w:rsidR="00AF54ED">
        <w:rPr>
          <w:rFonts w:hint="eastAsia"/>
        </w:rPr>
        <w:t>ESG</w:t>
      </w:r>
      <w:r w:rsidR="00AF54ED">
        <w:rPr>
          <w:rFonts w:hint="eastAsia"/>
        </w:rPr>
        <w:t>的影响机制</w:t>
      </w:r>
      <w:r>
        <w:rPr>
          <w:rFonts w:hint="eastAsia"/>
        </w:rPr>
        <w:t>。在具体实证环节，</w:t>
      </w:r>
      <w:r w:rsidRPr="007E27EC">
        <w:rPr>
          <w:rFonts w:hint="eastAsia"/>
        </w:rPr>
        <w:t>本文在现有学者的研究基础，构建了面板数据下自变量股权激励风险承担效应</w:t>
      </w:r>
      <w:r w:rsidRPr="007E27EC">
        <w:rPr>
          <w:rFonts w:hint="eastAsia"/>
        </w:rPr>
        <w:t xml:space="preserve"> Vega</w:t>
      </w:r>
      <w:r w:rsidRPr="007E27EC">
        <w:rPr>
          <w:rFonts w:hint="eastAsia"/>
        </w:rPr>
        <w:t>、激励效应</w:t>
      </w:r>
      <w:r w:rsidRPr="007E27EC">
        <w:rPr>
          <w:rFonts w:hint="eastAsia"/>
        </w:rPr>
        <w:t xml:space="preserve"> Delta </w:t>
      </w:r>
      <w:r w:rsidRPr="007E27EC">
        <w:rPr>
          <w:rFonts w:hint="eastAsia"/>
        </w:rPr>
        <w:t>与因变量</w:t>
      </w:r>
      <w:r w:rsidRPr="007E27EC">
        <w:rPr>
          <w:rFonts w:hint="eastAsia"/>
        </w:rPr>
        <w:t>ESG</w:t>
      </w:r>
      <w:r w:rsidRPr="007E27EC">
        <w:rPr>
          <w:rFonts w:hint="eastAsia"/>
        </w:rPr>
        <w:t>之间的多元线性回归模型</w:t>
      </w:r>
      <w:r>
        <w:rPr>
          <w:rFonts w:hint="eastAsia"/>
        </w:rPr>
        <w:t>，并使用</w:t>
      </w:r>
      <w:r w:rsidR="001B419B">
        <w:rPr>
          <w:rFonts w:hint="eastAsia"/>
        </w:rPr>
        <w:t>行业</w:t>
      </w:r>
      <w:r>
        <w:rPr>
          <w:rFonts w:hint="eastAsia"/>
        </w:rPr>
        <w:t>固定效应模型</w:t>
      </w:r>
      <w:r w:rsidR="001B419B">
        <w:rPr>
          <w:rFonts w:hint="eastAsia"/>
        </w:rPr>
        <w:t>和研发费用作控制变量的模型</w:t>
      </w:r>
      <w:r>
        <w:rPr>
          <w:rFonts w:hint="eastAsia"/>
        </w:rPr>
        <w:t>作为主回归模型，后续采用变量替换、工具变量法等方法进一步检验模型的可靠性。</w:t>
      </w:r>
    </w:p>
    <w:p w14:paraId="58F39D97" w14:textId="36DF2093" w:rsidR="00AF54ED" w:rsidRPr="00AF54ED" w:rsidRDefault="00AF54ED" w:rsidP="007E27EC">
      <w:pPr>
        <w:ind w:firstLineChars="200" w:firstLine="480"/>
      </w:pPr>
      <w:r>
        <w:rPr>
          <w:rFonts w:hint="eastAsia"/>
        </w:rPr>
        <w:t>对于本文结构方面，本文共五章进行研究阐述：</w:t>
      </w:r>
    </w:p>
    <w:p w14:paraId="3B9DC225" w14:textId="77777777" w:rsidR="002B6021" w:rsidRDefault="00AF54ED" w:rsidP="00AF54ED">
      <w:pPr>
        <w:ind w:firstLineChars="200" w:firstLine="480"/>
      </w:pPr>
      <w:r>
        <w:rPr>
          <w:rFonts w:hint="eastAsia"/>
        </w:rPr>
        <w:t>第一章：绪论。</w:t>
      </w:r>
    </w:p>
    <w:p w14:paraId="72F99705" w14:textId="2D0889DE" w:rsidR="00AF54ED" w:rsidRDefault="00AF54ED" w:rsidP="00AF54ED">
      <w:pPr>
        <w:ind w:firstLineChars="200" w:firstLine="480"/>
      </w:pPr>
      <w:r>
        <w:rPr>
          <w:rFonts w:hint="eastAsia"/>
        </w:rPr>
        <w:t>本章介绍了</w:t>
      </w:r>
      <w:r w:rsidR="00105698">
        <w:rPr>
          <w:rFonts w:hint="eastAsia"/>
        </w:rPr>
        <w:t>本研究的现实背景与意义</w:t>
      </w:r>
      <w:r>
        <w:rPr>
          <w:rFonts w:hint="eastAsia"/>
        </w:rPr>
        <w:t>，</w:t>
      </w:r>
      <w:r w:rsidR="00105698">
        <w:rPr>
          <w:rFonts w:hint="eastAsia"/>
        </w:rPr>
        <w:t>然后展开了相关的文献综述说明，</w:t>
      </w:r>
      <w:r>
        <w:rPr>
          <w:rFonts w:hint="eastAsia"/>
        </w:rPr>
        <w:t>随后</w:t>
      </w:r>
      <w:r w:rsidR="00105698">
        <w:rPr>
          <w:rFonts w:hint="eastAsia"/>
        </w:rPr>
        <w:t>阐述</w:t>
      </w:r>
      <w:r>
        <w:rPr>
          <w:rFonts w:hint="eastAsia"/>
        </w:rPr>
        <w:t>整体内容</w:t>
      </w:r>
      <w:r w:rsidR="00105698">
        <w:rPr>
          <w:rFonts w:hint="eastAsia"/>
        </w:rPr>
        <w:t>与研究方法</w:t>
      </w:r>
      <w:r>
        <w:rPr>
          <w:rFonts w:hint="eastAsia"/>
        </w:rPr>
        <w:t>以及</w:t>
      </w:r>
      <w:r w:rsidR="00105698">
        <w:rPr>
          <w:rFonts w:hint="eastAsia"/>
        </w:rPr>
        <w:t>技术路线</w:t>
      </w:r>
      <w:r>
        <w:rPr>
          <w:rFonts w:hint="eastAsia"/>
        </w:rPr>
        <w:t>，最后体现了本文可能的创新之处。</w:t>
      </w:r>
    </w:p>
    <w:p w14:paraId="309C61AD" w14:textId="77777777" w:rsidR="002B6021" w:rsidRDefault="00AF54ED" w:rsidP="00AF54ED">
      <w:pPr>
        <w:ind w:firstLineChars="200" w:firstLine="480"/>
      </w:pPr>
      <w:r>
        <w:rPr>
          <w:rFonts w:hint="eastAsia"/>
        </w:rPr>
        <w:lastRenderedPageBreak/>
        <w:t>第二章：理论背景与研究假设。</w:t>
      </w:r>
    </w:p>
    <w:p w14:paraId="4C84BCF0" w14:textId="2E2DDDA2" w:rsidR="00AF54ED" w:rsidRDefault="00B8615F" w:rsidP="00AF54ED">
      <w:pPr>
        <w:ind w:firstLineChars="200" w:firstLine="480"/>
      </w:pPr>
      <w:r>
        <w:rPr>
          <w:rFonts w:hint="eastAsia"/>
        </w:rPr>
        <w:t>首先阐述了</w:t>
      </w:r>
      <w:r w:rsidRPr="00B8615F">
        <w:rPr>
          <w:rFonts w:hint="eastAsia"/>
        </w:rPr>
        <w:t>股权激励下高管激励效应</w:t>
      </w:r>
      <w:r>
        <w:rPr>
          <w:rFonts w:hint="eastAsia"/>
        </w:rPr>
        <w:t>和风险承担效应理论基础，然后</w:t>
      </w:r>
      <w:r w:rsidR="00105698">
        <w:rPr>
          <w:rFonts w:hint="eastAsia"/>
        </w:rPr>
        <w:t>分别阐述了</w:t>
      </w:r>
      <w:r w:rsidR="00105698" w:rsidRPr="00105698">
        <w:rPr>
          <w:rFonts w:hint="eastAsia"/>
        </w:rPr>
        <w:t>股权激励下高管激励效应对企业</w:t>
      </w:r>
      <w:r w:rsidR="00105698" w:rsidRPr="00105698">
        <w:rPr>
          <w:rFonts w:hint="eastAsia"/>
        </w:rPr>
        <w:t>ESG</w:t>
      </w:r>
      <w:r w:rsidR="00105698" w:rsidRPr="00105698">
        <w:rPr>
          <w:rFonts w:hint="eastAsia"/>
        </w:rPr>
        <w:t>的影响机制分析</w:t>
      </w:r>
      <w:r w:rsidR="00105698">
        <w:rPr>
          <w:rFonts w:hint="eastAsia"/>
        </w:rPr>
        <w:t>和</w:t>
      </w:r>
      <w:r w:rsidR="00105698" w:rsidRPr="00105698">
        <w:rPr>
          <w:rFonts w:hint="eastAsia"/>
        </w:rPr>
        <w:t>股权激励下高管</w:t>
      </w:r>
      <w:r w:rsidR="00105698">
        <w:rPr>
          <w:rFonts w:hint="eastAsia"/>
        </w:rPr>
        <w:t>风险承担</w:t>
      </w:r>
      <w:r w:rsidR="00105698" w:rsidRPr="00105698">
        <w:rPr>
          <w:rFonts w:hint="eastAsia"/>
        </w:rPr>
        <w:t>效应对企业</w:t>
      </w:r>
      <w:r w:rsidR="00105698" w:rsidRPr="00105698">
        <w:rPr>
          <w:rFonts w:hint="eastAsia"/>
        </w:rPr>
        <w:t>ESG</w:t>
      </w:r>
      <w:r w:rsidR="00105698" w:rsidRPr="00105698">
        <w:rPr>
          <w:rFonts w:hint="eastAsia"/>
        </w:rPr>
        <w:t>的影响机制分析</w:t>
      </w:r>
      <w:r w:rsidR="00105698">
        <w:rPr>
          <w:rFonts w:hint="eastAsia"/>
        </w:rPr>
        <w:t>，在此基础上提出本文的猜想的作用机制与研究假设。</w:t>
      </w:r>
    </w:p>
    <w:p w14:paraId="334BF38C" w14:textId="77777777" w:rsidR="002B6021" w:rsidRDefault="00AF54ED" w:rsidP="00AF54ED">
      <w:pPr>
        <w:ind w:firstLineChars="200" w:firstLine="480"/>
      </w:pPr>
      <w:r>
        <w:rPr>
          <w:rFonts w:hint="eastAsia"/>
        </w:rPr>
        <w:t>第三章：研究设计</w:t>
      </w:r>
      <w:r w:rsidR="00867C63">
        <w:rPr>
          <w:rFonts w:hint="eastAsia"/>
        </w:rPr>
        <w:t>与数据描述</w:t>
      </w:r>
      <w:r>
        <w:rPr>
          <w:rFonts w:hint="eastAsia"/>
        </w:rPr>
        <w:t>。</w:t>
      </w:r>
    </w:p>
    <w:p w14:paraId="2A2A8E87" w14:textId="7A5BEACF" w:rsidR="00AF54ED" w:rsidRDefault="00105698" w:rsidP="00AF54ED">
      <w:pPr>
        <w:ind w:firstLineChars="200" w:firstLine="480"/>
      </w:pPr>
      <w:r>
        <w:rPr>
          <w:rFonts w:hint="eastAsia"/>
        </w:rPr>
        <w:t>本章主要为后续实证研究所需的变量、数据以及模型来源的具体说明，包括所选取的样本、如何处理数据以及模型的选择</w:t>
      </w:r>
      <w:r w:rsidR="00867C63">
        <w:rPr>
          <w:rFonts w:hint="eastAsia"/>
        </w:rPr>
        <w:t>，最后给出了数据的描述性统计</w:t>
      </w:r>
      <w:r>
        <w:rPr>
          <w:rFonts w:hint="eastAsia"/>
        </w:rPr>
        <w:t>。</w:t>
      </w:r>
    </w:p>
    <w:p w14:paraId="1FF88A76" w14:textId="77777777" w:rsidR="002B6021" w:rsidRDefault="00AF54ED" w:rsidP="00AF54ED">
      <w:pPr>
        <w:ind w:firstLineChars="200" w:firstLine="480"/>
      </w:pPr>
      <w:r>
        <w:rPr>
          <w:rFonts w:hint="eastAsia"/>
        </w:rPr>
        <w:t>第四章：实证结果与分析。</w:t>
      </w:r>
    </w:p>
    <w:p w14:paraId="52803B10" w14:textId="03CB0E84" w:rsidR="00AF54ED" w:rsidRDefault="00105698" w:rsidP="00AF54ED">
      <w:pPr>
        <w:ind w:firstLineChars="200" w:firstLine="480"/>
      </w:pPr>
      <w:r>
        <w:rPr>
          <w:rFonts w:hint="eastAsia"/>
        </w:rPr>
        <w:t>本章包括相关性分析以及最重要的回归结果分析和进一步的稳健性检验。</w:t>
      </w:r>
      <w:r w:rsidR="00FC05EB">
        <w:rPr>
          <w:rFonts w:hint="eastAsia"/>
        </w:rPr>
        <w:t>其中回归结果包括行业固定效应模型和研发费用作行业控制变量模型</w:t>
      </w:r>
      <w:r w:rsidR="00B8615F">
        <w:rPr>
          <w:rFonts w:hint="eastAsia"/>
        </w:rPr>
        <w:t>两种。</w:t>
      </w:r>
      <w:r w:rsidR="00867C63">
        <w:rPr>
          <w:rFonts w:hint="eastAsia"/>
        </w:rPr>
        <w:t>两种模型分别进行回归结果分析和相应的稳健性检验，最后再进行其他的稳健性检验。</w:t>
      </w:r>
    </w:p>
    <w:p w14:paraId="0ADA7A6A" w14:textId="77777777" w:rsidR="002B6021" w:rsidRDefault="00AF54ED" w:rsidP="00105698">
      <w:pPr>
        <w:ind w:firstLineChars="200" w:firstLine="480"/>
      </w:pPr>
      <w:r>
        <w:rPr>
          <w:rFonts w:hint="eastAsia"/>
        </w:rPr>
        <w:t>第五章：研究结论。</w:t>
      </w:r>
    </w:p>
    <w:p w14:paraId="446031FD" w14:textId="1CE4A6AA" w:rsidR="00AF54ED" w:rsidRDefault="00105698" w:rsidP="00105698">
      <w:pPr>
        <w:ind w:firstLineChars="200" w:firstLine="480"/>
      </w:pPr>
      <w:r>
        <w:rPr>
          <w:rFonts w:hint="eastAsia"/>
        </w:rPr>
        <w:t>本章首先</w:t>
      </w:r>
      <w:r w:rsidR="00BF556F">
        <w:rPr>
          <w:rFonts w:hint="eastAsia"/>
        </w:rPr>
        <w:t>依据</w:t>
      </w:r>
      <w:r>
        <w:rPr>
          <w:rFonts w:hint="eastAsia"/>
        </w:rPr>
        <w:t>前文作用机制分析和上一章的回归结果得出经济学意义上的结论；其次，基于</w:t>
      </w:r>
      <w:r w:rsidR="00BF556F">
        <w:rPr>
          <w:rFonts w:hint="eastAsia"/>
        </w:rPr>
        <w:t>以上研究</w:t>
      </w:r>
      <w:r>
        <w:rPr>
          <w:rFonts w:hint="eastAsia"/>
        </w:rPr>
        <w:t>提出</w:t>
      </w:r>
      <w:r w:rsidR="00BF556F">
        <w:rPr>
          <w:rFonts w:hint="eastAsia"/>
        </w:rPr>
        <w:t>关于利用高管薪酬结构来增强</w:t>
      </w:r>
      <w:r>
        <w:rPr>
          <w:rFonts w:hint="eastAsia"/>
        </w:rPr>
        <w:t>企业</w:t>
      </w:r>
      <w:r>
        <w:rPr>
          <w:rFonts w:hint="eastAsia"/>
        </w:rPr>
        <w:t>ESG</w:t>
      </w:r>
      <w:r>
        <w:rPr>
          <w:rFonts w:hint="eastAsia"/>
        </w:rPr>
        <w:t>表现的启示；最后</w:t>
      </w:r>
      <w:r w:rsidR="00BF556F">
        <w:rPr>
          <w:rFonts w:hint="eastAsia"/>
        </w:rPr>
        <w:t>阐述</w:t>
      </w:r>
      <w:r>
        <w:rPr>
          <w:rFonts w:hint="eastAsia"/>
        </w:rPr>
        <w:t>了本</w:t>
      </w:r>
      <w:r w:rsidR="00BF556F">
        <w:rPr>
          <w:rFonts w:hint="eastAsia"/>
        </w:rPr>
        <w:t>研究</w:t>
      </w:r>
      <w:r>
        <w:rPr>
          <w:rFonts w:hint="eastAsia"/>
        </w:rPr>
        <w:t>的不足之处。</w:t>
      </w:r>
    </w:p>
    <w:p w14:paraId="633103F6" w14:textId="5249A566" w:rsidR="00AF54ED" w:rsidRDefault="00AF54ED" w:rsidP="00BF556F">
      <w:pPr>
        <w:ind w:firstLineChars="200" w:firstLine="480"/>
      </w:pPr>
      <w:r>
        <w:rPr>
          <w:rFonts w:hint="eastAsia"/>
        </w:rPr>
        <w:t>本文具体技术路线如下图</w:t>
      </w:r>
      <w:r>
        <w:rPr>
          <w:rFonts w:hint="eastAsia"/>
        </w:rPr>
        <w:t>1-</w:t>
      </w:r>
      <w:r>
        <w:t>1</w:t>
      </w:r>
      <w:r>
        <w:rPr>
          <w:rFonts w:hint="eastAsia"/>
        </w:rPr>
        <w:t>所示。</w:t>
      </w:r>
    </w:p>
    <w:p w14:paraId="701BCA6E" w14:textId="77777777" w:rsidR="00FC05EB" w:rsidRPr="00FC05EB" w:rsidRDefault="00FC05EB" w:rsidP="00FC05EB">
      <w:pPr>
        <w:widowControl/>
        <w:spacing w:line="240" w:lineRule="auto"/>
        <w:jc w:val="left"/>
        <w:rPr>
          <w:rFonts w:ascii="宋体" w:hAnsi="宋体" w:cs="宋体"/>
          <w:kern w:val="0"/>
          <w:szCs w:val="24"/>
        </w:rPr>
      </w:pPr>
      <w:r w:rsidRPr="00FC05EB">
        <w:rPr>
          <w:rFonts w:ascii="宋体" w:hAnsi="宋体" w:cs="宋体"/>
          <w:noProof/>
          <w:kern w:val="0"/>
          <w:szCs w:val="24"/>
        </w:rPr>
        <w:lastRenderedPageBreak/>
        <w:drawing>
          <wp:inline distT="0" distB="0" distL="0" distR="0" wp14:anchorId="7531CECD" wp14:editId="0AFE2FF0">
            <wp:extent cx="6007587" cy="7364006"/>
            <wp:effectExtent l="0" t="0" r="0" b="8890"/>
            <wp:docPr id="3" name="图片 3" descr="C:\Users\DX\AppData\Roaming\Tencent\Users\2724338252\QQ\WinTemp\RichOle\OA7H%LDLUHNIUL6C70$QWJ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X\AppData\Roaming\Tencent\Users\2724338252\QQ\WinTemp\RichOle\OA7H%LDLUHNIUL6C70$QWJ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14999" cy="7373091"/>
                    </a:xfrm>
                    <a:prstGeom prst="rect">
                      <a:avLst/>
                    </a:prstGeom>
                    <a:noFill/>
                    <a:ln>
                      <a:noFill/>
                    </a:ln>
                  </pic:spPr>
                </pic:pic>
              </a:graphicData>
            </a:graphic>
          </wp:inline>
        </w:drawing>
      </w:r>
    </w:p>
    <w:p w14:paraId="54253276" w14:textId="62C8DC81" w:rsidR="00E272F1" w:rsidRPr="00FC05EB" w:rsidRDefault="007E27EC" w:rsidP="00FC05EB">
      <w:pPr>
        <w:widowControl/>
        <w:spacing w:line="240" w:lineRule="auto"/>
        <w:ind w:firstLineChars="1400" w:firstLine="3360"/>
        <w:rPr>
          <w:rFonts w:ascii="黑体" w:eastAsia="黑体" w:hAnsi="黑体" w:cs="宋体"/>
          <w:kern w:val="0"/>
          <w:szCs w:val="24"/>
        </w:rPr>
      </w:pPr>
      <w:r w:rsidRPr="007E27EC">
        <w:rPr>
          <w:rFonts w:ascii="黑体" w:eastAsia="黑体" w:hAnsi="黑体" w:cs="宋体" w:hint="eastAsia"/>
          <w:kern w:val="0"/>
          <w:szCs w:val="24"/>
        </w:rPr>
        <w:t>图1-</w:t>
      </w:r>
      <w:r w:rsidRPr="007E27EC">
        <w:rPr>
          <w:rFonts w:ascii="黑体" w:eastAsia="黑体" w:hAnsi="黑体" w:cs="宋体"/>
          <w:kern w:val="0"/>
          <w:szCs w:val="24"/>
        </w:rPr>
        <w:t xml:space="preserve">1 </w:t>
      </w:r>
      <w:r w:rsidRPr="007E27EC">
        <w:rPr>
          <w:rFonts w:ascii="黑体" w:eastAsia="黑体" w:hAnsi="黑体" w:cs="宋体" w:hint="eastAsia"/>
          <w:kern w:val="0"/>
          <w:szCs w:val="24"/>
        </w:rPr>
        <w:t>技术路线</w:t>
      </w:r>
    </w:p>
    <w:p w14:paraId="272D37B2" w14:textId="43915640" w:rsidR="00871FC2" w:rsidRPr="000F30CD" w:rsidRDefault="00871FC2" w:rsidP="00871FC2">
      <w:pPr>
        <w:pStyle w:val="2"/>
        <w:spacing w:before="163" w:after="163"/>
        <w:rPr>
          <w:rFonts w:ascii="宋体" w:hAnsi="宋体"/>
        </w:rPr>
      </w:pPr>
      <w:bookmarkStart w:id="65" w:name="_Toc102342824"/>
      <w:bookmarkStart w:id="66" w:name="_Toc104478864"/>
      <w:r w:rsidRPr="00855C85">
        <w:rPr>
          <w:rFonts w:cs="Times New Roman"/>
        </w:rPr>
        <w:t>1.</w:t>
      </w:r>
      <w:r w:rsidR="00A5632C">
        <w:rPr>
          <w:rFonts w:cs="Times New Roman"/>
        </w:rPr>
        <w:t>4</w:t>
      </w:r>
      <w:r w:rsidRPr="000F30CD">
        <w:rPr>
          <w:rFonts w:hint="eastAsia"/>
        </w:rPr>
        <w:t xml:space="preserve"> </w:t>
      </w:r>
      <w:r w:rsidRPr="000F30CD">
        <w:rPr>
          <w:rFonts w:hint="eastAsia"/>
        </w:rPr>
        <w:t>研究创新点</w:t>
      </w:r>
      <w:bookmarkEnd w:id="65"/>
      <w:bookmarkEnd w:id="66"/>
    </w:p>
    <w:p w14:paraId="0CBE68DB" w14:textId="1CEF5B1E" w:rsidR="00871FC2" w:rsidRPr="00941165" w:rsidRDefault="00871FC2" w:rsidP="00871FC2">
      <w:pPr>
        <w:ind w:firstLineChars="200" w:firstLine="480"/>
        <w:rPr>
          <w:rFonts w:ascii="宋体" w:hAnsi="宋体"/>
        </w:rPr>
      </w:pPr>
      <w:r w:rsidRPr="00941165">
        <w:rPr>
          <w:rFonts w:ascii="宋体" w:hAnsi="宋体" w:hint="eastAsia"/>
        </w:rPr>
        <w:t>现有的研究对我们的中心研究问题:企业高管薪酬敏感性如何影响ESG来说缺</w:t>
      </w:r>
      <w:r w:rsidRPr="00941165">
        <w:rPr>
          <w:rFonts w:ascii="宋体" w:hAnsi="宋体" w:hint="eastAsia"/>
        </w:rPr>
        <w:lastRenderedPageBreak/>
        <w:t>少很大的探索。总的来说，有大量文献研究了Delta和Vega对高管决策的影响；然而，Delta和Vega对企业ESG的影响之前还没有被探索过。股东价值最大化问题因ESG相关投资是否真的是公司的增值投资机会而变得更加复杂。在现有文献中，围绕这个问题有很多争论。虽然明确回答这个问题超出了本文的范围，但我们通过将Vega确定为股东可以用来鼓励高管改变企业ESG评分的途径，</w:t>
      </w:r>
      <w:r w:rsidR="002842D3">
        <w:rPr>
          <w:rFonts w:ascii="宋体" w:hAnsi="宋体" w:hint="eastAsia"/>
        </w:rPr>
        <w:t>或许</w:t>
      </w:r>
      <w:r w:rsidR="002842D3" w:rsidRPr="002842D3">
        <w:rPr>
          <w:rFonts w:ascii="宋体" w:hAnsi="宋体" w:hint="eastAsia"/>
        </w:rPr>
        <w:t>企业高管们并不认为ESG相关投资是一种提升企业价值的方式，而是一种通过提高Vega来提高自身财富的方式。这说明想要提高自身的ESG评分的企业应该把提高Vega作为对高管的重要薪酬激励</w:t>
      </w:r>
      <w:r w:rsidR="002842D3">
        <w:rPr>
          <w:rFonts w:ascii="宋体" w:hAnsi="宋体" w:hint="eastAsia"/>
        </w:rPr>
        <w:t>，这将</w:t>
      </w:r>
      <w:r w:rsidRPr="00941165">
        <w:rPr>
          <w:rFonts w:ascii="宋体" w:hAnsi="宋体" w:hint="eastAsia"/>
        </w:rPr>
        <w:t>为现有文献做出贡献。</w:t>
      </w:r>
    </w:p>
    <w:p w14:paraId="7FC94E14" w14:textId="1F154C20" w:rsidR="00871FC2" w:rsidRDefault="00871FC2" w:rsidP="00871FC2">
      <w:pPr>
        <w:ind w:firstLineChars="200" w:firstLine="480"/>
        <w:rPr>
          <w:rFonts w:ascii="宋体" w:hAnsi="宋体"/>
        </w:rPr>
      </w:pPr>
      <w:r w:rsidRPr="00941165">
        <w:rPr>
          <w:rFonts w:ascii="宋体" w:hAnsi="宋体" w:hint="eastAsia"/>
        </w:rPr>
        <w:t>大量文献表明，ESG环境通过各种渠道影响企业。本文的一部分目的旨在确定高管薪酬结构如何影响ESG环境；然而，这是通过检查提供给高管的明确激励来实现的。本文采用一种新的方法来探讨ESG与薪酬之间的关系。此前的研究主要关注高管薪酬是否会影响ESG评分。利用薪酬敏感性，我们探讨了高管做出决策的实际机制。我们使用Coles等人的方法来确定高管 Delta和Vega，然后建立混合以及固定效应模型来估计它们对企业ESG评分的影响。与研究高管如何应对直接激励不同，该方法研究高管如何独立于其他激励框架看待企业ESG相关投资机会</w:t>
      </w:r>
      <w:r w:rsidR="00500368">
        <w:rPr>
          <w:rFonts w:ascii="宋体" w:hAnsi="宋体" w:hint="eastAsia"/>
        </w:rPr>
        <w:t>，这是一个非常独特的研究视角</w:t>
      </w:r>
      <w:r w:rsidRPr="00941165">
        <w:rPr>
          <w:rFonts w:ascii="宋体" w:hAnsi="宋体" w:hint="eastAsia"/>
        </w:rPr>
        <w:t>。</w:t>
      </w:r>
    </w:p>
    <w:p w14:paraId="0F16266B" w14:textId="5FCC9296" w:rsidR="000D4E94" w:rsidRDefault="000D4E94" w:rsidP="00871FC2">
      <w:pPr>
        <w:ind w:firstLineChars="200" w:firstLine="480"/>
        <w:rPr>
          <w:rFonts w:ascii="宋体" w:hAnsi="宋体"/>
        </w:rPr>
      </w:pPr>
    </w:p>
    <w:p w14:paraId="46207BC7" w14:textId="41F56693" w:rsidR="000D4E94" w:rsidRDefault="000D4E94" w:rsidP="00326904">
      <w:pPr>
        <w:pStyle w:val="1"/>
        <w:pageBreakBefore/>
        <w:spacing w:before="163" w:after="163"/>
      </w:pPr>
      <w:bookmarkStart w:id="67" w:name="_Toc104478865"/>
      <w:r>
        <w:rPr>
          <w:rFonts w:hint="eastAsia"/>
        </w:rPr>
        <w:lastRenderedPageBreak/>
        <w:t>2</w:t>
      </w:r>
      <w:r w:rsidR="00FF386C">
        <w:t xml:space="preserve"> </w:t>
      </w:r>
      <w:r>
        <w:rPr>
          <w:rFonts w:hint="eastAsia"/>
        </w:rPr>
        <w:t>理论背景</w:t>
      </w:r>
      <w:r w:rsidR="00FF386C">
        <w:rPr>
          <w:rFonts w:hint="eastAsia"/>
        </w:rPr>
        <w:t>与研究假设</w:t>
      </w:r>
      <w:bookmarkEnd w:id="67"/>
    </w:p>
    <w:p w14:paraId="4CE700D9" w14:textId="55264F3D" w:rsidR="00FF02CA" w:rsidRPr="00FF02CA" w:rsidRDefault="00FF02CA" w:rsidP="00FF02CA">
      <w:pPr>
        <w:pStyle w:val="2"/>
        <w:spacing w:before="163" w:after="163"/>
      </w:pPr>
      <w:bookmarkStart w:id="68" w:name="_Toc104478866"/>
      <w:r w:rsidRPr="00FF02CA">
        <w:rPr>
          <w:rFonts w:cs="Times New Roman"/>
        </w:rPr>
        <w:t>2.1</w:t>
      </w:r>
      <w:r w:rsidRPr="00FF02CA">
        <w:t xml:space="preserve"> </w:t>
      </w:r>
      <w:r w:rsidRPr="00FF02CA">
        <w:t>股权激励下高管激励效应和风险承担效应的理论基础</w:t>
      </w:r>
      <w:bookmarkEnd w:id="68"/>
    </w:p>
    <w:p w14:paraId="39BAAFCD" w14:textId="244C6141" w:rsidR="00FF02CA" w:rsidRDefault="00FF02CA" w:rsidP="00FF02CA">
      <w:pPr>
        <w:ind w:firstLineChars="200" w:firstLine="480"/>
      </w:pPr>
      <w:r>
        <w:rPr>
          <w:rFonts w:hint="eastAsia"/>
        </w:rPr>
        <w:t>如上文所述，</w:t>
      </w:r>
      <w:r w:rsidR="0013686D" w:rsidRPr="00941165">
        <w:rPr>
          <w:rFonts w:hint="eastAsia"/>
        </w:rPr>
        <w:t>在理想的世界里，</w:t>
      </w:r>
      <w:r w:rsidR="0013686D" w:rsidRPr="00941165">
        <w:rPr>
          <w:rFonts w:hint="eastAsia"/>
        </w:rPr>
        <w:t>CEO</w:t>
      </w:r>
      <w:r w:rsidR="0013686D" w:rsidRPr="00941165">
        <w:rPr>
          <w:rFonts w:hint="eastAsia"/>
        </w:rPr>
        <w:t>和股东的利益会完全一致。首席执行官做出的每一个决定都会使股东价值最大化。然而，管理者以提高自身效用为目标来解决自身的最大化问题；这就是所谓的代理问题</w:t>
      </w:r>
      <w:r w:rsidR="0013686D" w:rsidRPr="00A23442">
        <w:rPr>
          <w:vertAlign w:val="superscript"/>
        </w:rPr>
        <w:fldChar w:fldCharType="begin"/>
      </w:r>
      <w:r w:rsidR="0013686D" w:rsidRPr="00A23442">
        <w:rPr>
          <w:vertAlign w:val="superscript"/>
        </w:rPr>
        <w:instrText xml:space="preserve"> </w:instrText>
      </w:r>
      <w:r w:rsidR="0013686D" w:rsidRPr="00A23442">
        <w:rPr>
          <w:rFonts w:hint="eastAsia"/>
          <w:vertAlign w:val="superscript"/>
        </w:rPr>
        <w:instrText>REF _Ref102395917 \r \h</w:instrText>
      </w:r>
      <w:r w:rsidR="0013686D" w:rsidRPr="00A23442">
        <w:rPr>
          <w:vertAlign w:val="superscript"/>
        </w:rPr>
        <w:instrText>\#"[0"</w:instrText>
      </w:r>
      <w:r w:rsidR="0013686D">
        <w:rPr>
          <w:vertAlign w:val="superscript"/>
        </w:rPr>
        <w:instrText xml:space="preserve"> \* MERGEFORMAT </w:instrText>
      </w:r>
      <w:r w:rsidR="0013686D" w:rsidRPr="00A23442">
        <w:rPr>
          <w:vertAlign w:val="superscript"/>
        </w:rPr>
      </w:r>
      <w:r w:rsidR="0013686D" w:rsidRPr="00A23442">
        <w:rPr>
          <w:vertAlign w:val="superscript"/>
        </w:rPr>
        <w:fldChar w:fldCharType="separate"/>
      </w:r>
      <w:r w:rsidR="00AA0519" w:rsidRPr="00A23442">
        <w:rPr>
          <w:vertAlign w:val="superscript"/>
        </w:rPr>
        <w:t>[</w:t>
      </w:r>
      <w:r w:rsidR="00AA0519">
        <w:rPr>
          <w:vertAlign w:val="superscript"/>
        </w:rPr>
        <w:t>1</w:t>
      </w:r>
      <w:r w:rsidR="0013686D" w:rsidRPr="00A23442">
        <w:rPr>
          <w:vertAlign w:val="superscript"/>
        </w:rPr>
        <w:fldChar w:fldCharType="end"/>
      </w:r>
      <w:r w:rsidR="0013686D" w:rsidRPr="00A23442">
        <w:rPr>
          <w:vertAlign w:val="superscript"/>
        </w:rPr>
        <w:t>,</w:t>
      </w:r>
      <w:r w:rsidR="0013686D" w:rsidRPr="00A23442">
        <w:rPr>
          <w:vertAlign w:val="superscript"/>
        </w:rPr>
        <w:fldChar w:fldCharType="begin"/>
      </w:r>
      <w:r w:rsidR="0013686D" w:rsidRPr="00A23442">
        <w:rPr>
          <w:vertAlign w:val="superscript"/>
        </w:rPr>
        <w:instrText xml:space="preserve"> REF _Ref102395920 \r \h\#"0]"</w:instrText>
      </w:r>
      <w:r w:rsidR="0013686D">
        <w:rPr>
          <w:vertAlign w:val="superscript"/>
        </w:rPr>
        <w:instrText xml:space="preserve"> \* MERGEFORMAT </w:instrText>
      </w:r>
      <w:r w:rsidR="0013686D" w:rsidRPr="00A23442">
        <w:rPr>
          <w:vertAlign w:val="superscript"/>
        </w:rPr>
      </w:r>
      <w:r w:rsidR="0013686D" w:rsidRPr="00A23442">
        <w:rPr>
          <w:vertAlign w:val="superscript"/>
        </w:rPr>
        <w:fldChar w:fldCharType="separate"/>
      </w:r>
      <w:r w:rsidR="00AA0519">
        <w:rPr>
          <w:vertAlign w:val="superscript"/>
        </w:rPr>
        <w:t>2</w:t>
      </w:r>
      <w:r w:rsidR="00AA0519" w:rsidRPr="00A23442">
        <w:rPr>
          <w:vertAlign w:val="superscript"/>
        </w:rPr>
        <w:t>]</w:t>
      </w:r>
      <w:r w:rsidR="0013686D" w:rsidRPr="00A23442">
        <w:rPr>
          <w:vertAlign w:val="superscript"/>
        </w:rPr>
        <w:fldChar w:fldCharType="end"/>
      </w:r>
      <w:r w:rsidR="0013686D" w:rsidRPr="00941165">
        <w:rPr>
          <w:rFonts w:hint="eastAsia"/>
        </w:rPr>
        <w:t>。公司治理政策旨在确保管理者以与股东价值最大化一致的方式行事，这一目标的一部分是通过薪酬政策实现的</w:t>
      </w:r>
      <w:r w:rsidR="0013686D" w:rsidRPr="00A23442">
        <w:rPr>
          <w:vertAlign w:val="superscript"/>
        </w:rPr>
        <w:fldChar w:fldCharType="begin"/>
      </w:r>
      <w:r w:rsidR="0013686D" w:rsidRPr="00A23442">
        <w:rPr>
          <w:vertAlign w:val="superscript"/>
        </w:rPr>
        <w:instrText xml:space="preserve"> </w:instrText>
      </w:r>
      <w:r w:rsidR="0013686D" w:rsidRPr="00A23442">
        <w:rPr>
          <w:rFonts w:hint="eastAsia"/>
          <w:vertAlign w:val="superscript"/>
        </w:rPr>
        <w:instrText>REF _Ref102395917 \r \h</w:instrText>
      </w:r>
      <w:r w:rsidR="0013686D" w:rsidRPr="00A23442">
        <w:rPr>
          <w:vertAlign w:val="superscript"/>
        </w:rPr>
        <w:instrText xml:space="preserve"> \#"[0"</w:instrText>
      </w:r>
      <w:r w:rsidR="0013686D">
        <w:rPr>
          <w:vertAlign w:val="superscript"/>
        </w:rPr>
        <w:instrText xml:space="preserve"> \* MERGEFORMAT </w:instrText>
      </w:r>
      <w:r w:rsidR="0013686D" w:rsidRPr="00A23442">
        <w:rPr>
          <w:vertAlign w:val="superscript"/>
        </w:rPr>
      </w:r>
      <w:r w:rsidR="0013686D" w:rsidRPr="00A23442">
        <w:rPr>
          <w:vertAlign w:val="superscript"/>
        </w:rPr>
        <w:fldChar w:fldCharType="separate"/>
      </w:r>
      <w:r w:rsidR="00AA0519" w:rsidRPr="00A23442">
        <w:rPr>
          <w:vertAlign w:val="superscript"/>
        </w:rPr>
        <w:t>[</w:t>
      </w:r>
      <w:r w:rsidR="00AA0519">
        <w:rPr>
          <w:vertAlign w:val="superscript"/>
        </w:rPr>
        <w:t>1</w:t>
      </w:r>
      <w:r w:rsidR="0013686D" w:rsidRPr="00A23442">
        <w:rPr>
          <w:vertAlign w:val="superscript"/>
        </w:rPr>
        <w:fldChar w:fldCharType="end"/>
      </w:r>
      <w:r w:rsidR="0013686D" w:rsidRPr="00A23442">
        <w:rPr>
          <w:vertAlign w:val="superscript"/>
        </w:rPr>
        <w:t>,</w:t>
      </w:r>
      <w:r w:rsidR="0013686D" w:rsidRPr="00A23442">
        <w:rPr>
          <w:vertAlign w:val="superscript"/>
        </w:rPr>
        <w:fldChar w:fldCharType="begin"/>
      </w:r>
      <w:r w:rsidR="0013686D" w:rsidRPr="00A23442">
        <w:rPr>
          <w:vertAlign w:val="superscript"/>
        </w:rPr>
        <w:instrText xml:space="preserve"> REF _Ref102395920 \r \h \#"0]" </w:instrText>
      </w:r>
      <w:r w:rsidR="0013686D">
        <w:rPr>
          <w:vertAlign w:val="superscript"/>
        </w:rPr>
        <w:instrText xml:space="preserve"> \* MERGEFORMAT </w:instrText>
      </w:r>
      <w:r w:rsidR="0013686D" w:rsidRPr="00A23442">
        <w:rPr>
          <w:vertAlign w:val="superscript"/>
        </w:rPr>
      </w:r>
      <w:r w:rsidR="0013686D" w:rsidRPr="00A23442">
        <w:rPr>
          <w:vertAlign w:val="superscript"/>
        </w:rPr>
        <w:fldChar w:fldCharType="separate"/>
      </w:r>
      <w:r w:rsidR="00AA0519">
        <w:rPr>
          <w:vertAlign w:val="superscript"/>
        </w:rPr>
        <w:t>2</w:t>
      </w:r>
      <w:r w:rsidR="00AA0519" w:rsidRPr="00A23442">
        <w:rPr>
          <w:vertAlign w:val="superscript"/>
        </w:rPr>
        <w:t>]</w:t>
      </w:r>
      <w:r w:rsidR="0013686D" w:rsidRPr="00A23442">
        <w:rPr>
          <w:vertAlign w:val="superscript"/>
        </w:rPr>
        <w:fldChar w:fldCharType="end"/>
      </w:r>
      <w:r w:rsidR="0013686D" w:rsidRPr="00941165">
        <w:rPr>
          <w:rFonts w:hint="eastAsia"/>
        </w:rPr>
        <w:t>。最优薪酬合同是一种促进管理决策，使股东价值最大化的合同。这涉及到通过现金、股票和期权支付，让</w:t>
      </w:r>
      <w:r w:rsidR="0013686D" w:rsidRPr="00941165">
        <w:rPr>
          <w:rFonts w:hint="eastAsia"/>
        </w:rPr>
        <w:t>CEO</w:t>
      </w:r>
      <w:r w:rsidR="0013686D" w:rsidRPr="00941165">
        <w:rPr>
          <w:rFonts w:hint="eastAsia"/>
        </w:rPr>
        <w:t>面临不同的风险</w:t>
      </w:r>
      <w:r w:rsidR="0013686D" w:rsidRPr="00941165">
        <w:rPr>
          <w:rFonts w:hint="eastAsia"/>
        </w:rPr>
        <w:t>/</w:t>
      </w:r>
      <w:r w:rsidR="0013686D" w:rsidRPr="00941165">
        <w:rPr>
          <w:rFonts w:hint="eastAsia"/>
        </w:rPr>
        <w:t>回报激励组合，以缓解代理问题</w:t>
      </w:r>
      <w:r w:rsidR="0013686D" w:rsidRPr="00A0154C">
        <w:rPr>
          <w:vertAlign w:val="superscript"/>
        </w:rPr>
        <w:fldChar w:fldCharType="begin"/>
      </w:r>
      <w:r w:rsidR="0013686D" w:rsidRPr="00A0154C">
        <w:rPr>
          <w:vertAlign w:val="superscript"/>
        </w:rPr>
        <w:instrText xml:space="preserve"> </w:instrText>
      </w:r>
      <w:r w:rsidR="0013686D" w:rsidRPr="00A0154C">
        <w:rPr>
          <w:rFonts w:hint="eastAsia"/>
          <w:vertAlign w:val="superscript"/>
        </w:rPr>
        <w:instrText>REF _Ref102396547 \r \h</w:instrText>
      </w:r>
      <w:r w:rsidR="0013686D" w:rsidRPr="00A0154C">
        <w:rPr>
          <w:vertAlign w:val="superscript"/>
        </w:rPr>
        <w:instrText xml:space="preserve">  \* MERGEFORMAT </w:instrText>
      </w:r>
      <w:r w:rsidR="0013686D" w:rsidRPr="00A0154C">
        <w:rPr>
          <w:vertAlign w:val="superscript"/>
        </w:rPr>
      </w:r>
      <w:r w:rsidR="0013686D" w:rsidRPr="00A0154C">
        <w:rPr>
          <w:vertAlign w:val="superscript"/>
        </w:rPr>
        <w:fldChar w:fldCharType="separate"/>
      </w:r>
      <w:r w:rsidR="00AA0519">
        <w:rPr>
          <w:vertAlign w:val="superscript"/>
        </w:rPr>
        <w:t>[3]</w:t>
      </w:r>
      <w:r w:rsidR="0013686D" w:rsidRPr="00A0154C">
        <w:rPr>
          <w:vertAlign w:val="superscript"/>
        </w:rPr>
        <w:fldChar w:fldCharType="end"/>
      </w:r>
      <w:r w:rsidR="0013686D" w:rsidRPr="00941165">
        <w:rPr>
          <w:rFonts w:hint="eastAsia"/>
        </w:rPr>
        <w:t>。</w:t>
      </w:r>
      <w:r w:rsidR="0013686D">
        <w:rPr>
          <w:rFonts w:hint="eastAsia"/>
        </w:rPr>
        <w:t>总之，</w:t>
      </w:r>
      <w:r w:rsidR="0013686D" w:rsidRPr="0013686D">
        <w:rPr>
          <w:rFonts w:hint="eastAsia"/>
        </w:rPr>
        <w:t>目前高管股权激励被认为是解决企业代理问题的一种有效方式，而且管理者薪酬敏感性问题也是最优契约理论的一大重要内容，</w:t>
      </w:r>
      <w:r>
        <w:rPr>
          <w:rFonts w:hint="eastAsia"/>
        </w:rPr>
        <w:t>这自然引出了股权激励下最重要的两种效应——激励效应（</w:t>
      </w:r>
      <w:r>
        <w:rPr>
          <w:rFonts w:hint="eastAsia"/>
        </w:rPr>
        <w:t>Delta</w:t>
      </w:r>
      <w:r>
        <w:rPr>
          <w:rFonts w:hint="eastAsia"/>
        </w:rPr>
        <w:t>）和风险承担效应（</w:t>
      </w:r>
      <w:r>
        <w:rPr>
          <w:rFonts w:hint="eastAsia"/>
        </w:rPr>
        <w:t>Vega</w:t>
      </w:r>
      <w:r>
        <w:rPr>
          <w:rFonts w:hint="eastAsia"/>
        </w:rPr>
        <w:t>）的研究。</w:t>
      </w:r>
      <w:r>
        <w:rPr>
          <w:rFonts w:hint="eastAsia"/>
        </w:rPr>
        <w:t>Delta</w:t>
      </w:r>
      <w:r w:rsidRPr="00A30502">
        <w:rPr>
          <w:rFonts w:hint="eastAsia"/>
        </w:rPr>
        <w:t>的定义是，由于公司股票</w:t>
      </w:r>
      <w:r w:rsidR="003E38D6">
        <w:rPr>
          <w:rFonts w:hint="eastAsia"/>
        </w:rPr>
        <w:t>价格</w:t>
      </w:r>
      <w:r w:rsidRPr="00A30502">
        <w:rPr>
          <w:rFonts w:hint="eastAsia"/>
        </w:rPr>
        <w:t>增加</w:t>
      </w:r>
      <w:r w:rsidRPr="00A30502">
        <w:rPr>
          <w:rFonts w:hint="eastAsia"/>
        </w:rPr>
        <w:t>1%</w:t>
      </w:r>
      <w:r w:rsidRPr="00A30502">
        <w:rPr>
          <w:rFonts w:hint="eastAsia"/>
        </w:rPr>
        <w:t>，</w:t>
      </w:r>
      <w:r>
        <w:rPr>
          <w:rFonts w:hint="eastAsia"/>
        </w:rPr>
        <w:t>高管</w:t>
      </w:r>
      <w:r w:rsidRPr="00A30502">
        <w:rPr>
          <w:rFonts w:hint="eastAsia"/>
        </w:rPr>
        <w:t>的期权组合价值发生</w:t>
      </w:r>
      <w:r>
        <w:rPr>
          <w:rFonts w:hint="eastAsia"/>
        </w:rPr>
        <w:t>的</w:t>
      </w:r>
      <w:r w:rsidRPr="00A30502">
        <w:rPr>
          <w:rFonts w:hint="eastAsia"/>
        </w:rPr>
        <w:t>变化</w:t>
      </w:r>
      <w:r>
        <w:rPr>
          <w:rFonts w:hint="eastAsia"/>
        </w:rPr>
        <w:t>，</w:t>
      </w:r>
      <w:r w:rsidR="0013686D">
        <w:rPr>
          <w:rFonts w:hint="eastAsia"/>
        </w:rPr>
        <w:t>而</w:t>
      </w:r>
      <w:r w:rsidRPr="00A30502">
        <w:rPr>
          <w:rFonts w:hint="eastAsia"/>
        </w:rPr>
        <w:t>Vega</w:t>
      </w:r>
      <w:r w:rsidRPr="00A30502">
        <w:rPr>
          <w:rFonts w:hint="eastAsia"/>
        </w:rPr>
        <w:t>的定义是，由于公司股票波动率增加</w:t>
      </w:r>
      <w:r w:rsidRPr="00A30502">
        <w:rPr>
          <w:rFonts w:hint="eastAsia"/>
        </w:rPr>
        <w:t>1%</w:t>
      </w:r>
      <w:r w:rsidRPr="00A30502">
        <w:rPr>
          <w:rFonts w:hint="eastAsia"/>
        </w:rPr>
        <w:t>，</w:t>
      </w:r>
      <w:r>
        <w:rPr>
          <w:rFonts w:hint="eastAsia"/>
        </w:rPr>
        <w:t>高管</w:t>
      </w:r>
      <w:r w:rsidRPr="00A30502">
        <w:rPr>
          <w:rFonts w:hint="eastAsia"/>
        </w:rPr>
        <w:t>的期权组合价值发生</w:t>
      </w:r>
      <w:r>
        <w:rPr>
          <w:rFonts w:hint="eastAsia"/>
        </w:rPr>
        <w:t>的</w:t>
      </w:r>
      <w:r w:rsidRPr="00A30502">
        <w:rPr>
          <w:rFonts w:hint="eastAsia"/>
        </w:rPr>
        <w:t>变化</w:t>
      </w:r>
      <w:r w:rsidR="0013686D">
        <w:rPr>
          <w:rFonts w:hint="eastAsia"/>
        </w:rPr>
        <w:t>，所以很明显</w:t>
      </w:r>
      <w:r w:rsidR="0013686D">
        <w:rPr>
          <w:rFonts w:hint="eastAsia"/>
        </w:rPr>
        <w:t>Delta</w:t>
      </w:r>
      <w:r w:rsidR="0013686D">
        <w:rPr>
          <w:rFonts w:hint="eastAsia"/>
        </w:rPr>
        <w:t>和</w:t>
      </w:r>
      <w:r w:rsidR="0013686D">
        <w:rPr>
          <w:rFonts w:hint="eastAsia"/>
        </w:rPr>
        <w:t>Vega</w:t>
      </w:r>
      <w:r w:rsidR="0013686D">
        <w:rPr>
          <w:rFonts w:hint="eastAsia"/>
        </w:rPr>
        <w:t>自然而然成为衡量高管追求更高公司股价的激励效应和衡量高管追求更高公司风险的风险承担效应。</w:t>
      </w:r>
    </w:p>
    <w:p w14:paraId="3DA2A840" w14:textId="21659350" w:rsidR="00131903" w:rsidRPr="00FF02CA" w:rsidRDefault="00131903" w:rsidP="00FF02CA">
      <w:pPr>
        <w:ind w:firstLineChars="200" w:firstLine="480"/>
      </w:pPr>
      <w:bookmarkStart w:id="69" w:name="_Hlk103366234"/>
      <w:r>
        <w:rPr>
          <w:rFonts w:hint="eastAsia"/>
        </w:rPr>
        <w:t>在投资决策中，高管们针对公司所有者来说是风险规避者，高管们可能会为了自身薪酬的短期利益而放弃有利于公司长期发展的高风险投资项目，而股权激励的风险承担效应就可以缓解这种冲突，抑制高管的风险规避倾向，这一观点已经得到有效的证明</w:t>
      </w:r>
      <w:bookmarkEnd w:id="69"/>
      <w:r>
        <w:rPr>
          <w:rFonts w:hint="eastAsia"/>
        </w:rPr>
        <w:t>，例如</w:t>
      </w:r>
      <w:r w:rsidRPr="00131903">
        <w:rPr>
          <w:rFonts w:hint="eastAsia"/>
        </w:rPr>
        <w:t>Coles</w:t>
      </w:r>
      <w:r w:rsidRPr="00131903">
        <w:rPr>
          <w:rFonts w:hint="eastAsia"/>
        </w:rPr>
        <w:t>等人认为，更高的</w:t>
      </w:r>
      <w:r w:rsidRPr="00131903">
        <w:rPr>
          <w:rFonts w:hint="eastAsia"/>
        </w:rPr>
        <w:t>Vega</w:t>
      </w:r>
      <w:r w:rsidRPr="00131903">
        <w:rPr>
          <w:rFonts w:hint="eastAsia"/>
        </w:rPr>
        <w:t>会导致执行风险更高的公司政策，包括更高的研发支出、更少的资本支出、更集中的产品线和更高的杠杆率。</w:t>
      </w:r>
      <w:r>
        <w:rPr>
          <w:rFonts w:hint="eastAsia"/>
        </w:rPr>
        <w:t>而中国相关研究方面王栋（</w:t>
      </w:r>
      <w:r>
        <w:rPr>
          <w:rFonts w:hint="eastAsia"/>
        </w:rPr>
        <w:t>2</w:t>
      </w:r>
      <w:r>
        <w:t>016</w:t>
      </w:r>
      <w:r>
        <w:rPr>
          <w:rFonts w:hint="eastAsia"/>
        </w:rPr>
        <w:t>）等检验了这种高管股权激励和企业风险承担的关系。</w:t>
      </w:r>
    </w:p>
    <w:p w14:paraId="2917C09C" w14:textId="4548B0EE" w:rsidR="000D4E94" w:rsidRDefault="000D4E94" w:rsidP="00FF386C">
      <w:pPr>
        <w:pStyle w:val="2"/>
        <w:spacing w:before="163" w:after="163"/>
      </w:pPr>
      <w:bookmarkStart w:id="70" w:name="_Toc104478867"/>
      <w:r w:rsidRPr="00FF386C">
        <w:rPr>
          <w:rFonts w:cs="Times New Roman"/>
        </w:rPr>
        <w:t>2.</w:t>
      </w:r>
      <w:r w:rsidR="00FF02CA">
        <w:rPr>
          <w:rFonts w:cs="Times New Roman"/>
        </w:rPr>
        <w:t xml:space="preserve">2 </w:t>
      </w:r>
      <w:r w:rsidRPr="00FF386C">
        <w:rPr>
          <w:rFonts w:hint="eastAsia"/>
        </w:rPr>
        <w:t>股权激励</w:t>
      </w:r>
      <w:r w:rsidR="00FF386C" w:rsidRPr="00FF386C">
        <w:rPr>
          <w:rFonts w:hint="eastAsia"/>
        </w:rPr>
        <w:t>下高管激励效应对企业</w:t>
      </w:r>
      <w:r w:rsidR="00FF386C" w:rsidRPr="00FF386C">
        <w:rPr>
          <w:rFonts w:cs="Times New Roman"/>
        </w:rPr>
        <w:t>ESG</w:t>
      </w:r>
      <w:r w:rsidR="00FF386C" w:rsidRPr="00FF386C">
        <w:rPr>
          <w:rFonts w:hint="eastAsia"/>
        </w:rPr>
        <w:t>的影响机制分析</w:t>
      </w:r>
      <w:bookmarkEnd w:id="70"/>
    </w:p>
    <w:p w14:paraId="6393FC6D" w14:textId="301F063C" w:rsidR="00A160AF" w:rsidRDefault="000C3FFA" w:rsidP="00FF02CA">
      <w:pPr>
        <w:ind w:firstLineChars="200" w:firstLine="480"/>
      </w:pPr>
      <w:r>
        <w:rPr>
          <w:rFonts w:hint="eastAsia"/>
        </w:rPr>
        <w:t>按照上文研究所述</w:t>
      </w:r>
      <w:r w:rsidR="00A160AF" w:rsidRPr="00A160AF">
        <w:rPr>
          <w:rFonts w:hint="eastAsia"/>
        </w:rPr>
        <w:t>，</w:t>
      </w:r>
      <w:r>
        <w:rPr>
          <w:rFonts w:hint="eastAsia"/>
        </w:rPr>
        <w:t>企业</w:t>
      </w:r>
      <w:r w:rsidR="00A160AF" w:rsidRPr="00A160AF">
        <w:rPr>
          <w:rFonts w:hint="eastAsia"/>
        </w:rPr>
        <w:t>管理者</w:t>
      </w:r>
      <w:proofErr w:type="gramStart"/>
      <w:r>
        <w:rPr>
          <w:rFonts w:hint="eastAsia"/>
        </w:rPr>
        <w:t>按照长期</w:t>
      </w:r>
      <w:proofErr w:type="gramEnd"/>
      <w:r>
        <w:rPr>
          <w:rFonts w:hint="eastAsia"/>
        </w:rPr>
        <w:t>来看，</w:t>
      </w:r>
      <w:r w:rsidR="00A160AF" w:rsidRPr="00A160AF">
        <w:rPr>
          <w:rFonts w:hint="eastAsia"/>
        </w:rPr>
        <w:t>追求的是自身薪酬</w:t>
      </w:r>
      <w:r>
        <w:rPr>
          <w:rFonts w:hint="eastAsia"/>
        </w:rPr>
        <w:t>财富</w:t>
      </w:r>
      <w:r w:rsidR="00A160AF" w:rsidRPr="00A160AF">
        <w:rPr>
          <w:rFonts w:hint="eastAsia"/>
        </w:rPr>
        <w:t>的最大化，</w:t>
      </w:r>
      <w:r>
        <w:rPr>
          <w:rFonts w:hint="eastAsia"/>
        </w:rPr>
        <w:t>而</w:t>
      </w:r>
      <w:r w:rsidR="00A160AF" w:rsidRPr="00A160AF">
        <w:rPr>
          <w:rFonts w:hint="eastAsia"/>
        </w:rPr>
        <w:t>股权</w:t>
      </w:r>
      <w:r>
        <w:rPr>
          <w:rFonts w:hint="eastAsia"/>
        </w:rPr>
        <w:t>激励作为薪酬结构很重要的一环</w:t>
      </w:r>
      <w:r w:rsidR="00A160AF" w:rsidRPr="00A160AF">
        <w:rPr>
          <w:rFonts w:hint="eastAsia"/>
        </w:rPr>
        <w:t>，</w:t>
      </w:r>
      <w:r>
        <w:rPr>
          <w:rFonts w:hint="eastAsia"/>
        </w:rPr>
        <w:t>可见股权激励后企业</w:t>
      </w:r>
      <w:r w:rsidR="00A160AF" w:rsidRPr="00A160AF">
        <w:rPr>
          <w:rFonts w:hint="eastAsia"/>
        </w:rPr>
        <w:t>股价的增长成为高管</w:t>
      </w:r>
      <w:r>
        <w:rPr>
          <w:rFonts w:hint="eastAsia"/>
        </w:rPr>
        <w:t>最重视的目标之一</w:t>
      </w:r>
      <w:r w:rsidR="00A160AF" w:rsidRPr="00A160AF">
        <w:rPr>
          <w:rFonts w:hint="eastAsia"/>
        </w:rPr>
        <w:t>，然而</w:t>
      </w:r>
      <w:r>
        <w:rPr>
          <w:rFonts w:hint="eastAsia"/>
        </w:rPr>
        <w:t>企业</w:t>
      </w:r>
      <w:r w:rsidR="00A160AF" w:rsidRPr="00A160AF">
        <w:rPr>
          <w:rFonts w:hint="eastAsia"/>
        </w:rPr>
        <w:t>所有者</w:t>
      </w:r>
      <w:r>
        <w:rPr>
          <w:rFonts w:hint="eastAsia"/>
        </w:rPr>
        <w:t>的目标为企业的长期稳定发展</w:t>
      </w:r>
      <w:r w:rsidR="00A160AF" w:rsidRPr="00A160AF">
        <w:rPr>
          <w:rFonts w:hint="eastAsia"/>
        </w:rPr>
        <w:t>，</w:t>
      </w:r>
      <w:r>
        <w:rPr>
          <w:rFonts w:hint="eastAsia"/>
        </w:rPr>
        <w:t>这两个目</w:t>
      </w:r>
      <w:r>
        <w:rPr>
          <w:rFonts w:hint="eastAsia"/>
        </w:rPr>
        <w:lastRenderedPageBreak/>
        <w:t>标之间的差异可能会</w:t>
      </w:r>
      <w:r w:rsidR="00A160AF" w:rsidRPr="00A160AF">
        <w:rPr>
          <w:rFonts w:hint="eastAsia"/>
        </w:rPr>
        <w:t>导致</w:t>
      </w:r>
      <w:r>
        <w:rPr>
          <w:rFonts w:hint="eastAsia"/>
        </w:rPr>
        <w:t>企业</w:t>
      </w:r>
      <w:r w:rsidR="00A160AF" w:rsidRPr="00A160AF">
        <w:rPr>
          <w:rFonts w:hint="eastAsia"/>
        </w:rPr>
        <w:t>高管</w:t>
      </w:r>
      <w:r w:rsidR="00333260">
        <w:rPr>
          <w:rFonts w:hint="eastAsia"/>
        </w:rPr>
        <w:t>在股权激励方案实施后为了自身利益而采取各种方法</w:t>
      </w:r>
      <w:r w:rsidR="00A160AF" w:rsidRPr="00A160AF">
        <w:rPr>
          <w:rFonts w:hint="eastAsia"/>
        </w:rPr>
        <w:t>抬高</w:t>
      </w:r>
      <w:r w:rsidR="00333260">
        <w:rPr>
          <w:rFonts w:hint="eastAsia"/>
        </w:rPr>
        <w:t>企业</w:t>
      </w:r>
      <w:r w:rsidR="00A160AF" w:rsidRPr="00A160AF">
        <w:rPr>
          <w:rFonts w:hint="eastAsia"/>
        </w:rPr>
        <w:t>股价</w:t>
      </w:r>
      <w:r w:rsidR="006F3155">
        <w:rPr>
          <w:rFonts w:hint="eastAsia"/>
        </w:rPr>
        <w:t>，因为</w:t>
      </w:r>
      <w:r w:rsidR="006F3155" w:rsidRPr="006F3155">
        <w:rPr>
          <w:rFonts w:hint="eastAsia"/>
        </w:rPr>
        <w:t>股价下跌对高</w:t>
      </w:r>
      <w:r w:rsidR="006F3155">
        <w:rPr>
          <w:rFonts w:hint="eastAsia"/>
        </w:rPr>
        <w:t>D</w:t>
      </w:r>
      <w:r w:rsidR="006F3155" w:rsidRPr="006F3155">
        <w:rPr>
          <w:rFonts w:hint="eastAsia"/>
        </w:rPr>
        <w:t>elta</w:t>
      </w:r>
      <w:r w:rsidR="006F3155">
        <w:rPr>
          <w:rFonts w:hint="eastAsia"/>
        </w:rPr>
        <w:t>的高管的</w:t>
      </w:r>
      <w:r w:rsidR="006F3155" w:rsidRPr="006F3155">
        <w:rPr>
          <w:rFonts w:hint="eastAsia"/>
        </w:rPr>
        <w:t>财富的</w:t>
      </w:r>
      <w:r w:rsidR="006F3155">
        <w:rPr>
          <w:rFonts w:hint="eastAsia"/>
        </w:rPr>
        <w:t>负面</w:t>
      </w:r>
      <w:r w:rsidR="006F3155" w:rsidRPr="006F3155">
        <w:rPr>
          <w:rFonts w:hint="eastAsia"/>
        </w:rPr>
        <w:t>影响是立竿见影的。</w:t>
      </w:r>
    </w:p>
    <w:p w14:paraId="3B4FAD67" w14:textId="52A87E9F" w:rsidR="00391762" w:rsidRPr="00391762" w:rsidRDefault="00391762" w:rsidP="009739EF">
      <w:pPr>
        <w:ind w:firstLineChars="200" w:firstLine="480"/>
      </w:pPr>
      <w:r w:rsidRPr="00391762">
        <w:rPr>
          <w:rFonts w:hint="eastAsia"/>
        </w:rPr>
        <w:t>有关</w:t>
      </w:r>
      <w:r w:rsidR="006F3155">
        <w:rPr>
          <w:rFonts w:hint="eastAsia"/>
        </w:rPr>
        <w:t>ESG</w:t>
      </w:r>
      <w:r w:rsidRPr="00391762">
        <w:rPr>
          <w:rFonts w:hint="eastAsia"/>
        </w:rPr>
        <w:t>相关薪酬的新兴文献提供了几个可能促使公司将高管薪酬与</w:t>
      </w:r>
      <w:r w:rsidR="006F3155">
        <w:rPr>
          <w:rFonts w:hint="eastAsia"/>
        </w:rPr>
        <w:t>ESG</w:t>
      </w:r>
      <w:r w:rsidR="006F3155">
        <w:rPr>
          <w:rFonts w:hint="eastAsia"/>
        </w:rPr>
        <w:t>表现</w:t>
      </w:r>
      <w:r w:rsidRPr="00391762">
        <w:rPr>
          <w:rFonts w:hint="eastAsia"/>
        </w:rPr>
        <w:t>目标联系起来的原因。最大的驱动力是，企业</w:t>
      </w:r>
      <w:r w:rsidR="006F3155">
        <w:rPr>
          <w:rFonts w:hint="eastAsia"/>
        </w:rPr>
        <w:t>ESG</w:t>
      </w:r>
      <w:r w:rsidR="006F3155">
        <w:rPr>
          <w:rFonts w:hint="eastAsia"/>
        </w:rPr>
        <w:t>环境</w:t>
      </w:r>
      <w:r w:rsidRPr="00391762">
        <w:rPr>
          <w:rFonts w:hint="eastAsia"/>
        </w:rPr>
        <w:t>对企业长期价值和生存有积极影响，从而揭示了企业</w:t>
      </w:r>
      <w:r w:rsidR="006F3155">
        <w:rPr>
          <w:rFonts w:hint="eastAsia"/>
        </w:rPr>
        <w:t>ESG</w:t>
      </w:r>
      <w:r w:rsidRPr="00391762">
        <w:rPr>
          <w:rFonts w:hint="eastAsia"/>
        </w:rPr>
        <w:t>活动的重要性。公司董事会正通过将高管薪酬与</w:t>
      </w:r>
      <w:r w:rsidR="006F3155">
        <w:rPr>
          <w:rFonts w:hint="eastAsia"/>
        </w:rPr>
        <w:t>ESG</w:t>
      </w:r>
      <w:r w:rsidR="006F3155">
        <w:rPr>
          <w:rFonts w:hint="eastAsia"/>
        </w:rPr>
        <w:t>表现</w:t>
      </w:r>
      <w:r w:rsidRPr="00391762">
        <w:rPr>
          <w:rFonts w:hint="eastAsia"/>
        </w:rPr>
        <w:t>挂钩来应对这一变化。尽管管理者认识到</w:t>
      </w:r>
      <w:r w:rsidR="006F3155">
        <w:rPr>
          <w:rFonts w:hint="eastAsia"/>
        </w:rPr>
        <w:t>ESG</w:t>
      </w:r>
      <w:r w:rsidR="006F3155">
        <w:rPr>
          <w:rFonts w:hint="eastAsia"/>
        </w:rPr>
        <w:t>环境</w:t>
      </w:r>
      <w:r w:rsidRPr="00391762">
        <w:rPr>
          <w:rFonts w:hint="eastAsia"/>
        </w:rPr>
        <w:t>的重要性，但出于几个原因，他们可能不会投资于企业社会责任</w:t>
      </w:r>
      <w:r w:rsidR="00FF517A">
        <w:rPr>
          <w:rFonts w:hint="eastAsia"/>
        </w:rPr>
        <w:t>等</w:t>
      </w:r>
      <w:r w:rsidRPr="00391762">
        <w:rPr>
          <w:rFonts w:hint="eastAsia"/>
        </w:rPr>
        <w:t>活动。首先，企业社会责任是一项长期投资（</w:t>
      </w:r>
      <w:r w:rsidRPr="00391762">
        <w:rPr>
          <w:rFonts w:hint="eastAsia"/>
        </w:rPr>
        <w:t>Nguyen</w:t>
      </w:r>
      <w:r w:rsidRPr="00391762">
        <w:rPr>
          <w:rFonts w:hint="eastAsia"/>
        </w:rPr>
        <w:t>，</w:t>
      </w:r>
      <w:r w:rsidRPr="00391762">
        <w:rPr>
          <w:rFonts w:hint="eastAsia"/>
        </w:rPr>
        <w:t>2020</w:t>
      </w:r>
      <w:r w:rsidRPr="00391762">
        <w:rPr>
          <w:rFonts w:hint="eastAsia"/>
        </w:rPr>
        <w:t>），其收益可能不会在短期内累积，因为对环境、员工关系或环保产品的影响可能需要很长时间。第二，资本市场可能无法正确评估企业社会责任投资，因为它们的影响可能不是有形的，而且需要很长时间才能看到它们对企业价值的影响。</w:t>
      </w:r>
    </w:p>
    <w:p w14:paraId="58DF5CD0" w14:textId="097B7B11" w:rsidR="00E907F9" w:rsidRDefault="00E907F9" w:rsidP="009739EF">
      <w:pPr>
        <w:ind w:firstLineChars="200" w:firstLine="480"/>
      </w:pPr>
      <w:r w:rsidRPr="00E907F9">
        <w:rPr>
          <w:rFonts w:hint="eastAsia"/>
        </w:rPr>
        <w:t>Core</w:t>
      </w:r>
      <w:r w:rsidR="000366B0">
        <w:rPr>
          <w:rFonts w:hint="eastAsia"/>
        </w:rPr>
        <w:t>等</w:t>
      </w:r>
      <w:r w:rsidR="00207AFD" w:rsidRPr="00207AFD">
        <w:rPr>
          <w:vertAlign w:val="superscript"/>
        </w:rPr>
        <w:fldChar w:fldCharType="begin"/>
      </w:r>
      <w:r w:rsidR="00207AFD" w:rsidRPr="00207AFD">
        <w:rPr>
          <w:vertAlign w:val="superscript"/>
        </w:rPr>
        <w:instrText xml:space="preserve"> </w:instrText>
      </w:r>
      <w:r w:rsidR="00207AFD" w:rsidRPr="00207AFD">
        <w:rPr>
          <w:rFonts w:hint="eastAsia"/>
          <w:vertAlign w:val="superscript"/>
        </w:rPr>
        <w:instrText>REF _Ref102397198 \r \h</w:instrText>
      </w:r>
      <w:r w:rsidR="00207AFD" w:rsidRPr="00207AFD">
        <w:rPr>
          <w:vertAlign w:val="superscript"/>
        </w:rPr>
        <w:instrText xml:space="preserve"> </w:instrText>
      </w:r>
      <w:r w:rsidR="00207AFD">
        <w:rPr>
          <w:vertAlign w:val="superscript"/>
        </w:rPr>
        <w:instrText xml:space="preserve"> \* MERGEFORMAT </w:instrText>
      </w:r>
      <w:r w:rsidR="00207AFD" w:rsidRPr="00207AFD">
        <w:rPr>
          <w:vertAlign w:val="superscript"/>
        </w:rPr>
      </w:r>
      <w:r w:rsidR="00207AFD" w:rsidRPr="00207AFD">
        <w:rPr>
          <w:vertAlign w:val="superscript"/>
        </w:rPr>
        <w:fldChar w:fldCharType="separate"/>
      </w:r>
      <w:r w:rsidR="00AA0519">
        <w:rPr>
          <w:vertAlign w:val="superscript"/>
        </w:rPr>
        <w:t>[19]</w:t>
      </w:r>
      <w:r w:rsidR="00207AFD" w:rsidRPr="00207AFD">
        <w:rPr>
          <w:vertAlign w:val="superscript"/>
        </w:rPr>
        <w:fldChar w:fldCharType="end"/>
      </w:r>
      <w:r w:rsidRPr="00E907F9">
        <w:rPr>
          <w:rFonts w:hint="eastAsia"/>
        </w:rPr>
        <w:t>表明，高</w:t>
      </w:r>
      <w:r w:rsidR="00333260">
        <w:t>D</w:t>
      </w:r>
      <w:r w:rsidRPr="00E907F9">
        <w:rPr>
          <w:rFonts w:hint="eastAsia"/>
        </w:rPr>
        <w:t>elta</w:t>
      </w:r>
      <w:r w:rsidRPr="00E907F9">
        <w:rPr>
          <w:rFonts w:hint="eastAsia"/>
        </w:rPr>
        <w:t>会导致</w:t>
      </w:r>
      <w:r w:rsidR="00333260">
        <w:rPr>
          <w:rFonts w:hint="eastAsia"/>
        </w:rPr>
        <w:t>企业高管追求更</w:t>
      </w:r>
      <w:r w:rsidRPr="00E907F9">
        <w:rPr>
          <w:rFonts w:hint="eastAsia"/>
        </w:rPr>
        <w:t>保守的政策，例如，</w:t>
      </w:r>
      <w:r w:rsidR="00333260">
        <w:rPr>
          <w:rFonts w:hint="eastAsia"/>
        </w:rPr>
        <w:t>D</w:t>
      </w:r>
      <w:r w:rsidRPr="00E907F9">
        <w:rPr>
          <w:rFonts w:hint="eastAsia"/>
        </w:rPr>
        <w:t>elta</w:t>
      </w:r>
      <w:r w:rsidRPr="00E907F9">
        <w:rPr>
          <w:rFonts w:hint="eastAsia"/>
        </w:rPr>
        <w:t>较高的</w:t>
      </w:r>
      <w:r w:rsidRPr="00E907F9">
        <w:rPr>
          <w:rFonts w:hint="eastAsia"/>
        </w:rPr>
        <w:t>CEO</w:t>
      </w:r>
      <w:r w:rsidRPr="00E907F9">
        <w:rPr>
          <w:rFonts w:hint="eastAsia"/>
        </w:rPr>
        <w:t>往往会进行更多对冲</w:t>
      </w:r>
      <w:r w:rsidR="00333260">
        <w:rPr>
          <w:rFonts w:hint="eastAsia"/>
        </w:rPr>
        <w:t>行为</w:t>
      </w:r>
      <w:r w:rsidRPr="00E907F9">
        <w:rPr>
          <w:rFonts w:hint="eastAsia"/>
        </w:rPr>
        <w:t>，</w:t>
      </w:r>
      <w:r w:rsidR="00AA5BEA" w:rsidRPr="00AA5BEA">
        <w:rPr>
          <w:rFonts w:hint="eastAsia"/>
        </w:rPr>
        <w:t>资本支出越低，研发和杠杆率越高</w:t>
      </w:r>
      <w:r w:rsidRPr="00E907F9">
        <w:rPr>
          <w:rFonts w:hint="eastAsia"/>
        </w:rPr>
        <w:t>。因此，</w:t>
      </w:r>
      <w:r w:rsidR="00FF517A">
        <w:rPr>
          <w:rFonts w:hint="eastAsia"/>
        </w:rPr>
        <w:t>本文</w:t>
      </w:r>
      <w:r w:rsidRPr="00E907F9">
        <w:rPr>
          <w:rFonts w:hint="eastAsia"/>
        </w:rPr>
        <w:t>预计高</w:t>
      </w:r>
      <w:r w:rsidR="00333260">
        <w:rPr>
          <w:rFonts w:hint="eastAsia"/>
        </w:rPr>
        <w:t>D</w:t>
      </w:r>
      <w:r w:rsidRPr="00E907F9">
        <w:rPr>
          <w:rFonts w:hint="eastAsia"/>
        </w:rPr>
        <w:t>elta</w:t>
      </w:r>
      <w:r w:rsidRPr="00E907F9">
        <w:rPr>
          <w:rFonts w:hint="eastAsia"/>
        </w:rPr>
        <w:t>的</w:t>
      </w:r>
      <w:r w:rsidR="00333260">
        <w:rPr>
          <w:rFonts w:hint="eastAsia"/>
        </w:rPr>
        <w:t>高管的政策会导致更低的企业</w:t>
      </w:r>
      <w:r w:rsidR="00333260">
        <w:rPr>
          <w:rFonts w:hint="eastAsia"/>
        </w:rPr>
        <w:t>ESG</w:t>
      </w:r>
      <w:r w:rsidR="00333260">
        <w:rPr>
          <w:rFonts w:hint="eastAsia"/>
        </w:rPr>
        <w:t>表现。</w:t>
      </w:r>
      <w:r w:rsidRPr="00E907F9">
        <w:rPr>
          <w:rFonts w:hint="eastAsia"/>
        </w:rPr>
        <w:t>因为与投资</w:t>
      </w:r>
      <w:r w:rsidR="006F3155">
        <w:rPr>
          <w:rFonts w:hint="eastAsia"/>
        </w:rPr>
        <w:t>ESG</w:t>
      </w:r>
      <w:r w:rsidR="006F3155">
        <w:rPr>
          <w:rFonts w:hint="eastAsia"/>
        </w:rPr>
        <w:t>相关项目</w:t>
      </w:r>
      <w:r w:rsidRPr="00E907F9">
        <w:rPr>
          <w:rFonts w:hint="eastAsia"/>
        </w:rPr>
        <w:t>相比，</w:t>
      </w:r>
      <w:r w:rsidR="006F3155">
        <w:rPr>
          <w:rFonts w:hint="eastAsia"/>
        </w:rPr>
        <w:t>高管们可能</w:t>
      </w:r>
      <w:r w:rsidRPr="00E907F9">
        <w:rPr>
          <w:rFonts w:hint="eastAsia"/>
        </w:rPr>
        <w:t>认为</w:t>
      </w:r>
      <w:r w:rsidR="006F3155">
        <w:rPr>
          <w:rFonts w:hint="eastAsia"/>
        </w:rPr>
        <w:t>风险更小的项目</w:t>
      </w:r>
      <w:r w:rsidRPr="00E907F9">
        <w:rPr>
          <w:rFonts w:hint="eastAsia"/>
        </w:rPr>
        <w:t>是一项</w:t>
      </w:r>
      <w:r w:rsidR="006F3155">
        <w:rPr>
          <w:rFonts w:hint="eastAsia"/>
        </w:rPr>
        <w:t>更为</w:t>
      </w:r>
      <w:r w:rsidRPr="00E907F9">
        <w:rPr>
          <w:rFonts w:hint="eastAsia"/>
        </w:rPr>
        <w:t>保守的政策。</w:t>
      </w:r>
    </w:p>
    <w:p w14:paraId="0DD3C00A" w14:textId="52A1ABE6" w:rsidR="006F3155" w:rsidRPr="00E907F9" w:rsidRDefault="006F3155" w:rsidP="00207AFD">
      <w:pPr>
        <w:ind w:firstLineChars="200" w:firstLine="480"/>
      </w:pPr>
      <w:r w:rsidRPr="006F3155">
        <w:rPr>
          <w:rFonts w:hint="eastAsia"/>
        </w:rPr>
        <w:t>基于上述股权激励</w:t>
      </w:r>
      <w:r w:rsidR="009739EF">
        <w:rPr>
          <w:rFonts w:hint="eastAsia"/>
        </w:rPr>
        <w:t>下高管</w:t>
      </w:r>
      <w:r w:rsidRPr="006F3155">
        <w:rPr>
          <w:rFonts w:hint="eastAsia"/>
        </w:rPr>
        <w:t>的激励效应</w:t>
      </w:r>
      <w:r w:rsidRPr="006F3155">
        <w:rPr>
          <w:rFonts w:hint="eastAsia"/>
        </w:rPr>
        <w:t xml:space="preserve"> Delta</w:t>
      </w:r>
      <w:r w:rsidR="009739EF">
        <w:rPr>
          <w:rFonts w:hint="eastAsia"/>
        </w:rPr>
        <w:t>与企业</w:t>
      </w:r>
      <w:r w:rsidR="009739EF">
        <w:rPr>
          <w:rFonts w:hint="eastAsia"/>
        </w:rPr>
        <w:t>ESG</w:t>
      </w:r>
      <w:r w:rsidRPr="006F3155">
        <w:rPr>
          <w:rFonts w:hint="eastAsia"/>
        </w:rPr>
        <w:t>的理论分析，本文认为股权激励</w:t>
      </w:r>
      <w:r w:rsidR="009739EF">
        <w:rPr>
          <w:rFonts w:hint="eastAsia"/>
        </w:rPr>
        <w:t>下高管的激励效应（</w:t>
      </w:r>
      <w:r w:rsidR="009739EF">
        <w:rPr>
          <w:rFonts w:hint="eastAsia"/>
        </w:rPr>
        <w:t>Delta</w:t>
      </w:r>
      <w:r w:rsidR="009739EF">
        <w:rPr>
          <w:rFonts w:hint="eastAsia"/>
        </w:rPr>
        <w:t>）越高，企业</w:t>
      </w:r>
      <w:r w:rsidR="009739EF">
        <w:rPr>
          <w:rFonts w:hint="eastAsia"/>
        </w:rPr>
        <w:t>ESG</w:t>
      </w:r>
      <w:r w:rsidR="009739EF">
        <w:rPr>
          <w:rFonts w:hint="eastAsia"/>
        </w:rPr>
        <w:t>表现越差，</w:t>
      </w:r>
      <w:r w:rsidRPr="006F3155">
        <w:rPr>
          <w:rFonts w:hint="eastAsia"/>
        </w:rPr>
        <w:t>因此提出：</w:t>
      </w:r>
    </w:p>
    <w:p w14:paraId="7055F3B8" w14:textId="40941782" w:rsidR="00FF386C" w:rsidRDefault="009739EF" w:rsidP="00FF386C">
      <w:pPr>
        <w:ind w:left="120" w:firstLineChars="100" w:firstLine="240"/>
        <w:rPr>
          <w:rFonts w:ascii="宋体" w:hAnsi="宋体"/>
        </w:rPr>
      </w:pPr>
      <w:r>
        <w:rPr>
          <w:rFonts w:ascii="宋体" w:hAnsi="宋体" w:hint="eastAsia"/>
        </w:rPr>
        <w:t>假设1</w:t>
      </w:r>
      <w:r w:rsidR="00FF386C" w:rsidRPr="001368A2">
        <w:rPr>
          <w:rFonts w:ascii="宋体" w:hAnsi="宋体" w:hint="eastAsia"/>
        </w:rPr>
        <w:t>：较高的高管财富</w:t>
      </w:r>
      <w:proofErr w:type="gramStart"/>
      <w:r w:rsidR="00FF386C" w:rsidRPr="001368A2">
        <w:rPr>
          <w:rFonts w:ascii="宋体" w:hAnsi="宋体" w:hint="eastAsia"/>
        </w:rPr>
        <w:t>—股票</w:t>
      </w:r>
      <w:proofErr w:type="gramEnd"/>
      <w:r w:rsidR="00FF386C">
        <w:rPr>
          <w:rFonts w:ascii="宋体" w:hAnsi="宋体" w:hint="eastAsia"/>
        </w:rPr>
        <w:t>价格</w:t>
      </w:r>
      <w:r w:rsidR="00FF386C" w:rsidRPr="001368A2">
        <w:rPr>
          <w:rFonts w:ascii="宋体" w:hAnsi="宋体" w:hint="eastAsia"/>
        </w:rPr>
        <w:t>的敏感性 (</w:t>
      </w:r>
      <w:r w:rsidR="00FF386C">
        <w:rPr>
          <w:rFonts w:ascii="宋体" w:hAnsi="宋体" w:hint="eastAsia"/>
        </w:rPr>
        <w:t>Delta</w:t>
      </w:r>
      <w:r w:rsidR="00FF386C" w:rsidRPr="001368A2">
        <w:rPr>
          <w:rFonts w:ascii="宋体" w:hAnsi="宋体" w:hint="eastAsia"/>
        </w:rPr>
        <w:t>) 会导致较</w:t>
      </w:r>
      <w:r w:rsidR="00FF386C">
        <w:rPr>
          <w:rFonts w:ascii="宋体" w:hAnsi="宋体" w:hint="eastAsia"/>
        </w:rPr>
        <w:t>低</w:t>
      </w:r>
      <w:r w:rsidR="00FF386C" w:rsidRPr="001368A2">
        <w:rPr>
          <w:rFonts w:ascii="宋体" w:hAnsi="宋体" w:hint="eastAsia"/>
        </w:rPr>
        <w:t>的</w:t>
      </w:r>
      <w:r w:rsidR="00FF386C">
        <w:rPr>
          <w:rFonts w:ascii="宋体" w:hAnsi="宋体" w:hint="eastAsia"/>
        </w:rPr>
        <w:t>ESG评分。</w:t>
      </w:r>
    </w:p>
    <w:p w14:paraId="33F9304D" w14:textId="2CE0F85F" w:rsidR="009739EF" w:rsidRDefault="00FF386C" w:rsidP="009739EF">
      <w:pPr>
        <w:pStyle w:val="2"/>
        <w:spacing w:before="163" w:after="163"/>
      </w:pPr>
      <w:bookmarkStart w:id="71" w:name="_Toc104478868"/>
      <w:r w:rsidRPr="00FF386C">
        <w:rPr>
          <w:rFonts w:cs="Times New Roman"/>
        </w:rPr>
        <w:t>2.</w:t>
      </w:r>
      <w:r w:rsidR="00B81A36">
        <w:rPr>
          <w:rFonts w:cs="Times New Roman"/>
        </w:rPr>
        <w:t xml:space="preserve">3 </w:t>
      </w:r>
      <w:r w:rsidRPr="00FF386C">
        <w:rPr>
          <w:rFonts w:hint="eastAsia"/>
        </w:rPr>
        <w:t>股权激励下高管</w:t>
      </w:r>
      <w:r>
        <w:rPr>
          <w:rFonts w:hint="eastAsia"/>
        </w:rPr>
        <w:t>风险承担</w:t>
      </w:r>
      <w:r w:rsidRPr="00FF386C">
        <w:rPr>
          <w:rFonts w:hint="eastAsia"/>
        </w:rPr>
        <w:t>效应对企业</w:t>
      </w:r>
      <w:r w:rsidRPr="00FF386C">
        <w:rPr>
          <w:rFonts w:cs="Times New Roman"/>
        </w:rPr>
        <w:t>ESG</w:t>
      </w:r>
      <w:r w:rsidRPr="00FF386C">
        <w:rPr>
          <w:rFonts w:hint="eastAsia"/>
        </w:rPr>
        <w:t>的影响机制分析</w:t>
      </w:r>
      <w:bookmarkEnd w:id="71"/>
    </w:p>
    <w:p w14:paraId="6355DBAB" w14:textId="208A9445" w:rsidR="009D1197" w:rsidRDefault="009D1197" w:rsidP="00207AFD">
      <w:pPr>
        <w:ind w:firstLineChars="200" w:firstLine="480"/>
      </w:pPr>
      <w:r>
        <w:rPr>
          <w:rFonts w:hint="eastAsia"/>
        </w:rPr>
        <w:t>正如上文所述，</w:t>
      </w:r>
      <w:r w:rsidRPr="009D1197">
        <w:rPr>
          <w:rFonts w:hint="eastAsia"/>
        </w:rPr>
        <w:t>基于股权</w:t>
      </w:r>
      <w:r>
        <w:rPr>
          <w:rFonts w:hint="eastAsia"/>
        </w:rPr>
        <w:t>的激励</w:t>
      </w:r>
      <w:r w:rsidRPr="009D1197">
        <w:rPr>
          <w:rFonts w:hint="eastAsia"/>
        </w:rPr>
        <w:t>有可能使</w:t>
      </w:r>
      <w:r>
        <w:rPr>
          <w:rFonts w:hint="eastAsia"/>
        </w:rPr>
        <w:t>企业</w:t>
      </w:r>
      <w:r w:rsidRPr="009D1197">
        <w:rPr>
          <w:rFonts w:hint="eastAsia"/>
        </w:rPr>
        <w:t>管理者的</w:t>
      </w:r>
      <w:r>
        <w:rPr>
          <w:rFonts w:hint="eastAsia"/>
        </w:rPr>
        <w:t>目标</w:t>
      </w:r>
      <w:r w:rsidRPr="009D1197">
        <w:rPr>
          <w:rFonts w:hint="eastAsia"/>
        </w:rPr>
        <w:t>与股东的</w:t>
      </w:r>
      <w:r>
        <w:rPr>
          <w:rFonts w:hint="eastAsia"/>
        </w:rPr>
        <w:t>目标</w:t>
      </w:r>
      <w:r w:rsidRPr="009D1197">
        <w:rPr>
          <w:rFonts w:hint="eastAsia"/>
        </w:rPr>
        <w:t>保持一致。之前的文献提出，使用</w:t>
      </w:r>
      <w:r>
        <w:rPr>
          <w:rFonts w:hint="eastAsia"/>
        </w:rPr>
        <w:t>股权激励下的高管风险承担效应，</w:t>
      </w:r>
      <w:r w:rsidRPr="009D1197">
        <w:rPr>
          <w:rFonts w:hint="eastAsia"/>
        </w:rPr>
        <w:t>可以克服</w:t>
      </w:r>
      <w:r>
        <w:rPr>
          <w:rFonts w:hint="eastAsia"/>
        </w:rPr>
        <w:t>高管的</w:t>
      </w:r>
      <w:r w:rsidRPr="009D1197">
        <w:rPr>
          <w:rFonts w:hint="eastAsia"/>
        </w:rPr>
        <w:t>管理风险厌恶</w:t>
      </w:r>
      <w:r w:rsidR="00B81A36">
        <w:rPr>
          <w:rFonts w:hint="eastAsia"/>
        </w:rPr>
        <w:t>和短视行为</w:t>
      </w:r>
      <w:r w:rsidRPr="009D1197">
        <w:rPr>
          <w:rFonts w:hint="eastAsia"/>
        </w:rPr>
        <w:t>，鼓励冒险行为</w:t>
      </w:r>
      <w:r w:rsidR="00B81A36">
        <w:rPr>
          <w:rFonts w:hint="eastAsia"/>
        </w:rPr>
        <w:t>。具体而言，</w:t>
      </w:r>
      <w:r w:rsidR="00B81A36" w:rsidRPr="00B81A36">
        <w:rPr>
          <w:rFonts w:hint="eastAsia"/>
        </w:rPr>
        <w:t>在投资决策中，高管们针对公司所有者来说是风险规避者，高管们可能会为了自身薪酬的短期利益而放弃有利于公司长期发展的高风险投资项目，而股权激励的风险承担效应就可以缓解这</w:t>
      </w:r>
      <w:r w:rsidR="00B81A36" w:rsidRPr="00B81A36">
        <w:rPr>
          <w:rFonts w:hint="eastAsia"/>
        </w:rPr>
        <w:lastRenderedPageBreak/>
        <w:t>种冲突，抑制高管的风险规避倾向</w:t>
      </w:r>
      <w:r w:rsidRPr="009D1197">
        <w:rPr>
          <w:rFonts w:hint="eastAsia"/>
        </w:rPr>
        <w:t>。</w:t>
      </w:r>
    </w:p>
    <w:p w14:paraId="2D12147D" w14:textId="12EC186E" w:rsidR="00FF517A" w:rsidRDefault="009739EF" w:rsidP="00207AFD">
      <w:pPr>
        <w:ind w:firstLineChars="200" w:firstLine="480"/>
      </w:pPr>
      <w:r w:rsidRPr="00E907F9">
        <w:rPr>
          <w:rFonts w:hint="eastAsia"/>
        </w:rPr>
        <w:t>Core</w:t>
      </w:r>
      <w:r w:rsidR="000366B0">
        <w:rPr>
          <w:rFonts w:hint="eastAsia"/>
        </w:rPr>
        <w:t>等</w:t>
      </w:r>
      <w:r w:rsidR="00207AFD" w:rsidRPr="00207AFD">
        <w:rPr>
          <w:vertAlign w:val="superscript"/>
        </w:rPr>
        <w:fldChar w:fldCharType="begin"/>
      </w:r>
      <w:r w:rsidR="00207AFD" w:rsidRPr="00207AFD">
        <w:rPr>
          <w:vertAlign w:val="superscript"/>
        </w:rPr>
        <w:instrText xml:space="preserve"> </w:instrText>
      </w:r>
      <w:r w:rsidR="00207AFD" w:rsidRPr="00207AFD">
        <w:rPr>
          <w:rFonts w:hint="eastAsia"/>
          <w:vertAlign w:val="superscript"/>
        </w:rPr>
        <w:instrText>REF _Ref102397198 \r \h</w:instrText>
      </w:r>
      <w:r w:rsidR="00207AFD" w:rsidRPr="00207AFD">
        <w:rPr>
          <w:vertAlign w:val="superscript"/>
        </w:rPr>
        <w:instrText xml:space="preserve"> </w:instrText>
      </w:r>
      <w:r w:rsidR="00207AFD">
        <w:rPr>
          <w:vertAlign w:val="superscript"/>
        </w:rPr>
        <w:instrText xml:space="preserve"> \* MERGEFORMAT </w:instrText>
      </w:r>
      <w:r w:rsidR="00207AFD" w:rsidRPr="00207AFD">
        <w:rPr>
          <w:vertAlign w:val="superscript"/>
        </w:rPr>
      </w:r>
      <w:r w:rsidR="00207AFD" w:rsidRPr="00207AFD">
        <w:rPr>
          <w:vertAlign w:val="superscript"/>
        </w:rPr>
        <w:fldChar w:fldCharType="separate"/>
      </w:r>
      <w:r w:rsidR="00AA0519">
        <w:rPr>
          <w:vertAlign w:val="superscript"/>
        </w:rPr>
        <w:t>[19]</w:t>
      </w:r>
      <w:r w:rsidR="00207AFD" w:rsidRPr="00207AFD">
        <w:rPr>
          <w:vertAlign w:val="superscript"/>
        </w:rPr>
        <w:fldChar w:fldCharType="end"/>
      </w:r>
      <w:r w:rsidRPr="00E907F9">
        <w:rPr>
          <w:rFonts w:hint="eastAsia"/>
        </w:rPr>
        <w:t>表明，高</w:t>
      </w:r>
      <w:r>
        <w:rPr>
          <w:rFonts w:hint="eastAsia"/>
        </w:rPr>
        <w:t>V</w:t>
      </w:r>
      <w:r w:rsidRPr="00E907F9">
        <w:rPr>
          <w:rFonts w:hint="eastAsia"/>
        </w:rPr>
        <w:t>ega</w:t>
      </w:r>
      <w:r w:rsidRPr="00E907F9">
        <w:rPr>
          <w:rFonts w:hint="eastAsia"/>
        </w:rPr>
        <w:t>会提高</w:t>
      </w:r>
      <w:r w:rsidRPr="00E907F9">
        <w:rPr>
          <w:rFonts w:hint="eastAsia"/>
        </w:rPr>
        <w:t>CEO</w:t>
      </w:r>
      <w:r w:rsidRPr="00E907F9">
        <w:rPr>
          <w:rFonts w:hint="eastAsia"/>
        </w:rPr>
        <w:t>的风险承受能力。</w:t>
      </w:r>
      <w:r>
        <w:rPr>
          <w:rFonts w:hint="eastAsia"/>
        </w:rPr>
        <w:t>例如，</w:t>
      </w:r>
      <w:r w:rsidRPr="00E907F9">
        <w:rPr>
          <w:rFonts w:hint="eastAsia"/>
        </w:rPr>
        <w:t>高</w:t>
      </w:r>
      <w:r>
        <w:rPr>
          <w:rFonts w:hint="eastAsia"/>
        </w:rPr>
        <w:t>Vega</w:t>
      </w:r>
      <w:r w:rsidRPr="00E907F9">
        <w:rPr>
          <w:rFonts w:hint="eastAsia"/>
        </w:rPr>
        <w:t>的首席执行官倾向于增加</w:t>
      </w:r>
      <w:r>
        <w:rPr>
          <w:rFonts w:hint="eastAsia"/>
        </w:rPr>
        <w:t>研发费用、</w:t>
      </w:r>
      <w:r w:rsidRPr="00E907F9">
        <w:rPr>
          <w:rFonts w:hint="eastAsia"/>
        </w:rPr>
        <w:t>杠杆</w:t>
      </w:r>
      <w:r w:rsidR="00AA5BEA">
        <w:rPr>
          <w:rFonts w:hint="eastAsia"/>
        </w:rPr>
        <w:t>率和资本支出</w:t>
      </w:r>
      <w:r w:rsidR="00FF517A">
        <w:rPr>
          <w:rFonts w:hint="eastAsia"/>
        </w:rPr>
        <w:t>，而且</w:t>
      </w:r>
      <w:r w:rsidR="00FF517A" w:rsidRPr="00FF517A">
        <w:rPr>
          <w:rFonts w:hint="eastAsia"/>
        </w:rPr>
        <w:t>他们还发现，就这些指标而言，</w:t>
      </w:r>
      <w:r w:rsidR="00FF517A" w:rsidRPr="00FF517A">
        <w:rPr>
          <w:rFonts w:hint="eastAsia"/>
        </w:rPr>
        <w:t>Delta</w:t>
      </w:r>
      <w:r w:rsidR="00FF517A" w:rsidRPr="00FF517A">
        <w:rPr>
          <w:rFonts w:hint="eastAsia"/>
        </w:rPr>
        <w:t>通常与</w:t>
      </w:r>
      <w:r w:rsidR="00FF517A" w:rsidRPr="00FF517A">
        <w:rPr>
          <w:rFonts w:hint="eastAsia"/>
        </w:rPr>
        <w:t>Vega</w:t>
      </w:r>
      <w:r w:rsidR="00FF517A" w:rsidRPr="00FF517A">
        <w:rPr>
          <w:rFonts w:hint="eastAsia"/>
        </w:rPr>
        <w:t>呈负相关。</w:t>
      </w:r>
      <w:r w:rsidR="00FF517A">
        <w:rPr>
          <w:rFonts w:hint="eastAsia"/>
        </w:rPr>
        <w:t>而本文</w:t>
      </w:r>
      <w:r w:rsidR="00FF517A" w:rsidRPr="00E907F9">
        <w:rPr>
          <w:rFonts w:hint="eastAsia"/>
        </w:rPr>
        <w:t>预计高</w:t>
      </w:r>
      <w:r w:rsidR="00FF517A">
        <w:rPr>
          <w:rFonts w:hint="eastAsia"/>
        </w:rPr>
        <w:t>D</w:t>
      </w:r>
      <w:r w:rsidR="00FF517A" w:rsidRPr="00E907F9">
        <w:rPr>
          <w:rFonts w:hint="eastAsia"/>
        </w:rPr>
        <w:t>elta</w:t>
      </w:r>
      <w:r w:rsidR="00FF517A" w:rsidRPr="00E907F9">
        <w:rPr>
          <w:rFonts w:hint="eastAsia"/>
        </w:rPr>
        <w:t>的</w:t>
      </w:r>
      <w:r w:rsidR="00FF517A">
        <w:rPr>
          <w:rFonts w:hint="eastAsia"/>
        </w:rPr>
        <w:t>高管的政策会导致更低的企业</w:t>
      </w:r>
      <w:r w:rsidR="00FF517A">
        <w:rPr>
          <w:rFonts w:hint="eastAsia"/>
        </w:rPr>
        <w:t>ESG</w:t>
      </w:r>
      <w:r w:rsidR="00FF517A">
        <w:rPr>
          <w:rFonts w:hint="eastAsia"/>
        </w:rPr>
        <w:t>表现，这顺其自然引出我们的另一假设：</w:t>
      </w:r>
      <w:r w:rsidR="00FF517A" w:rsidRPr="00E907F9">
        <w:rPr>
          <w:rFonts w:hint="eastAsia"/>
        </w:rPr>
        <w:t>高</w:t>
      </w:r>
      <w:r w:rsidR="00FF517A">
        <w:rPr>
          <w:rFonts w:hint="eastAsia"/>
        </w:rPr>
        <w:t>Vega</w:t>
      </w:r>
      <w:r w:rsidR="00FF517A" w:rsidRPr="00E907F9">
        <w:rPr>
          <w:rFonts w:hint="eastAsia"/>
        </w:rPr>
        <w:t>的</w:t>
      </w:r>
      <w:r w:rsidR="00FF517A">
        <w:rPr>
          <w:rFonts w:hint="eastAsia"/>
        </w:rPr>
        <w:t>高管的政策会导致更高的企业</w:t>
      </w:r>
      <w:r w:rsidR="00FF517A">
        <w:rPr>
          <w:rFonts w:hint="eastAsia"/>
        </w:rPr>
        <w:t>ESG</w:t>
      </w:r>
      <w:r w:rsidR="00FF517A">
        <w:rPr>
          <w:rFonts w:hint="eastAsia"/>
        </w:rPr>
        <w:t>表现。</w:t>
      </w:r>
    </w:p>
    <w:p w14:paraId="6A1EDFCD" w14:textId="42576031" w:rsidR="00207AFD" w:rsidRPr="00207AFD" w:rsidRDefault="00207AFD" w:rsidP="00207AFD">
      <w:pPr>
        <w:ind w:firstLineChars="200" w:firstLine="480"/>
      </w:pPr>
      <w:r w:rsidRPr="006F3155">
        <w:rPr>
          <w:rFonts w:hint="eastAsia"/>
        </w:rPr>
        <w:t>基于上述股权激励</w:t>
      </w:r>
      <w:r>
        <w:rPr>
          <w:rFonts w:hint="eastAsia"/>
        </w:rPr>
        <w:t>下高管</w:t>
      </w:r>
      <w:r w:rsidRPr="006F3155">
        <w:rPr>
          <w:rFonts w:hint="eastAsia"/>
        </w:rPr>
        <w:t>的</w:t>
      </w:r>
      <w:r>
        <w:rPr>
          <w:rFonts w:hint="eastAsia"/>
        </w:rPr>
        <w:t>风险承担效应</w:t>
      </w:r>
      <w:r>
        <w:rPr>
          <w:rFonts w:hint="eastAsia"/>
        </w:rPr>
        <w:t>Vega</w:t>
      </w:r>
      <w:r>
        <w:rPr>
          <w:rFonts w:hint="eastAsia"/>
        </w:rPr>
        <w:t>与企业</w:t>
      </w:r>
      <w:r>
        <w:rPr>
          <w:rFonts w:hint="eastAsia"/>
        </w:rPr>
        <w:t>ESG</w:t>
      </w:r>
      <w:r w:rsidRPr="006F3155">
        <w:rPr>
          <w:rFonts w:hint="eastAsia"/>
        </w:rPr>
        <w:t>的理论分析，本文认为股权激励</w:t>
      </w:r>
      <w:r>
        <w:rPr>
          <w:rFonts w:hint="eastAsia"/>
        </w:rPr>
        <w:t>下高管的风险承担效应（</w:t>
      </w:r>
      <w:r>
        <w:rPr>
          <w:rFonts w:hint="eastAsia"/>
        </w:rPr>
        <w:t>Vega</w:t>
      </w:r>
      <w:r>
        <w:rPr>
          <w:rFonts w:hint="eastAsia"/>
        </w:rPr>
        <w:t>）越高，企业</w:t>
      </w:r>
      <w:r>
        <w:rPr>
          <w:rFonts w:hint="eastAsia"/>
        </w:rPr>
        <w:t>ESG</w:t>
      </w:r>
      <w:r>
        <w:rPr>
          <w:rFonts w:hint="eastAsia"/>
        </w:rPr>
        <w:t>表现越好，</w:t>
      </w:r>
      <w:r w:rsidRPr="006F3155">
        <w:rPr>
          <w:rFonts w:hint="eastAsia"/>
        </w:rPr>
        <w:t>因此提出：</w:t>
      </w:r>
    </w:p>
    <w:p w14:paraId="4D67D218" w14:textId="6450980E" w:rsidR="00FF386C" w:rsidRDefault="00AA5BEA" w:rsidP="00B81A36">
      <w:pPr>
        <w:ind w:firstLineChars="200" w:firstLine="480"/>
      </w:pPr>
      <w:r>
        <w:rPr>
          <w:rFonts w:hint="eastAsia"/>
        </w:rPr>
        <w:t>假设</w:t>
      </w:r>
      <w:r>
        <w:rPr>
          <w:rFonts w:hint="eastAsia"/>
        </w:rPr>
        <w:t>2</w:t>
      </w:r>
      <w:r w:rsidR="00FF386C" w:rsidRPr="001368A2">
        <w:rPr>
          <w:rFonts w:hint="eastAsia"/>
        </w:rPr>
        <w:t>：较高的高管财富</w:t>
      </w:r>
      <w:proofErr w:type="gramStart"/>
      <w:r w:rsidR="00FF386C" w:rsidRPr="001368A2">
        <w:rPr>
          <w:rFonts w:hint="eastAsia"/>
        </w:rPr>
        <w:t>—股票</w:t>
      </w:r>
      <w:proofErr w:type="gramEnd"/>
      <w:r w:rsidR="00FF386C" w:rsidRPr="001368A2">
        <w:rPr>
          <w:rFonts w:hint="eastAsia"/>
        </w:rPr>
        <w:t>收益波动率的敏感性</w:t>
      </w:r>
      <w:r w:rsidR="00FF386C" w:rsidRPr="001368A2">
        <w:rPr>
          <w:rFonts w:hint="eastAsia"/>
        </w:rPr>
        <w:t xml:space="preserve"> (Vega) </w:t>
      </w:r>
      <w:r w:rsidR="00FF386C" w:rsidRPr="001368A2">
        <w:rPr>
          <w:rFonts w:hint="eastAsia"/>
        </w:rPr>
        <w:t>会导致较高的</w:t>
      </w:r>
      <w:r w:rsidR="00FF386C">
        <w:rPr>
          <w:rFonts w:hint="eastAsia"/>
        </w:rPr>
        <w:t>ESG</w:t>
      </w:r>
      <w:r w:rsidR="00FF386C">
        <w:rPr>
          <w:rFonts w:hint="eastAsia"/>
        </w:rPr>
        <w:t>评分。</w:t>
      </w:r>
    </w:p>
    <w:p w14:paraId="430014AE" w14:textId="22F3C40D" w:rsidR="00FF386C" w:rsidRPr="00FF386C" w:rsidRDefault="00FF386C" w:rsidP="00207AFD"/>
    <w:p w14:paraId="4817D96A" w14:textId="77777777" w:rsidR="00B07956" w:rsidRPr="008402E4" w:rsidRDefault="00B07956" w:rsidP="00B07956">
      <w:pPr>
        <w:spacing w:line="480" w:lineRule="auto"/>
        <w:rPr>
          <w:rFonts w:ascii="宋体" w:hAnsi="宋体"/>
        </w:rPr>
      </w:pPr>
    </w:p>
    <w:p w14:paraId="54B45CC3" w14:textId="75770CB9" w:rsidR="00B07956" w:rsidRDefault="00FF517A" w:rsidP="00326904">
      <w:pPr>
        <w:pStyle w:val="1"/>
        <w:pageBreakBefore/>
        <w:spacing w:before="163" w:after="163"/>
        <w:rPr>
          <w:rFonts w:ascii="楷体_GB2312" w:eastAsia="楷体_GB2312"/>
        </w:rPr>
      </w:pPr>
      <w:bookmarkStart w:id="72" w:name="_Toc104478869"/>
      <w:r>
        <w:lastRenderedPageBreak/>
        <w:t>3</w:t>
      </w:r>
      <w:r w:rsidR="00B07956">
        <w:rPr>
          <w:rFonts w:ascii="黑体" w:hint="eastAsia"/>
        </w:rPr>
        <w:t xml:space="preserve"> </w:t>
      </w:r>
      <w:r w:rsidR="00B07956" w:rsidRPr="00795920">
        <w:rPr>
          <w:rFonts w:hint="eastAsia"/>
        </w:rPr>
        <w:t>研究</w:t>
      </w:r>
      <w:r w:rsidR="00B07956">
        <w:rPr>
          <w:rFonts w:hint="eastAsia"/>
        </w:rPr>
        <w:t>设计</w:t>
      </w:r>
      <w:r w:rsidR="00A13378">
        <w:rPr>
          <w:rFonts w:hint="eastAsia"/>
        </w:rPr>
        <w:t>与数据描述</w:t>
      </w:r>
      <w:bookmarkEnd w:id="72"/>
    </w:p>
    <w:p w14:paraId="26578F51" w14:textId="1AE1C349" w:rsidR="00B07956" w:rsidRDefault="00FF517A" w:rsidP="00B07956">
      <w:pPr>
        <w:pStyle w:val="2"/>
        <w:spacing w:before="163" w:after="163"/>
        <w:rPr>
          <w:rFonts w:ascii="宋体" w:hAnsi="宋体"/>
        </w:rPr>
      </w:pPr>
      <w:bookmarkStart w:id="73" w:name="_Toc104478870"/>
      <w:r>
        <w:rPr>
          <w:rFonts w:cs="Times New Roman"/>
        </w:rPr>
        <w:t>3</w:t>
      </w:r>
      <w:r w:rsidR="00B07956" w:rsidRPr="00855C85">
        <w:rPr>
          <w:rFonts w:cs="Times New Roman"/>
        </w:rPr>
        <w:t>.1</w:t>
      </w:r>
      <w:r w:rsidR="00B07956">
        <w:rPr>
          <w:rFonts w:hint="eastAsia"/>
        </w:rPr>
        <w:t xml:space="preserve"> </w:t>
      </w:r>
      <w:r w:rsidR="00B07956">
        <w:rPr>
          <w:rFonts w:hint="eastAsia"/>
        </w:rPr>
        <w:t>研究变量与数据来源</w:t>
      </w:r>
      <w:bookmarkEnd w:id="73"/>
    </w:p>
    <w:p w14:paraId="0821CE2D" w14:textId="28C6E674" w:rsidR="00B07956" w:rsidRDefault="00B07956" w:rsidP="00B07956">
      <w:pPr>
        <w:ind w:firstLineChars="200" w:firstLine="480"/>
        <w:rPr>
          <w:rFonts w:ascii="宋体" w:hAnsi="宋体"/>
        </w:rPr>
      </w:pPr>
      <w:r w:rsidRPr="00475EBA">
        <w:rPr>
          <w:rFonts w:ascii="宋体" w:hAnsi="宋体" w:hint="eastAsia"/>
        </w:rPr>
        <w:t>本</w:t>
      </w:r>
      <w:r w:rsidRPr="00475EBA">
        <w:rPr>
          <w:rFonts w:ascii="宋体" w:hAnsi="宋体"/>
        </w:rPr>
        <w:t>文的样本选择的是2</w:t>
      </w:r>
      <w:r>
        <w:rPr>
          <w:rFonts w:ascii="宋体" w:hAnsi="宋体"/>
        </w:rPr>
        <w:t>014</w:t>
      </w:r>
      <w:r w:rsidRPr="00475EBA">
        <w:rPr>
          <w:rFonts w:ascii="宋体" w:hAnsi="宋体"/>
        </w:rPr>
        <w:t>-201</w:t>
      </w:r>
      <w:r>
        <w:rPr>
          <w:rFonts w:ascii="宋体" w:hAnsi="宋体"/>
        </w:rPr>
        <w:t>9</w:t>
      </w:r>
      <w:r w:rsidRPr="00475EBA">
        <w:rPr>
          <w:rFonts w:ascii="宋体" w:hAnsi="宋体"/>
        </w:rPr>
        <w:t>年</w:t>
      </w:r>
      <w:r>
        <w:rPr>
          <w:rFonts w:ascii="宋体" w:hAnsi="宋体" w:hint="eastAsia"/>
        </w:rPr>
        <w:t>沪深A股上市公司，</w:t>
      </w:r>
      <w:r w:rsidR="000F68C3">
        <w:rPr>
          <w:rFonts w:ascii="宋体" w:hAnsi="宋体" w:hint="eastAsia"/>
        </w:rPr>
        <w:t>需要说明：本文</w:t>
      </w:r>
      <w:r w:rsidR="00AA4624">
        <w:rPr>
          <w:rFonts w:ascii="宋体" w:hAnsi="宋体" w:hint="eastAsia"/>
        </w:rPr>
        <w:t>需要</w:t>
      </w:r>
      <w:r w:rsidRPr="00475EBA">
        <w:rPr>
          <w:rFonts w:ascii="宋体" w:hAnsi="宋体" w:hint="eastAsia"/>
        </w:rPr>
        <w:t>对</w:t>
      </w:r>
      <w:r w:rsidR="0077427D">
        <w:rPr>
          <w:rFonts w:ascii="宋体" w:hAnsi="宋体" w:hint="eastAsia"/>
        </w:rPr>
        <w:t>我国上市公司中的</w:t>
      </w:r>
      <w:r w:rsidRPr="00475EBA">
        <w:rPr>
          <w:rFonts w:ascii="宋体" w:hAnsi="宋体" w:hint="eastAsia"/>
        </w:rPr>
        <w:t>观测样本进行如下筛选：</w:t>
      </w:r>
      <w:r w:rsidRPr="00475EBA">
        <w:rPr>
          <w:rFonts w:ascii="宋体" w:hAnsi="宋体"/>
        </w:rPr>
        <w:t>（</w:t>
      </w:r>
      <w:r>
        <w:rPr>
          <w:rFonts w:ascii="宋体" w:hAnsi="宋体"/>
        </w:rPr>
        <w:t>1</w:t>
      </w:r>
      <w:r w:rsidRPr="00475EBA">
        <w:rPr>
          <w:rFonts w:ascii="宋体" w:hAnsi="宋体"/>
        </w:rPr>
        <w:t>）</w:t>
      </w:r>
      <w:r w:rsidR="00226BA9">
        <w:rPr>
          <w:rFonts w:ascii="宋体" w:hAnsi="宋体" w:hint="eastAsia"/>
        </w:rPr>
        <w:t>去除观测期间被ST等特别处理及</w:t>
      </w:r>
      <w:r w:rsidRPr="00475EBA">
        <w:rPr>
          <w:rFonts w:ascii="宋体" w:hAnsi="宋体" w:hint="eastAsia"/>
        </w:rPr>
        <w:t>金融</w:t>
      </w:r>
      <w:r w:rsidR="00226BA9">
        <w:rPr>
          <w:rFonts w:ascii="宋体" w:hAnsi="宋体" w:hint="eastAsia"/>
        </w:rPr>
        <w:t>类上市</w:t>
      </w:r>
      <w:r w:rsidRPr="00475EBA">
        <w:rPr>
          <w:rFonts w:ascii="宋体" w:hAnsi="宋体" w:hint="eastAsia"/>
        </w:rPr>
        <w:t>公司</w:t>
      </w:r>
      <w:r w:rsidRPr="00475EBA">
        <w:rPr>
          <w:rFonts w:ascii="宋体" w:hAnsi="宋体"/>
        </w:rPr>
        <w:t xml:space="preserve"> ；（</w:t>
      </w:r>
      <w:r>
        <w:rPr>
          <w:rFonts w:ascii="宋体" w:hAnsi="宋体"/>
        </w:rPr>
        <w:t>2</w:t>
      </w:r>
      <w:r w:rsidRPr="00475EBA">
        <w:rPr>
          <w:rFonts w:ascii="宋体" w:hAnsi="宋体"/>
        </w:rPr>
        <w:t>）本文关注的是高管的风险承担</w:t>
      </w:r>
      <w:r w:rsidR="000F68C3">
        <w:rPr>
          <w:rFonts w:ascii="宋体" w:hAnsi="宋体" w:hint="eastAsia"/>
        </w:rPr>
        <w:t>和激励效应与ESG关系</w:t>
      </w:r>
      <w:r w:rsidRPr="00475EBA">
        <w:rPr>
          <w:rFonts w:ascii="宋体" w:hAnsi="宋体"/>
        </w:rPr>
        <w:t>，</w:t>
      </w:r>
      <w:r w:rsidR="000F68C3">
        <w:rPr>
          <w:rFonts w:ascii="宋体" w:hAnsi="宋体" w:hint="eastAsia"/>
        </w:rPr>
        <w:t>所以去股权</w:t>
      </w:r>
      <w:r w:rsidRPr="00475EBA">
        <w:rPr>
          <w:rFonts w:ascii="宋体" w:hAnsi="宋体"/>
        </w:rPr>
        <w:t>激励</w:t>
      </w:r>
      <w:r w:rsidRPr="00787D03">
        <w:rPr>
          <w:rFonts w:ascii="宋体" w:hAnsi="宋体" w:hint="eastAsia"/>
        </w:rPr>
        <w:t>对象主要为中层技术人员的</w:t>
      </w:r>
      <w:r w:rsidR="000F68C3">
        <w:rPr>
          <w:rFonts w:ascii="宋体" w:hAnsi="宋体" w:hint="eastAsia"/>
        </w:rPr>
        <w:t>企业</w:t>
      </w:r>
      <w:r w:rsidRPr="00787D03">
        <w:rPr>
          <w:rFonts w:ascii="宋体" w:hAnsi="宋体" w:hint="eastAsia"/>
        </w:rPr>
        <w:t xml:space="preserve"> ；（</w:t>
      </w:r>
      <w:r>
        <w:rPr>
          <w:rFonts w:ascii="宋体" w:hAnsi="宋体"/>
        </w:rPr>
        <w:t>3</w:t>
      </w:r>
      <w:r w:rsidRPr="00787D03">
        <w:rPr>
          <w:rFonts w:ascii="宋体" w:hAnsi="宋体" w:hint="eastAsia"/>
        </w:rPr>
        <w:t>）</w:t>
      </w:r>
      <w:r w:rsidR="000F68C3">
        <w:rPr>
          <w:rFonts w:ascii="宋体" w:hAnsi="宋体" w:hint="eastAsia"/>
        </w:rPr>
        <w:t>去除</w:t>
      </w:r>
      <w:r w:rsidR="00CB6DEA">
        <w:rPr>
          <w:rFonts w:ascii="宋体" w:hAnsi="宋体" w:hint="eastAsia"/>
        </w:rPr>
        <w:t>因</w:t>
      </w:r>
      <w:r w:rsidRPr="00787D03">
        <w:rPr>
          <w:rFonts w:ascii="宋体" w:hAnsi="宋体" w:hint="eastAsia"/>
        </w:rPr>
        <w:t>股权激励方案</w:t>
      </w:r>
      <w:r w:rsidR="000F68C3">
        <w:rPr>
          <w:rFonts w:ascii="宋体" w:hAnsi="宋体" w:hint="eastAsia"/>
        </w:rPr>
        <w:t>在</w:t>
      </w:r>
      <w:r w:rsidRPr="00787D03">
        <w:rPr>
          <w:rFonts w:ascii="宋体" w:hAnsi="宋体" w:hint="eastAsia"/>
        </w:rPr>
        <w:t>第一个行权期</w:t>
      </w:r>
      <w:r w:rsidR="000F68C3">
        <w:rPr>
          <w:rFonts w:ascii="宋体" w:hAnsi="宋体" w:hint="eastAsia"/>
        </w:rPr>
        <w:t>前</w:t>
      </w:r>
      <w:r w:rsidR="00CB6DEA">
        <w:rPr>
          <w:rFonts w:ascii="宋体" w:hAnsi="宋体" w:hint="eastAsia"/>
        </w:rPr>
        <w:t>就</w:t>
      </w:r>
      <w:r w:rsidRPr="00787D03">
        <w:rPr>
          <w:rFonts w:ascii="宋体" w:hAnsi="宋体" w:hint="eastAsia"/>
        </w:rPr>
        <w:t>直接取消的公司</w:t>
      </w:r>
      <w:r w:rsidR="00226BA9">
        <w:rPr>
          <w:rFonts w:ascii="宋体" w:hAnsi="宋体" w:hint="eastAsia"/>
        </w:rPr>
        <w:t>和观测期间终止上市的公司</w:t>
      </w:r>
      <w:r w:rsidRPr="00787D03">
        <w:rPr>
          <w:rFonts w:ascii="宋体" w:hAnsi="宋体" w:hint="eastAsia"/>
        </w:rPr>
        <w:t>。最终</w:t>
      </w:r>
      <w:r w:rsidR="00226BA9">
        <w:rPr>
          <w:rFonts w:ascii="宋体" w:hAnsi="宋体" w:hint="eastAsia"/>
        </w:rPr>
        <w:t>得到2</w:t>
      </w:r>
      <w:r w:rsidR="00226BA9">
        <w:rPr>
          <w:rFonts w:ascii="宋体" w:hAnsi="宋体"/>
        </w:rPr>
        <w:t>014-2019</w:t>
      </w:r>
      <w:r w:rsidR="00EA14A9">
        <w:rPr>
          <w:rFonts w:ascii="宋体" w:hAnsi="宋体" w:hint="eastAsia"/>
        </w:rPr>
        <w:t>年的</w:t>
      </w:r>
      <w:r>
        <w:rPr>
          <w:rFonts w:ascii="宋体" w:hAnsi="宋体"/>
        </w:rPr>
        <w:t>53</w:t>
      </w:r>
      <w:r w:rsidRPr="00787D03">
        <w:rPr>
          <w:rFonts w:ascii="宋体" w:hAnsi="宋体" w:hint="eastAsia"/>
        </w:rPr>
        <w:t>个</w:t>
      </w:r>
      <w:r>
        <w:rPr>
          <w:rFonts w:ascii="宋体" w:hAnsi="宋体" w:hint="eastAsia"/>
        </w:rPr>
        <w:t>公司</w:t>
      </w:r>
      <w:r w:rsidRPr="00787D03">
        <w:rPr>
          <w:rFonts w:ascii="宋体" w:hAnsi="宋体" w:hint="eastAsia"/>
        </w:rPr>
        <w:t>样本</w:t>
      </w:r>
      <w:r w:rsidR="00226BA9">
        <w:rPr>
          <w:rFonts w:ascii="宋体" w:hAnsi="宋体" w:hint="eastAsia"/>
        </w:rPr>
        <w:t>，共3</w:t>
      </w:r>
      <w:r w:rsidR="00226BA9">
        <w:rPr>
          <w:rFonts w:ascii="宋体" w:hAnsi="宋体"/>
        </w:rPr>
        <w:t>18</w:t>
      </w:r>
      <w:r w:rsidR="00226BA9">
        <w:rPr>
          <w:rFonts w:ascii="宋体" w:hAnsi="宋体" w:hint="eastAsia"/>
        </w:rPr>
        <w:t>个观测值</w:t>
      </w:r>
      <w:r w:rsidRPr="00787D03">
        <w:rPr>
          <w:rFonts w:ascii="宋体" w:hAnsi="宋体" w:hint="eastAsia"/>
        </w:rPr>
        <w:t>。本研究所使用的数据</w:t>
      </w:r>
      <w:r w:rsidR="008B5B04">
        <w:rPr>
          <w:rFonts w:ascii="宋体" w:hAnsi="宋体" w:hint="eastAsia"/>
        </w:rPr>
        <w:t>来自巨潮资讯公布的草案以及国泰数据库和彭博数据库。</w:t>
      </w:r>
    </w:p>
    <w:p w14:paraId="13EF4D39" w14:textId="0AEB7DA7" w:rsidR="00B07956" w:rsidRPr="00787D03" w:rsidRDefault="0077427D" w:rsidP="00B07956">
      <w:pPr>
        <w:ind w:firstLineChars="200" w:firstLine="480"/>
        <w:rPr>
          <w:rFonts w:ascii="宋体" w:hAnsi="宋体"/>
        </w:rPr>
      </w:pPr>
      <w:r>
        <w:rPr>
          <w:rFonts w:ascii="宋体" w:hAnsi="宋体" w:hint="eastAsia"/>
        </w:rPr>
        <w:t>本文</w:t>
      </w:r>
      <w:r w:rsidR="000F68C3">
        <w:rPr>
          <w:rFonts w:ascii="宋体" w:hAnsi="宋体" w:hint="eastAsia"/>
        </w:rPr>
        <w:t>需要</w:t>
      </w:r>
      <w:r w:rsidR="00B94D8D">
        <w:rPr>
          <w:rFonts w:ascii="宋体" w:hAnsi="宋体" w:hint="eastAsia"/>
        </w:rPr>
        <w:t>简要</w:t>
      </w:r>
      <w:r w:rsidR="000F68C3">
        <w:rPr>
          <w:rFonts w:ascii="宋体" w:hAnsi="宋体" w:hint="eastAsia"/>
        </w:rPr>
        <w:t>说明</w:t>
      </w:r>
      <w:r w:rsidR="00B94D8D">
        <w:rPr>
          <w:rFonts w:ascii="宋体" w:hAnsi="宋体" w:hint="eastAsia"/>
        </w:rPr>
        <w:t>数据处理过程</w:t>
      </w:r>
      <w:r w:rsidR="000F68C3">
        <w:rPr>
          <w:rFonts w:ascii="宋体" w:hAnsi="宋体" w:hint="eastAsia"/>
        </w:rPr>
        <w:t>：</w:t>
      </w:r>
      <w:r w:rsidR="00B07956" w:rsidRPr="00787D03">
        <w:rPr>
          <w:rFonts w:ascii="宋体" w:hAnsi="宋体" w:hint="eastAsia"/>
        </w:rPr>
        <w:t>中国</w:t>
      </w:r>
      <w:r w:rsidR="00EA14A9">
        <w:rPr>
          <w:rFonts w:ascii="宋体" w:hAnsi="宋体" w:hint="eastAsia"/>
        </w:rPr>
        <w:t>公司的</w:t>
      </w:r>
      <w:r w:rsidR="00B07956" w:rsidRPr="00787D03">
        <w:rPr>
          <w:rFonts w:ascii="宋体" w:hAnsi="宋体" w:hint="eastAsia"/>
        </w:rPr>
        <w:t>股票期权方案</w:t>
      </w:r>
      <w:r w:rsidR="006B5785">
        <w:rPr>
          <w:rFonts w:ascii="宋体" w:hAnsi="宋体" w:hint="eastAsia"/>
        </w:rPr>
        <w:t>在行权标准和授予方式上与英美传统期权不同：</w:t>
      </w:r>
      <w:r w:rsidR="00144F2B">
        <w:rPr>
          <w:rFonts w:ascii="宋体" w:hAnsi="宋体" w:hint="eastAsia"/>
        </w:rPr>
        <w:t>首先，</w:t>
      </w:r>
      <w:r w:rsidR="00B07956" w:rsidRPr="00787D03">
        <w:rPr>
          <w:rFonts w:ascii="宋体" w:hAnsi="宋体" w:hint="eastAsia"/>
        </w:rPr>
        <w:t>美国传统的股票期权</w:t>
      </w:r>
      <w:r w:rsidR="006B5785">
        <w:rPr>
          <w:rFonts w:ascii="宋体" w:hAnsi="宋体" w:hint="eastAsia"/>
        </w:rPr>
        <w:t>只要到达行权期就可行权，不像中国</w:t>
      </w:r>
      <w:r w:rsidR="00144F2B">
        <w:rPr>
          <w:rFonts w:ascii="宋体" w:hAnsi="宋体" w:hint="eastAsia"/>
        </w:rPr>
        <w:t>上市公司的</w:t>
      </w:r>
      <w:r w:rsidR="006B5785">
        <w:rPr>
          <w:rFonts w:ascii="宋体" w:hAnsi="宋体" w:hint="eastAsia"/>
        </w:rPr>
        <w:t>期权会与各种绩效指标相关</w:t>
      </w:r>
      <w:r w:rsidR="00B07956" w:rsidRPr="00787D03">
        <w:rPr>
          <w:rFonts w:ascii="宋体" w:hAnsi="宋体" w:hint="eastAsia"/>
        </w:rPr>
        <w:t>，必须</w:t>
      </w:r>
      <w:r w:rsidR="005C535C">
        <w:rPr>
          <w:rFonts w:ascii="宋体" w:hAnsi="宋体" w:hint="eastAsia"/>
        </w:rPr>
        <w:t>符合</w:t>
      </w:r>
      <w:r w:rsidR="00B07956" w:rsidRPr="00787D03">
        <w:rPr>
          <w:rFonts w:ascii="宋体" w:hAnsi="宋体" w:hint="eastAsia"/>
        </w:rPr>
        <w:t>相应的</w:t>
      </w:r>
      <w:r w:rsidR="00144F2B">
        <w:rPr>
          <w:rFonts w:ascii="宋体" w:hAnsi="宋体" w:hint="eastAsia"/>
        </w:rPr>
        <w:t>考核</w:t>
      </w:r>
      <w:r w:rsidR="00B07956" w:rsidRPr="00787D03">
        <w:rPr>
          <w:rFonts w:ascii="宋体" w:hAnsi="宋体" w:hint="eastAsia"/>
        </w:rPr>
        <w:t>才能行权 ；</w:t>
      </w:r>
      <w:r w:rsidR="00144F2B">
        <w:rPr>
          <w:rFonts w:ascii="宋体" w:hAnsi="宋体" w:hint="eastAsia"/>
        </w:rPr>
        <w:t>其次，</w:t>
      </w:r>
      <w:r w:rsidR="000F68C3">
        <w:rPr>
          <w:rFonts w:ascii="宋体" w:hAnsi="宋体" w:hint="eastAsia"/>
        </w:rPr>
        <w:t>英美</w:t>
      </w:r>
      <w:r w:rsidR="00B07956" w:rsidRPr="00787D03">
        <w:rPr>
          <w:rFonts w:ascii="宋体" w:hAnsi="宋体" w:hint="eastAsia"/>
        </w:rPr>
        <w:t>传统的股票期权是</w:t>
      </w:r>
      <w:r w:rsidR="00B94D8D">
        <w:rPr>
          <w:rFonts w:ascii="宋体" w:hAnsi="宋体" w:hint="eastAsia"/>
        </w:rPr>
        <w:t>均匀时间，</w:t>
      </w:r>
      <w:r w:rsidR="00144F2B">
        <w:rPr>
          <w:rFonts w:ascii="宋体" w:hAnsi="宋体" w:hint="eastAsia"/>
        </w:rPr>
        <w:t>不像</w:t>
      </w:r>
      <w:r w:rsidR="00B07956" w:rsidRPr="00787D03">
        <w:rPr>
          <w:rFonts w:ascii="宋体" w:hAnsi="宋体" w:hint="eastAsia"/>
        </w:rPr>
        <w:t>我国的</w:t>
      </w:r>
      <w:r w:rsidR="000F68C3">
        <w:rPr>
          <w:rFonts w:ascii="宋体" w:hAnsi="宋体" w:hint="eastAsia"/>
        </w:rPr>
        <w:t>期权为</w:t>
      </w:r>
      <w:r w:rsidR="00B07956" w:rsidRPr="00787D03">
        <w:rPr>
          <w:rFonts w:ascii="宋体" w:hAnsi="宋体" w:hint="eastAsia"/>
        </w:rPr>
        <w:t>“一次授予、分期行权”，</w:t>
      </w:r>
      <w:r w:rsidR="00144F2B">
        <w:rPr>
          <w:rFonts w:ascii="宋体" w:hAnsi="宋体" w:hint="eastAsia"/>
        </w:rPr>
        <w:t>我国会有</w:t>
      </w:r>
      <w:proofErr w:type="gramStart"/>
      <w:r w:rsidR="000F68C3">
        <w:rPr>
          <w:rFonts w:ascii="宋体" w:hAnsi="宋体" w:hint="eastAsia"/>
        </w:rPr>
        <w:t>有</w:t>
      </w:r>
      <w:proofErr w:type="gramEnd"/>
      <w:r w:rsidR="000F68C3">
        <w:rPr>
          <w:rFonts w:ascii="宋体" w:hAnsi="宋体" w:hint="eastAsia"/>
        </w:rPr>
        <w:t>多个行权期</w:t>
      </w:r>
      <w:r w:rsidR="00144F2B">
        <w:rPr>
          <w:rFonts w:ascii="宋体" w:hAnsi="宋体" w:hint="eastAsia"/>
        </w:rPr>
        <w:t>，大致为3-</w:t>
      </w:r>
      <w:r w:rsidR="00144F2B">
        <w:rPr>
          <w:rFonts w:ascii="宋体" w:hAnsi="宋体"/>
        </w:rPr>
        <w:t>5</w:t>
      </w:r>
      <w:r w:rsidR="00144F2B">
        <w:rPr>
          <w:rFonts w:ascii="宋体" w:hAnsi="宋体" w:hint="eastAsia"/>
        </w:rPr>
        <w:t>年</w:t>
      </w:r>
      <w:r w:rsidR="00B07956" w:rsidRPr="00787D03">
        <w:rPr>
          <w:rFonts w:ascii="宋体" w:hAnsi="宋体" w:hint="eastAsia"/>
        </w:rPr>
        <w:t>。</w:t>
      </w:r>
    </w:p>
    <w:p w14:paraId="5E723203" w14:textId="7B64E024" w:rsidR="00B07956" w:rsidRDefault="00567604" w:rsidP="00427667">
      <w:pPr>
        <w:ind w:firstLineChars="200" w:firstLine="480"/>
        <w:rPr>
          <w:rFonts w:ascii="宋体" w:hAnsi="宋体"/>
        </w:rPr>
      </w:pPr>
      <w:r>
        <w:rPr>
          <w:rFonts w:ascii="宋体" w:hAnsi="宋体" w:hint="eastAsia"/>
        </w:rPr>
        <w:t>针对中国这种特殊的股票期权方案</w:t>
      </w:r>
      <w:r w:rsidR="00B07956" w:rsidRPr="00787D03">
        <w:rPr>
          <w:rFonts w:ascii="宋体" w:hAnsi="宋体" w:hint="eastAsia"/>
        </w:rPr>
        <w:t>，</w:t>
      </w:r>
      <w:r>
        <w:rPr>
          <w:rFonts w:ascii="宋体" w:hAnsi="宋体" w:hint="eastAsia"/>
        </w:rPr>
        <w:t>需要说明这种情况下公式所需数据的</w:t>
      </w:r>
      <w:r w:rsidR="00B07956" w:rsidRPr="00787D03">
        <w:rPr>
          <w:rFonts w:ascii="宋体" w:hAnsi="宋体" w:hint="eastAsia"/>
        </w:rPr>
        <w:t>采集过程。</w:t>
      </w:r>
      <w:r w:rsidR="00061EDB">
        <w:rPr>
          <w:rFonts w:ascii="宋体" w:hAnsi="宋体" w:hint="eastAsia"/>
        </w:rPr>
        <w:t>期权</w:t>
      </w:r>
      <w:r w:rsidR="00B07956" w:rsidRPr="00787D03">
        <w:rPr>
          <w:rFonts w:ascii="宋体" w:hAnsi="宋体" w:hint="eastAsia"/>
        </w:rPr>
        <w:t>行权价格、股票</w:t>
      </w:r>
      <w:r w:rsidR="00061EDB">
        <w:rPr>
          <w:rFonts w:ascii="宋体" w:hAnsi="宋体" w:hint="eastAsia"/>
        </w:rPr>
        <w:t>价格</w:t>
      </w:r>
      <w:r w:rsidR="00B07956" w:rsidRPr="00787D03">
        <w:rPr>
          <w:rFonts w:ascii="宋体" w:hAnsi="宋体" w:hint="eastAsia"/>
        </w:rPr>
        <w:t>、</w:t>
      </w:r>
      <w:r w:rsidR="00061EDB">
        <w:rPr>
          <w:rFonts w:ascii="宋体" w:hAnsi="宋体" w:hint="eastAsia"/>
        </w:rPr>
        <w:t>股价年度</w:t>
      </w:r>
      <w:r w:rsidR="00B07956" w:rsidRPr="00787D03">
        <w:rPr>
          <w:rFonts w:ascii="宋体" w:hAnsi="宋体" w:hint="eastAsia"/>
        </w:rPr>
        <w:t>波动率</w:t>
      </w:r>
      <w:r w:rsidR="00061EDB">
        <w:rPr>
          <w:rFonts w:ascii="宋体" w:hAnsi="宋体" w:hint="eastAsia"/>
        </w:rPr>
        <w:t>在国泰安数据库获取</w:t>
      </w:r>
      <w:r w:rsidR="005C535C">
        <w:rPr>
          <w:rFonts w:ascii="宋体" w:hAnsi="宋体" w:hint="eastAsia"/>
        </w:rPr>
        <w:t>，而</w:t>
      </w:r>
      <w:r w:rsidR="00B07956" w:rsidRPr="00787D03">
        <w:rPr>
          <w:rFonts w:ascii="宋体" w:hAnsi="宋体" w:hint="eastAsia"/>
        </w:rPr>
        <w:t>有效期、与之相对应的无风险利率以及期权数量三个参数</w:t>
      </w:r>
      <w:r w:rsidR="005C535C">
        <w:rPr>
          <w:rFonts w:ascii="宋体" w:hAnsi="宋体" w:hint="eastAsia"/>
        </w:rPr>
        <w:t>需要手动收集</w:t>
      </w:r>
      <w:r w:rsidR="00B07956" w:rsidRPr="00787D03">
        <w:rPr>
          <w:rFonts w:ascii="宋体" w:hAnsi="宋体" w:hint="eastAsia"/>
        </w:rPr>
        <w:t>。</w:t>
      </w:r>
      <w:r w:rsidR="009D2907">
        <w:rPr>
          <w:rFonts w:ascii="宋体" w:hAnsi="宋体" w:hint="eastAsia"/>
        </w:rPr>
        <w:t>例如，有一个</w:t>
      </w:r>
      <w:r w:rsidR="00B07956" w:rsidRPr="00787D03">
        <w:rPr>
          <w:rFonts w:ascii="宋体" w:hAnsi="宋体" w:hint="eastAsia"/>
        </w:rPr>
        <w:t xml:space="preserve">行权比例分别为 </w:t>
      </w:r>
      <w:r w:rsidR="000F68C3">
        <w:rPr>
          <w:rFonts w:ascii="宋体" w:hAnsi="宋体"/>
        </w:rPr>
        <w:t>50</w:t>
      </w:r>
      <w:r w:rsidR="00B07956" w:rsidRPr="00787D03">
        <w:rPr>
          <w:rFonts w:ascii="宋体" w:hAnsi="宋体" w:hint="eastAsia"/>
        </w:rPr>
        <w:t>%、</w:t>
      </w:r>
      <w:r w:rsidR="000F68C3">
        <w:rPr>
          <w:rFonts w:ascii="宋体" w:hAnsi="宋体" w:hint="eastAsia"/>
        </w:rPr>
        <w:t>2</w:t>
      </w:r>
      <w:r w:rsidR="000F68C3">
        <w:rPr>
          <w:rFonts w:ascii="宋体" w:hAnsi="宋体"/>
        </w:rPr>
        <w:t>5</w:t>
      </w:r>
      <w:r w:rsidR="00B07956" w:rsidRPr="00787D03">
        <w:rPr>
          <w:rFonts w:ascii="宋体" w:hAnsi="宋体" w:hint="eastAsia"/>
        </w:rPr>
        <w:t>%、</w:t>
      </w:r>
      <w:r w:rsidR="000F68C3">
        <w:rPr>
          <w:rFonts w:ascii="宋体" w:hAnsi="宋体" w:hint="eastAsia"/>
        </w:rPr>
        <w:t>2</w:t>
      </w:r>
      <w:r w:rsidR="000F68C3">
        <w:rPr>
          <w:rFonts w:ascii="宋体" w:hAnsi="宋体"/>
        </w:rPr>
        <w:t>5</w:t>
      </w:r>
      <w:r w:rsidR="00B07956" w:rsidRPr="00787D03">
        <w:rPr>
          <w:rFonts w:ascii="宋体" w:hAnsi="宋体" w:hint="eastAsia"/>
        </w:rPr>
        <w:t>%，有效期 5 年，等待期 1 年，每个行权期 2 年</w:t>
      </w:r>
      <w:r w:rsidR="000F68C3">
        <w:rPr>
          <w:rFonts w:ascii="宋体" w:hAnsi="宋体" w:hint="eastAsia"/>
        </w:rPr>
        <w:t>的股权激励</w:t>
      </w:r>
      <w:r w:rsidR="00B07956" w:rsidRPr="00787D03">
        <w:rPr>
          <w:rFonts w:ascii="宋体" w:hAnsi="宋体" w:hint="eastAsia"/>
        </w:rPr>
        <w:t>方案</w:t>
      </w:r>
      <w:r w:rsidR="009D2907">
        <w:rPr>
          <w:rFonts w:ascii="宋体" w:hAnsi="宋体" w:hint="eastAsia"/>
        </w:rPr>
        <w:t>，</w:t>
      </w:r>
      <w:r w:rsidR="00B07956" w:rsidRPr="00787D03">
        <w:rPr>
          <w:rFonts w:ascii="宋体" w:hAnsi="宋体" w:hint="eastAsia"/>
        </w:rPr>
        <w:t>在等待期之后，第一个可行权日</w:t>
      </w:r>
      <w:r w:rsidR="002A04DF">
        <w:rPr>
          <w:rFonts w:ascii="宋体" w:hAnsi="宋体" w:hint="eastAsia"/>
        </w:rPr>
        <w:t>到</w:t>
      </w:r>
      <w:proofErr w:type="gramStart"/>
      <w:r w:rsidR="002A04DF" w:rsidRPr="000B1BE6">
        <w:rPr>
          <w:rFonts w:hint="eastAsia"/>
        </w:rPr>
        <w:t>可行权期之间</w:t>
      </w:r>
      <w:proofErr w:type="gramEnd"/>
      <w:r w:rsidR="002A04DF">
        <w:rPr>
          <w:rFonts w:ascii="宋体" w:hAnsi="宋体" w:hint="eastAsia"/>
        </w:rPr>
        <w:t>任何时间</w:t>
      </w:r>
      <w:r w:rsidR="00B07956" w:rsidRPr="00787D03">
        <w:rPr>
          <w:rFonts w:ascii="宋体" w:hAnsi="宋体" w:hint="eastAsia"/>
        </w:rPr>
        <w:t>，</w:t>
      </w:r>
      <w:r w:rsidR="002A04DF">
        <w:rPr>
          <w:rFonts w:ascii="宋体" w:hAnsi="宋体" w:hint="eastAsia"/>
        </w:rPr>
        <w:t>只要</w:t>
      </w:r>
      <w:r w:rsidR="00B07956" w:rsidRPr="00787D03">
        <w:rPr>
          <w:rFonts w:ascii="宋体" w:hAnsi="宋体" w:hint="eastAsia"/>
        </w:rPr>
        <w:t>达到</w:t>
      </w:r>
      <w:r w:rsidR="002A04DF">
        <w:rPr>
          <w:rFonts w:ascii="宋体" w:hAnsi="宋体" w:hint="eastAsia"/>
        </w:rPr>
        <w:t>方案</w:t>
      </w:r>
      <w:r w:rsidR="00B07956" w:rsidRPr="00787D03">
        <w:rPr>
          <w:rFonts w:ascii="宋体" w:hAnsi="宋体" w:hint="eastAsia"/>
        </w:rPr>
        <w:t>规定的业绩</w:t>
      </w:r>
      <w:r w:rsidR="002A04DF">
        <w:rPr>
          <w:rFonts w:ascii="宋体" w:hAnsi="宋体" w:hint="eastAsia"/>
        </w:rPr>
        <w:t>等</w:t>
      </w:r>
      <w:r w:rsidR="00B07956" w:rsidRPr="00787D03">
        <w:rPr>
          <w:rFonts w:ascii="宋体" w:hAnsi="宋体" w:hint="eastAsia"/>
        </w:rPr>
        <w:t xml:space="preserve">条件，第一份 </w:t>
      </w:r>
      <w:r w:rsidR="002A04DF">
        <w:rPr>
          <w:rFonts w:ascii="宋体" w:hAnsi="宋体"/>
        </w:rPr>
        <w:t>50</w:t>
      </w:r>
      <w:r w:rsidR="00B07956" w:rsidRPr="00787D03">
        <w:rPr>
          <w:rFonts w:ascii="宋体" w:hAnsi="宋体" w:hint="eastAsia"/>
        </w:rPr>
        <w:t>% 的期权就</w:t>
      </w:r>
      <w:r w:rsidR="002A04DF">
        <w:rPr>
          <w:rFonts w:ascii="宋体" w:hAnsi="宋体" w:hint="eastAsia"/>
        </w:rPr>
        <w:t>可以</w:t>
      </w:r>
      <w:r w:rsidR="00B07956" w:rsidRPr="00787D03">
        <w:rPr>
          <w:rFonts w:ascii="宋体" w:hAnsi="宋体" w:hint="eastAsia"/>
        </w:rPr>
        <w:t>行权，</w:t>
      </w:r>
      <w:r w:rsidR="002A04DF">
        <w:rPr>
          <w:rFonts w:ascii="宋体" w:hAnsi="宋体" w:hint="eastAsia"/>
        </w:rPr>
        <w:t>而</w:t>
      </w:r>
      <w:r w:rsidR="00B07956" w:rsidRPr="00787D03">
        <w:rPr>
          <w:rFonts w:ascii="宋体" w:hAnsi="宋体" w:hint="eastAsia"/>
        </w:rPr>
        <w:t>在第一个行权期结束之后，</w:t>
      </w:r>
      <w:r w:rsidR="002A04DF">
        <w:rPr>
          <w:rFonts w:ascii="宋体" w:hAnsi="宋体" w:hint="eastAsia"/>
        </w:rPr>
        <w:t>这一份</w:t>
      </w:r>
      <w:r w:rsidR="00B07956" w:rsidRPr="00787D03">
        <w:rPr>
          <w:rFonts w:ascii="宋体" w:hAnsi="宋体" w:hint="eastAsia"/>
        </w:rPr>
        <w:t>期权如果没有</w:t>
      </w:r>
      <w:r w:rsidR="002A04DF">
        <w:rPr>
          <w:rFonts w:ascii="宋体" w:hAnsi="宋体" w:hint="eastAsia"/>
        </w:rPr>
        <w:t>高管</w:t>
      </w:r>
      <w:r w:rsidR="00B07956" w:rsidRPr="00787D03">
        <w:rPr>
          <w:rFonts w:ascii="宋体" w:hAnsi="宋体" w:hint="eastAsia"/>
        </w:rPr>
        <w:t>行权就作废。第二</w:t>
      </w:r>
      <w:r w:rsidR="006B5785">
        <w:rPr>
          <w:rFonts w:ascii="宋体" w:hAnsi="宋体" w:hint="eastAsia"/>
        </w:rPr>
        <w:t>、三</w:t>
      </w:r>
      <w:r w:rsidR="00B07956" w:rsidRPr="00787D03">
        <w:rPr>
          <w:rFonts w:ascii="宋体" w:hAnsi="宋体" w:hint="eastAsia"/>
        </w:rPr>
        <w:t>份期权</w:t>
      </w:r>
      <w:r w:rsidR="006B5785">
        <w:rPr>
          <w:rFonts w:ascii="宋体" w:hAnsi="宋体" w:hint="eastAsia"/>
        </w:rPr>
        <w:t>以此类推</w:t>
      </w:r>
      <w:r w:rsidR="00F12468">
        <w:rPr>
          <w:rFonts w:ascii="宋体" w:hAnsi="宋体" w:hint="eastAsia"/>
        </w:rPr>
        <w:t>。</w:t>
      </w:r>
      <w:r w:rsidR="00B94D8D">
        <w:rPr>
          <w:rFonts w:ascii="宋体" w:hAnsi="宋体" w:hint="eastAsia"/>
        </w:rPr>
        <w:t>另外</w:t>
      </w:r>
      <w:r w:rsidR="00542F0D">
        <w:rPr>
          <w:rFonts w:ascii="宋体" w:hAnsi="宋体" w:hint="eastAsia"/>
        </w:rPr>
        <w:t>，</w:t>
      </w:r>
      <w:r w:rsidR="00B94D8D">
        <w:rPr>
          <w:rFonts w:ascii="宋体" w:hAnsi="宋体" w:hint="eastAsia"/>
        </w:rPr>
        <w:t>股权激励的</w:t>
      </w:r>
      <w:r w:rsidR="00C122EC">
        <w:rPr>
          <w:rFonts w:ascii="宋体" w:hAnsi="宋体" w:hint="eastAsia"/>
        </w:rPr>
        <w:t>授权日可能在年中</w:t>
      </w:r>
      <w:r w:rsidR="00B94D8D" w:rsidRPr="00B94D8D">
        <w:rPr>
          <w:rFonts w:ascii="宋体" w:hAnsi="宋体" w:hint="eastAsia"/>
        </w:rPr>
        <w:t>，</w:t>
      </w:r>
      <w:r w:rsidR="00C122EC">
        <w:rPr>
          <w:rFonts w:ascii="宋体" w:hAnsi="宋体" w:hint="eastAsia"/>
        </w:rPr>
        <w:t>由于本文数据</w:t>
      </w:r>
      <w:r w:rsidR="00B94D8D">
        <w:rPr>
          <w:rFonts w:ascii="宋体" w:hAnsi="宋体" w:hint="eastAsia"/>
        </w:rPr>
        <w:t>以年计</w:t>
      </w:r>
      <w:r w:rsidR="00C122EC">
        <w:rPr>
          <w:rFonts w:ascii="宋体" w:hAnsi="宋体" w:hint="eastAsia"/>
        </w:rPr>
        <w:t>，具体而言只取整数或者半年数</w:t>
      </w:r>
      <w:r w:rsidR="00B94D8D" w:rsidRPr="00B94D8D">
        <w:rPr>
          <w:rFonts w:ascii="宋体" w:hAnsi="宋体" w:hint="eastAsia"/>
        </w:rPr>
        <w:t>。</w:t>
      </w:r>
      <w:r w:rsidR="006B5785">
        <w:rPr>
          <w:rFonts w:ascii="宋体" w:hAnsi="宋体" w:hint="eastAsia"/>
        </w:rPr>
        <w:t>而且</w:t>
      </w:r>
      <w:r w:rsidR="00B94D8D" w:rsidRPr="00B94D8D">
        <w:rPr>
          <w:rFonts w:ascii="宋体" w:hAnsi="宋体" w:hint="eastAsia"/>
        </w:rPr>
        <w:t>，年末</w:t>
      </w:r>
      <w:r w:rsidR="00B94D8D">
        <w:rPr>
          <w:rFonts w:ascii="宋体" w:hAnsi="宋体" w:hint="eastAsia"/>
        </w:rPr>
        <w:t>总经理</w:t>
      </w:r>
      <w:r w:rsidR="00B94D8D" w:rsidRPr="00B94D8D">
        <w:rPr>
          <w:rFonts w:ascii="宋体" w:hAnsi="宋体" w:hint="eastAsia"/>
        </w:rPr>
        <w:t>持有股票期权数量</w:t>
      </w:r>
      <w:r w:rsidR="00B94D8D">
        <w:rPr>
          <w:rFonts w:ascii="宋体" w:hAnsi="宋体" w:hint="eastAsia"/>
        </w:rPr>
        <w:t>可能会变化</w:t>
      </w:r>
      <w:r w:rsidR="00B94D8D" w:rsidRPr="00B94D8D">
        <w:rPr>
          <w:rFonts w:ascii="宋体" w:hAnsi="宋体" w:hint="eastAsia"/>
        </w:rPr>
        <w:t>：第一种情况，公司业绩未达到股权激励计划要求，高管所持有部分股票期权将注销；第二种情况，业绩达到条件，</w:t>
      </w:r>
      <w:r w:rsidR="00EA14A9">
        <w:rPr>
          <w:rFonts w:ascii="宋体" w:hAnsi="宋体" w:hint="eastAsia"/>
        </w:rPr>
        <w:t>但</w:t>
      </w:r>
      <w:r w:rsidR="00B94D8D" w:rsidRPr="00B94D8D">
        <w:rPr>
          <w:rFonts w:ascii="宋体" w:hAnsi="宋体" w:hint="eastAsia"/>
        </w:rPr>
        <w:t>公司</w:t>
      </w:r>
      <w:proofErr w:type="gramStart"/>
      <w:r w:rsidR="00B94D8D" w:rsidRPr="00B94D8D">
        <w:rPr>
          <w:rFonts w:ascii="宋体" w:hAnsi="宋体" w:hint="eastAsia"/>
        </w:rPr>
        <w:t>在行权期到来</w:t>
      </w:r>
      <w:proofErr w:type="gramEnd"/>
      <w:r w:rsidR="00B94D8D" w:rsidRPr="00B94D8D">
        <w:rPr>
          <w:rFonts w:ascii="宋体" w:hAnsi="宋体" w:hint="eastAsia"/>
        </w:rPr>
        <w:t>之前实施了增资配股等调整了高管的股票期权数；第三种情况，业绩达到条件，且允许高管自由行权，</w:t>
      </w:r>
      <w:r w:rsidR="00427667">
        <w:rPr>
          <w:rFonts w:ascii="宋体" w:hAnsi="宋体" w:hint="eastAsia"/>
        </w:rPr>
        <w:t>但总经理</w:t>
      </w:r>
      <w:r w:rsidR="00B94D8D" w:rsidRPr="00B94D8D">
        <w:rPr>
          <w:rFonts w:ascii="宋体" w:hAnsi="宋体" w:hint="eastAsia"/>
        </w:rPr>
        <w:t>放弃了股票期权行权，这部</w:t>
      </w:r>
      <w:r w:rsidR="00B94D8D" w:rsidRPr="00B94D8D">
        <w:rPr>
          <w:rFonts w:ascii="宋体" w:hAnsi="宋体" w:hint="eastAsia"/>
        </w:rPr>
        <w:lastRenderedPageBreak/>
        <w:t>分股票期权将注销</w:t>
      </w:r>
      <w:r w:rsidR="006B5785">
        <w:rPr>
          <w:rFonts w:ascii="宋体" w:hAnsi="宋体" w:hint="eastAsia"/>
        </w:rPr>
        <w:t>。本文通过检查以上情况对期权数量进行调整修改得到最终所需的期权数量数据。</w:t>
      </w:r>
    </w:p>
    <w:p w14:paraId="5DF580AB" w14:textId="3FBBDCFF" w:rsidR="00B07956" w:rsidRDefault="00FF517A" w:rsidP="00B07956">
      <w:pPr>
        <w:pStyle w:val="2"/>
        <w:spacing w:before="163" w:after="163"/>
        <w:rPr>
          <w:rFonts w:ascii="宋体" w:hAnsi="宋体"/>
        </w:rPr>
      </w:pPr>
      <w:bookmarkStart w:id="74" w:name="_Toc104478871"/>
      <w:r>
        <w:rPr>
          <w:rFonts w:cs="Times New Roman"/>
        </w:rPr>
        <w:t>3</w:t>
      </w:r>
      <w:r w:rsidR="00B07956" w:rsidRPr="00855C85">
        <w:rPr>
          <w:rFonts w:cs="Times New Roman"/>
        </w:rPr>
        <w:t>.2</w:t>
      </w:r>
      <w:r w:rsidR="00B07956">
        <w:rPr>
          <w:rFonts w:hint="eastAsia"/>
        </w:rPr>
        <w:t xml:space="preserve"> </w:t>
      </w:r>
      <w:r w:rsidR="00B07956">
        <w:rPr>
          <w:rFonts w:hint="eastAsia"/>
        </w:rPr>
        <w:t>模型设定</w:t>
      </w:r>
      <w:bookmarkEnd w:id="74"/>
    </w:p>
    <w:p w14:paraId="13D647D1" w14:textId="5B588A9F" w:rsidR="00276DD1" w:rsidRDefault="009D2907" w:rsidP="00B07956">
      <w:pPr>
        <w:ind w:firstLineChars="200" w:firstLine="480"/>
        <w:rPr>
          <w:rFonts w:ascii="宋体" w:hAnsi="宋体"/>
        </w:rPr>
      </w:pPr>
      <w:r>
        <w:rPr>
          <w:rFonts w:ascii="宋体" w:hAnsi="宋体" w:hint="eastAsia"/>
        </w:rPr>
        <w:t>按照</w:t>
      </w:r>
      <w:r w:rsidR="00276DD1">
        <w:rPr>
          <w:rFonts w:ascii="宋体" w:hAnsi="宋体" w:hint="eastAsia"/>
        </w:rPr>
        <w:t>上述说明，本文模型</w:t>
      </w:r>
      <w:r w:rsidR="00F5020B">
        <w:rPr>
          <w:rFonts w:ascii="宋体" w:hAnsi="宋体" w:hint="eastAsia"/>
        </w:rPr>
        <w:t>设定</w:t>
      </w:r>
      <w:r w:rsidR="00276DD1">
        <w:rPr>
          <w:rFonts w:ascii="宋体" w:hAnsi="宋体" w:hint="eastAsia"/>
        </w:rPr>
        <w:t>为</w:t>
      </w:r>
      <w:r w:rsidR="00650D1A">
        <w:rPr>
          <w:rFonts w:ascii="宋体" w:hAnsi="宋体" w:hint="eastAsia"/>
        </w:rPr>
        <w:t>两种</w:t>
      </w:r>
      <w:r w:rsidR="00276DD1">
        <w:rPr>
          <w:rFonts w:ascii="宋体" w:hAnsi="宋体" w:hint="eastAsia"/>
        </w:rPr>
        <w:t>：</w:t>
      </w:r>
      <w:r w:rsidR="00650D1A" w:rsidRPr="00650D1A">
        <w:rPr>
          <w:rFonts w:ascii="宋体" w:hAnsi="宋体" w:hint="eastAsia"/>
        </w:rPr>
        <w:t>行业固定效应模型和研发费用作控制变量模型</w:t>
      </w:r>
      <w:r w:rsidR="00650D1A">
        <w:rPr>
          <w:rFonts w:ascii="宋体" w:hAnsi="宋体" w:hint="eastAsia"/>
        </w:rPr>
        <w:t>：</w:t>
      </w:r>
    </w:p>
    <w:p w14:paraId="0700CC36" w14:textId="65428F2F" w:rsidR="00F5020B" w:rsidRDefault="00455DEF" w:rsidP="00F5020B">
      <w:pPr>
        <w:pStyle w:val="MTDisplayEquation"/>
        <w:rPr>
          <w:rFonts w:ascii="Times New Roman" w:hAnsi="Times New Roman"/>
        </w:rPr>
      </w:pPr>
      <w:r w:rsidRPr="00870FFD">
        <w:rPr>
          <w:rFonts w:ascii="Times New Roman" w:hAnsi="Times New Roman"/>
          <w:position w:val="-12"/>
        </w:rPr>
        <w:object w:dxaOrig="7780" w:dyaOrig="360" w14:anchorId="0C38CC46">
          <v:shape id="_x0000_i1026" type="#_x0000_t75" style="width:318pt;height:18.75pt" o:ole="">
            <v:imagedata r:id="rId15" o:title=""/>
          </v:shape>
          <o:OLEObject Type="Embed" ProgID="Equation.DSMT4" ShapeID="_x0000_i1026" DrawAspect="Content" ObjectID="_1716560187" r:id="rId16"/>
        </w:object>
      </w:r>
      <w:bookmarkStart w:id="75" w:name="_Hlk102853244"/>
      <w:r w:rsidR="00870FFD" w:rsidRPr="00870FFD">
        <w:rPr>
          <w:rFonts w:ascii="Times New Roman" w:hAnsi="Times New Roman"/>
        </w:rPr>
        <w:t>（</w:t>
      </w:r>
      <w:r w:rsidR="00870FFD" w:rsidRPr="00870FFD">
        <w:rPr>
          <w:rFonts w:ascii="Times New Roman" w:hAnsi="Times New Roman"/>
        </w:rPr>
        <w:t>3-1</w:t>
      </w:r>
      <w:r w:rsidR="00870FFD" w:rsidRPr="00870FFD">
        <w:rPr>
          <w:rFonts w:ascii="Times New Roman" w:hAnsi="Times New Roman"/>
        </w:rPr>
        <w:t>）</w:t>
      </w:r>
      <w:bookmarkEnd w:id="75"/>
    </w:p>
    <w:p w14:paraId="2CC2DA2D" w14:textId="3C6D0E4A" w:rsidR="00E6717B" w:rsidRPr="00650D1A" w:rsidRDefault="00455DEF" w:rsidP="00455DEF">
      <w:pPr>
        <w:pStyle w:val="MTDisplayEquation"/>
        <w:rPr>
          <w:rFonts w:ascii="Times New Roman" w:hAnsi="Times New Roman"/>
        </w:rPr>
      </w:pPr>
      <w:r w:rsidRPr="00F66DE7">
        <w:rPr>
          <w:position w:val="-12"/>
        </w:rPr>
        <w:object w:dxaOrig="6240" w:dyaOrig="360" w14:anchorId="2EC1CAAC">
          <v:shape id="_x0000_i1027" type="#_x0000_t75" style="width:284.25pt;height:16.5pt" o:ole="">
            <v:imagedata r:id="rId17" o:title=""/>
          </v:shape>
          <o:OLEObject Type="Embed" ProgID="Equation.DSMT4" ShapeID="_x0000_i1027" DrawAspect="Content" ObjectID="_1716560188" r:id="rId18"/>
        </w:object>
      </w:r>
      <w:r w:rsidR="00650D1A">
        <w:t xml:space="preserve">  </w:t>
      </w:r>
      <w:r w:rsidR="00650D1A" w:rsidRPr="00870FFD">
        <w:rPr>
          <w:rFonts w:ascii="Times New Roman" w:hAnsi="Times New Roman"/>
        </w:rPr>
        <w:t>（</w:t>
      </w:r>
      <w:r w:rsidR="00650D1A" w:rsidRPr="00870FFD">
        <w:rPr>
          <w:rFonts w:ascii="Times New Roman" w:hAnsi="Times New Roman"/>
        </w:rPr>
        <w:t>3-</w:t>
      </w:r>
      <w:r w:rsidR="00650D1A">
        <w:rPr>
          <w:rFonts w:ascii="Times New Roman" w:hAnsi="Times New Roman"/>
        </w:rPr>
        <w:t>2</w:t>
      </w:r>
      <w:r w:rsidR="00650D1A" w:rsidRPr="00870FFD">
        <w:rPr>
          <w:rFonts w:ascii="Times New Roman" w:hAnsi="Times New Roman"/>
        </w:rPr>
        <w:t>）</w:t>
      </w:r>
    </w:p>
    <w:p w14:paraId="2E560952" w14:textId="3E6F7461" w:rsidR="00B07956" w:rsidRDefault="00E6717B" w:rsidP="00B07956">
      <w:pPr>
        <w:ind w:firstLineChars="200" w:firstLine="480"/>
        <w:rPr>
          <w:rFonts w:ascii="宋体" w:hAnsi="宋体"/>
        </w:rPr>
      </w:pPr>
      <w:r>
        <w:rPr>
          <w:rFonts w:ascii="宋体" w:hAnsi="宋体" w:hint="eastAsia"/>
        </w:rPr>
        <w:t>其中</w:t>
      </w:r>
      <w:r w:rsidR="00C122EC">
        <w:rPr>
          <w:rFonts w:ascii="宋体" w:hAnsi="宋体" w:hint="eastAsia"/>
        </w:rPr>
        <w:t>包括以下变量</w:t>
      </w:r>
      <w:r w:rsidR="00B07956" w:rsidRPr="00D04378">
        <w:rPr>
          <w:rFonts w:ascii="宋体" w:hAnsi="宋体" w:hint="eastAsia"/>
        </w:rPr>
        <w:t>：</w:t>
      </w:r>
    </w:p>
    <w:p w14:paraId="3EF553B7" w14:textId="5CE4ED0B" w:rsidR="00F5020B" w:rsidRPr="00F5020B" w:rsidRDefault="00B07956" w:rsidP="00AA0DDF">
      <w:pPr>
        <w:ind w:firstLineChars="200" w:firstLine="480"/>
        <w:rPr>
          <w:rFonts w:ascii="宋体" w:hAnsi="宋体"/>
        </w:rPr>
      </w:pPr>
      <w:r w:rsidRPr="00D04378">
        <w:rPr>
          <w:rFonts w:ascii="宋体" w:hAnsi="宋体" w:hint="eastAsia"/>
        </w:rPr>
        <w:t>自变量：</w:t>
      </w:r>
      <w:r w:rsidR="004E7C53">
        <w:rPr>
          <w:rFonts w:ascii="宋体" w:hAnsi="宋体" w:hint="eastAsia"/>
        </w:rPr>
        <w:t>按照上述所说的</w:t>
      </w:r>
      <w:r w:rsidRPr="00D04378">
        <w:rPr>
          <w:rFonts w:ascii="宋体" w:hAnsi="宋体" w:hint="eastAsia"/>
        </w:rPr>
        <w:t xml:space="preserve"> Core 等</w:t>
      </w:r>
      <w:r w:rsidR="00421A92" w:rsidRPr="00421A92">
        <w:rPr>
          <w:rFonts w:ascii="宋体" w:hAnsi="宋体"/>
          <w:vertAlign w:val="superscript"/>
        </w:rPr>
        <w:fldChar w:fldCharType="begin"/>
      </w:r>
      <w:r w:rsidR="00421A92" w:rsidRPr="00421A92">
        <w:rPr>
          <w:rFonts w:ascii="宋体" w:hAnsi="宋体"/>
          <w:vertAlign w:val="superscript"/>
        </w:rPr>
        <w:instrText xml:space="preserve"> </w:instrText>
      </w:r>
      <w:r w:rsidR="00421A92" w:rsidRPr="00421A92">
        <w:rPr>
          <w:rFonts w:ascii="宋体" w:hAnsi="宋体" w:hint="eastAsia"/>
          <w:vertAlign w:val="superscript"/>
        </w:rPr>
        <w:instrText>REF _Ref102397198 \r \h</w:instrText>
      </w:r>
      <w:r w:rsidR="00421A92" w:rsidRPr="00421A92">
        <w:rPr>
          <w:rFonts w:ascii="宋体" w:hAnsi="宋体"/>
          <w:vertAlign w:val="superscript"/>
        </w:rPr>
        <w:instrText xml:space="preserve"> </w:instrText>
      </w:r>
      <w:r w:rsidR="00421A92">
        <w:rPr>
          <w:rFonts w:ascii="宋体" w:hAnsi="宋体"/>
          <w:vertAlign w:val="superscript"/>
        </w:rPr>
        <w:instrText xml:space="preserve"> \* MERGEFORMAT </w:instrText>
      </w:r>
      <w:r w:rsidR="00421A92" w:rsidRPr="00421A92">
        <w:rPr>
          <w:rFonts w:ascii="宋体" w:hAnsi="宋体"/>
          <w:vertAlign w:val="superscript"/>
        </w:rPr>
      </w:r>
      <w:r w:rsidR="00421A92" w:rsidRPr="00421A92">
        <w:rPr>
          <w:rFonts w:ascii="宋体" w:hAnsi="宋体"/>
          <w:vertAlign w:val="superscript"/>
        </w:rPr>
        <w:fldChar w:fldCharType="separate"/>
      </w:r>
      <w:r w:rsidR="00AA0519">
        <w:rPr>
          <w:rFonts w:ascii="宋体" w:hAnsi="宋体"/>
          <w:vertAlign w:val="superscript"/>
        </w:rPr>
        <w:t>[19]</w:t>
      </w:r>
      <w:r w:rsidR="00421A92" w:rsidRPr="00421A92">
        <w:rPr>
          <w:rFonts w:ascii="宋体" w:hAnsi="宋体"/>
          <w:vertAlign w:val="superscript"/>
        </w:rPr>
        <w:fldChar w:fldCharType="end"/>
      </w:r>
      <w:r w:rsidRPr="00D04378">
        <w:rPr>
          <w:rFonts w:ascii="宋体" w:hAnsi="宋体" w:hint="eastAsia"/>
        </w:rPr>
        <w:t>方法</w:t>
      </w:r>
      <w:r w:rsidR="00C122EC">
        <w:rPr>
          <w:rFonts w:ascii="宋体" w:hAnsi="宋体" w:hint="eastAsia"/>
        </w:rPr>
        <w:t>的计算Delta和Vega</w:t>
      </w:r>
      <w:r w:rsidRPr="00D04378">
        <w:rPr>
          <w:rFonts w:ascii="宋体" w:hAnsi="宋体" w:hint="eastAsia"/>
        </w:rPr>
        <w:t>。</w:t>
      </w:r>
      <w:r w:rsidR="00421A92">
        <w:rPr>
          <w:rFonts w:ascii="宋体" w:hAnsi="宋体" w:hint="eastAsia"/>
        </w:rPr>
        <w:t>而且</w:t>
      </w:r>
      <w:r w:rsidRPr="00D04378">
        <w:rPr>
          <w:rFonts w:ascii="宋体" w:hAnsi="宋体" w:hint="eastAsia"/>
        </w:rPr>
        <w:t>与</w:t>
      </w:r>
      <w:r w:rsidR="00144F2B">
        <w:rPr>
          <w:rFonts w:ascii="宋体" w:hAnsi="宋体" w:hint="eastAsia"/>
        </w:rPr>
        <w:t>以往的</w:t>
      </w:r>
      <w:r w:rsidRPr="00D04378">
        <w:rPr>
          <w:rFonts w:ascii="宋体" w:hAnsi="宋体" w:hint="eastAsia"/>
        </w:rPr>
        <w:t>文献一致，</w:t>
      </w:r>
      <w:r w:rsidR="00144F2B">
        <w:rPr>
          <w:rFonts w:ascii="宋体" w:hAnsi="宋体" w:hint="eastAsia"/>
        </w:rPr>
        <w:t>本研究</w:t>
      </w:r>
      <w:r w:rsidRPr="00D04378">
        <w:rPr>
          <w:rFonts w:ascii="宋体" w:hAnsi="宋体" w:hint="eastAsia"/>
        </w:rPr>
        <w:t>使用总经理作为</w:t>
      </w:r>
      <w:r w:rsidR="00C122EC">
        <w:rPr>
          <w:rFonts w:ascii="宋体" w:hAnsi="宋体" w:hint="eastAsia"/>
        </w:rPr>
        <w:t>本模型中高管的</w:t>
      </w:r>
      <w:r w:rsidRPr="00D04378">
        <w:rPr>
          <w:rFonts w:ascii="宋体" w:hAnsi="宋体" w:hint="eastAsia"/>
        </w:rPr>
        <w:t>代表</w:t>
      </w:r>
      <w:r w:rsidR="00421A92">
        <w:rPr>
          <w:rFonts w:ascii="宋体" w:hAnsi="宋体" w:hint="eastAsia"/>
        </w:rPr>
        <w:t>，因为</w:t>
      </w:r>
      <w:r w:rsidRPr="00D04378">
        <w:rPr>
          <w:rFonts w:ascii="宋体" w:hAnsi="宋体" w:hint="eastAsia"/>
        </w:rPr>
        <w:t>总经理是</w:t>
      </w:r>
      <w:r w:rsidR="00421A92">
        <w:rPr>
          <w:rFonts w:ascii="宋体" w:hAnsi="宋体" w:hint="eastAsia"/>
        </w:rPr>
        <w:t>中国上市</w:t>
      </w:r>
      <w:r w:rsidRPr="00D04378">
        <w:rPr>
          <w:rFonts w:ascii="宋体" w:hAnsi="宋体" w:hint="eastAsia"/>
        </w:rPr>
        <w:t>公司的</w:t>
      </w:r>
      <w:r w:rsidR="00144F2B">
        <w:rPr>
          <w:rFonts w:ascii="宋体" w:hAnsi="宋体" w:hint="eastAsia"/>
        </w:rPr>
        <w:t>公司战略、政策的决定人</w:t>
      </w:r>
      <w:r>
        <w:rPr>
          <w:rFonts w:ascii="宋体" w:hAnsi="宋体" w:hint="eastAsia"/>
        </w:rPr>
        <w:t>。</w:t>
      </w:r>
      <w:r w:rsidR="00144F2B">
        <w:rPr>
          <w:rFonts w:ascii="宋体" w:hAnsi="宋体" w:hint="eastAsia"/>
        </w:rPr>
        <w:t>由于中国大部分的</w:t>
      </w:r>
      <w:r w:rsidR="00421A92">
        <w:rPr>
          <w:rFonts w:ascii="宋体" w:hAnsi="宋体" w:hint="eastAsia"/>
        </w:rPr>
        <w:t>上市</w:t>
      </w:r>
      <w:r w:rsidRPr="00D04378">
        <w:rPr>
          <w:rFonts w:ascii="宋体" w:hAnsi="宋体" w:hint="eastAsia"/>
        </w:rPr>
        <w:t>公司</w:t>
      </w:r>
      <w:r w:rsidR="00144F2B">
        <w:rPr>
          <w:rFonts w:ascii="宋体" w:hAnsi="宋体" w:hint="eastAsia"/>
        </w:rPr>
        <w:t>都是</w:t>
      </w:r>
      <w:r w:rsidRPr="00D04378">
        <w:rPr>
          <w:rFonts w:ascii="宋体" w:hAnsi="宋体" w:hint="eastAsia"/>
        </w:rPr>
        <w:t>使用期权定价模型来计算期权价值的，因此，本文认为</w:t>
      </w:r>
      <w:r w:rsidR="00402458" w:rsidRPr="00D04378">
        <w:rPr>
          <w:rFonts w:ascii="宋体" w:hAnsi="宋体" w:hint="eastAsia"/>
        </w:rPr>
        <w:t>Black-Scholes期权定价模型</w:t>
      </w:r>
      <w:r w:rsidR="00402458">
        <w:rPr>
          <w:rFonts w:ascii="宋体" w:hAnsi="宋体" w:hint="eastAsia"/>
        </w:rPr>
        <w:t>符合中国上市公司股权激励方案定价情况</w:t>
      </w:r>
      <w:r w:rsidR="00144F2B">
        <w:rPr>
          <w:rFonts w:ascii="宋体" w:hAnsi="宋体" w:hint="eastAsia"/>
        </w:rPr>
        <w:t>，</w:t>
      </w:r>
      <w:r w:rsidR="00402458">
        <w:rPr>
          <w:rFonts w:ascii="宋体" w:hAnsi="宋体" w:hint="eastAsia"/>
        </w:rPr>
        <w:t>所以</w:t>
      </w:r>
      <w:r w:rsidRPr="00D04378">
        <w:rPr>
          <w:rFonts w:ascii="宋体" w:hAnsi="宋体" w:hint="eastAsia"/>
        </w:rPr>
        <w:t>，本文使用经过分红修正 Merton 的 Black-Scholes 期权定价模型来计算期权价值、Delta 和 Vega。</w:t>
      </w:r>
      <w:r w:rsidR="00AA0DDF">
        <w:rPr>
          <w:rFonts w:ascii="宋体" w:hAnsi="宋体" w:hint="eastAsia"/>
        </w:rPr>
        <w:t>下面的</w:t>
      </w:r>
      <w:r w:rsidR="00AA0DDF" w:rsidRPr="00AA0DDF">
        <w:rPr>
          <w:rFonts w:ascii="宋体" w:hAnsi="宋体" w:hint="eastAsia"/>
        </w:rPr>
        <w:t>公式中，S</w:t>
      </w:r>
      <w:r w:rsidR="00C122EC">
        <w:rPr>
          <w:rFonts w:ascii="宋体" w:hAnsi="宋体" w:hint="eastAsia"/>
        </w:rPr>
        <w:t>：</w:t>
      </w:r>
      <w:r w:rsidR="00AA0DDF">
        <w:rPr>
          <w:rFonts w:ascii="宋体" w:hAnsi="宋体" w:hint="eastAsia"/>
        </w:rPr>
        <w:t>股票</w:t>
      </w:r>
      <w:r w:rsidR="00AA0DDF" w:rsidRPr="00AA0DDF">
        <w:rPr>
          <w:rFonts w:ascii="宋体" w:hAnsi="宋体" w:hint="eastAsia"/>
        </w:rPr>
        <w:t xml:space="preserve">年末最后交易日收盘价；X </w:t>
      </w:r>
      <w:r w:rsidR="00C122EC">
        <w:rPr>
          <w:rFonts w:ascii="宋体" w:hAnsi="宋体" w:hint="eastAsia"/>
        </w:rPr>
        <w:t>：股票期权的</w:t>
      </w:r>
      <w:r w:rsidR="00AA0DDF" w:rsidRPr="00AA0DDF">
        <w:rPr>
          <w:rFonts w:ascii="宋体" w:hAnsi="宋体" w:hint="eastAsia"/>
        </w:rPr>
        <w:t>行权价格，其会随着公司</w:t>
      </w:r>
      <w:r w:rsidR="00AA0DDF">
        <w:rPr>
          <w:rFonts w:ascii="宋体" w:hAnsi="宋体" w:hint="eastAsia"/>
        </w:rPr>
        <w:t>各种活动</w:t>
      </w:r>
      <w:r w:rsidR="00AA0DDF" w:rsidRPr="00AA0DDF">
        <w:rPr>
          <w:rFonts w:ascii="宋体" w:hAnsi="宋体" w:hint="eastAsia"/>
        </w:rPr>
        <w:t>进行</w:t>
      </w:r>
      <w:r w:rsidR="00AA0DDF">
        <w:rPr>
          <w:rFonts w:ascii="宋体" w:hAnsi="宋体" w:hint="eastAsia"/>
        </w:rPr>
        <w:t>修改；σ</w:t>
      </w:r>
      <w:r w:rsidR="003D0336">
        <w:rPr>
          <w:rFonts w:ascii="宋体" w:hAnsi="宋体" w:hint="eastAsia"/>
        </w:rPr>
        <w:t xml:space="preserve">： </w:t>
      </w:r>
      <w:proofErr w:type="gramStart"/>
      <w:r w:rsidR="00BF556F">
        <w:rPr>
          <w:rFonts w:ascii="宋体" w:hAnsi="宋体" w:hint="eastAsia"/>
        </w:rPr>
        <w:t>股价</w:t>
      </w:r>
      <w:r w:rsidR="00AA0DDF" w:rsidRPr="00BF556F">
        <w:rPr>
          <w:rFonts w:hint="eastAsia"/>
        </w:rPr>
        <w:t>年化波动</w:t>
      </w:r>
      <w:proofErr w:type="gramEnd"/>
      <w:r w:rsidR="00AA0DDF" w:rsidRPr="00BF556F">
        <w:rPr>
          <w:rFonts w:hint="eastAsia"/>
        </w:rPr>
        <w:t>率</w:t>
      </w:r>
      <w:r w:rsidR="00BF556F">
        <w:rPr>
          <w:rFonts w:ascii="宋体" w:hAnsi="宋体" w:hint="eastAsia"/>
        </w:rPr>
        <w:t>；</w:t>
      </w:r>
      <w:r w:rsidR="003D0336">
        <w:rPr>
          <w:rFonts w:ascii="宋体" w:hAnsi="宋体" w:hint="eastAsia"/>
        </w:rPr>
        <w:t xml:space="preserve"> </w:t>
      </w:r>
      <w:r w:rsidR="00AA0DDF" w:rsidRPr="00AA0DDF">
        <w:rPr>
          <w:rFonts w:ascii="宋体" w:hAnsi="宋体"/>
        </w:rPr>
        <w:t xml:space="preserve">d </w:t>
      </w:r>
      <w:r w:rsidR="003D0336">
        <w:rPr>
          <w:rFonts w:ascii="宋体" w:hAnsi="宋体" w:hint="eastAsia"/>
        </w:rPr>
        <w:t>：</w:t>
      </w:r>
      <w:r w:rsidR="00AA0DDF" w:rsidRPr="00AA0DDF">
        <w:rPr>
          <w:rFonts w:ascii="宋体" w:hAnsi="宋体"/>
        </w:rPr>
        <w:t>ln</w:t>
      </w:r>
      <w:r w:rsidR="00AA0DDF" w:rsidRPr="00AA0DDF">
        <w:rPr>
          <w:rFonts w:ascii="宋体" w:hAnsi="宋体" w:hint="eastAsia"/>
        </w:rPr>
        <w:t>（</w:t>
      </w:r>
      <w:r w:rsidR="00AA0DDF" w:rsidRPr="00AA0DDF">
        <w:rPr>
          <w:rFonts w:ascii="宋体" w:hAnsi="宋体"/>
        </w:rPr>
        <w:t>1+</w:t>
      </w:r>
      <w:r w:rsidR="00AA0DDF" w:rsidRPr="00AA0DDF">
        <w:rPr>
          <w:rFonts w:ascii="宋体" w:hAnsi="宋体" w:hint="eastAsia"/>
        </w:rPr>
        <w:t>股利支付率），</w:t>
      </w:r>
      <w:proofErr w:type="gramStart"/>
      <w:r w:rsidR="00AA0DDF" w:rsidRPr="00AA0DDF">
        <w:rPr>
          <w:rFonts w:ascii="宋体" w:hAnsi="宋体" w:hint="eastAsia"/>
        </w:rPr>
        <w:t>叶陈刚</w:t>
      </w:r>
      <w:proofErr w:type="gramEnd"/>
      <w:r w:rsidR="00AA0DDF" w:rsidRPr="00AA0DDF">
        <w:rPr>
          <w:rFonts w:ascii="宋体" w:hAnsi="宋体" w:hint="eastAsia"/>
        </w:rPr>
        <w:t>等（2015）</w:t>
      </w:r>
      <w:r w:rsidR="003D0336">
        <w:rPr>
          <w:rFonts w:ascii="宋体" w:hAnsi="宋体" w:hint="eastAsia"/>
        </w:rPr>
        <w:t>表面中国上市公司由于股利过少可忽略不计</w:t>
      </w:r>
      <w:r w:rsidR="00AA0DDF" w:rsidRPr="00AA0DDF">
        <w:rPr>
          <w:rFonts w:ascii="宋体" w:hAnsi="宋体" w:hint="eastAsia"/>
        </w:rPr>
        <w:t>，</w:t>
      </w:r>
      <w:r w:rsidR="003D0336">
        <w:rPr>
          <w:rFonts w:ascii="宋体" w:hAnsi="宋体" w:hint="eastAsia"/>
        </w:rPr>
        <w:t>从而</w:t>
      </w:r>
      <w:r w:rsidR="00AA0DDF">
        <w:rPr>
          <w:rFonts w:ascii="宋体" w:hAnsi="宋体" w:hint="eastAsia"/>
        </w:rPr>
        <w:t>本文默认</w:t>
      </w:r>
      <w:r w:rsidR="003D0336">
        <w:rPr>
          <w:rFonts w:ascii="宋体" w:hAnsi="宋体" w:hint="eastAsia"/>
        </w:rPr>
        <w:t>d</w:t>
      </w:r>
      <w:r w:rsidR="00AA0DDF">
        <w:rPr>
          <w:rFonts w:ascii="宋体" w:hAnsi="宋体" w:hint="eastAsia"/>
        </w:rPr>
        <w:t>为0</w:t>
      </w:r>
      <w:r w:rsidR="00AA0DDF" w:rsidRPr="00AA0DDF">
        <w:rPr>
          <w:rFonts w:ascii="宋体" w:hAnsi="宋体" w:hint="eastAsia"/>
        </w:rPr>
        <w:t xml:space="preserve">；T </w:t>
      </w:r>
      <w:r w:rsidR="003D0336">
        <w:rPr>
          <w:rFonts w:ascii="宋体" w:hAnsi="宋体" w:hint="eastAsia"/>
        </w:rPr>
        <w:t>：</w:t>
      </w:r>
      <w:r w:rsidR="00AA0DDF" w:rsidRPr="00AA0DDF">
        <w:rPr>
          <w:rFonts w:ascii="宋体" w:hAnsi="宋体" w:hint="eastAsia"/>
        </w:rPr>
        <w:t xml:space="preserve">有效期；r </w:t>
      </w:r>
      <w:r w:rsidR="003D0336">
        <w:rPr>
          <w:rFonts w:ascii="宋体" w:hAnsi="宋体" w:hint="eastAsia"/>
        </w:rPr>
        <w:t>：</w:t>
      </w:r>
      <w:r w:rsidR="00AA0DDF" w:rsidRPr="00AA0DDF">
        <w:rPr>
          <w:rFonts w:ascii="宋体" w:hAnsi="宋体" w:hint="eastAsia"/>
        </w:rPr>
        <w:t>无风险利率，</w:t>
      </w:r>
      <w:r w:rsidR="003D0336">
        <w:rPr>
          <w:rFonts w:ascii="宋体" w:hAnsi="宋体" w:hint="eastAsia"/>
        </w:rPr>
        <w:t>计算</w:t>
      </w:r>
      <w:r w:rsidR="00AA0DDF">
        <w:rPr>
          <w:rFonts w:ascii="宋体" w:hAnsi="宋体" w:hint="eastAsia"/>
        </w:rPr>
        <w:t>为</w:t>
      </w:r>
      <w:r w:rsidR="00AA0DDF" w:rsidRPr="00AA0DDF">
        <w:rPr>
          <w:rFonts w:ascii="宋体" w:hAnsi="宋体" w:hint="eastAsia"/>
        </w:rPr>
        <w:t>ln（1+存款利率）；N（Z）为标准正态分布的累计概率分布，N</w:t>
      </w:r>
      <w:proofErr w:type="gramStart"/>
      <w:r w:rsidR="00AA0DDF" w:rsidRPr="00AA0DDF">
        <w:rPr>
          <w:rFonts w:ascii="宋体" w:hAnsi="宋体" w:hint="eastAsia"/>
        </w:rPr>
        <w:t>’</w:t>
      </w:r>
      <w:proofErr w:type="gramEnd"/>
      <w:r w:rsidR="00AA0DDF" w:rsidRPr="00AA0DDF">
        <w:rPr>
          <w:rFonts w:ascii="宋体" w:hAnsi="宋体" w:hint="eastAsia"/>
        </w:rPr>
        <w:t>（Z）为</w:t>
      </w:r>
      <w:r w:rsidR="003D0336">
        <w:rPr>
          <w:rFonts w:ascii="宋体" w:hAnsi="宋体" w:hint="eastAsia"/>
        </w:rPr>
        <w:t>标准正态分布的</w:t>
      </w:r>
      <w:r w:rsidR="00AA0DDF" w:rsidRPr="00AA0DDF">
        <w:rPr>
          <w:rFonts w:ascii="宋体" w:hAnsi="宋体" w:hint="eastAsia"/>
        </w:rPr>
        <w:t>密度函数。</w:t>
      </w:r>
      <w:r w:rsidR="00542F0D">
        <w:rPr>
          <w:rFonts w:ascii="宋体" w:hAnsi="宋体" w:hint="eastAsia"/>
        </w:rPr>
        <w:t>经过上述数据处理，样本公司期权价值公式为：</w:t>
      </w:r>
      <w:r w:rsidRPr="00D04378">
        <w:rPr>
          <w:rFonts w:ascii="宋体" w:hAnsi="宋体" w:hint="eastAsia"/>
        </w:rPr>
        <w:t xml:space="preserve"> ：</w:t>
      </w:r>
      <w:r w:rsidRPr="00AB5162">
        <w:rPr>
          <w:position w:val="-4"/>
        </w:rPr>
        <w:object w:dxaOrig="180" w:dyaOrig="279" w14:anchorId="7E200C35">
          <v:shape id="_x0000_i1028" type="#_x0000_t75" style="width:7.5pt;height:14.25pt" o:ole="">
            <v:imagedata r:id="rId19" o:title=""/>
          </v:shape>
          <o:OLEObject Type="Embed" ProgID="Equation.DSMT4" ShapeID="_x0000_i1028" DrawAspect="Content" ObjectID="_1716560189" r:id="rId20"/>
        </w:object>
      </w:r>
      <w:r w:rsidR="00A60E67" w:rsidRPr="00F5020B">
        <w:rPr>
          <w:position w:val="-4"/>
        </w:rPr>
        <w:object w:dxaOrig="180" w:dyaOrig="279" w14:anchorId="67EFB854">
          <v:shape id="_x0000_i1029" type="#_x0000_t75" style="width:7.5pt;height:14.25pt" o:ole="">
            <v:imagedata r:id="rId21" o:title=""/>
          </v:shape>
          <o:OLEObject Type="Embed" ProgID="Equation.DSMT4" ShapeID="_x0000_i1029" DrawAspect="Content" ObjectID="_1716560190" r:id="rId22"/>
        </w:object>
      </w:r>
    </w:p>
    <w:p w14:paraId="4BCD389C" w14:textId="29EB9FB8" w:rsidR="00B07956" w:rsidRDefault="00870FFD" w:rsidP="00870FFD">
      <w:pPr>
        <w:pStyle w:val="MTDisplayEquation"/>
        <w:jc w:val="right"/>
      </w:pPr>
      <w:r>
        <w:t xml:space="preserve">            </w:t>
      </w:r>
      <w:r w:rsidR="00455DEF" w:rsidRPr="007706A1">
        <w:rPr>
          <w:position w:val="-16"/>
        </w:rPr>
        <w:object w:dxaOrig="3840" w:dyaOrig="440" w14:anchorId="3C6CED71">
          <v:shape id="_x0000_i1030" type="#_x0000_t75" style="width:189.75pt;height:21pt" o:ole="">
            <v:imagedata r:id="rId23" o:title=""/>
          </v:shape>
          <o:OLEObject Type="Embed" ProgID="Equation.DSMT4" ShapeID="_x0000_i1030" DrawAspect="Content" ObjectID="_1716560191" r:id="rId24"/>
        </w:object>
      </w:r>
      <w:r>
        <w:t xml:space="preserve">               </w:t>
      </w:r>
      <w:r w:rsidRPr="00870FFD">
        <w:rPr>
          <w:rFonts w:ascii="Times New Roman" w:hAnsi="Times New Roman"/>
        </w:rPr>
        <w:t>（</w:t>
      </w:r>
      <w:r w:rsidRPr="00870FFD">
        <w:rPr>
          <w:rFonts w:ascii="Times New Roman" w:hAnsi="Times New Roman"/>
        </w:rPr>
        <w:t>3-</w:t>
      </w:r>
      <w:r w:rsidR="00650D1A">
        <w:rPr>
          <w:rFonts w:ascii="Times New Roman" w:hAnsi="Times New Roman"/>
        </w:rPr>
        <w:t>3</w:t>
      </w:r>
      <w:r w:rsidRPr="00870FFD">
        <w:rPr>
          <w:rFonts w:ascii="Times New Roman" w:hAnsi="Times New Roman"/>
        </w:rPr>
        <w:t>）</w:t>
      </w:r>
    </w:p>
    <w:p w14:paraId="1B0186F9" w14:textId="77777777" w:rsidR="00B07956" w:rsidRDefault="00B07956" w:rsidP="00B07956">
      <w:r>
        <w:rPr>
          <w:rFonts w:ascii="宋体" w:hAnsi="宋体" w:hint="eastAsia"/>
        </w:rPr>
        <w:t>其中：</w:t>
      </w:r>
    </w:p>
    <w:p w14:paraId="24A3D12E" w14:textId="3ED31AD3" w:rsidR="00B07956" w:rsidRDefault="00870FFD" w:rsidP="00870FFD">
      <w:pPr>
        <w:pStyle w:val="MTDisplayEquation"/>
        <w:jc w:val="right"/>
      </w:pPr>
      <w:r>
        <w:t xml:space="preserve">      </w:t>
      </w:r>
      <w:r w:rsidR="00455DEF" w:rsidRPr="00606C01">
        <w:rPr>
          <w:position w:val="-10"/>
        </w:rPr>
        <w:object w:dxaOrig="3980" w:dyaOrig="360" w14:anchorId="7A5F8DE2">
          <v:shape id="_x0000_i1031" type="#_x0000_t75" style="width:169.5pt;height:18.75pt" o:ole="">
            <v:imagedata r:id="rId25" o:title=""/>
          </v:shape>
          <o:OLEObject Type="Embed" ProgID="Equation.DSMT4" ShapeID="_x0000_i1031" DrawAspect="Content" ObjectID="_1716560192" r:id="rId26"/>
        </w:object>
      </w:r>
      <w:r>
        <w:t xml:space="preserve">   </w:t>
      </w:r>
      <w:r w:rsidR="00B07956" w:rsidRPr="002329A1">
        <w:rPr>
          <w:position w:val="-4"/>
        </w:rPr>
        <w:object w:dxaOrig="180" w:dyaOrig="279" w14:anchorId="70C64C75">
          <v:shape id="_x0000_i1032" type="#_x0000_t75" style="width:7.5pt;height:14.25pt" o:ole="">
            <v:imagedata r:id="rId27" o:title=""/>
          </v:shape>
          <o:OLEObject Type="Embed" ProgID="Equation.DSMT4" ShapeID="_x0000_i1032" DrawAspect="Content" ObjectID="_1716560193" r:id="rId28"/>
        </w:object>
      </w:r>
      <w:r>
        <w:t xml:space="preserve">         </w:t>
      </w:r>
      <w:r w:rsidRPr="00870FFD">
        <w:rPr>
          <w:rFonts w:ascii="Times New Roman" w:hAnsi="Times New Roman"/>
        </w:rPr>
        <w:t xml:space="preserve">  </w:t>
      </w:r>
      <w:r w:rsidRPr="00870FFD">
        <w:rPr>
          <w:rFonts w:ascii="Times New Roman" w:hAnsi="Times New Roman"/>
        </w:rPr>
        <w:t>（</w:t>
      </w:r>
      <w:r w:rsidRPr="00870FFD">
        <w:rPr>
          <w:rFonts w:ascii="Times New Roman" w:hAnsi="Times New Roman"/>
        </w:rPr>
        <w:t>3-</w:t>
      </w:r>
      <w:r w:rsidR="00650D1A">
        <w:rPr>
          <w:rFonts w:ascii="Times New Roman" w:hAnsi="Times New Roman"/>
        </w:rPr>
        <w:t>4</w:t>
      </w:r>
      <w:r w:rsidRPr="00870FFD">
        <w:rPr>
          <w:rFonts w:ascii="Times New Roman" w:hAnsi="Times New Roman"/>
        </w:rPr>
        <w:t>）</w:t>
      </w:r>
    </w:p>
    <w:p w14:paraId="3B9C9991" w14:textId="7627CA80" w:rsidR="00B07956" w:rsidRDefault="00455DEF" w:rsidP="00455DEF">
      <w:pPr>
        <w:pStyle w:val="MTDisplayEquation"/>
        <w:ind w:right="240"/>
        <w:jc w:val="right"/>
      </w:pPr>
      <w:r w:rsidRPr="00606C01">
        <w:rPr>
          <w:position w:val="-10"/>
        </w:rPr>
        <w:object w:dxaOrig="1920" w:dyaOrig="360" w14:anchorId="02701BDE">
          <v:shape id="_x0000_i1033" type="#_x0000_t75" style="width:78pt;height:18.75pt" o:ole="">
            <v:imagedata r:id="rId29" o:title=""/>
          </v:shape>
          <o:OLEObject Type="Embed" ProgID="Equation.DSMT4" ShapeID="_x0000_i1033" DrawAspect="Content" ObjectID="_1716560194" r:id="rId30"/>
        </w:object>
      </w:r>
      <w:r w:rsidR="00870FFD">
        <w:t xml:space="preserve">                   </w:t>
      </w:r>
      <w:r w:rsidR="00870FFD" w:rsidRPr="00870FFD">
        <w:rPr>
          <w:rFonts w:ascii="Times New Roman" w:hAnsi="Times New Roman"/>
        </w:rPr>
        <w:t xml:space="preserve">     </w:t>
      </w:r>
      <w:r w:rsidR="00870FFD" w:rsidRPr="00870FFD">
        <w:rPr>
          <w:rFonts w:ascii="Times New Roman" w:hAnsi="Times New Roman"/>
        </w:rPr>
        <w:t>（</w:t>
      </w:r>
      <w:r w:rsidR="00870FFD" w:rsidRPr="00870FFD">
        <w:rPr>
          <w:rFonts w:ascii="Times New Roman" w:hAnsi="Times New Roman"/>
        </w:rPr>
        <w:t>3-</w:t>
      </w:r>
      <w:r w:rsidR="00650D1A">
        <w:rPr>
          <w:rFonts w:ascii="Times New Roman" w:hAnsi="Times New Roman"/>
        </w:rPr>
        <w:t>5</w:t>
      </w:r>
      <w:r w:rsidR="00870FFD" w:rsidRPr="00870FFD">
        <w:rPr>
          <w:rFonts w:ascii="Times New Roman" w:hAnsi="Times New Roman"/>
        </w:rPr>
        <w:t>）</w:t>
      </w:r>
    </w:p>
    <w:p w14:paraId="01BC30F0" w14:textId="18037B74" w:rsidR="00B07956" w:rsidRPr="007332D1" w:rsidRDefault="00B07956" w:rsidP="00870FFD">
      <w:pPr>
        <w:pStyle w:val="MTDisplayEquation"/>
        <w:jc w:val="right"/>
      </w:pPr>
      <w:r>
        <w:lastRenderedPageBreak/>
        <w:tab/>
      </w:r>
      <w:r w:rsidR="00870FFD">
        <w:t xml:space="preserve">                </w:t>
      </w:r>
      <w:r w:rsidR="00455DEF" w:rsidRPr="00606C01">
        <w:rPr>
          <w:position w:val="-10"/>
        </w:rPr>
        <w:object w:dxaOrig="2600" w:dyaOrig="360" w14:anchorId="21E9D4C3">
          <v:shape id="_x0000_i1034" type="#_x0000_t75" style="width:120pt;height:20.25pt" o:ole="">
            <v:imagedata r:id="rId31" o:title=""/>
          </v:shape>
          <o:OLEObject Type="Embed" ProgID="Equation.DSMT4" ShapeID="_x0000_i1034" DrawAspect="Content" ObjectID="_1716560195" r:id="rId32"/>
        </w:object>
      </w:r>
      <w:r w:rsidR="00870FFD">
        <w:t xml:space="preserve">              </w:t>
      </w:r>
      <w:r w:rsidR="00870FFD" w:rsidRPr="00870FFD">
        <w:rPr>
          <w:rFonts w:ascii="Times New Roman" w:hAnsi="Times New Roman"/>
        </w:rPr>
        <w:t xml:space="preserve">      </w:t>
      </w:r>
      <w:r w:rsidR="00870FFD" w:rsidRPr="00870FFD">
        <w:rPr>
          <w:rFonts w:ascii="Times New Roman" w:hAnsi="Times New Roman"/>
        </w:rPr>
        <w:t>（</w:t>
      </w:r>
      <w:r w:rsidR="00870FFD" w:rsidRPr="00870FFD">
        <w:rPr>
          <w:rFonts w:ascii="Times New Roman" w:hAnsi="Times New Roman"/>
        </w:rPr>
        <w:t>3-</w:t>
      </w:r>
      <w:r w:rsidR="00650D1A">
        <w:rPr>
          <w:rFonts w:ascii="Times New Roman" w:hAnsi="Times New Roman"/>
        </w:rPr>
        <w:t>6</w:t>
      </w:r>
      <w:r w:rsidR="00870FFD" w:rsidRPr="00870FFD">
        <w:rPr>
          <w:rFonts w:ascii="Times New Roman" w:hAnsi="Times New Roman"/>
        </w:rPr>
        <w:t>）</w:t>
      </w:r>
    </w:p>
    <w:p w14:paraId="2BAE11D3" w14:textId="7D6C5377" w:rsidR="00B07956" w:rsidRDefault="003D0336" w:rsidP="00A60E67">
      <w:pPr>
        <w:pStyle w:val="MTDisplayEquation"/>
        <w:ind w:firstLineChars="200" w:firstLine="480"/>
      </w:pPr>
      <w:r>
        <w:rPr>
          <w:rFonts w:hint="eastAsia"/>
        </w:rPr>
        <w:t>通过加权累计，</w:t>
      </w:r>
      <w:r w:rsidR="00B07956" w:rsidRPr="00D04378">
        <w:rPr>
          <w:rFonts w:hint="eastAsia"/>
        </w:rPr>
        <w:t>对于</w:t>
      </w:r>
      <w:r>
        <w:rPr>
          <w:rFonts w:hint="eastAsia"/>
        </w:rPr>
        <w:t>期权数量</w:t>
      </w:r>
      <w:r w:rsidR="00B07956" w:rsidRPr="00D04378">
        <w:rPr>
          <w:rFonts w:hint="eastAsia"/>
        </w:rPr>
        <w:t>为 N的期权组合：</w:t>
      </w:r>
    </w:p>
    <w:p w14:paraId="4FEE8CB1" w14:textId="2FD82411" w:rsidR="00B07956" w:rsidRDefault="00455DEF" w:rsidP="00870FFD">
      <w:pPr>
        <w:jc w:val="right"/>
      </w:pPr>
      <w:r w:rsidRPr="00606C01">
        <w:rPr>
          <w:position w:val="-10"/>
        </w:rPr>
        <w:object w:dxaOrig="3140" w:dyaOrig="360" w14:anchorId="229410C4">
          <v:shape id="_x0000_i1035" type="#_x0000_t75" style="width:142.5pt;height:19.5pt" o:ole="">
            <v:imagedata r:id="rId33" o:title=""/>
          </v:shape>
          <o:OLEObject Type="Embed" ProgID="Equation.DSMT4" ShapeID="_x0000_i1035" DrawAspect="Content" ObjectID="_1716560196" r:id="rId34"/>
        </w:object>
      </w:r>
      <w:r w:rsidR="00870FFD">
        <w:t xml:space="preserve">             </w:t>
      </w:r>
      <w:r w:rsidR="00870FFD" w:rsidRPr="00870FFD">
        <w:t xml:space="preserve">  </w:t>
      </w:r>
      <w:r w:rsidR="00870FFD" w:rsidRPr="00870FFD">
        <w:t>（</w:t>
      </w:r>
      <w:r w:rsidR="00870FFD" w:rsidRPr="00870FFD">
        <w:t>3-</w:t>
      </w:r>
      <w:r w:rsidR="00650D1A">
        <w:t>7</w:t>
      </w:r>
      <w:r w:rsidR="00870FFD" w:rsidRPr="00870FFD">
        <w:t>）</w:t>
      </w:r>
    </w:p>
    <w:p w14:paraId="0D984642" w14:textId="337CF1E4" w:rsidR="00B07956" w:rsidRDefault="00B07956" w:rsidP="00870FFD">
      <w:pPr>
        <w:pStyle w:val="MTDisplayEquation"/>
        <w:jc w:val="right"/>
      </w:pPr>
      <w:r>
        <w:tab/>
      </w:r>
      <w:r w:rsidR="00455DEF" w:rsidRPr="00606C01">
        <w:rPr>
          <w:position w:val="-10"/>
        </w:rPr>
        <w:object w:dxaOrig="3320" w:dyaOrig="360" w14:anchorId="2553E41B">
          <v:shape id="_x0000_i1036" type="#_x0000_t75" style="width:147.75pt;height:19.5pt" o:ole="">
            <v:imagedata r:id="rId35" o:title=""/>
          </v:shape>
          <o:OLEObject Type="Embed" ProgID="Equation.DSMT4" ShapeID="_x0000_i1036" DrawAspect="Content" ObjectID="_1716560197" r:id="rId36"/>
        </w:object>
      </w:r>
      <w:r w:rsidR="00870FFD">
        <w:t xml:space="preserve">            </w:t>
      </w:r>
      <w:r w:rsidR="00870FFD" w:rsidRPr="00870FFD">
        <w:rPr>
          <w:rFonts w:ascii="Times New Roman" w:hAnsi="Times New Roman"/>
        </w:rPr>
        <w:t xml:space="preserve">  </w:t>
      </w:r>
      <w:r w:rsidR="00870FFD" w:rsidRPr="00870FFD">
        <w:rPr>
          <w:rFonts w:ascii="Times New Roman" w:hAnsi="Times New Roman"/>
        </w:rPr>
        <w:t>（</w:t>
      </w:r>
      <w:r w:rsidR="00870FFD" w:rsidRPr="00870FFD">
        <w:rPr>
          <w:rFonts w:ascii="Times New Roman" w:hAnsi="Times New Roman"/>
        </w:rPr>
        <w:t>3-</w:t>
      </w:r>
      <w:r w:rsidR="00650D1A">
        <w:rPr>
          <w:rFonts w:ascii="Times New Roman" w:hAnsi="Times New Roman"/>
        </w:rPr>
        <w:t>8</w:t>
      </w:r>
      <w:r w:rsidR="00870FFD" w:rsidRPr="00870FFD">
        <w:rPr>
          <w:rFonts w:ascii="Times New Roman" w:hAnsi="Times New Roman"/>
        </w:rPr>
        <w:t>）</w:t>
      </w:r>
    </w:p>
    <w:p w14:paraId="3AB3E250" w14:textId="609126E8" w:rsidR="00EF27B2" w:rsidRPr="00EF27B2" w:rsidRDefault="003D0336" w:rsidP="00870FFD">
      <w:pPr>
        <w:ind w:firstLineChars="200" w:firstLine="480"/>
        <w:rPr>
          <w:szCs w:val="24"/>
        </w:rPr>
      </w:pPr>
      <w:r>
        <w:rPr>
          <w:rFonts w:hint="eastAsia"/>
          <w:szCs w:val="24"/>
        </w:rPr>
        <w:t>按照</w:t>
      </w:r>
      <w:r w:rsidR="00EF27B2" w:rsidRPr="00EF27B2">
        <w:rPr>
          <w:rFonts w:hint="eastAsia"/>
          <w:szCs w:val="24"/>
        </w:rPr>
        <w:t>王栋等</w:t>
      </w:r>
      <w:r w:rsidR="00CB2073" w:rsidRPr="00EF27B2">
        <w:rPr>
          <w:szCs w:val="24"/>
          <w:vertAlign w:val="superscript"/>
        </w:rPr>
        <w:fldChar w:fldCharType="begin"/>
      </w:r>
      <w:r w:rsidR="00CB2073" w:rsidRPr="00EF27B2">
        <w:rPr>
          <w:szCs w:val="24"/>
          <w:vertAlign w:val="superscript"/>
        </w:rPr>
        <w:instrText xml:space="preserve"> </w:instrText>
      </w:r>
      <w:r w:rsidR="00CB2073" w:rsidRPr="00EF27B2">
        <w:rPr>
          <w:rFonts w:hint="eastAsia"/>
          <w:szCs w:val="24"/>
          <w:vertAlign w:val="superscript"/>
        </w:rPr>
        <w:instrText>REF _Ref102423014 \r \h</w:instrText>
      </w:r>
      <w:r w:rsidR="00CB2073" w:rsidRPr="00EF27B2">
        <w:rPr>
          <w:szCs w:val="24"/>
          <w:vertAlign w:val="superscript"/>
        </w:rPr>
        <w:instrText xml:space="preserve"> </w:instrText>
      </w:r>
      <w:r w:rsidR="00CB2073">
        <w:rPr>
          <w:szCs w:val="24"/>
          <w:vertAlign w:val="superscript"/>
        </w:rPr>
        <w:instrText xml:space="preserve"> \* MERGEFORMAT </w:instrText>
      </w:r>
      <w:r w:rsidR="00CB2073" w:rsidRPr="00EF27B2">
        <w:rPr>
          <w:szCs w:val="24"/>
          <w:vertAlign w:val="superscript"/>
        </w:rPr>
      </w:r>
      <w:r w:rsidR="00CB2073" w:rsidRPr="00EF27B2">
        <w:rPr>
          <w:szCs w:val="24"/>
          <w:vertAlign w:val="superscript"/>
        </w:rPr>
        <w:fldChar w:fldCharType="separate"/>
      </w:r>
      <w:r w:rsidR="00AA0519">
        <w:rPr>
          <w:szCs w:val="24"/>
          <w:vertAlign w:val="superscript"/>
        </w:rPr>
        <w:t>[37]</w:t>
      </w:r>
      <w:r w:rsidR="00CB2073" w:rsidRPr="00EF27B2">
        <w:rPr>
          <w:szCs w:val="24"/>
          <w:vertAlign w:val="superscript"/>
        </w:rPr>
        <w:fldChar w:fldCharType="end"/>
      </w:r>
      <w:r>
        <w:rPr>
          <w:rFonts w:hint="eastAsia"/>
          <w:szCs w:val="24"/>
        </w:rPr>
        <w:t>算法</w:t>
      </w:r>
      <w:r w:rsidR="00EF27B2" w:rsidRPr="00EF27B2">
        <w:rPr>
          <w:rFonts w:hint="eastAsia"/>
          <w:szCs w:val="24"/>
        </w:rPr>
        <w:t>，</w:t>
      </w:r>
      <w:r w:rsidR="001646B8">
        <w:rPr>
          <w:rFonts w:hint="eastAsia"/>
          <w:szCs w:val="24"/>
        </w:rPr>
        <w:t>上述计算的</w:t>
      </w:r>
      <w:r w:rsidR="00EF27B2" w:rsidRPr="00EF27B2">
        <w:rPr>
          <w:rFonts w:hint="eastAsia"/>
          <w:szCs w:val="24"/>
        </w:rPr>
        <w:t xml:space="preserve"> Vega </w:t>
      </w:r>
      <w:r w:rsidR="001646B8">
        <w:rPr>
          <w:rFonts w:hint="eastAsia"/>
          <w:szCs w:val="24"/>
        </w:rPr>
        <w:t>和</w:t>
      </w:r>
      <w:r w:rsidR="00EF27B2" w:rsidRPr="00EF27B2">
        <w:rPr>
          <w:rFonts w:hint="eastAsia"/>
          <w:szCs w:val="24"/>
        </w:rPr>
        <w:t xml:space="preserve"> Delta </w:t>
      </w:r>
      <w:proofErr w:type="gramStart"/>
      <w:r w:rsidR="00EF27B2" w:rsidRPr="00EF27B2">
        <w:rPr>
          <w:rFonts w:hint="eastAsia"/>
          <w:szCs w:val="24"/>
        </w:rPr>
        <w:t>都取对数值</w:t>
      </w:r>
      <w:proofErr w:type="gramEnd"/>
      <w:r>
        <w:rPr>
          <w:rFonts w:hint="eastAsia"/>
          <w:szCs w:val="24"/>
        </w:rPr>
        <w:t>作为最后</w:t>
      </w:r>
      <w:r w:rsidR="005F208F">
        <w:rPr>
          <w:rFonts w:hint="eastAsia"/>
          <w:szCs w:val="24"/>
        </w:rPr>
        <w:t>实证数据</w:t>
      </w:r>
      <w:r w:rsidR="00EF27B2" w:rsidRPr="00EF27B2">
        <w:rPr>
          <w:rFonts w:hint="eastAsia"/>
          <w:szCs w:val="24"/>
        </w:rPr>
        <w:t>。</w:t>
      </w:r>
    </w:p>
    <w:p w14:paraId="25CC114B" w14:textId="333487E4" w:rsidR="00B07956" w:rsidRDefault="00B07956" w:rsidP="00B07956">
      <w:pPr>
        <w:ind w:firstLineChars="200" w:firstLine="480"/>
        <w:rPr>
          <w:rFonts w:ascii="宋体" w:hAnsi="宋体"/>
        </w:rPr>
      </w:pPr>
      <w:r>
        <w:rPr>
          <w:rFonts w:ascii="宋体" w:hAnsi="宋体" w:hint="eastAsia"/>
        </w:rPr>
        <w:t>因变量：本文选用彭博数据库上市公司ESG评分数据。</w:t>
      </w:r>
      <w:r w:rsidR="00386D8C">
        <w:rPr>
          <w:rFonts w:ascii="宋体" w:hAnsi="宋体" w:hint="eastAsia"/>
        </w:rPr>
        <w:t>ESG评分体系的不同主要可分解为</w:t>
      </w:r>
      <w:r w:rsidR="00386D8C" w:rsidRPr="00386D8C">
        <w:rPr>
          <w:rFonts w:ascii="宋体" w:hAnsi="宋体" w:hint="eastAsia"/>
        </w:rPr>
        <w:t>三个来源：不同的类别范围、不同的类别度量和不同的类别权重。</w:t>
      </w:r>
      <w:r w:rsidR="00386D8C">
        <w:rPr>
          <w:rFonts w:ascii="宋体" w:hAnsi="宋体" w:hint="eastAsia"/>
        </w:rPr>
        <w:t>结果比对分析发现彭博数据库较为符合本文研究要求。</w:t>
      </w:r>
      <w:r w:rsidR="00DA61C1" w:rsidRPr="00DA61C1">
        <w:rPr>
          <w:rFonts w:ascii="宋体" w:hAnsi="宋体" w:hint="eastAsia"/>
        </w:rPr>
        <w:t>彭博的ESG监管披露数据集对海量的ESG和公司财务数据进行提炼、简化和定制。</w:t>
      </w:r>
      <w:r>
        <w:rPr>
          <w:rFonts w:ascii="宋体" w:hAnsi="宋体" w:hint="eastAsia"/>
        </w:rPr>
        <w:t>彭博数据库</w:t>
      </w:r>
      <w:r w:rsidRPr="0032462A">
        <w:rPr>
          <w:rFonts w:ascii="宋体" w:hAnsi="宋体" w:hint="eastAsia"/>
        </w:rPr>
        <w:t>统计数据详细列出了企业</w:t>
      </w:r>
      <w:r>
        <w:rPr>
          <w:rFonts w:ascii="宋体" w:hAnsi="宋体" w:hint="eastAsia"/>
        </w:rPr>
        <w:t>ESG评分组成</w:t>
      </w:r>
      <w:r w:rsidRPr="0032462A">
        <w:rPr>
          <w:rFonts w:ascii="宋体" w:hAnsi="宋体" w:hint="eastAsia"/>
        </w:rPr>
        <w:t>，</w:t>
      </w:r>
      <w:r>
        <w:rPr>
          <w:rFonts w:ascii="宋体" w:hAnsi="宋体" w:hint="eastAsia"/>
        </w:rPr>
        <w:t>且</w:t>
      </w:r>
      <w:r w:rsidRPr="00842C6F">
        <w:rPr>
          <w:rFonts w:ascii="宋体" w:hAnsi="宋体" w:hint="eastAsia"/>
        </w:rPr>
        <w:t>彭博自有的ESG评分体系完全透明，能够充分了解评分的方法，以及每个评分的底层公司报告数据。彭博ESG评分基于稳健的量化方法，而非主观判断和分析师排序，为</w:t>
      </w:r>
      <w:r>
        <w:rPr>
          <w:rFonts w:ascii="宋体" w:hAnsi="宋体" w:hint="eastAsia"/>
        </w:rPr>
        <w:t>使用者</w:t>
      </w:r>
      <w:r w:rsidRPr="00842C6F">
        <w:rPr>
          <w:rFonts w:ascii="宋体" w:hAnsi="宋体" w:hint="eastAsia"/>
        </w:rPr>
        <w:t>提供以数据为基准的衡量指标。</w:t>
      </w:r>
      <w:r w:rsidR="00DA61C1">
        <w:rPr>
          <w:rFonts w:ascii="宋体" w:hAnsi="宋体" w:hint="eastAsia"/>
        </w:rPr>
        <w:t>例如：</w:t>
      </w:r>
      <w:r w:rsidR="00DA61C1" w:rsidRPr="00DA61C1">
        <w:rPr>
          <w:rFonts w:ascii="宋体" w:hAnsi="宋体" w:hint="eastAsia"/>
        </w:rPr>
        <w:t>由于披露碳排放尚未成为标准做法，彭博为全球逾50000家上市公司和未上市企业提供了申报和预测数据相结合的碳排放数据。彭博的透明碳排放预测模型提供</w:t>
      </w:r>
      <w:r w:rsidR="00DA61C1">
        <w:rPr>
          <w:rFonts w:ascii="宋体" w:hAnsi="宋体" w:hint="eastAsia"/>
        </w:rPr>
        <w:t>的</w:t>
      </w:r>
      <w:r w:rsidR="00DA61C1" w:rsidRPr="00DA61C1">
        <w:rPr>
          <w:rFonts w:ascii="宋体" w:hAnsi="宋体" w:hint="eastAsia"/>
        </w:rPr>
        <w:t>分发情况和置信度得分等信息显示</w:t>
      </w:r>
      <w:r w:rsidR="00DA61C1">
        <w:rPr>
          <w:rFonts w:ascii="宋体" w:hAnsi="宋体" w:hint="eastAsia"/>
        </w:rPr>
        <w:t>了</w:t>
      </w:r>
      <w:r w:rsidR="00DA61C1" w:rsidRPr="00DA61C1">
        <w:rPr>
          <w:rFonts w:ascii="宋体" w:hAnsi="宋体" w:hint="eastAsia"/>
        </w:rPr>
        <w:t>每个预测值的质量和</w:t>
      </w:r>
      <w:proofErr w:type="gramStart"/>
      <w:r w:rsidR="00DA61C1" w:rsidRPr="00DA61C1">
        <w:rPr>
          <w:rFonts w:ascii="宋体" w:hAnsi="宋体" w:hint="eastAsia"/>
        </w:rPr>
        <w:t>可</w:t>
      </w:r>
      <w:proofErr w:type="gramEnd"/>
      <w:r w:rsidR="00DA61C1" w:rsidRPr="00DA61C1">
        <w:rPr>
          <w:rFonts w:ascii="宋体" w:hAnsi="宋体" w:hint="eastAsia"/>
        </w:rPr>
        <w:t>获得性。</w:t>
      </w:r>
      <w:r w:rsidR="00DA61C1">
        <w:rPr>
          <w:rFonts w:ascii="宋体" w:hAnsi="宋体" w:hint="eastAsia"/>
        </w:rPr>
        <w:t>因此，本文采用其提供的中国上市公司ESG评分数据作为因变量。</w:t>
      </w:r>
    </w:p>
    <w:p w14:paraId="20C03062" w14:textId="20E3F10B" w:rsidR="00B07956" w:rsidRPr="001368A2" w:rsidRDefault="00B07956" w:rsidP="00B07956">
      <w:pPr>
        <w:ind w:firstLineChars="200" w:firstLine="480"/>
        <w:rPr>
          <w:rFonts w:ascii="宋体" w:hAnsi="宋体"/>
        </w:rPr>
      </w:pPr>
      <w:bookmarkStart w:id="76" w:name="_Hlk101895343"/>
      <w:r>
        <w:rPr>
          <w:rFonts w:ascii="宋体" w:hAnsi="宋体" w:hint="eastAsia"/>
        </w:rPr>
        <w:t>控制变量：</w:t>
      </w:r>
      <w:r w:rsidRPr="001368A2">
        <w:rPr>
          <w:rFonts w:ascii="宋体" w:hAnsi="宋体" w:hint="eastAsia"/>
        </w:rPr>
        <w:t>企业风险、规模和行业都被确定为影响</w:t>
      </w:r>
      <w:r>
        <w:rPr>
          <w:rFonts w:ascii="宋体" w:hAnsi="宋体" w:hint="eastAsia"/>
        </w:rPr>
        <w:t>ESG</w:t>
      </w:r>
      <w:r w:rsidRPr="001368A2">
        <w:rPr>
          <w:rFonts w:ascii="宋体" w:hAnsi="宋体" w:hint="eastAsia"/>
        </w:rPr>
        <w:t>的因素。我们利用</w:t>
      </w:r>
      <w:proofErr w:type="spellStart"/>
      <w:r w:rsidRPr="001368A2">
        <w:rPr>
          <w:rFonts w:ascii="宋体" w:hAnsi="宋体"/>
        </w:rPr>
        <w:t>Tsoutsoura</w:t>
      </w:r>
      <w:proofErr w:type="spellEnd"/>
      <w:r w:rsidR="000366B0">
        <w:rPr>
          <w:rFonts w:ascii="宋体" w:hAnsi="宋体" w:hint="eastAsia"/>
        </w:rPr>
        <w:t>等</w:t>
      </w:r>
      <w:r w:rsidR="000366B0" w:rsidRPr="000366B0">
        <w:rPr>
          <w:vertAlign w:val="superscript"/>
        </w:rPr>
        <w:fldChar w:fldCharType="begin"/>
      </w:r>
      <w:r w:rsidR="000366B0" w:rsidRPr="000366B0">
        <w:rPr>
          <w:vertAlign w:val="superscript"/>
        </w:rPr>
        <w:instrText xml:space="preserve"> REF _Ref104474738 \r \h  \* MERGEFORMAT </w:instrText>
      </w:r>
      <w:r w:rsidR="000366B0" w:rsidRPr="000366B0">
        <w:rPr>
          <w:vertAlign w:val="superscript"/>
        </w:rPr>
      </w:r>
      <w:r w:rsidR="000366B0" w:rsidRPr="000366B0">
        <w:rPr>
          <w:vertAlign w:val="superscript"/>
        </w:rPr>
        <w:fldChar w:fldCharType="separate"/>
      </w:r>
      <w:r w:rsidR="00AA0519">
        <w:rPr>
          <w:vertAlign w:val="superscript"/>
        </w:rPr>
        <w:t>[30]</w:t>
      </w:r>
      <w:r w:rsidR="000366B0" w:rsidRPr="000366B0">
        <w:rPr>
          <w:vertAlign w:val="superscript"/>
        </w:rPr>
        <w:fldChar w:fldCharType="end"/>
      </w:r>
      <w:r w:rsidR="00421A92">
        <w:rPr>
          <w:rFonts w:ascii="宋体" w:hAnsi="宋体" w:hint="eastAsia"/>
        </w:rPr>
        <w:t>研究</w:t>
      </w:r>
      <w:r w:rsidRPr="001368A2">
        <w:rPr>
          <w:rFonts w:ascii="宋体" w:hAnsi="宋体" w:hint="eastAsia"/>
        </w:rPr>
        <w:t>为</w:t>
      </w:r>
      <w:r w:rsidR="000366B0">
        <w:rPr>
          <w:rFonts w:ascii="宋体" w:hAnsi="宋体" w:hint="eastAsia"/>
        </w:rPr>
        <w:t>本研究</w:t>
      </w:r>
      <w:r w:rsidRPr="001368A2">
        <w:rPr>
          <w:rFonts w:ascii="宋体" w:hAnsi="宋体" w:hint="eastAsia"/>
        </w:rPr>
        <w:t>模</w:t>
      </w:r>
      <w:bookmarkEnd w:id="76"/>
      <w:r w:rsidRPr="001368A2">
        <w:rPr>
          <w:rFonts w:ascii="宋体" w:hAnsi="宋体" w:hint="eastAsia"/>
        </w:rPr>
        <w:t>型确定合适的控制变量。</w:t>
      </w:r>
      <w:proofErr w:type="spellStart"/>
      <w:r w:rsidRPr="001368A2">
        <w:rPr>
          <w:rFonts w:ascii="宋体" w:hAnsi="宋体"/>
        </w:rPr>
        <w:t>Tsoutsoura</w:t>
      </w:r>
      <w:proofErr w:type="spellEnd"/>
      <w:r w:rsidR="00421A92">
        <w:rPr>
          <w:rFonts w:ascii="宋体" w:hAnsi="宋体" w:hint="eastAsia"/>
        </w:rPr>
        <w:t>等</w:t>
      </w:r>
      <w:r w:rsidR="000366B0" w:rsidRPr="000366B0">
        <w:rPr>
          <w:vertAlign w:val="superscript"/>
        </w:rPr>
        <w:fldChar w:fldCharType="begin"/>
      </w:r>
      <w:r w:rsidR="000366B0" w:rsidRPr="000366B0">
        <w:rPr>
          <w:vertAlign w:val="superscript"/>
        </w:rPr>
        <w:instrText xml:space="preserve"> REF _Ref104474738 \r \h  \* MERGEFORMAT </w:instrText>
      </w:r>
      <w:r w:rsidR="000366B0" w:rsidRPr="000366B0">
        <w:rPr>
          <w:vertAlign w:val="superscript"/>
        </w:rPr>
      </w:r>
      <w:r w:rsidR="000366B0" w:rsidRPr="000366B0">
        <w:rPr>
          <w:vertAlign w:val="superscript"/>
        </w:rPr>
        <w:fldChar w:fldCharType="separate"/>
      </w:r>
      <w:r w:rsidR="00AA0519">
        <w:rPr>
          <w:vertAlign w:val="superscript"/>
        </w:rPr>
        <w:t>[30]</w:t>
      </w:r>
      <w:r w:rsidR="000366B0" w:rsidRPr="000366B0">
        <w:rPr>
          <w:vertAlign w:val="superscript"/>
        </w:rPr>
        <w:fldChar w:fldCharType="end"/>
      </w:r>
      <w:r w:rsidRPr="001368A2">
        <w:rPr>
          <w:rFonts w:ascii="宋体" w:hAnsi="宋体" w:hint="eastAsia"/>
        </w:rPr>
        <w:t>使用</w:t>
      </w:r>
      <w:r w:rsidR="00E563F0">
        <w:rPr>
          <w:rFonts w:ascii="宋体" w:hAnsi="宋体" w:hint="eastAsia"/>
        </w:rPr>
        <w:t>资产负债率</w:t>
      </w:r>
      <w:r w:rsidRPr="001368A2">
        <w:rPr>
          <w:rFonts w:ascii="宋体" w:hAnsi="宋体" w:hint="eastAsia"/>
        </w:rPr>
        <w:t>（</w:t>
      </w:r>
      <w:r w:rsidRPr="001368A2">
        <w:rPr>
          <w:rFonts w:ascii="宋体" w:hAnsi="宋体"/>
        </w:rPr>
        <w:t>DTA</w:t>
      </w:r>
      <w:r w:rsidRPr="001368A2">
        <w:rPr>
          <w:rFonts w:ascii="宋体" w:hAnsi="宋体" w:hint="eastAsia"/>
        </w:rPr>
        <w:t>）作为公司风险的代理</w:t>
      </w:r>
      <w:r w:rsidR="000366B0">
        <w:rPr>
          <w:rFonts w:ascii="宋体" w:hAnsi="宋体" w:hint="eastAsia"/>
        </w:rPr>
        <w:t>，并且</w:t>
      </w:r>
      <w:r w:rsidRPr="001368A2">
        <w:rPr>
          <w:rFonts w:ascii="宋体" w:hAnsi="宋体" w:hint="eastAsia"/>
        </w:rPr>
        <w:t>使用</w:t>
      </w:r>
      <w:r>
        <w:rPr>
          <w:rFonts w:ascii="宋体" w:hAnsi="宋体" w:hint="eastAsia"/>
        </w:rPr>
        <w:t>营业收入</w:t>
      </w:r>
      <w:r w:rsidRPr="001368A2">
        <w:rPr>
          <w:rFonts w:ascii="宋体" w:hAnsi="宋体" w:hint="eastAsia"/>
        </w:rPr>
        <w:t>和</w:t>
      </w:r>
      <w:r>
        <w:rPr>
          <w:rFonts w:ascii="宋体" w:hAnsi="宋体" w:hint="eastAsia"/>
        </w:rPr>
        <w:t>资产</w:t>
      </w:r>
      <w:r w:rsidR="00386D8C">
        <w:rPr>
          <w:rFonts w:ascii="宋体" w:hAnsi="宋体" w:hint="eastAsia"/>
        </w:rPr>
        <w:t>以</w:t>
      </w:r>
      <w:r w:rsidRPr="001368A2">
        <w:rPr>
          <w:rFonts w:ascii="宋体" w:hAnsi="宋体" w:hint="eastAsia"/>
        </w:rPr>
        <w:t>测试</w:t>
      </w:r>
      <w:r w:rsidR="00386D8C">
        <w:rPr>
          <w:rFonts w:ascii="宋体" w:hAnsi="宋体" w:hint="eastAsia"/>
        </w:rPr>
        <w:t>哪一种</w:t>
      </w:r>
      <w:r>
        <w:rPr>
          <w:rFonts w:ascii="宋体" w:hAnsi="宋体" w:hint="eastAsia"/>
        </w:rPr>
        <w:t>代表公司规模</w:t>
      </w:r>
      <w:r w:rsidRPr="001368A2">
        <w:rPr>
          <w:rFonts w:ascii="宋体" w:hAnsi="宋体" w:hint="eastAsia"/>
        </w:rPr>
        <w:t>的模型</w:t>
      </w:r>
      <w:r w:rsidR="00386D8C">
        <w:rPr>
          <w:rFonts w:ascii="宋体" w:hAnsi="宋体" w:hint="eastAsia"/>
        </w:rPr>
        <w:t>更好</w:t>
      </w:r>
      <w:r w:rsidRPr="001368A2">
        <w:rPr>
          <w:rFonts w:ascii="宋体" w:hAnsi="宋体" w:hint="eastAsia"/>
        </w:rPr>
        <w:t>，然后按行业对公司进行分类，以消除行业效应。因此，作为控制变量，我们使用</w:t>
      </w:r>
      <w:r>
        <w:rPr>
          <w:rFonts w:ascii="宋体" w:hAnsi="宋体" w:hint="eastAsia"/>
        </w:rPr>
        <w:t>企业总资产（Size）</w:t>
      </w:r>
      <w:r w:rsidRPr="001368A2">
        <w:rPr>
          <w:rFonts w:ascii="宋体" w:hAnsi="宋体" w:hint="eastAsia"/>
        </w:rPr>
        <w:t>作为规模</w:t>
      </w:r>
      <w:r>
        <w:rPr>
          <w:rFonts w:ascii="宋体" w:hAnsi="宋体" w:hint="eastAsia"/>
        </w:rPr>
        <w:t>代表的控制变量</w:t>
      </w:r>
      <w:r w:rsidRPr="001368A2">
        <w:rPr>
          <w:rFonts w:ascii="宋体" w:hAnsi="宋体" w:hint="eastAsia"/>
        </w:rPr>
        <w:t>，</w:t>
      </w:r>
      <w:r>
        <w:rPr>
          <w:rFonts w:ascii="宋体" w:hAnsi="宋体" w:hint="eastAsia"/>
        </w:rPr>
        <w:t>并</w:t>
      </w:r>
      <w:r w:rsidRPr="001368A2">
        <w:rPr>
          <w:rFonts w:ascii="宋体" w:hAnsi="宋体" w:hint="eastAsia"/>
        </w:rPr>
        <w:t>使用</w:t>
      </w:r>
      <w:r w:rsidRPr="001368A2">
        <w:rPr>
          <w:rFonts w:ascii="宋体" w:hAnsi="宋体"/>
        </w:rPr>
        <w:t>DTA</w:t>
      </w:r>
      <w:r w:rsidRPr="001368A2">
        <w:rPr>
          <w:rFonts w:ascii="宋体" w:hAnsi="宋体" w:hint="eastAsia"/>
        </w:rPr>
        <w:t>来</w:t>
      </w:r>
      <w:r>
        <w:rPr>
          <w:rFonts w:ascii="宋体" w:hAnsi="宋体" w:hint="eastAsia"/>
        </w:rPr>
        <w:t>代表企业</w:t>
      </w:r>
      <w:r w:rsidRPr="001368A2">
        <w:rPr>
          <w:rFonts w:ascii="宋体" w:hAnsi="宋体" w:hint="eastAsia"/>
        </w:rPr>
        <w:t>风险</w:t>
      </w:r>
      <w:r>
        <w:rPr>
          <w:rFonts w:ascii="宋体" w:hAnsi="宋体" w:hint="eastAsia"/>
        </w:rPr>
        <w:t>，同时测试行业固定效应以控制行业影响。</w:t>
      </w:r>
      <w:r w:rsidR="000366B0">
        <w:rPr>
          <w:rFonts w:ascii="宋体" w:hAnsi="宋体" w:hint="eastAsia"/>
        </w:rPr>
        <w:t>同时，</w:t>
      </w:r>
      <w:r w:rsidR="000366B0" w:rsidRPr="000366B0">
        <w:rPr>
          <w:rFonts w:ascii="宋体" w:hAnsi="宋体" w:hint="eastAsia"/>
        </w:rPr>
        <w:t>McWilliams</w:t>
      </w:r>
      <w:r w:rsidR="000366B0" w:rsidRPr="000366B0">
        <w:rPr>
          <w:vertAlign w:val="superscript"/>
        </w:rPr>
        <w:fldChar w:fldCharType="begin"/>
      </w:r>
      <w:r w:rsidR="000366B0" w:rsidRPr="000366B0">
        <w:rPr>
          <w:vertAlign w:val="superscript"/>
        </w:rPr>
        <w:instrText xml:space="preserve"> REF _Ref104474760 \r \h  \* MERGEFORMAT </w:instrText>
      </w:r>
      <w:r w:rsidR="000366B0" w:rsidRPr="000366B0">
        <w:rPr>
          <w:vertAlign w:val="superscript"/>
        </w:rPr>
      </w:r>
      <w:r w:rsidR="000366B0" w:rsidRPr="000366B0">
        <w:rPr>
          <w:vertAlign w:val="superscript"/>
        </w:rPr>
        <w:fldChar w:fldCharType="separate"/>
      </w:r>
      <w:r w:rsidR="00AA0519">
        <w:rPr>
          <w:vertAlign w:val="superscript"/>
        </w:rPr>
        <w:t>[31]</w:t>
      </w:r>
      <w:r w:rsidR="000366B0" w:rsidRPr="000366B0">
        <w:rPr>
          <w:vertAlign w:val="superscript"/>
        </w:rPr>
        <w:fldChar w:fldCharType="end"/>
      </w:r>
      <w:r w:rsidR="000366B0">
        <w:rPr>
          <w:rFonts w:ascii="宋体" w:hAnsi="宋体" w:hint="eastAsia"/>
        </w:rPr>
        <w:t>等</w:t>
      </w:r>
      <w:r w:rsidR="000366B0" w:rsidRPr="000366B0">
        <w:rPr>
          <w:rFonts w:ascii="宋体" w:hAnsi="宋体" w:hint="eastAsia"/>
        </w:rPr>
        <w:t>指出，一旦考虑到企业风险和规模，研发费用是行业（即企业类型）的一个有用指标。这种方法使我们能够避免行业分类引起的平均效应，从而产生更强的相关性和更有力的推断</w:t>
      </w:r>
      <w:r w:rsidR="000366B0">
        <w:rPr>
          <w:rFonts w:ascii="宋体" w:hAnsi="宋体" w:hint="eastAsia"/>
        </w:rPr>
        <w:t>，因此模型</w:t>
      </w:r>
      <w:r w:rsidR="000366B0">
        <w:rPr>
          <w:rFonts w:ascii="宋体" w:hAnsi="宋体"/>
        </w:rPr>
        <w:t>3</w:t>
      </w:r>
      <w:r w:rsidR="000366B0">
        <w:rPr>
          <w:rFonts w:ascii="宋体" w:hAnsi="宋体" w:hint="eastAsia"/>
        </w:rPr>
        <w:t>-</w:t>
      </w:r>
      <w:r w:rsidR="000366B0">
        <w:rPr>
          <w:rFonts w:ascii="宋体" w:hAnsi="宋体"/>
        </w:rPr>
        <w:t>2</w:t>
      </w:r>
      <w:r w:rsidR="000366B0">
        <w:rPr>
          <w:rFonts w:ascii="宋体" w:hAnsi="宋体" w:hint="eastAsia"/>
        </w:rPr>
        <w:t>使用研发费用作为控制变量进行回归分析。</w:t>
      </w:r>
    </w:p>
    <w:p w14:paraId="080CD3AE" w14:textId="78844658" w:rsidR="00B07956" w:rsidRDefault="00314077" w:rsidP="00B07956">
      <w:pPr>
        <w:ind w:firstLineChars="200" w:firstLine="480"/>
        <w:rPr>
          <w:rFonts w:ascii="宋体" w:hAnsi="宋体"/>
        </w:rPr>
      </w:pPr>
      <w:r>
        <w:rPr>
          <w:rFonts w:ascii="宋体" w:hAnsi="宋体" w:hint="eastAsia"/>
        </w:rPr>
        <w:lastRenderedPageBreak/>
        <w:t>本研究出现的</w:t>
      </w:r>
      <w:r w:rsidR="00B07956">
        <w:rPr>
          <w:rFonts w:ascii="宋体" w:hAnsi="宋体" w:hint="eastAsia"/>
        </w:rPr>
        <w:t>具体的变量定义如下表</w:t>
      </w:r>
      <w:r w:rsidR="00D653D6">
        <w:rPr>
          <w:rFonts w:ascii="宋体" w:hAnsi="宋体"/>
        </w:rPr>
        <w:t>3</w:t>
      </w:r>
      <w:r w:rsidR="00047832">
        <w:rPr>
          <w:rFonts w:ascii="宋体" w:hAnsi="宋体"/>
        </w:rPr>
        <w:t>-1</w:t>
      </w:r>
      <w:r w:rsidR="00B07956">
        <w:rPr>
          <w:rFonts w:ascii="宋体" w:hAnsi="宋体" w:hint="eastAsia"/>
        </w:rPr>
        <w:t>所示：</w:t>
      </w:r>
    </w:p>
    <w:p w14:paraId="1CE30FCC" w14:textId="77777777" w:rsidR="005F208F" w:rsidRDefault="005F208F" w:rsidP="00650D1A">
      <w:pPr>
        <w:rPr>
          <w:rFonts w:ascii="宋体" w:hAnsi="宋体"/>
        </w:rPr>
      </w:pPr>
    </w:p>
    <w:p w14:paraId="6F2176E6" w14:textId="0993235A" w:rsidR="00B07956" w:rsidRDefault="00B07956" w:rsidP="009F3EAD">
      <w:pPr>
        <w:spacing w:line="300" w:lineRule="exact"/>
        <w:jc w:val="center"/>
        <w:rPr>
          <w:rFonts w:ascii="黑体" w:eastAsia="黑体" w:hAnsi="宋体"/>
        </w:rPr>
      </w:pPr>
      <w:bookmarkStart w:id="77" w:name="_Hlk101895104"/>
      <w:r w:rsidRPr="00677FE2">
        <w:rPr>
          <w:rFonts w:ascii="黑体" w:eastAsia="黑体" w:hAnsi="宋体" w:hint="eastAsia"/>
        </w:rPr>
        <w:t>表</w:t>
      </w:r>
      <w:r w:rsidR="00D653D6">
        <w:rPr>
          <w:rFonts w:eastAsia="黑体"/>
        </w:rPr>
        <w:t>3</w:t>
      </w:r>
      <w:r w:rsidR="00047832">
        <w:rPr>
          <w:rFonts w:eastAsia="黑体"/>
        </w:rPr>
        <w:t>-1</w:t>
      </w:r>
      <w:r>
        <w:rPr>
          <w:rFonts w:ascii="黑体" w:eastAsia="黑体" w:hAnsi="宋体" w:hint="eastAsia"/>
        </w:rPr>
        <w:t xml:space="preserve"> 变量定义</w:t>
      </w:r>
      <w:bookmarkEnd w:id="77"/>
    </w:p>
    <w:p w14:paraId="6CBFDC9B" w14:textId="77777777" w:rsidR="00870FFD" w:rsidRDefault="00870FFD" w:rsidP="00C94784">
      <w:pPr>
        <w:spacing w:line="300" w:lineRule="exact"/>
        <w:ind w:firstLineChars="1200" w:firstLine="2880"/>
        <w:rPr>
          <w:rFonts w:ascii="黑体" w:eastAsia="黑体" w:hAnsi="宋体"/>
        </w:rPr>
      </w:pPr>
    </w:p>
    <w:tbl>
      <w:tblPr>
        <w:tblW w:w="7083" w:type="dxa"/>
        <w:jc w:val="center"/>
        <w:tblLook w:val="01E0" w:firstRow="1" w:lastRow="1" w:firstColumn="1" w:lastColumn="1" w:noHBand="0" w:noVBand="0"/>
      </w:tblPr>
      <w:tblGrid>
        <w:gridCol w:w="1440"/>
        <w:gridCol w:w="5643"/>
      </w:tblGrid>
      <w:tr w:rsidR="00AA60B4" w:rsidRPr="009D6D3E" w14:paraId="4430A087" w14:textId="77777777" w:rsidTr="009F3EAD">
        <w:trPr>
          <w:jc w:val="center"/>
        </w:trPr>
        <w:tc>
          <w:tcPr>
            <w:tcW w:w="1440" w:type="dxa"/>
            <w:tcBorders>
              <w:top w:val="single" w:sz="12" w:space="0" w:color="auto"/>
              <w:bottom w:val="single" w:sz="4" w:space="0" w:color="auto"/>
            </w:tcBorders>
            <w:vAlign w:val="center"/>
          </w:tcPr>
          <w:p w14:paraId="71DB5AB3" w14:textId="77777777" w:rsidR="00AA60B4" w:rsidRPr="00C94784" w:rsidRDefault="00AA60B4" w:rsidP="00E6281B">
            <w:pPr>
              <w:jc w:val="center"/>
              <w:rPr>
                <w:bCs/>
                <w:color w:val="000000"/>
                <w:sz w:val="21"/>
                <w:szCs w:val="21"/>
              </w:rPr>
            </w:pPr>
            <w:r w:rsidRPr="00C94784">
              <w:rPr>
                <w:sz w:val="21"/>
                <w:szCs w:val="21"/>
              </w:rPr>
              <w:t>ESG</w:t>
            </w:r>
          </w:p>
        </w:tc>
        <w:tc>
          <w:tcPr>
            <w:tcW w:w="5643" w:type="dxa"/>
            <w:tcBorders>
              <w:top w:val="single" w:sz="12" w:space="0" w:color="auto"/>
              <w:bottom w:val="single" w:sz="4" w:space="0" w:color="auto"/>
            </w:tcBorders>
            <w:vAlign w:val="center"/>
          </w:tcPr>
          <w:p w14:paraId="07337CB1" w14:textId="112D6571" w:rsidR="00AA60B4" w:rsidRPr="00C94784" w:rsidRDefault="00AA60B4" w:rsidP="00E6281B">
            <w:pPr>
              <w:jc w:val="center"/>
              <w:rPr>
                <w:rFonts w:ascii="宋体" w:hAnsi="宋体"/>
                <w:bCs/>
                <w:color w:val="000000"/>
                <w:sz w:val="21"/>
                <w:szCs w:val="21"/>
              </w:rPr>
            </w:pPr>
            <w:r w:rsidRPr="00C94784">
              <w:rPr>
                <w:rFonts w:ascii="宋体" w:hAnsi="宋体" w:hint="eastAsia"/>
                <w:bCs/>
                <w:color w:val="000000"/>
                <w:sz w:val="21"/>
                <w:szCs w:val="21"/>
              </w:rPr>
              <w:t>环境</w:t>
            </w:r>
            <w:r w:rsidR="00C94784">
              <w:rPr>
                <w:rFonts w:ascii="宋体" w:hAnsi="宋体" w:hint="eastAsia"/>
                <w:bCs/>
                <w:color w:val="000000"/>
                <w:sz w:val="21"/>
                <w:szCs w:val="21"/>
              </w:rPr>
              <w:t>、</w:t>
            </w:r>
            <w:r w:rsidRPr="00C94784">
              <w:rPr>
                <w:rFonts w:ascii="宋体" w:hAnsi="宋体" w:hint="eastAsia"/>
                <w:bCs/>
                <w:color w:val="000000"/>
                <w:sz w:val="21"/>
                <w:szCs w:val="21"/>
              </w:rPr>
              <w:t>社会</w:t>
            </w:r>
            <w:r w:rsidR="00C94784">
              <w:rPr>
                <w:rFonts w:ascii="宋体" w:hAnsi="宋体" w:hint="eastAsia"/>
                <w:bCs/>
                <w:color w:val="000000"/>
                <w:sz w:val="21"/>
                <w:szCs w:val="21"/>
              </w:rPr>
              <w:t>、</w:t>
            </w:r>
            <w:r w:rsidRPr="00C94784">
              <w:rPr>
                <w:rFonts w:ascii="宋体" w:hAnsi="宋体" w:hint="eastAsia"/>
                <w:bCs/>
                <w:color w:val="000000"/>
                <w:sz w:val="21"/>
                <w:szCs w:val="21"/>
              </w:rPr>
              <w:t>公司治理</w:t>
            </w:r>
            <w:r w:rsidR="00783E9C">
              <w:rPr>
                <w:rFonts w:ascii="宋体" w:hAnsi="宋体" w:hint="eastAsia"/>
                <w:bCs/>
                <w:color w:val="000000"/>
                <w:sz w:val="21"/>
                <w:szCs w:val="21"/>
              </w:rPr>
              <w:t>评分</w:t>
            </w:r>
          </w:p>
        </w:tc>
      </w:tr>
      <w:tr w:rsidR="00AA60B4" w:rsidRPr="009D6D3E" w14:paraId="5CB085DE" w14:textId="77777777" w:rsidTr="009F3EAD">
        <w:trPr>
          <w:jc w:val="center"/>
        </w:trPr>
        <w:tc>
          <w:tcPr>
            <w:tcW w:w="1440" w:type="dxa"/>
            <w:tcBorders>
              <w:top w:val="single" w:sz="4" w:space="0" w:color="auto"/>
            </w:tcBorders>
            <w:vAlign w:val="center"/>
          </w:tcPr>
          <w:p w14:paraId="188B3915" w14:textId="77777777" w:rsidR="00AA60B4" w:rsidRPr="00C94784" w:rsidRDefault="00AA60B4" w:rsidP="00E6281B">
            <w:pPr>
              <w:jc w:val="center"/>
              <w:rPr>
                <w:bCs/>
                <w:color w:val="000000"/>
                <w:sz w:val="21"/>
                <w:szCs w:val="21"/>
              </w:rPr>
            </w:pPr>
            <w:r w:rsidRPr="00C94784">
              <w:rPr>
                <w:sz w:val="21"/>
                <w:szCs w:val="21"/>
              </w:rPr>
              <w:t>Delta</w:t>
            </w:r>
          </w:p>
        </w:tc>
        <w:tc>
          <w:tcPr>
            <w:tcW w:w="5643" w:type="dxa"/>
            <w:tcBorders>
              <w:top w:val="single" w:sz="4" w:space="0" w:color="auto"/>
            </w:tcBorders>
            <w:vAlign w:val="center"/>
          </w:tcPr>
          <w:p w14:paraId="30198C88" w14:textId="48DB98DC" w:rsidR="00AA60B4" w:rsidRPr="00C94784" w:rsidRDefault="00AA60B4" w:rsidP="00E6281B">
            <w:pPr>
              <w:jc w:val="center"/>
              <w:rPr>
                <w:rFonts w:ascii="宋体" w:hAnsi="宋体"/>
                <w:bCs/>
                <w:color w:val="000000"/>
                <w:sz w:val="21"/>
                <w:szCs w:val="21"/>
              </w:rPr>
            </w:pPr>
            <w:r w:rsidRPr="00C94784">
              <w:rPr>
                <w:rFonts w:ascii="宋体" w:hAnsi="宋体" w:hint="eastAsia"/>
                <w:sz w:val="21"/>
                <w:szCs w:val="21"/>
              </w:rPr>
              <w:t>高管财富-股票价格</w:t>
            </w:r>
            <w:r w:rsidR="00C94784">
              <w:rPr>
                <w:rFonts w:ascii="宋体" w:hAnsi="宋体" w:hint="eastAsia"/>
                <w:sz w:val="21"/>
                <w:szCs w:val="21"/>
              </w:rPr>
              <w:t>敏感性</w:t>
            </w:r>
          </w:p>
        </w:tc>
      </w:tr>
      <w:tr w:rsidR="00AA60B4" w:rsidRPr="009D6D3E" w14:paraId="4DF5BCCD" w14:textId="77777777" w:rsidTr="009F3EAD">
        <w:trPr>
          <w:jc w:val="center"/>
        </w:trPr>
        <w:tc>
          <w:tcPr>
            <w:tcW w:w="1440" w:type="dxa"/>
            <w:vAlign w:val="center"/>
          </w:tcPr>
          <w:p w14:paraId="7B0C8510" w14:textId="77777777" w:rsidR="00AA60B4" w:rsidRPr="00C94784" w:rsidRDefault="00AA60B4" w:rsidP="00E6281B">
            <w:pPr>
              <w:jc w:val="center"/>
              <w:rPr>
                <w:bCs/>
                <w:color w:val="000000"/>
                <w:sz w:val="21"/>
                <w:szCs w:val="21"/>
              </w:rPr>
            </w:pPr>
            <w:r w:rsidRPr="00C94784">
              <w:rPr>
                <w:bCs/>
                <w:color w:val="000000"/>
                <w:sz w:val="21"/>
                <w:szCs w:val="21"/>
              </w:rPr>
              <w:t>Vega</w:t>
            </w:r>
          </w:p>
        </w:tc>
        <w:tc>
          <w:tcPr>
            <w:tcW w:w="5643" w:type="dxa"/>
            <w:vAlign w:val="center"/>
          </w:tcPr>
          <w:p w14:paraId="2A59BAD6" w14:textId="53FA95FF" w:rsidR="00AA60B4" w:rsidRPr="00C94784" w:rsidRDefault="00AA60B4" w:rsidP="00E6281B">
            <w:pPr>
              <w:jc w:val="center"/>
              <w:rPr>
                <w:rFonts w:ascii="宋体" w:hAnsi="宋体"/>
                <w:bCs/>
                <w:color w:val="000000"/>
                <w:sz w:val="21"/>
                <w:szCs w:val="21"/>
              </w:rPr>
            </w:pPr>
            <w:r w:rsidRPr="00C94784">
              <w:rPr>
                <w:rFonts w:ascii="宋体" w:hAnsi="宋体" w:hint="eastAsia"/>
                <w:sz w:val="21"/>
                <w:szCs w:val="21"/>
              </w:rPr>
              <w:t>高管财富-股票价格</w:t>
            </w:r>
            <w:r w:rsidR="00C94784">
              <w:rPr>
                <w:rFonts w:ascii="宋体" w:hAnsi="宋体" w:hint="eastAsia"/>
                <w:sz w:val="21"/>
                <w:szCs w:val="21"/>
              </w:rPr>
              <w:t>敏感性</w:t>
            </w:r>
          </w:p>
        </w:tc>
      </w:tr>
      <w:tr w:rsidR="00AA60B4" w:rsidRPr="009D6D3E" w14:paraId="4FE75F7A" w14:textId="77777777" w:rsidTr="009F3EAD">
        <w:trPr>
          <w:jc w:val="center"/>
        </w:trPr>
        <w:tc>
          <w:tcPr>
            <w:tcW w:w="1440" w:type="dxa"/>
            <w:vAlign w:val="center"/>
          </w:tcPr>
          <w:p w14:paraId="6758DD30" w14:textId="77777777" w:rsidR="00AA60B4" w:rsidRPr="00C94784" w:rsidRDefault="00AA60B4" w:rsidP="00E6281B">
            <w:pPr>
              <w:jc w:val="center"/>
              <w:rPr>
                <w:bCs/>
                <w:color w:val="000000"/>
                <w:sz w:val="21"/>
                <w:szCs w:val="21"/>
              </w:rPr>
            </w:pPr>
            <w:r w:rsidRPr="00C94784">
              <w:rPr>
                <w:bCs/>
                <w:color w:val="000000"/>
                <w:sz w:val="21"/>
                <w:szCs w:val="21"/>
              </w:rPr>
              <w:t>Size</w:t>
            </w:r>
          </w:p>
        </w:tc>
        <w:tc>
          <w:tcPr>
            <w:tcW w:w="5643" w:type="dxa"/>
            <w:vAlign w:val="center"/>
          </w:tcPr>
          <w:p w14:paraId="572A56AC" w14:textId="2E2B5523" w:rsidR="00AA60B4" w:rsidRPr="00C94784" w:rsidRDefault="00AA60B4" w:rsidP="00E6281B">
            <w:pPr>
              <w:jc w:val="center"/>
              <w:rPr>
                <w:rFonts w:ascii="宋体" w:hAnsi="宋体"/>
                <w:bCs/>
                <w:color w:val="000000"/>
                <w:sz w:val="21"/>
                <w:szCs w:val="21"/>
              </w:rPr>
            </w:pPr>
            <w:r w:rsidRPr="00C94784">
              <w:rPr>
                <w:rFonts w:ascii="宋体" w:hAnsi="宋体" w:hint="eastAsia"/>
                <w:sz w:val="21"/>
                <w:szCs w:val="21"/>
              </w:rPr>
              <w:t>总资产</w:t>
            </w:r>
          </w:p>
        </w:tc>
      </w:tr>
      <w:tr w:rsidR="00AA60B4" w:rsidRPr="009D6D3E" w14:paraId="449E45DA" w14:textId="77777777" w:rsidTr="009F3EAD">
        <w:trPr>
          <w:jc w:val="center"/>
        </w:trPr>
        <w:tc>
          <w:tcPr>
            <w:tcW w:w="1440" w:type="dxa"/>
            <w:vAlign w:val="center"/>
          </w:tcPr>
          <w:p w14:paraId="7A469978" w14:textId="77777777" w:rsidR="00AA60B4" w:rsidRPr="00C94784" w:rsidRDefault="00AA60B4" w:rsidP="00E6281B">
            <w:pPr>
              <w:jc w:val="center"/>
              <w:rPr>
                <w:bCs/>
                <w:color w:val="000000"/>
                <w:sz w:val="21"/>
                <w:szCs w:val="21"/>
              </w:rPr>
            </w:pPr>
            <w:r w:rsidRPr="00C94784">
              <w:rPr>
                <w:bCs/>
                <w:color w:val="000000"/>
                <w:sz w:val="21"/>
                <w:szCs w:val="21"/>
              </w:rPr>
              <w:t>DTA</w:t>
            </w:r>
          </w:p>
        </w:tc>
        <w:tc>
          <w:tcPr>
            <w:tcW w:w="5643" w:type="dxa"/>
            <w:vAlign w:val="center"/>
          </w:tcPr>
          <w:p w14:paraId="017A7BBF" w14:textId="77777777" w:rsidR="00AA60B4" w:rsidRPr="00C94784" w:rsidRDefault="00AA60B4" w:rsidP="00E6281B">
            <w:pPr>
              <w:jc w:val="center"/>
              <w:rPr>
                <w:rFonts w:ascii="宋体" w:hAnsi="宋体"/>
                <w:sz w:val="21"/>
                <w:szCs w:val="21"/>
              </w:rPr>
            </w:pPr>
            <w:r w:rsidRPr="00C94784">
              <w:rPr>
                <w:rFonts w:ascii="宋体" w:hAnsi="宋体" w:hint="eastAsia"/>
                <w:sz w:val="21"/>
                <w:szCs w:val="21"/>
              </w:rPr>
              <w:t>资本负债率</w:t>
            </w:r>
          </w:p>
        </w:tc>
      </w:tr>
      <w:tr w:rsidR="00AA60B4" w:rsidRPr="009D6D3E" w14:paraId="7BC19CBE" w14:textId="77777777" w:rsidTr="009F3EAD">
        <w:trPr>
          <w:jc w:val="center"/>
        </w:trPr>
        <w:tc>
          <w:tcPr>
            <w:tcW w:w="1440" w:type="dxa"/>
            <w:vAlign w:val="center"/>
          </w:tcPr>
          <w:p w14:paraId="06EA9F54" w14:textId="77777777" w:rsidR="00AA60B4" w:rsidRPr="00C94784" w:rsidRDefault="00AA60B4" w:rsidP="00E6281B">
            <w:pPr>
              <w:jc w:val="center"/>
              <w:rPr>
                <w:bCs/>
                <w:color w:val="000000"/>
                <w:sz w:val="21"/>
                <w:szCs w:val="21"/>
              </w:rPr>
            </w:pPr>
            <w:r w:rsidRPr="00C94784">
              <w:rPr>
                <w:bCs/>
                <w:color w:val="000000"/>
                <w:sz w:val="21"/>
                <w:szCs w:val="21"/>
              </w:rPr>
              <w:t>Sales</w:t>
            </w:r>
          </w:p>
        </w:tc>
        <w:tc>
          <w:tcPr>
            <w:tcW w:w="5643" w:type="dxa"/>
            <w:vAlign w:val="center"/>
          </w:tcPr>
          <w:p w14:paraId="71EF18E7" w14:textId="77777777" w:rsidR="00AA60B4" w:rsidRPr="00C94784" w:rsidRDefault="00AA60B4" w:rsidP="00E6281B">
            <w:pPr>
              <w:jc w:val="center"/>
              <w:rPr>
                <w:rFonts w:ascii="宋体" w:hAnsi="宋体"/>
                <w:sz w:val="21"/>
                <w:szCs w:val="21"/>
              </w:rPr>
            </w:pPr>
            <w:r w:rsidRPr="00C94784">
              <w:rPr>
                <w:rFonts w:ascii="宋体" w:hAnsi="宋体" w:hint="eastAsia"/>
                <w:sz w:val="21"/>
                <w:szCs w:val="21"/>
              </w:rPr>
              <w:t>营业收入</w:t>
            </w:r>
          </w:p>
        </w:tc>
      </w:tr>
      <w:tr w:rsidR="00AA60B4" w:rsidRPr="009D6D3E" w14:paraId="7DC124A7" w14:textId="77777777" w:rsidTr="009F3EAD">
        <w:trPr>
          <w:jc w:val="center"/>
        </w:trPr>
        <w:tc>
          <w:tcPr>
            <w:tcW w:w="1440" w:type="dxa"/>
            <w:tcBorders>
              <w:bottom w:val="single" w:sz="12" w:space="0" w:color="auto"/>
            </w:tcBorders>
            <w:vAlign w:val="center"/>
          </w:tcPr>
          <w:p w14:paraId="4DA72992" w14:textId="77777777" w:rsidR="00AA60B4" w:rsidRPr="00C94784" w:rsidRDefault="00AA60B4" w:rsidP="00E6281B">
            <w:pPr>
              <w:jc w:val="center"/>
              <w:rPr>
                <w:bCs/>
                <w:color w:val="000000"/>
                <w:sz w:val="21"/>
                <w:szCs w:val="21"/>
              </w:rPr>
            </w:pPr>
            <w:r w:rsidRPr="00C94784">
              <w:rPr>
                <w:bCs/>
                <w:color w:val="000000"/>
                <w:sz w:val="21"/>
                <w:szCs w:val="21"/>
              </w:rPr>
              <w:t>RD</w:t>
            </w:r>
          </w:p>
        </w:tc>
        <w:tc>
          <w:tcPr>
            <w:tcW w:w="5643" w:type="dxa"/>
            <w:tcBorders>
              <w:bottom w:val="single" w:sz="12" w:space="0" w:color="auto"/>
            </w:tcBorders>
            <w:vAlign w:val="center"/>
          </w:tcPr>
          <w:p w14:paraId="20F2AC52" w14:textId="77777777" w:rsidR="00AA60B4" w:rsidRPr="00C94784" w:rsidRDefault="00AA60B4" w:rsidP="00E6281B">
            <w:pPr>
              <w:jc w:val="center"/>
              <w:rPr>
                <w:rFonts w:ascii="宋体" w:hAnsi="宋体"/>
                <w:sz w:val="21"/>
                <w:szCs w:val="21"/>
              </w:rPr>
            </w:pPr>
            <w:r w:rsidRPr="00C94784">
              <w:rPr>
                <w:rFonts w:ascii="宋体" w:hAnsi="宋体" w:hint="eastAsia"/>
                <w:sz w:val="21"/>
                <w:szCs w:val="21"/>
              </w:rPr>
              <w:t>研发费用</w:t>
            </w:r>
          </w:p>
        </w:tc>
      </w:tr>
      <w:tr w:rsidR="00AA60B4" w:rsidRPr="009D6D3E" w14:paraId="6F8FE575" w14:textId="77777777" w:rsidTr="009F3EAD">
        <w:trPr>
          <w:jc w:val="center"/>
        </w:trPr>
        <w:tc>
          <w:tcPr>
            <w:tcW w:w="1440" w:type="dxa"/>
            <w:tcBorders>
              <w:top w:val="single" w:sz="12" w:space="0" w:color="auto"/>
            </w:tcBorders>
            <w:vAlign w:val="center"/>
          </w:tcPr>
          <w:p w14:paraId="75A803A4" w14:textId="77777777" w:rsidR="00AA60B4" w:rsidRPr="00E934BA" w:rsidRDefault="00AA60B4" w:rsidP="00E6281B">
            <w:pPr>
              <w:jc w:val="center"/>
              <w:rPr>
                <w:rFonts w:ascii="宋体" w:hAnsi="宋体"/>
                <w:bCs/>
                <w:color w:val="000000"/>
                <w:szCs w:val="21"/>
              </w:rPr>
            </w:pPr>
          </w:p>
        </w:tc>
        <w:tc>
          <w:tcPr>
            <w:tcW w:w="5643" w:type="dxa"/>
            <w:tcBorders>
              <w:top w:val="single" w:sz="12" w:space="0" w:color="auto"/>
            </w:tcBorders>
            <w:vAlign w:val="center"/>
          </w:tcPr>
          <w:p w14:paraId="49A096D9" w14:textId="77777777" w:rsidR="00AA60B4" w:rsidRPr="00E934BA" w:rsidRDefault="00AA60B4" w:rsidP="00E6281B">
            <w:pPr>
              <w:jc w:val="center"/>
              <w:rPr>
                <w:rFonts w:ascii="宋体" w:hAnsi="宋体"/>
                <w:bCs/>
                <w:color w:val="000000"/>
                <w:szCs w:val="21"/>
              </w:rPr>
            </w:pPr>
          </w:p>
        </w:tc>
      </w:tr>
    </w:tbl>
    <w:p w14:paraId="7E62BC07" w14:textId="744C25C2" w:rsidR="00B07956" w:rsidRDefault="0026782C" w:rsidP="0026782C">
      <w:pPr>
        <w:pStyle w:val="2"/>
        <w:spacing w:before="163" w:after="163"/>
      </w:pPr>
      <w:bookmarkStart w:id="78" w:name="_Toc104478872"/>
      <w:r>
        <w:rPr>
          <w:rFonts w:hint="eastAsia"/>
        </w:rPr>
        <w:t>3</w:t>
      </w:r>
      <w:r>
        <w:t xml:space="preserve">.3 </w:t>
      </w:r>
      <w:r>
        <w:rPr>
          <w:rFonts w:hint="eastAsia"/>
        </w:rPr>
        <w:t>数据描述性统计</w:t>
      </w:r>
      <w:bookmarkEnd w:id="78"/>
    </w:p>
    <w:p w14:paraId="4D8D07ED" w14:textId="2474807C" w:rsidR="00E6266D" w:rsidRDefault="0026782C" w:rsidP="00E6266D">
      <w:pPr>
        <w:ind w:firstLineChars="200" w:firstLine="480"/>
      </w:pPr>
      <w:r w:rsidRPr="003D358E">
        <w:rPr>
          <w:rFonts w:hint="eastAsia"/>
        </w:rPr>
        <w:t>本研究运用</w:t>
      </w:r>
      <w:r>
        <w:rPr>
          <w:rFonts w:hint="eastAsia"/>
        </w:rPr>
        <w:t>Stata</w:t>
      </w:r>
      <w:r w:rsidRPr="003D358E">
        <w:rPr>
          <w:rFonts w:hint="eastAsia"/>
        </w:rPr>
        <w:t>软件对</w:t>
      </w:r>
      <w:r w:rsidRPr="003D358E">
        <w:rPr>
          <w:rFonts w:hint="eastAsia"/>
        </w:rPr>
        <w:t xml:space="preserve"> </w:t>
      </w:r>
      <w:r>
        <w:t>53</w:t>
      </w:r>
      <w:r w:rsidRPr="003D358E">
        <w:rPr>
          <w:rFonts w:hint="eastAsia"/>
        </w:rPr>
        <w:t xml:space="preserve"> </w:t>
      </w:r>
      <w:r w:rsidRPr="003D358E">
        <w:rPr>
          <w:rFonts w:hint="eastAsia"/>
        </w:rPr>
        <w:t>家样本</w:t>
      </w:r>
      <w:r>
        <w:rPr>
          <w:rFonts w:hint="eastAsia"/>
        </w:rPr>
        <w:t>上市</w:t>
      </w:r>
      <w:r w:rsidRPr="003D358E">
        <w:rPr>
          <w:rFonts w:hint="eastAsia"/>
        </w:rPr>
        <w:t>公司进行</w:t>
      </w:r>
      <w:r w:rsidR="00F12468">
        <w:rPr>
          <w:rFonts w:hint="eastAsia"/>
        </w:rPr>
        <w:t>数据的</w:t>
      </w:r>
      <w:r w:rsidRPr="003D358E">
        <w:rPr>
          <w:rFonts w:hint="eastAsia"/>
        </w:rPr>
        <w:t>描述性分析</w:t>
      </w:r>
      <w:r w:rsidR="00E6266D">
        <w:rPr>
          <w:rFonts w:hint="eastAsia"/>
        </w:rPr>
        <w:t>，包括</w:t>
      </w:r>
      <w:r w:rsidRPr="003D358E">
        <w:rPr>
          <w:rFonts w:hint="eastAsia"/>
        </w:rPr>
        <w:t>样本数量、</w:t>
      </w:r>
      <w:r>
        <w:rPr>
          <w:rFonts w:hint="eastAsia"/>
        </w:rPr>
        <w:t>最</w:t>
      </w:r>
      <w:r w:rsidRPr="003D358E">
        <w:rPr>
          <w:rFonts w:hint="eastAsia"/>
        </w:rPr>
        <w:t>小值、</w:t>
      </w:r>
      <w:r>
        <w:rPr>
          <w:rFonts w:hint="eastAsia"/>
        </w:rPr>
        <w:t>最</w:t>
      </w:r>
      <w:r w:rsidRPr="003D358E">
        <w:rPr>
          <w:rFonts w:hint="eastAsia"/>
        </w:rPr>
        <w:t>大值、均值和标准差。</w:t>
      </w:r>
      <w:bookmarkStart w:id="79" w:name="_Hlk101895127"/>
    </w:p>
    <w:p w14:paraId="1ABF6D7D" w14:textId="77777777" w:rsidR="005870BF" w:rsidRPr="009F4EB8" w:rsidRDefault="005870BF" w:rsidP="005870BF">
      <w:pPr>
        <w:ind w:firstLineChars="200" w:firstLine="480"/>
        <w:rPr>
          <w:rFonts w:ascii="宋体" w:hAnsi="宋体"/>
        </w:rPr>
      </w:pPr>
      <w:r w:rsidRPr="009F4EB8">
        <w:rPr>
          <w:rFonts w:ascii="宋体" w:hAnsi="宋体" w:hint="eastAsia"/>
        </w:rPr>
        <w:t>表</w:t>
      </w:r>
      <w:r>
        <w:rPr>
          <w:rFonts w:ascii="宋体" w:hAnsi="宋体"/>
        </w:rPr>
        <w:t>3-2</w:t>
      </w:r>
      <w:r w:rsidRPr="009F4EB8">
        <w:rPr>
          <w:rFonts w:ascii="宋体" w:hAnsi="宋体" w:hint="eastAsia"/>
        </w:rPr>
        <w:t xml:space="preserve"> 是本研究中涉及的当期主要变量的描述性统计特征。由表可知，本</w:t>
      </w:r>
    </w:p>
    <w:p w14:paraId="3CD82449" w14:textId="77777777" w:rsidR="005870BF" w:rsidRPr="009F4EB8" w:rsidRDefault="005870BF" w:rsidP="005870BF">
      <w:pPr>
        <w:rPr>
          <w:rFonts w:ascii="宋体" w:hAnsi="宋体"/>
        </w:rPr>
      </w:pPr>
      <w:r w:rsidRPr="009F4EB8">
        <w:rPr>
          <w:rFonts w:ascii="宋体" w:hAnsi="宋体" w:hint="eastAsia"/>
        </w:rPr>
        <w:t>文的被解释变量</w:t>
      </w:r>
      <w:r>
        <w:rPr>
          <w:rFonts w:ascii="宋体" w:hAnsi="宋体" w:hint="eastAsia"/>
        </w:rPr>
        <w:t>ESG评分</w:t>
      </w:r>
      <w:r w:rsidRPr="009F4EB8">
        <w:rPr>
          <w:rFonts w:ascii="宋体" w:hAnsi="宋体" w:hint="eastAsia"/>
        </w:rPr>
        <w:t>的最大值为</w:t>
      </w:r>
      <w:r>
        <w:rPr>
          <w:rFonts w:ascii="宋体" w:hAnsi="宋体"/>
        </w:rPr>
        <w:t>49.17</w:t>
      </w:r>
      <w:r w:rsidRPr="009F4EB8">
        <w:rPr>
          <w:rFonts w:ascii="宋体" w:hAnsi="宋体" w:hint="eastAsia"/>
        </w:rPr>
        <w:t>，最小值为</w:t>
      </w:r>
      <w:r>
        <w:rPr>
          <w:rFonts w:ascii="宋体" w:hAnsi="宋体"/>
        </w:rPr>
        <w:t>8.678</w:t>
      </w:r>
      <w:r w:rsidRPr="009F4EB8">
        <w:rPr>
          <w:rFonts w:ascii="宋体" w:hAnsi="宋体" w:hint="eastAsia"/>
        </w:rPr>
        <w:t>，均值为</w:t>
      </w:r>
      <w:r>
        <w:rPr>
          <w:rFonts w:ascii="宋体" w:hAnsi="宋体"/>
        </w:rPr>
        <w:t>21.72</w:t>
      </w:r>
      <w:r w:rsidRPr="009F4EB8">
        <w:rPr>
          <w:rFonts w:ascii="宋体" w:hAnsi="宋体" w:hint="eastAsia"/>
        </w:rPr>
        <w:t>，</w:t>
      </w:r>
    </w:p>
    <w:p w14:paraId="2CFA4951" w14:textId="52A277E2" w:rsidR="00E6266D" w:rsidRPr="005870BF" w:rsidRDefault="005870BF" w:rsidP="00E6266D">
      <w:pPr>
        <w:rPr>
          <w:rFonts w:ascii="宋体" w:hAnsi="宋体"/>
        </w:rPr>
      </w:pPr>
      <w:r w:rsidRPr="009F4EB8">
        <w:rPr>
          <w:rFonts w:ascii="宋体" w:hAnsi="宋体" w:hint="eastAsia"/>
        </w:rPr>
        <w:t>由此可以看出样本公司的</w:t>
      </w:r>
      <w:r>
        <w:rPr>
          <w:rFonts w:ascii="宋体" w:hAnsi="宋体" w:hint="eastAsia"/>
        </w:rPr>
        <w:t>ESG评分</w:t>
      </w:r>
      <w:r w:rsidRPr="009F4EB8">
        <w:rPr>
          <w:rFonts w:ascii="宋体" w:hAnsi="宋体" w:hint="eastAsia"/>
        </w:rPr>
        <w:t>相差较大；</w:t>
      </w:r>
      <w:r>
        <w:rPr>
          <w:rFonts w:ascii="宋体" w:hAnsi="宋体" w:hint="eastAsia"/>
        </w:rPr>
        <w:t>解释变量Vega最大值1</w:t>
      </w:r>
      <w:r>
        <w:rPr>
          <w:rFonts w:ascii="宋体" w:hAnsi="宋体"/>
        </w:rPr>
        <w:t>2.29</w:t>
      </w:r>
      <w:r>
        <w:rPr>
          <w:rFonts w:ascii="宋体" w:hAnsi="宋体" w:hint="eastAsia"/>
        </w:rPr>
        <w:t>，最小值为0，均值为4</w:t>
      </w:r>
      <w:r>
        <w:rPr>
          <w:rFonts w:ascii="宋体" w:hAnsi="宋体"/>
        </w:rPr>
        <w:t>.320</w:t>
      </w:r>
      <w:r>
        <w:rPr>
          <w:rFonts w:ascii="宋体" w:hAnsi="宋体" w:hint="eastAsia"/>
        </w:rPr>
        <w:t>，可以看出样本公司的Vega差异较大；解释变量Delta最大值为1</w:t>
      </w:r>
      <w:r>
        <w:rPr>
          <w:rFonts w:ascii="宋体" w:hAnsi="宋体"/>
        </w:rPr>
        <w:t>2.57</w:t>
      </w:r>
      <w:r>
        <w:rPr>
          <w:rFonts w:ascii="宋体" w:hAnsi="宋体" w:hint="eastAsia"/>
        </w:rPr>
        <w:t>，最小值为0，均值为4</w:t>
      </w:r>
      <w:r>
        <w:rPr>
          <w:rFonts w:ascii="宋体" w:hAnsi="宋体"/>
        </w:rPr>
        <w:t>.418</w:t>
      </w:r>
      <w:r>
        <w:rPr>
          <w:rFonts w:ascii="宋体" w:hAnsi="宋体" w:hint="eastAsia"/>
        </w:rPr>
        <w:t>，可以看出样本公司的Delta差异也较大。</w:t>
      </w:r>
      <w:r w:rsidRPr="009F4EB8">
        <w:rPr>
          <w:rFonts w:ascii="宋体" w:hAnsi="宋体" w:hint="eastAsia"/>
        </w:rPr>
        <w:t>控制变量</w:t>
      </w:r>
      <w:r>
        <w:rPr>
          <w:rFonts w:ascii="宋体" w:hAnsi="宋体" w:hint="eastAsia"/>
        </w:rPr>
        <w:t>总资产</w:t>
      </w:r>
      <w:r w:rsidRPr="009F4EB8">
        <w:rPr>
          <w:rFonts w:ascii="宋体" w:hAnsi="宋体" w:hint="eastAsia"/>
        </w:rPr>
        <w:t>的最大值为</w:t>
      </w:r>
      <w:r w:rsidRPr="00FB0A72">
        <w:rPr>
          <w:rFonts w:ascii="宋体" w:hAnsi="宋体"/>
        </w:rPr>
        <w:t>1.033e+12</w:t>
      </w:r>
      <w:r w:rsidRPr="009F4EB8">
        <w:rPr>
          <w:rFonts w:ascii="宋体" w:hAnsi="宋体" w:hint="eastAsia"/>
        </w:rPr>
        <w:t xml:space="preserve"> ，最小值为</w:t>
      </w:r>
      <w:r w:rsidRPr="00FB0A72">
        <w:rPr>
          <w:rFonts w:ascii="宋体" w:hAnsi="宋体"/>
        </w:rPr>
        <w:t>7.444e+08</w:t>
      </w:r>
      <w:r w:rsidRPr="009F4EB8">
        <w:rPr>
          <w:rFonts w:ascii="宋体" w:hAnsi="宋体" w:hint="eastAsia"/>
        </w:rPr>
        <w:t>，均值为</w:t>
      </w:r>
      <w:r w:rsidRPr="00FB0A72">
        <w:rPr>
          <w:rFonts w:ascii="宋体" w:hAnsi="宋体"/>
        </w:rPr>
        <w:t>3.814e+10</w:t>
      </w:r>
      <w:r w:rsidRPr="009F4EB8">
        <w:rPr>
          <w:rFonts w:ascii="宋体" w:hAnsi="宋体" w:hint="eastAsia"/>
        </w:rPr>
        <w:t>，标准差为</w:t>
      </w:r>
      <w:r w:rsidRPr="00FB0A72">
        <w:rPr>
          <w:rFonts w:ascii="宋体" w:hAnsi="宋体"/>
        </w:rPr>
        <w:t>9.835e+10</w:t>
      </w:r>
      <w:r w:rsidRPr="009F4EB8">
        <w:rPr>
          <w:rFonts w:ascii="宋体" w:hAnsi="宋体" w:hint="eastAsia"/>
        </w:rPr>
        <w:t>，</w:t>
      </w:r>
      <w:r>
        <w:rPr>
          <w:rFonts w:ascii="宋体" w:hAnsi="宋体" w:hint="eastAsia"/>
        </w:rPr>
        <w:t>而营业收入的最大值为</w:t>
      </w:r>
      <w:r w:rsidRPr="002460EF">
        <w:rPr>
          <w:rFonts w:ascii="宋体" w:hAnsi="宋体"/>
        </w:rPr>
        <w:t>2.360e+11</w:t>
      </w:r>
      <w:r>
        <w:rPr>
          <w:rFonts w:ascii="宋体" w:hAnsi="宋体" w:hint="eastAsia"/>
        </w:rPr>
        <w:t>，最小值</w:t>
      </w:r>
      <w:r w:rsidRPr="002460EF">
        <w:rPr>
          <w:rFonts w:ascii="宋体" w:hAnsi="宋体"/>
        </w:rPr>
        <w:t>2.094e+08</w:t>
      </w:r>
      <w:r>
        <w:rPr>
          <w:rFonts w:ascii="宋体" w:hAnsi="宋体" w:hint="eastAsia"/>
        </w:rPr>
        <w:t>，均值为</w:t>
      </w:r>
      <w:r w:rsidRPr="002460EF">
        <w:rPr>
          <w:rFonts w:ascii="宋体" w:hAnsi="宋体"/>
        </w:rPr>
        <w:t>1.875e+10</w:t>
      </w:r>
      <w:r>
        <w:rPr>
          <w:rFonts w:ascii="宋体" w:hAnsi="宋体" w:hint="eastAsia"/>
        </w:rPr>
        <w:t>，标准差2</w:t>
      </w:r>
      <w:r w:rsidRPr="002460EF">
        <w:rPr>
          <w:rFonts w:ascii="宋体" w:hAnsi="宋体"/>
        </w:rPr>
        <w:t>.094e+08</w:t>
      </w:r>
      <w:r>
        <w:rPr>
          <w:rFonts w:ascii="宋体" w:hAnsi="宋体" w:hint="eastAsia"/>
        </w:rPr>
        <w:t>，对比中可以发现各公司营业</w:t>
      </w:r>
      <w:proofErr w:type="gramStart"/>
      <w:r>
        <w:rPr>
          <w:rFonts w:ascii="宋体" w:hAnsi="宋体" w:hint="eastAsia"/>
        </w:rPr>
        <w:t>收入较总资产</w:t>
      </w:r>
      <w:proofErr w:type="gramEnd"/>
      <w:r>
        <w:rPr>
          <w:rFonts w:ascii="宋体" w:hAnsi="宋体" w:hint="eastAsia"/>
        </w:rPr>
        <w:t>差异较小</w:t>
      </w:r>
      <w:r w:rsidRPr="009F4EB8">
        <w:rPr>
          <w:rFonts w:ascii="宋体" w:hAnsi="宋体" w:hint="eastAsia"/>
        </w:rPr>
        <w:t>；控制变量</w:t>
      </w:r>
      <w:r>
        <w:rPr>
          <w:rFonts w:ascii="宋体" w:hAnsi="宋体" w:hint="eastAsia"/>
        </w:rPr>
        <w:t>资产负债率</w:t>
      </w:r>
      <w:r w:rsidRPr="009F4EB8">
        <w:rPr>
          <w:rFonts w:ascii="宋体" w:hAnsi="宋体" w:hint="eastAsia"/>
        </w:rPr>
        <w:t>的最大值为</w:t>
      </w:r>
      <w:r w:rsidRPr="00BF27E9">
        <w:rPr>
          <w:rFonts w:ascii="宋体" w:hAnsi="宋体"/>
        </w:rPr>
        <w:t>0.857</w:t>
      </w:r>
      <w:r w:rsidRPr="009F4EB8">
        <w:rPr>
          <w:rFonts w:ascii="宋体" w:hAnsi="宋体" w:hint="eastAsia"/>
        </w:rPr>
        <w:t>，最小值为</w:t>
      </w:r>
      <w:r w:rsidRPr="002460EF">
        <w:rPr>
          <w:rFonts w:ascii="宋体" w:hAnsi="宋体"/>
        </w:rPr>
        <w:t>0.0511</w:t>
      </w:r>
      <w:r w:rsidRPr="009F4EB8">
        <w:rPr>
          <w:rFonts w:ascii="宋体" w:hAnsi="宋体" w:hint="eastAsia"/>
        </w:rPr>
        <w:t>，均值为</w:t>
      </w:r>
      <w:r>
        <w:rPr>
          <w:rFonts w:ascii="宋体" w:hAnsi="宋体"/>
        </w:rPr>
        <w:t>0.499</w:t>
      </w:r>
      <w:r w:rsidRPr="009F4EB8">
        <w:rPr>
          <w:rFonts w:ascii="宋体" w:hAnsi="宋体" w:hint="eastAsia"/>
        </w:rPr>
        <w:t>，因此可以看出样本公司的</w:t>
      </w:r>
      <w:r>
        <w:rPr>
          <w:rFonts w:ascii="宋体" w:hAnsi="宋体" w:hint="eastAsia"/>
        </w:rPr>
        <w:t>资产负债率</w:t>
      </w:r>
      <w:r w:rsidRPr="009F4EB8">
        <w:rPr>
          <w:rFonts w:ascii="宋体" w:hAnsi="宋体" w:hint="eastAsia"/>
        </w:rPr>
        <w:t>各异，差距较大；控制变量</w:t>
      </w:r>
      <w:r>
        <w:rPr>
          <w:rFonts w:ascii="宋体" w:hAnsi="宋体" w:hint="eastAsia"/>
        </w:rPr>
        <w:t>研发费用</w:t>
      </w:r>
      <w:r w:rsidRPr="009F4EB8">
        <w:rPr>
          <w:rFonts w:ascii="宋体" w:hAnsi="宋体" w:hint="eastAsia"/>
        </w:rPr>
        <w:t xml:space="preserve">的最大值为 </w:t>
      </w:r>
      <w:r w:rsidRPr="00BF27E9">
        <w:rPr>
          <w:rFonts w:ascii="宋体" w:hAnsi="宋体"/>
        </w:rPr>
        <w:t>6.267e+09</w:t>
      </w:r>
      <w:r w:rsidRPr="009F4EB8">
        <w:rPr>
          <w:rFonts w:ascii="宋体" w:hAnsi="宋体" w:hint="eastAsia"/>
        </w:rPr>
        <w:t>，最小值为</w:t>
      </w:r>
      <w:r>
        <w:rPr>
          <w:rFonts w:ascii="宋体" w:hAnsi="宋体"/>
        </w:rPr>
        <w:t>0</w:t>
      </w:r>
      <w:r w:rsidRPr="009F4EB8">
        <w:rPr>
          <w:rFonts w:ascii="宋体" w:hAnsi="宋体" w:hint="eastAsia"/>
        </w:rPr>
        <w:t>，均值为</w:t>
      </w:r>
      <w:r w:rsidRPr="00BF27E9">
        <w:rPr>
          <w:rFonts w:ascii="宋体" w:hAnsi="宋体"/>
        </w:rPr>
        <w:t>2.092e+08</w:t>
      </w:r>
      <w:r w:rsidRPr="009F4EB8">
        <w:rPr>
          <w:rFonts w:ascii="宋体" w:hAnsi="宋体" w:hint="eastAsia"/>
        </w:rPr>
        <w:t>，表明样本公司的</w:t>
      </w:r>
      <w:r>
        <w:rPr>
          <w:rFonts w:ascii="宋体" w:hAnsi="宋体" w:hint="eastAsia"/>
        </w:rPr>
        <w:t>研发投入</w:t>
      </w:r>
      <w:r w:rsidRPr="009F4EB8">
        <w:rPr>
          <w:rFonts w:ascii="宋体" w:hAnsi="宋体" w:hint="eastAsia"/>
        </w:rPr>
        <w:t>各不相同，并且差距较大</w:t>
      </w:r>
      <w:r>
        <w:rPr>
          <w:rFonts w:ascii="宋体" w:hAnsi="宋体" w:hint="eastAsia"/>
        </w:rPr>
        <w:t>。</w:t>
      </w:r>
      <w:r w:rsidRPr="009F4EB8">
        <w:rPr>
          <w:rFonts w:ascii="宋体" w:hAnsi="宋体" w:hint="eastAsia"/>
        </w:rPr>
        <w:t>综上所述，</w:t>
      </w:r>
      <w:r>
        <w:rPr>
          <w:rFonts w:ascii="宋体" w:hAnsi="宋体" w:hint="eastAsia"/>
        </w:rPr>
        <w:t>样本公司间包括控制变量企业规模、</w:t>
      </w:r>
      <w:r>
        <w:rPr>
          <w:rFonts w:ascii="宋体" w:hAnsi="宋体" w:hint="eastAsia"/>
        </w:rPr>
        <w:lastRenderedPageBreak/>
        <w:t>风险、研发投入等因素差异较大，ESG评分与高管薪酬敏感性差异也较大。</w:t>
      </w:r>
      <w:r w:rsidRPr="002842D3">
        <w:rPr>
          <w:rFonts w:ascii="宋体" w:hAnsi="宋体" w:hint="eastAsia"/>
        </w:rPr>
        <w:t>总之，所有变量都在合理范围内，并与之前研究中的变量具有可比性</w:t>
      </w:r>
      <w:r>
        <w:rPr>
          <w:rFonts w:ascii="宋体" w:hAnsi="宋体" w:hint="eastAsia"/>
        </w:rPr>
        <w:t>。</w:t>
      </w:r>
    </w:p>
    <w:p w14:paraId="65866B3D" w14:textId="3D8F3E58" w:rsidR="0026782C" w:rsidRDefault="0026782C" w:rsidP="009F3EAD">
      <w:pPr>
        <w:spacing w:line="300" w:lineRule="exact"/>
        <w:jc w:val="center"/>
        <w:rPr>
          <w:rFonts w:ascii="黑体" w:eastAsia="黑体" w:hAnsi="宋体"/>
        </w:rPr>
      </w:pPr>
      <w:r w:rsidRPr="00677FE2">
        <w:rPr>
          <w:rFonts w:ascii="黑体" w:eastAsia="黑体" w:hAnsi="宋体" w:hint="eastAsia"/>
        </w:rPr>
        <w:t>表</w:t>
      </w:r>
      <w:r>
        <w:rPr>
          <w:rFonts w:eastAsia="黑体"/>
        </w:rPr>
        <w:t>3</w:t>
      </w:r>
      <w:r w:rsidRPr="00AB6ADE">
        <w:rPr>
          <w:rFonts w:eastAsia="黑体" w:hint="eastAsia"/>
        </w:rPr>
        <w:t>-</w:t>
      </w:r>
      <w:r>
        <w:rPr>
          <w:rFonts w:eastAsia="黑体"/>
        </w:rPr>
        <w:t>2</w:t>
      </w:r>
      <w:r>
        <w:rPr>
          <w:rFonts w:ascii="黑体" w:eastAsia="黑体" w:hAnsi="宋体" w:hint="eastAsia"/>
        </w:rPr>
        <w:t xml:space="preserve"> 描述性统计</w:t>
      </w:r>
    </w:p>
    <w:p w14:paraId="70CCE517" w14:textId="77777777" w:rsidR="0026782C" w:rsidRDefault="0026782C" w:rsidP="009D2907">
      <w:pPr>
        <w:spacing w:line="300" w:lineRule="exact"/>
        <w:ind w:firstLineChars="1300" w:firstLine="3120"/>
        <w:rPr>
          <w:rFonts w:ascii="黑体" w:eastAsia="黑体" w:hAnsi="宋体"/>
        </w:rPr>
      </w:pPr>
    </w:p>
    <w:tbl>
      <w:tblPr>
        <w:tblW w:w="8028" w:type="dxa"/>
        <w:jc w:val="center"/>
        <w:tblBorders>
          <w:top w:val="single" w:sz="12" w:space="0" w:color="auto"/>
        </w:tblBorders>
        <w:tblLayout w:type="fixed"/>
        <w:tblCellMar>
          <w:left w:w="75" w:type="dxa"/>
          <w:right w:w="75" w:type="dxa"/>
        </w:tblCellMar>
        <w:tblLook w:val="0400" w:firstRow="0" w:lastRow="0" w:firstColumn="0" w:lastColumn="0" w:noHBand="0" w:noVBand="1"/>
      </w:tblPr>
      <w:tblGrid>
        <w:gridCol w:w="1371"/>
        <w:gridCol w:w="1165"/>
        <w:gridCol w:w="1418"/>
        <w:gridCol w:w="1276"/>
        <w:gridCol w:w="1417"/>
        <w:gridCol w:w="1381"/>
      </w:tblGrid>
      <w:tr w:rsidR="0026782C" w14:paraId="14FE7F3B" w14:textId="77777777" w:rsidTr="009F3EAD">
        <w:trPr>
          <w:trHeight w:val="108"/>
          <w:jc w:val="center"/>
        </w:trPr>
        <w:tc>
          <w:tcPr>
            <w:tcW w:w="1371" w:type="dxa"/>
            <w:tcBorders>
              <w:top w:val="single" w:sz="12" w:space="0" w:color="auto"/>
              <w:left w:val="nil"/>
              <w:bottom w:val="single" w:sz="4" w:space="0" w:color="auto"/>
            </w:tcBorders>
          </w:tcPr>
          <w:bookmarkEnd w:id="79"/>
          <w:p w14:paraId="7F7D8CB3" w14:textId="77777777" w:rsidR="0026782C" w:rsidRPr="009F3EAD" w:rsidRDefault="0026782C" w:rsidP="009D2907">
            <w:pPr>
              <w:autoSpaceDE w:val="0"/>
              <w:autoSpaceDN w:val="0"/>
              <w:adjustRightInd w:val="0"/>
              <w:spacing w:line="360" w:lineRule="exact"/>
              <w:jc w:val="left"/>
              <w:rPr>
                <w:kern w:val="0"/>
                <w:sz w:val="21"/>
                <w:szCs w:val="21"/>
              </w:rPr>
            </w:pPr>
            <w:r w:rsidRPr="009F3EAD">
              <w:rPr>
                <w:rFonts w:hint="eastAsia"/>
                <w:kern w:val="0"/>
                <w:sz w:val="21"/>
                <w:szCs w:val="21"/>
              </w:rPr>
              <w:t>变量</w:t>
            </w:r>
          </w:p>
        </w:tc>
        <w:tc>
          <w:tcPr>
            <w:tcW w:w="1165" w:type="dxa"/>
            <w:tcBorders>
              <w:top w:val="single" w:sz="12" w:space="0" w:color="auto"/>
              <w:bottom w:val="single" w:sz="4" w:space="0" w:color="auto"/>
            </w:tcBorders>
          </w:tcPr>
          <w:p w14:paraId="0E8BBE38" w14:textId="77777777" w:rsidR="0026782C" w:rsidRPr="009F3EAD" w:rsidRDefault="0026782C" w:rsidP="009D2907">
            <w:pPr>
              <w:autoSpaceDE w:val="0"/>
              <w:autoSpaceDN w:val="0"/>
              <w:adjustRightInd w:val="0"/>
              <w:spacing w:line="360" w:lineRule="exact"/>
              <w:rPr>
                <w:kern w:val="0"/>
                <w:sz w:val="21"/>
                <w:szCs w:val="21"/>
              </w:rPr>
            </w:pPr>
            <w:r w:rsidRPr="009F3EAD">
              <w:rPr>
                <w:rFonts w:hint="eastAsia"/>
                <w:kern w:val="0"/>
                <w:sz w:val="21"/>
                <w:szCs w:val="21"/>
              </w:rPr>
              <w:t>样本数量</w:t>
            </w:r>
          </w:p>
        </w:tc>
        <w:tc>
          <w:tcPr>
            <w:tcW w:w="1418" w:type="dxa"/>
            <w:tcBorders>
              <w:top w:val="single" w:sz="12" w:space="0" w:color="auto"/>
              <w:bottom w:val="single" w:sz="4" w:space="0" w:color="auto"/>
            </w:tcBorders>
          </w:tcPr>
          <w:p w14:paraId="220D2251" w14:textId="77777777" w:rsidR="0026782C" w:rsidRPr="009F3EAD" w:rsidRDefault="0026782C" w:rsidP="009D2907">
            <w:pPr>
              <w:autoSpaceDE w:val="0"/>
              <w:autoSpaceDN w:val="0"/>
              <w:adjustRightInd w:val="0"/>
              <w:spacing w:line="360" w:lineRule="exact"/>
              <w:jc w:val="center"/>
              <w:rPr>
                <w:kern w:val="0"/>
                <w:sz w:val="21"/>
                <w:szCs w:val="21"/>
              </w:rPr>
            </w:pPr>
            <w:r w:rsidRPr="009F3EAD">
              <w:rPr>
                <w:rFonts w:hint="eastAsia"/>
                <w:kern w:val="0"/>
                <w:sz w:val="21"/>
                <w:szCs w:val="21"/>
              </w:rPr>
              <w:t>平均值</w:t>
            </w:r>
          </w:p>
        </w:tc>
        <w:tc>
          <w:tcPr>
            <w:tcW w:w="1276" w:type="dxa"/>
            <w:tcBorders>
              <w:top w:val="single" w:sz="12" w:space="0" w:color="auto"/>
              <w:bottom w:val="single" w:sz="4" w:space="0" w:color="auto"/>
            </w:tcBorders>
          </w:tcPr>
          <w:p w14:paraId="6CEA4B33" w14:textId="77777777" w:rsidR="0026782C" w:rsidRPr="009F3EAD" w:rsidRDefault="0026782C" w:rsidP="009D2907">
            <w:pPr>
              <w:autoSpaceDE w:val="0"/>
              <w:autoSpaceDN w:val="0"/>
              <w:adjustRightInd w:val="0"/>
              <w:spacing w:line="360" w:lineRule="exact"/>
              <w:jc w:val="center"/>
              <w:rPr>
                <w:kern w:val="0"/>
                <w:sz w:val="21"/>
                <w:szCs w:val="21"/>
              </w:rPr>
            </w:pPr>
            <w:r w:rsidRPr="009F3EAD">
              <w:rPr>
                <w:rFonts w:hint="eastAsia"/>
                <w:kern w:val="0"/>
                <w:sz w:val="21"/>
                <w:szCs w:val="21"/>
              </w:rPr>
              <w:t>标准差</w:t>
            </w:r>
          </w:p>
        </w:tc>
        <w:tc>
          <w:tcPr>
            <w:tcW w:w="1417" w:type="dxa"/>
            <w:tcBorders>
              <w:top w:val="single" w:sz="12" w:space="0" w:color="auto"/>
              <w:bottom w:val="single" w:sz="4" w:space="0" w:color="auto"/>
            </w:tcBorders>
          </w:tcPr>
          <w:p w14:paraId="7353D232" w14:textId="77777777" w:rsidR="0026782C" w:rsidRPr="009F3EAD" w:rsidRDefault="0026782C" w:rsidP="009D2907">
            <w:pPr>
              <w:autoSpaceDE w:val="0"/>
              <w:autoSpaceDN w:val="0"/>
              <w:adjustRightInd w:val="0"/>
              <w:spacing w:line="360" w:lineRule="exact"/>
              <w:jc w:val="center"/>
              <w:rPr>
                <w:kern w:val="0"/>
                <w:sz w:val="21"/>
                <w:szCs w:val="21"/>
              </w:rPr>
            </w:pPr>
            <w:r w:rsidRPr="009F3EAD">
              <w:rPr>
                <w:rFonts w:hint="eastAsia"/>
                <w:kern w:val="0"/>
                <w:sz w:val="21"/>
                <w:szCs w:val="21"/>
              </w:rPr>
              <w:t>最小值</w:t>
            </w:r>
          </w:p>
        </w:tc>
        <w:tc>
          <w:tcPr>
            <w:tcW w:w="1381" w:type="dxa"/>
            <w:tcBorders>
              <w:top w:val="single" w:sz="12" w:space="0" w:color="auto"/>
              <w:bottom w:val="single" w:sz="4" w:space="0" w:color="auto"/>
            </w:tcBorders>
          </w:tcPr>
          <w:p w14:paraId="71B3ACF1" w14:textId="77777777" w:rsidR="0026782C" w:rsidRPr="009F3EAD" w:rsidRDefault="0026782C" w:rsidP="009D2907">
            <w:pPr>
              <w:autoSpaceDE w:val="0"/>
              <w:autoSpaceDN w:val="0"/>
              <w:adjustRightInd w:val="0"/>
              <w:spacing w:line="360" w:lineRule="exact"/>
              <w:jc w:val="center"/>
              <w:rPr>
                <w:kern w:val="0"/>
                <w:sz w:val="21"/>
                <w:szCs w:val="21"/>
              </w:rPr>
            </w:pPr>
            <w:r w:rsidRPr="009F3EAD">
              <w:rPr>
                <w:rFonts w:hint="eastAsia"/>
                <w:kern w:val="0"/>
                <w:sz w:val="21"/>
                <w:szCs w:val="21"/>
              </w:rPr>
              <w:t>最大值</w:t>
            </w:r>
          </w:p>
        </w:tc>
      </w:tr>
      <w:tr w:rsidR="0026782C" w14:paraId="11B128DE" w14:textId="77777777" w:rsidTr="009F3EAD">
        <w:trPr>
          <w:jc w:val="center"/>
        </w:trPr>
        <w:tc>
          <w:tcPr>
            <w:tcW w:w="1371" w:type="dxa"/>
            <w:tcBorders>
              <w:top w:val="single" w:sz="4" w:space="0" w:color="auto"/>
            </w:tcBorders>
          </w:tcPr>
          <w:p w14:paraId="0263C0A5" w14:textId="77777777" w:rsidR="0026782C" w:rsidRPr="009F3EAD" w:rsidRDefault="0026782C" w:rsidP="009D2907">
            <w:pPr>
              <w:autoSpaceDE w:val="0"/>
              <w:autoSpaceDN w:val="0"/>
              <w:adjustRightInd w:val="0"/>
              <w:spacing w:line="360" w:lineRule="exact"/>
              <w:jc w:val="left"/>
              <w:rPr>
                <w:rFonts w:ascii="宋体" w:hAnsi="宋体"/>
                <w:kern w:val="0"/>
                <w:sz w:val="21"/>
                <w:szCs w:val="21"/>
              </w:rPr>
            </w:pPr>
            <w:r w:rsidRPr="009F3EAD">
              <w:rPr>
                <w:kern w:val="0"/>
                <w:sz w:val="21"/>
                <w:szCs w:val="21"/>
              </w:rPr>
              <w:t>ESG</w:t>
            </w:r>
          </w:p>
        </w:tc>
        <w:tc>
          <w:tcPr>
            <w:tcW w:w="1165" w:type="dxa"/>
            <w:tcBorders>
              <w:top w:val="single" w:sz="4" w:space="0" w:color="auto"/>
            </w:tcBorders>
          </w:tcPr>
          <w:p w14:paraId="47E234FC" w14:textId="6094AF2A" w:rsidR="0026782C" w:rsidRPr="009F3EAD" w:rsidRDefault="005174C3" w:rsidP="005174C3">
            <w:pPr>
              <w:autoSpaceDE w:val="0"/>
              <w:autoSpaceDN w:val="0"/>
              <w:adjustRightInd w:val="0"/>
              <w:spacing w:line="360" w:lineRule="exact"/>
              <w:ind w:firstLineChars="100" w:firstLine="210"/>
              <w:rPr>
                <w:rFonts w:ascii="宋体" w:hAnsi="宋体"/>
                <w:kern w:val="0"/>
                <w:sz w:val="21"/>
                <w:szCs w:val="21"/>
              </w:rPr>
            </w:pPr>
            <w:r>
              <w:rPr>
                <w:kern w:val="0"/>
                <w:sz w:val="21"/>
                <w:szCs w:val="21"/>
              </w:rPr>
              <w:t xml:space="preserve"> 318</w:t>
            </w:r>
          </w:p>
        </w:tc>
        <w:tc>
          <w:tcPr>
            <w:tcW w:w="1418" w:type="dxa"/>
            <w:tcBorders>
              <w:top w:val="single" w:sz="4" w:space="0" w:color="auto"/>
            </w:tcBorders>
          </w:tcPr>
          <w:p w14:paraId="4C17867C" w14:textId="77777777" w:rsidR="0026782C" w:rsidRPr="009F3EAD" w:rsidRDefault="0026782C" w:rsidP="009D2907">
            <w:pPr>
              <w:autoSpaceDE w:val="0"/>
              <w:autoSpaceDN w:val="0"/>
              <w:adjustRightInd w:val="0"/>
              <w:spacing w:line="360" w:lineRule="exact"/>
              <w:jc w:val="center"/>
              <w:rPr>
                <w:rFonts w:ascii="宋体" w:hAnsi="宋体"/>
                <w:kern w:val="0"/>
                <w:sz w:val="21"/>
                <w:szCs w:val="21"/>
              </w:rPr>
            </w:pPr>
            <w:r w:rsidRPr="009F3EAD">
              <w:rPr>
                <w:kern w:val="0"/>
                <w:sz w:val="21"/>
                <w:szCs w:val="21"/>
              </w:rPr>
              <w:t>21.72</w:t>
            </w:r>
          </w:p>
        </w:tc>
        <w:tc>
          <w:tcPr>
            <w:tcW w:w="1276" w:type="dxa"/>
            <w:tcBorders>
              <w:top w:val="single" w:sz="4" w:space="0" w:color="auto"/>
            </w:tcBorders>
          </w:tcPr>
          <w:p w14:paraId="3D8F12D9" w14:textId="77777777" w:rsidR="0026782C" w:rsidRPr="009F3EAD" w:rsidRDefault="0026782C" w:rsidP="009D2907">
            <w:pPr>
              <w:autoSpaceDE w:val="0"/>
              <w:autoSpaceDN w:val="0"/>
              <w:adjustRightInd w:val="0"/>
              <w:spacing w:line="360" w:lineRule="exact"/>
              <w:jc w:val="center"/>
              <w:rPr>
                <w:rFonts w:ascii="宋体" w:hAnsi="宋体"/>
                <w:kern w:val="0"/>
                <w:sz w:val="21"/>
                <w:szCs w:val="21"/>
              </w:rPr>
            </w:pPr>
            <w:r w:rsidRPr="009F3EAD">
              <w:rPr>
                <w:kern w:val="0"/>
                <w:sz w:val="21"/>
                <w:szCs w:val="21"/>
              </w:rPr>
              <w:t>7.775</w:t>
            </w:r>
          </w:p>
        </w:tc>
        <w:tc>
          <w:tcPr>
            <w:tcW w:w="1417" w:type="dxa"/>
            <w:tcBorders>
              <w:top w:val="single" w:sz="4" w:space="0" w:color="auto"/>
            </w:tcBorders>
          </w:tcPr>
          <w:p w14:paraId="34D2D378" w14:textId="77777777" w:rsidR="0026782C" w:rsidRPr="009F3EAD" w:rsidRDefault="0026782C" w:rsidP="009D2907">
            <w:pPr>
              <w:autoSpaceDE w:val="0"/>
              <w:autoSpaceDN w:val="0"/>
              <w:adjustRightInd w:val="0"/>
              <w:spacing w:line="360" w:lineRule="exact"/>
              <w:jc w:val="center"/>
              <w:rPr>
                <w:rFonts w:ascii="宋体" w:hAnsi="宋体"/>
                <w:kern w:val="0"/>
                <w:sz w:val="21"/>
                <w:szCs w:val="21"/>
              </w:rPr>
            </w:pPr>
            <w:r w:rsidRPr="009F3EAD">
              <w:rPr>
                <w:kern w:val="0"/>
                <w:sz w:val="21"/>
                <w:szCs w:val="21"/>
              </w:rPr>
              <w:t>8.678</w:t>
            </w:r>
          </w:p>
        </w:tc>
        <w:tc>
          <w:tcPr>
            <w:tcW w:w="1381" w:type="dxa"/>
            <w:tcBorders>
              <w:top w:val="single" w:sz="4" w:space="0" w:color="auto"/>
            </w:tcBorders>
          </w:tcPr>
          <w:p w14:paraId="170764C2" w14:textId="77777777" w:rsidR="0026782C" w:rsidRPr="009F3EAD" w:rsidRDefault="0026782C" w:rsidP="009D2907">
            <w:pPr>
              <w:autoSpaceDE w:val="0"/>
              <w:autoSpaceDN w:val="0"/>
              <w:adjustRightInd w:val="0"/>
              <w:spacing w:line="360" w:lineRule="exact"/>
              <w:jc w:val="center"/>
              <w:rPr>
                <w:rFonts w:ascii="宋体" w:hAnsi="宋体"/>
                <w:kern w:val="0"/>
                <w:sz w:val="21"/>
                <w:szCs w:val="21"/>
              </w:rPr>
            </w:pPr>
            <w:r w:rsidRPr="009F3EAD">
              <w:rPr>
                <w:kern w:val="0"/>
                <w:sz w:val="21"/>
                <w:szCs w:val="21"/>
              </w:rPr>
              <w:t>49.17</w:t>
            </w:r>
          </w:p>
        </w:tc>
      </w:tr>
      <w:tr w:rsidR="0026782C" w14:paraId="3835D9E7" w14:textId="77777777" w:rsidTr="009F3EAD">
        <w:trPr>
          <w:jc w:val="center"/>
        </w:trPr>
        <w:tc>
          <w:tcPr>
            <w:tcW w:w="1371" w:type="dxa"/>
          </w:tcPr>
          <w:p w14:paraId="54797D93" w14:textId="77777777" w:rsidR="0026782C" w:rsidRPr="009F3EAD" w:rsidRDefault="0026782C" w:rsidP="009D2907">
            <w:pPr>
              <w:autoSpaceDE w:val="0"/>
              <w:autoSpaceDN w:val="0"/>
              <w:adjustRightInd w:val="0"/>
              <w:spacing w:line="360" w:lineRule="exact"/>
              <w:jc w:val="left"/>
              <w:rPr>
                <w:kern w:val="0"/>
                <w:sz w:val="21"/>
                <w:szCs w:val="21"/>
              </w:rPr>
            </w:pPr>
            <w:r w:rsidRPr="009F3EAD">
              <w:rPr>
                <w:kern w:val="0"/>
                <w:sz w:val="21"/>
                <w:szCs w:val="21"/>
              </w:rPr>
              <w:t>E</w:t>
            </w:r>
          </w:p>
        </w:tc>
        <w:tc>
          <w:tcPr>
            <w:tcW w:w="1165" w:type="dxa"/>
          </w:tcPr>
          <w:p w14:paraId="53D361B1" w14:textId="77777777" w:rsidR="0026782C" w:rsidRPr="009F3EAD" w:rsidRDefault="0026782C" w:rsidP="005174C3">
            <w:pPr>
              <w:autoSpaceDE w:val="0"/>
              <w:autoSpaceDN w:val="0"/>
              <w:adjustRightInd w:val="0"/>
              <w:spacing w:line="360" w:lineRule="exact"/>
              <w:jc w:val="center"/>
              <w:rPr>
                <w:kern w:val="0"/>
                <w:sz w:val="21"/>
                <w:szCs w:val="21"/>
              </w:rPr>
            </w:pPr>
            <w:r w:rsidRPr="009F3EAD">
              <w:rPr>
                <w:kern w:val="0"/>
                <w:sz w:val="21"/>
                <w:szCs w:val="21"/>
              </w:rPr>
              <w:t>318</w:t>
            </w:r>
          </w:p>
        </w:tc>
        <w:tc>
          <w:tcPr>
            <w:tcW w:w="1418" w:type="dxa"/>
          </w:tcPr>
          <w:p w14:paraId="6F57B5B7" w14:textId="77777777" w:rsidR="0026782C" w:rsidRPr="009F3EAD" w:rsidRDefault="0026782C" w:rsidP="009D2907">
            <w:pPr>
              <w:autoSpaceDE w:val="0"/>
              <w:autoSpaceDN w:val="0"/>
              <w:adjustRightInd w:val="0"/>
              <w:spacing w:line="360" w:lineRule="exact"/>
              <w:jc w:val="center"/>
              <w:rPr>
                <w:kern w:val="0"/>
                <w:sz w:val="21"/>
                <w:szCs w:val="21"/>
              </w:rPr>
            </w:pPr>
            <w:r w:rsidRPr="009F3EAD">
              <w:rPr>
                <w:kern w:val="0"/>
                <w:sz w:val="21"/>
                <w:szCs w:val="21"/>
              </w:rPr>
              <w:t>10.18</w:t>
            </w:r>
          </w:p>
        </w:tc>
        <w:tc>
          <w:tcPr>
            <w:tcW w:w="1276" w:type="dxa"/>
          </w:tcPr>
          <w:p w14:paraId="12E31556" w14:textId="77777777" w:rsidR="0026782C" w:rsidRPr="009F3EAD" w:rsidRDefault="0026782C" w:rsidP="009D2907">
            <w:pPr>
              <w:autoSpaceDE w:val="0"/>
              <w:autoSpaceDN w:val="0"/>
              <w:adjustRightInd w:val="0"/>
              <w:spacing w:line="360" w:lineRule="exact"/>
              <w:jc w:val="center"/>
              <w:rPr>
                <w:kern w:val="0"/>
                <w:sz w:val="21"/>
                <w:szCs w:val="21"/>
              </w:rPr>
            </w:pPr>
            <w:r w:rsidRPr="009F3EAD">
              <w:rPr>
                <w:kern w:val="0"/>
                <w:sz w:val="21"/>
                <w:szCs w:val="21"/>
              </w:rPr>
              <w:t>9.062</w:t>
            </w:r>
          </w:p>
        </w:tc>
        <w:tc>
          <w:tcPr>
            <w:tcW w:w="1417" w:type="dxa"/>
          </w:tcPr>
          <w:p w14:paraId="2CB62E6E" w14:textId="77777777" w:rsidR="0026782C" w:rsidRPr="009F3EAD" w:rsidRDefault="0026782C" w:rsidP="009D2907">
            <w:pPr>
              <w:autoSpaceDE w:val="0"/>
              <w:autoSpaceDN w:val="0"/>
              <w:adjustRightInd w:val="0"/>
              <w:spacing w:line="360" w:lineRule="exact"/>
              <w:jc w:val="center"/>
              <w:rPr>
                <w:kern w:val="0"/>
                <w:sz w:val="21"/>
                <w:szCs w:val="21"/>
              </w:rPr>
            </w:pPr>
            <w:r w:rsidRPr="009F3EAD">
              <w:rPr>
                <w:kern w:val="0"/>
                <w:sz w:val="21"/>
                <w:szCs w:val="21"/>
              </w:rPr>
              <w:t>0</w:t>
            </w:r>
          </w:p>
        </w:tc>
        <w:tc>
          <w:tcPr>
            <w:tcW w:w="1381" w:type="dxa"/>
          </w:tcPr>
          <w:p w14:paraId="641FEF8D" w14:textId="77777777" w:rsidR="0026782C" w:rsidRPr="009F3EAD" w:rsidRDefault="0026782C" w:rsidP="009D2907">
            <w:pPr>
              <w:autoSpaceDE w:val="0"/>
              <w:autoSpaceDN w:val="0"/>
              <w:adjustRightInd w:val="0"/>
              <w:spacing w:line="360" w:lineRule="exact"/>
              <w:jc w:val="center"/>
              <w:rPr>
                <w:kern w:val="0"/>
                <w:sz w:val="21"/>
                <w:szCs w:val="21"/>
              </w:rPr>
            </w:pPr>
            <w:r w:rsidRPr="009F3EAD">
              <w:rPr>
                <w:kern w:val="0"/>
                <w:sz w:val="21"/>
                <w:szCs w:val="21"/>
              </w:rPr>
              <w:t>48.84</w:t>
            </w:r>
          </w:p>
        </w:tc>
      </w:tr>
      <w:tr w:rsidR="0026782C" w14:paraId="7C9DBE91" w14:textId="77777777" w:rsidTr="009F3EAD">
        <w:trPr>
          <w:jc w:val="center"/>
        </w:trPr>
        <w:tc>
          <w:tcPr>
            <w:tcW w:w="1371" w:type="dxa"/>
          </w:tcPr>
          <w:p w14:paraId="04F5390E" w14:textId="77777777" w:rsidR="0026782C" w:rsidRPr="009F3EAD" w:rsidRDefault="0026782C" w:rsidP="009D2907">
            <w:pPr>
              <w:autoSpaceDE w:val="0"/>
              <w:autoSpaceDN w:val="0"/>
              <w:adjustRightInd w:val="0"/>
              <w:spacing w:line="360" w:lineRule="exact"/>
              <w:jc w:val="left"/>
              <w:rPr>
                <w:kern w:val="0"/>
                <w:sz w:val="21"/>
                <w:szCs w:val="21"/>
              </w:rPr>
            </w:pPr>
            <w:r w:rsidRPr="009F3EAD">
              <w:rPr>
                <w:kern w:val="0"/>
                <w:sz w:val="21"/>
                <w:szCs w:val="21"/>
              </w:rPr>
              <w:t>S</w:t>
            </w:r>
          </w:p>
        </w:tc>
        <w:tc>
          <w:tcPr>
            <w:tcW w:w="1165" w:type="dxa"/>
          </w:tcPr>
          <w:p w14:paraId="4E9A8229" w14:textId="77777777" w:rsidR="0026782C" w:rsidRPr="009F3EAD" w:rsidRDefault="0026782C" w:rsidP="005174C3">
            <w:pPr>
              <w:autoSpaceDE w:val="0"/>
              <w:autoSpaceDN w:val="0"/>
              <w:adjustRightInd w:val="0"/>
              <w:spacing w:line="360" w:lineRule="exact"/>
              <w:jc w:val="center"/>
              <w:rPr>
                <w:kern w:val="0"/>
                <w:sz w:val="21"/>
                <w:szCs w:val="21"/>
              </w:rPr>
            </w:pPr>
            <w:r w:rsidRPr="009F3EAD">
              <w:rPr>
                <w:kern w:val="0"/>
                <w:sz w:val="21"/>
                <w:szCs w:val="21"/>
              </w:rPr>
              <w:t>318</w:t>
            </w:r>
          </w:p>
        </w:tc>
        <w:tc>
          <w:tcPr>
            <w:tcW w:w="1418" w:type="dxa"/>
          </w:tcPr>
          <w:p w14:paraId="188041F4" w14:textId="77777777" w:rsidR="0026782C" w:rsidRPr="009F3EAD" w:rsidRDefault="0026782C" w:rsidP="009D2907">
            <w:pPr>
              <w:autoSpaceDE w:val="0"/>
              <w:autoSpaceDN w:val="0"/>
              <w:adjustRightInd w:val="0"/>
              <w:spacing w:line="360" w:lineRule="exact"/>
              <w:jc w:val="center"/>
              <w:rPr>
                <w:kern w:val="0"/>
                <w:sz w:val="21"/>
                <w:szCs w:val="21"/>
              </w:rPr>
            </w:pPr>
            <w:r w:rsidRPr="009F3EAD">
              <w:rPr>
                <w:kern w:val="0"/>
                <w:sz w:val="21"/>
                <w:szCs w:val="21"/>
              </w:rPr>
              <w:t>24.51</w:t>
            </w:r>
          </w:p>
        </w:tc>
        <w:tc>
          <w:tcPr>
            <w:tcW w:w="1276" w:type="dxa"/>
          </w:tcPr>
          <w:p w14:paraId="0B6EE611" w14:textId="77777777" w:rsidR="0026782C" w:rsidRPr="009F3EAD" w:rsidRDefault="0026782C" w:rsidP="009D2907">
            <w:pPr>
              <w:autoSpaceDE w:val="0"/>
              <w:autoSpaceDN w:val="0"/>
              <w:adjustRightInd w:val="0"/>
              <w:spacing w:line="360" w:lineRule="exact"/>
              <w:jc w:val="center"/>
              <w:rPr>
                <w:kern w:val="0"/>
                <w:sz w:val="21"/>
                <w:szCs w:val="21"/>
              </w:rPr>
            </w:pPr>
            <w:r w:rsidRPr="009F3EAD">
              <w:rPr>
                <w:kern w:val="0"/>
                <w:sz w:val="21"/>
                <w:szCs w:val="21"/>
              </w:rPr>
              <w:t>10.48</w:t>
            </w:r>
          </w:p>
        </w:tc>
        <w:tc>
          <w:tcPr>
            <w:tcW w:w="1417" w:type="dxa"/>
          </w:tcPr>
          <w:p w14:paraId="387CC509" w14:textId="77777777" w:rsidR="0026782C" w:rsidRPr="009F3EAD" w:rsidRDefault="0026782C" w:rsidP="009D2907">
            <w:pPr>
              <w:autoSpaceDE w:val="0"/>
              <w:autoSpaceDN w:val="0"/>
              <w:adjustRightInd w:val="0"/>
              <w:spacing w:line="360" w:lineRule="exact"/>
              <w:jc w:val="center"/>
              <w:rPr>
                <w:kern w:val="0"/>
                <w:sz w:val="21"/>
                <w:szCs w:val="21"/>
              </w:rPr>
            </w:pPr>
            <w:r w:rsidRPr="009F3EAD">
              <w:rPr>
                <w:kern w:val="0"/>
                <w:sz w:val="21"/>
                <w:szCs w:val="21"/>
              </w:rPr>
              <w:t>0</w:t>
            </w:r>
          </w:p>
        </w:tc>
        <w:tc>
          <w:tcPr>
            <w:tcW w:w="1381" w:type="dxa"/>
          </w:tcPr>
          <w:p w14:paraId="259FC037" w14:textId="77777777" w:rsidR="0026782C" w:rsidRPr="009F3EAD" w:rsidRDefault="0026782C" w:rsidP="009D2907">
            <w:pPr>
              <w:autoSpaceDE w:val="0"/>
              <w:autoSpaceDN w:val="0"/>
              <w:adjustRightInd w:val="0"/>
              <w:spacing w:line="360" w:lineRule="exact"/>
              <w:jc w:val="center"/>
              <w:rPr>
                <w:kern w:val="0"/>
                <w:sz w:val="21"/>
                <w:szCs w:val="21"/>
              </w:rPr>
            </w:pPr>
            <w:r w:rsidRPr="009F3EAD">
              <w:rPr>
                <w:kern w:val="0"/>
                <w:sz w:val="21"/>
                <w:szCs w:val="21"/>
              </w:rPr>
              <w:t>63.16</w:t>
            </w:r>
          </w:p>
        </w:tc>
      </w:tr>
      <w:tr w:rsidR="0026782C" w14:paraId="3A86B958" w14:textId="77777777" w:rsidTr="009F3EAD">
        <w:trPr>
          <w:jc w:val="center"/>
        </w:trPr>
        <w:tc>
          <w:tcPr>
            <w:tcW w:w="1371" w:type="dxa"/>
          </w:tcPr>
          <w:p w14:paraId="4AA4B08B" w14:textId="77777777" w:rsidR="0026782C" w:rsidRPr="009F3EAD" w:rsidRDefault="0026782C" w:rsidP="009D2907">
            <w:pPr>
              <w:autoSpaceDE w:val="0"/>
              <w:autoSpaceDN w:val="0"/>
              <w:adjustRightInd w:val="0"/>
              <w:spacing w:line="360" w:lineRule="exact"/>
              <w:jc w:val="left"/>
              <w:rPr>
                <w:kern w:val="0"/>
                <w:sz w:val="21"/>
                <w:szCs w:val="21"/>
              </w:rPr>
            </w:pPr>
            <w:r w:rsidRPr="009F3EAD">
              <w:rPr>
                <w:kern w:val="0"/>
                <w:sz w:val="21"/>
                <w:szCs w:val="21"/>
              </w:rPr>
              <w:t>G</w:t>
            </w:r>
          </w:p>
        </w:tc>
        <w:tc>
          <w:tcPr>
            <w:tcW w:w="1165" w:type="dxa"/>
          </w:tcPr>
          <w:p w14:paraId="2B15A5AE" w14:textId="77777777" w:rsidR="0026782C" w:rsidRPr="009F3EAD" w:rsidRDefault="0026782C" w:rsidP="005174C3">
            <w:pPr>
              <w:autoSpaceDE w:val="0"/>
              <w:autoSpaceDN w:val="0"/>
              <w:adjustRightInd w:val="0"/>
              <w:spacing w:line="360" w:lineRule="exact"/>
              <w:jc w:val="center"/>
              <w:rPr>
                <w:kern w:val="0"/>
                <w:sz w:val="21"/>
                <w:szCs w:val="21"/>
              </w:rPr>
            </w:pPr>
            <w:r w:rsidRPr="009F3EAD">
              <w:rPr>
                <w:kern w:val="0"/>
                <w:sz w:val="21"/>
                <w:szCs w:val="21"/>
              </w:rPr>
              <w:t>318</w:t>
            </w:r>
          </w:p>
        </w:tc>
        <w:tc>
          <w:tcPr>
            <w:tcW w:w="1418" w:type="dxa"/>
          </w:tcPr>
          <w:p w14:paraId="7881CE3D" w14:textId="77777777" w:rsidR="0026782C" w:rsidRPr="009F3EAD" w:rsidRDefault="0026782C" w:rsidP="009D2907">
            <w:pPr>
              <w:autoSpaceDE w:val="0"/>
              <w:autoSpaceDN w:val="0"/>
              <w:adjustRightInd w:val="0"/>
              <w:spacing w:line="360" w:lineRule="exact"/>
              <w:jc w:val="center"/>
              <w:rPr>
                <w:kern w:val="0"/>
                <w:sz w:val="21"/>
                <w:szCs w:val="21"/>
              </w:rPr>
            </w:pPr>
            <w:r w:rsidRPr="009F3EAD">
              <w:rPr>
                <w:kern w:val="0"/>
                <w:sz w:val="21"/>
                <w:szCs w:val="21"/>
              </w:rPr>
              <w:t>43.96</w:t>
            </w:r>
          </w:p>
        </w:tc>
        <w:tc>
          <w:tcPr>
            <w:tcW w:w="1276" w:type="dxa"/>
          </w:tcPr>
          <w:p w14:paraId="26D1E5AF" w14:textId="77777777" w:rsidR="0026782C" w:rsidRPr="009F3EAD" w:rsidRDefault="0026782C" w:rsidP="009D2907">
            <w:pPr>
              <w:autoSpaceDE w:val="0"/>
              <w:autoSpaceDN w:val="0"/>
              <w:adjustRightInd w:val="0"/>
              <w:spacing w:line="360" w:lineRule="exact"/>
              <w:jc w:val="center"/>
              <w:rPr>
                <w:kern w:val="0"/>
                <w:sz w:val="21"/>
                <w:szCs w:val="21"/>
              </w:rPr>
            </w:pPr>
            <w:r w:rsidRPr="009F3EAD">
              <w:rPr>
                <w:kern w:val="0"/>
                <w:sz w:val="21"/>
                <w:szCs w:val="21"/>
              </w:rPr>
              <w:t>5.944</w:t>
            </w:r>
          </w:p>
        </w:tc>
        <w:tc>
          <w:tcPr>
            <w:tcW w:w="1417" w:type="dxa"/>
          </w:tcPr>
          <w:p w14:paraId="5D653739" w14:textId="77777777" w:rsidR="0026782C" w:rsidRPr="009F3EAD" w:rsidRDefault="0026782C" w:rsidP="009D2907">
            <w:pPr>
              <w:autoSpaceDE w:val="0"/>
              <w:autoSpaceDN w:val="0"/>
              <w:adjustRightInd w:val="0"/>
              <w:spacing w:line="360" w:lineRule="exact"/>
              <w:jc w:val="center"/>
              <w:rPr>
                <w:kern w:val="0"/>
                <w:sz w:val="21"/>
                <w:szCs w:val="21"/>
              </w:rPr>
            </w:pPr>
            <w:r w:rsidRPr="009F3EAD">
              <w:rPr>
                <w:kern w:val="0"/>
                <w:sz w:val="21"/>
                <w:szCs w:val="21"/>
              </w:rPr>
              <w:t>3.571</w:t>
            </w:r>
          </w:p>
        </w:tc>
        <w:tc>
          <w:tcPr>
            <w:tcW w:w="1381" w:type="dxa"/>
          </w:tcPr>
          <w:p w14:paraId="0F047EF2" w14:textId="77777777" w:rsidR="0026782C" w:rsidRPr="009F3EAD" w:rsidRDefault="0026782C" w:rsidP="009D2907">
            <w:pPr>
              <w:autoSpaceDE w:val="0"/>
              <w:autoSpaceDN w:val="0"/>
              <w:adjustRightInd w:val="0"/>
              <w:spacing w:line="360" w:lineRule="exact"/>
              <w:jc w:val="center"/>
              <w:rPr>
                <w:kern w:val="0"/>
                <w:sz w:val="21"/>
                <w:szCs w:val="21"/>
              </w:rPr>
            </w:pPr>
            <w:r w:rsidRPr="009F3EAD">
              <w:rPr>
                <w:kern w:val="0"/>
                <w:sz w:val="21"/>
                <w:szCs w:val="21"/>
              </w:rPr>
              <w:t>57.14</w:t>
            </w:r>
          </w:p>
        </w:tc>
      </w:tr>
      <w:tr w:rsidR="0026782C" w14:paraId="1C2118C4" w14:textId="77777777" w:rsidTr="009F3EAD">
        <w:trPr>
          <w:jc w:val="center"/>
        </w:trPr>
        <w:tc>
          <w:tcPr>
            <w:tcW w:w="1371" w:type="dxa"/>
          </w:tcPr>
          <w:p w14:paraId="5D813DFB" w14:textId="77777777" w:rsidR="0026782C" w:rsidRPr="009F3EAD" w:rsidRDefault="0026782C" w:rsidP="009D2907">
            <w:pPr>
              <w:autoSpaceDE w:val="0"/>
              <w:autoSpaceDN w:val="0"/>
              <w:adjustRightInd w:val="0"/>
              <w:spacing w:line="360" w:lineRule="exact"/>
              <w:jc w:val="left"/>
              <w:rPr>
                <w:kern w:val="0"/>
                <w:sz w:val="21"/>
                <w:szCs w:val="21"/>
              </w:rPr>
            </w:pPr>
            <w:r w:rsidRPr="009F3EAD">
              <w:rPr>
                <w:kern w:val="0"/>
                <w:sz w:val="21"/>
                <w:szCs w:val="21"/>
              </w:rPr>
              <w:t>Delta</w:t>
            </w:r>
          </w:p>
        </w:tc>
        <w:tc>
          <w:tcPr>
            <w:tcW w:w="1165" w:type="dxa"/>
          </w:tcPr>
          <w:p w14:paraId="4233BE4B" w14:textId="77777777" w:rsidR="0026782C" w:rsidRPr="009F3EAD" w:rsidRDefault="0026782C" w:rsidP="005174C3">
            <w:pPr>
              <w:autoSpaceDE w:val="0"/>
              <w:autoSpaceDN w:val="0"/>
              <w:adjustRightInd w:val="0"/>
              <w:spacing w:line="360" w:lineRule="exact"/>
              <w:jc w:val="center"/>
              <w:rPr>
                <w:kern w:val="0"/>
                <w:sz w:val="21"/>
                <w:szCs w:val="21"/>
              </w:rPr>
            </w:pPr>
            <w:r w:rsidRPr="009F3EAD">
              <w:rPr>
                <w:kern w:val="0"/>
                <w:sz w:val="21"/>
                <w:szCs w:val="21"/>
              </w:rPr>
              <w:t>318</w:t>
            </w:r>
          </w:p>
        </w:tc>
        <w:tc>
          <w:tcPr>
            <w:tcW w:w="1418" w:type="dxa"/>
          </w:tcPr>
          <w:p w14:paraId="5618239A" w14:textId="77777777" w:rsidR="0026782C" w:rsidRPr="009F3EAD" w:rsidRDefault="0026782C" w:rsidP="009D2907">
            <w:pPr>
              <w:autoSpaceDE w:val="0"/>
              <w:autoSpaceDN w:val="0"/>
              <w:adjustRightInd w:val="0"/>
              <w:spacing w:line="360" w:lineRule="exact"/>
              <w:jc w:val="center"/>
              <w:rPr>
                <w:kern w:val="0"/>
                <w:sz w:val="21"/>
                <w:szCs w:val="21"/>
              </w:rPr>
            </w:pPr>
            <w:r w:rsidRPr="009F3EAD">
              <w:rPr>
                <w:kern w:val="0"/>
                <w:sz w:val="21"/>
                <w:szCs w:val="21"/>
              </w:rPr>
              <w:t>4.418</w:t>
            </w:r>
          </w:p>
        </w:tc>
        <w:tc>
          <w:tcPr>
            <w:tcW w:w="1276" w:type="dxa"/>
          </w:tcPr>
          <w:p w14:paraId="771ABB69" w14:textId="77777777" w:rsidR="0026782C" w:rsidRPr="009F3EAD" w:rsidRDefault="0026782C" w:rsidP="009D2907">
            <w:pPr>
              <w:autoSpaceDE w:val="0"/>
              <w:autoSpaceDN w:val="0"/>
              <w:adjustRightInd w:val="0"/>
              <w:spacing w:line="360" w:lineRule="exact"/>
              <w:jc w:val="center"/>
              <w:rPr>
                <w:kern w:val="0"/>
                <w:sz w:val="21"/>
                <w:szCs w:val="21"/>
              </w:rPr>
            </w:pPr>
            <w:r w:rsidRPr="009F3EAD">
              <w:rPr>
                <w:kern w:val="0"/>
                <w:sz w:val="21"/>
                <w:szCs w:val="21"/>
              </w:rPr>
              <w:t>4.880</w:t>
            </w:r>
          </w:p>
        </w:tc>
        <w:tc>
          <w:tcPr>
            <w:tcW w:w="1417" w:type="dxa"/>
          </w:tcPr>
          <w:p w14:paraId="57949DA2" w14:textId="77777777" w:rsidR="0026782C" w:rsidRPr="009F3EAD" w:rsidRDefault="0026782C" w:rsidP="009D2907">
            <w:pPr>
              <w:autoSpaceDE w:val="0"/>
              <w:autoSpaceDN w:val="0"/>
              <w:adjustRightInd w:val="0"/>
              <w:spacing w:line="360" w:lineRule="exact"/>
              <w:jc w:val="center"/>
              <w:rPr>
                <w:kern w:val="0"/>
                <w:sz w:val="21"/>
                <w:szCs w:val="21"/>
              </w:rPr>
            </w:pPr>
            <w:r w:rsidRPr="009F3EAD">
              <w:rPr>
                <w:kern w:val="0"/>
                <w:sz w:val="21"/>
                <w:szCs w:val="21"/>
              </w:rPr>
              <w:t>0</w:t>
            </w:r>
          </w:p>
        </w:tc>
        <w:tc>
          <w:tcPr>
            <w:tcW w:w="1381" w:type="dxa"/>
          </w:tcPr>
          <w:p w14:paraId="7B703EAB" w14:textId="77777777" w:rsidR="0026782C" w:rsidRPr="009F3EAD" w:rsidRDefault="0026782C" w:rsidP="009D2907">
            <w:pPr>
              <w:autoSpaceDE w:val="0"/>
              <w:autoSpaceDN w:val="0"/>
              <w:adjustRightInd w:val="0"/>
              <w:spacing w:line="360" w:lineRule="exact"/>
              <w:jc w:val="center"/>
              <w:rPr>
                <w:kern w:val="0"/>
                <w:sz w:val="21"/>
                <w:szCs w:val="21"/>
              </w:rPr>
            </w:pPr>
            <w:r w:rsidRPr="009F3EAD">
              <w:rPr>
                <w:kern w:val="0"/>
                <w:sz w:val="21"/>
                <w:szCs w:val="21"/>
              </w:rPr>
              <w:t>12.57</w:t>
            </w:r>
          </w:p>
        </w:tc>
      </w:tr>
      <w:tr w:rsidR="0026782C" w14:paraId="3C1037E8" w14:textId="77777777" w:rsidTr="009F3EAD">
        <w:trPr>
          <w:jc w:val="center"/>
        </w:trPr>
        <w:tc>
          <w:tcPr>
            <w:tcW w:w="1371" w:type="dxa"/>
          </w:tcPr>
          <w:p w14:paraId="3CBFC762" w14:textId="77777777" w:rsidR="0026782C" w:rsidRPr="009F3EAD" w:rsidRDefault="0026782C" w:rsidP="009D2907">
            <w:pPr>
              <w:autoSpaceDE w:val="0"/>
              <w:autoSpaceDN w:val="0"/>
              <w:adjustRightInd w:val="0"/>
              <w:spacing w:line="360" w:lineRule="exact"/>
              <w:jc w:val="left"/>
              <w:rPr>
                <w:kern w:val="0"/>
                <w:sz w:val="21"/>
                <w:szCs w:val="21"/>
              </w:rPr>
            </w:pPr>
            <w:r w:rsidRPr="009F3EAD">
              <w:rPr>
                <w:kern w:val="0"/>
                <w:sz w:val="21"/>
                <w:szCs w:val="21"/>
              </w:rPr>
              <w:t>Vega</w:t>
            </w:r>
          </w:p>
        </w:tc>
        <w:tc>
          <w:tcPr>
            <w:tcW w:w="1165" w:type="dxa"/>
          </w:tcPr>
          <w:p w14:paraId="2450CC93" w14:textId="77777777" w:rsidR="0026782C" w:rsidRPr="009F3EAD" w:rsidRDefault="0026782C" w:rsidP="005174C3">
            <w:pPr>
              <w:autoSpaceDE w:val="0"/>
              <w:autoSpaceDN w:val="0"/>
              <w:adjustRightInd w:val="0"/>
              <w:spacing w:line="360" w:lineRule="exact"/>
              <w:jc w:val="center"/>
              <w:rPr>
                <w:kern w:val="0"/>
                <w:sz w:val="21"/>
                <w:szCs w:val="21"/>
              </w:rPr>
            </w:pPr>
            <w:r w:rsidRPr="009F3EAD">
              <w:rPr>
                <w:kern w:val="0"/>
                <w:sz w:val="21"/>
                <w:szCs w:val="21"/>
              </w:rPr>
              <w:t>318</w:t>
            </w:r>
          </w:p>
        </w:tc>
        <w:tc>
          <w:tcPr>
            <w:tcW w:w="1418" w:type="dxa"/>
          </w:tcPr>
          <w:p w14:paraId="4AC4F24D" w14:textId="77777777" w:rsidR="0026782C" w:rsidRPr="009F3EAD" w:rsidRDefault="0026782C" w:rsidP="009D2907">
            <w:pPr>
              <w:autoSpaceDE w:val="0"/>
              <w:autoSpaceDN w:val="0"/>
              <w:adjustRightInd w:val="0"/>
              <w:spacing w:line="360" w:lineRule="exact"/>
              <w:jc w:val="center"/>
              <w:rPr>
                <w:kern w:val="0"/>
                <w:sz w:val="21"/>
                <w:szCs w:val="21"/>
              </w:rPr>
            </w:pPr>
            <w:r w:rsidRPr="009F3EAD">
              <w:rPr>
                <w:kern w:val="0"/>
                <w:sz w:val="21"/>
                <w:szCs w:val="21"/>
              </w:rPr>
              <w:t>4.320</w:t>
            </w:r>
          </w:p>
        </w:tc>
        <w:tc>
          <w:tcPr>
            <w:tcW w:w="1276" w:type="dxa"/>
          </w:tcPr>
          <w:p w14:paraId="00905815" w14:textId="77777777" w:rsidR="0026782C" w:rsidRPr="009F3EAD" w:rsidRDefault="0026782C" w:rsidP="009D2907">
            <w:pPr>
              <w:autoSpaceDE w:val="0"/>
              <w:autoSpaceDN w:val="0"/>
              <w:adjustRightInd w:val="0"/>
              <w:spacing w:line="360" w:lineRule="exact"/>
              <w:jc w:val="center"/>
              <w:rPr>
                <w:kern w:val="0"/>
                <w:sz w:val="21"/>
                <w:szCs w:val="21"/>
              </w:rPr>
            </w:pPr>
            <w:r w:rsidRPr="009F3EAD">
              <w:rPr>
                <w:kern w:val="0"/>
                <w:sz w:val="21"/>
                <w:szCs w:val="21"/>
              </w:rPr>
              <w:t>4.738</w:t>
            </w:r>
          </w:p>
        </w:tc>
        <w:tc>
          <w:tcPr>
            <w:tcW w:w="1417" w:type="dxa"/>
          </w:tcPr>
          <w:p w14:paraId="3C8FC484" w14:textId="77777777" w:rsidR="0026782C" w:rsidRPr="009F3EAD" w:rsidRDefault="0026782C" w:rsidP="009D2907">
            <w:pPr>
              <w:autoSpaceDE w:val="0"/>
              <w:autoSpaceDN w:val="0"/>
              <w:adjustRightInd w:val="0"/>
              <w:spacing w:line="360" w:lineRule="exact"/>
              <w:jc w:val="center"/>
              <w:rPr>
                <w:kern w:val="0"/>
                <w:sz w:val="21"/>
                <w:szCs w:val="21"/>
              </w:rPr>
            </w:pPr>
            <w:r w:rsidRPr="009F3EAD">
              <w:rPr>
                <w:kern w:val="0"/>
                <w:sz w:val="21"/>
                <w:szCs w:val="21"/>
              </w:rPr>
              <w:t>0</w:t>
            </w:r>
          </w:p>
        </w:tc>
        <w:tc>
          <w:tcPr>
            <w:tcW w:w="1381" w:type="dxa"/>
          </w:tcPr>
          <w:p w14:paraId="7272E035" w14:textId="77777777" w:rsidR="0026782C" w:rsidRPr="009F3EAD" w:rsidRDefault="0026782C" w:rsidP="009D2907">
            <w:pPr>
              <w:autoSpaceDE w:val="0"/>
              <w:autoSpaceDN w:val="0"/>
              <w:adjustRightInd w:val="0"/>
              <w:spacing w:line="360" w:lineRule="exact"/>
              <w:jc w:val="center"/>
              <w:rPr>
                <w:kern w:val="0"/>
                <w:sz w:val="21"/>
                <w:szCs w:val="21"/>
              </w:rPr>
            </w:pPr>
            <w:r w:rsidRPr="009F3EAD">
              <w:rPr>
                <w:kern w:val="0"/>
                <w:sz w:val="21"/>
                <w:szCs w:val="21"/>
              </w:rPr>
              <w:t>12.29</w:t>
            </w:r>
          </w:p>
        </w:tc>
      </w:tr>
      <w:tr w:rsidR="0026782C" w14:paraId="42322089" w14:textId="77777777" w:rsidTr="009F3EAD">
        <w:trPr>
          <w:trHeight w:val="64"/>
          <w:jc w:val="center"/>
        </w:trPr>
        <w:tc>
          <w:tcPr>
            <w:tcW w:w="1371" w:type="dxa"/>
          </w:tcPr>
          <w:p w14:paraId="553D936D" w14:textId="77777777" w:rsidR="0026782C" w:rsidRPr="009F3EAD" w:rsidRDefault="0026782C" w:rsidP="009D2907">
            <w:pPr>
              <w:autoSpaceDE w:val="0"/>
              <w:autoSpaceDN w:val="0"/>
              <w:adjustRightInd w:val="0"/>
              <w:spacing w:line="360" w:lineRule="exact"/>
              <w:jc w:val="left"/>
              <w:rPr>
                <w:kern w:val="0"/>
                <w:sz w:val="21"/>
                <w:szCs w:val="21"/>
              </w:rPr>
            </w:pPr>
            <w:r w:rsidRPr="009F3EAD">
              <w:rPr>
                <w:kern w:val="0"/>
                <w:sz w:val="21"/>
                <w:szCs w:val="21"/>
              </w:rPr>
              <w:t>Size</w:t>
            </w:r>
          </w:p>
        </w:tc>
        <w:tc>
          <w:tcPr>
            <w:tcW w:w="1165" w:type="dxa"/>
          </w:tcPr>
          <w:p w14:paraId="364D95C3" w14:textId="77777777" w:rsidR="0026782C" w:rsidRPr="009F3EAD" w:rsidRDefault="0026782C" w:rsidP="005174C3">
            <w:pPr>
              <w:autoSpaceDE w:val="0"/>
              <w:autoSpaceDN w:val="0"/>
              <w:adjustRightInd w:val="0"/>
              <w:spacing w:line="360" w:lineRule="exact"/>
              <w:jc w:val="center"/>
              <w:rPr>
                <w:kern w:val="0"/>
                <w:sz w:val="21"/>
                <w:szCs w:val="21"/>
              </w:rPr>
            </w:pPr>
            <w:r w:rsidRPr="009F3EAD">
              <w:rPr>
                <w:kern w:val="0"/>
                <w:sz w:val="21"/>
                <w:szCs w:val="21"/>
              </w:rPr>
              <w:t>318</w:t>
            </w:r>
          </w:p>
        </w:tc>
        <w:tc>
          <w:tcPr>
            <w:tcW w:w="1418" w:type="dxa"/>
          </w:tcPr>
          <w:p w14:paraId="59773986" w14:textId="77777777" w:rsidR="0026782C" w:rsidRPr="009F3EAD" w:rsidRDefault="0026782C" w:rsidP="009D2907">
            <w:pPr>
              <w:autoSpaceDE w:val="0"/>
              <w:autoSpaceDN w:val="0"/>
              <w:adjustRightInd w:val="0"/>
              <w:spacing w:line="360" w:lineRule="exact"/>
              <w:jc w:val="center"/>
              <w:rPr>
                <w:kern w:val="0"/>
                <w:sz w:val="21"/>
                <w:szCs w:val="21"/>
              </w:rPr>
            </w:pPr>
            <w:bookmarkStart w:id="80" w:name="_Hlk101939522"/>
            <w:r w:rsidRPr="009F3EAD">
              <w:rPr>
                <w:kern w:val="0"/>
                <w:sz w:val="21"/>
                <w:szCs w:val="21"/>
              </w:rPr>
              <w:t>3.814e+10</w:t>
            </w:r>
            <w:bookmarkEnd w:id="80"/>
          </w:p>
        </w:tc>
        <w:tc>
          <w:tcPr>
            <w:tcW w:w="1276" w:type="dxa"/>
          </w:tcPr>
          <w:p w14:paraId="4DE6A1CB" w14:textId="77777777" w:rsidR="0026782C" w:rsidRPr="009F3EAD" w:rsidRDefault="0026782C" w:rsidP="009D2907">
            <w:pPr>
              <w:autoSpaceDE w:val="0"/>
              <w:autoSpaceDN w:val="0"/>
              <w:adjustRightInd w:val="0"/>
              <w:spacing w:line="360" w:lineRule="exact"/>
              <w:jc w:val="center"/>
              <w:rPr>
                <w:kern w:val="0"/>
                <w:sz w:val="21"/>
                <w:szCs w:val="21"/>
              </w:rPr>
            </w:pPr>
            <w:bookmarkStart w:id="81" w:name="_Hlk101939582"/>
            <w:r w:rsidRPr="009F3EAD">
              <w:rPr>
                <w:kern w:val="0"/>
                <w:sz w:val="21"/>
                <w:szCs w:val="21"/>
              </w:rPr>
              <w:t>9.835e+10</w:t>
            </w:r>
            <w:bookmarkEnd w:id="81"/>
          </w:p>
        </w:tc>
        <w:tc>
          <w:tcPr>
            <w:tcW w:w="1417" w:type="dxa"/>
          </w:tcPr>
          <w:p w14:paraId="23D9D9F7" w14:textId="77777777" w:rsidR="0026782C" w:rsidRPr="009F3EAD" w:rsidRDefault="0026782C" w:rsidP="009D2907">
            <w:pPr>
              <w:autoSpaceDE w:val="0"/>
              <w:autoSpaceDN w:val="0"/>
              <w:adjustRightInd w:val="0"/>
              <w:spacing w:line="360" w:lineRule="exact"/>
              <w:jc w:val="center"/>
              <w:rPr>
                <w:kern w:val="0"/>
                <w:sz w:val="21"/>
                <w:szCs w:val="21"/>
              </w:rPr>
            </w:pPr>
            <w:bookmarkStart w:id="82" w:name="_Hlk101939545"/>
            <w:r w:rsidRPr="009F3EAD">
              <w:rPr>
                <w:kern w:val="0"/>
                <w:sz w:val="21"/>
                <w:szCs w:val="21"/>
              </w:rPr>
              <w:t>7.444e+08</w:t>
            </w:r>
            <w:bookmarkEnd w:id="82"/>
          </w:p>
        </w:tc>
        <w:tc>
          <w:tcPr>
            <w:tcW w:w="1381" w:type="dxa"/>
          </w:tcPr>
          <w:p w14:paraId="778B9DD0" w14:textId="77777777" w:rsidR="0026782C" w:rsidRPr="009F3EAD" w:rsidRDefault="0026782C" w:rsidP="009D2907">
            <w:pPr>
              <w:autoSpaceDE w:val="0"/>
              <w:autoSpaceDN w:val="0"/>
              <w:adjustRightInd w:val="0"/>
              <w:spacing w:line="360" w:lineRule="exact"/>
              <w:jc w:val="center"/>
              <w:rPr>
                <w:kern w:val="0"/>
                <w:sz w:val="21"/>
                <w:szCs w:val="21"/>
              </w:rPr>
            </w:pPr>
            <w:r w:rsidRPr="009F3EAD">
              <w:rPr>
                <w:kern w:val="0"/>
                <w:sz w:val="21"/>
                <w:szCs w:val="21"/>
              </w:rPr>
              <w:t>1.033e+12</w:t>
            </w:r>
          </w:p>
        </w:tc>
      </w:tr>
      <w:tr w:rsidR="0026782C" w14:paraId="3970302F" w14:textId="77777777" w:rsidTr="009F3EAD">
        <w:trPr>
          <w:jc w:val="center"/>
        </w:trPr>
        <w:tc>
          <w:tcPr>
            <w:tcW w:w="1371" w:type="dxa"/>
          </w:tcPr>
          <w:p w14:paraId="1816F7DF" w14:textId="77777777" w:rsidR="0026782C" w:rsidRPr="009F3EAD" w:rsidRDefault="0026782C" w:rsidP="009D2907">
            <w:pPr>
              <w:autoSpaceDE w:val="0"/>
              <w:autoSpaceDN w:val="0"/>
              <w:adjustRightInd w:val="0"/>
              <w:spacing w:line="360" w:lineRule="exact"/>
              <w:jc w:val="left"/>
              <w:rPr>
                <w:kern w:val="0"/>
                <w:sz w:val="21"/>
                <w:szCs w:val="21"/>
              </w:rPr>
            </w:pPr>
            <w:bookmarkStart w:id="83" w:name="_Hlk101939557"/>
            <w:r w:rsidRPr="009F3EAD">
              <w:rPr>
                <w:kern w:val="0"/>
                <w:sz w:val="21"/>
                <w:szCs w:val="21"/>
              </w:rPr>
              <w:t>DTA</w:t>
            </w:r>
          </w:p>
        </w:tc>
        <w:tc>
          <w:tcPr>
            <w:tcW w:w="1165" w:type="dxa"/>
          </w:tcPr>
          <w:p w14:paraId="442FE028" w14:textId="77777777" w:rsidR="0026782C" w:rsidRPr="009F3EAD" w:rsidRDefault="0026782C" w:rsidP="005174C3">
            <w:pPr>
              <w:autoSpaceDE w:val="0"/>
              <w:autoSpaceDN w:val="0"/>
              <w:adjustRightInd w:val="0"/>
              <w:spacing w:line="360" w:lineRule="exact"/>
              <w:jc w:val="center"/>
              <w:rPr>
                <w:kern w:val="0"/>
                <w:sz w:val="21"/>
                <w:szCs w:val="21"/>
              </w:rPr>
            </w:pPr>
            <w:r w:rsidRPr="009F3EAD">
              <w:rPr>
                <w:kern w:val="0"/>
                <w:sz w:val="21"/>
                <w:szCs w:val="21"/>
              </w:rPr>
              <w:t>318</w:t>
            </w:r>
          </w:p>
        </w:tc>
        <w:tc>
          <w:tcPr>
            <w:tcW w:w="1418" w:type="dxa"/>
          </w:tcPr>
          <w:p w14:paraId="7BB73692" w14:textId="77777777" w:rsidR="0026782C" w:rsidRPr="009F3EAD" w:rsidRDefault="0026782C" w:rsidP="009D2907">
            <w:pPr>
              <w:autoSpaceDE w:val="0"/>
              <w:autoSpaceDN w:val="0"/>
              <w:adjustRightInd w:val="0"/>
              <w:spacing w:line="360" w:lineRule="exact"/>
              <w:jc w:val="center"/>
              <w:rPr>
                <w:kern w:val="0"/>
                <w:sz w:val="21"/>
                <w:szCs w:val="21"/>
              </w:rPr>
            </w:pPr>
            <w:r w:rsidRPr="009F3EAD">
              <w:rPr>
                <w:kern w:val="0"/>
                <w:sz w:val="21"/>
                <w:szCs w:val="21"/>
              </w:rPr>
              <w:t>0.499</w:t>
            </w:r>
          </w:p>
        </w:tc>
        <w:tc>
          <w:tcPr>
            <w:tcW w:w="1276" w:type="dxa"/>
          </w:tcPr>
          <w:p w14:paraId="3EB5694A" w14:textId="77777777" w:rsidR="0026782C" w:rsidRPr="009F3EAD" w:rsidRDefault="0026782C" w:rsidP="009D2907">
            <w:pPr>
              <w:autoSpaceDE w:val="0"/>
              <w:autoSpaceDN w:val="0"/>
              <w:adjustRightInd w:val="0"/>
              <w:spacing w:line="360" w:lineRule="exact"/>
              <w:jc w:val="center"/>
              <w:rPr>
                <w:kern w:val="0"/>
                <w:sz w:val="21"/>
                <w:szCs w:val="21"/>
              </w:rPr>
            </w:pPr>
            <w:r w:rsidRPr="009F3EAD">
              <w:rPr>
                <w:kern w:val="0"/>
                <w:sz w:val="21"/>
                <w:szCs w:val="21"/>
              </w:rPr>
              <w:t>0.196</w:t>
            </w:r>
          </w:p>
        </w:tc>
        <w:tc>
          <w:tcPr>
            <w:tcW w:w="1417" w:type="dxa"/>
          </w:tcPr>
          <w:p w14:paraId="5095053D" w14:textId="77777777" w:rsidR="0026782C" w:rsidRPr="009F3EAD" w:rsidRDefault="0026782C" w:rsidP="009D2907">
            <w:pPr>
              <w:autoSpaceDE w:val="0"/>
              <w:autoSpaceDN w:val="0"/>
              <w:adjustRightInd w:val="0"/>
              <w:spacing w:line="360" w:lineRule="exact"/>
              <w:jc w:val="center"/>
              <w:rPr>
                <w:kern w:val="0"/>
                <w:sz w:val="21"/>
                <w:szCs w:val="21"/>
              </w:rPr>
            </w:pPr>
            <w:bookmarkStart w:id="84" w:name="_Hlk101939905"/>
            <w:r w:rsidRPr="009F3EAD">
              <w:rPr>
                <w:kern w:val="0"/>
                <w:sz w:val="21"/>
                <w:szCs w:val="21"/>
              </w:rPr>
              <w:t>0.0511</w:t>
            </w:r>
            <w:bookmarkEnd w:id="84"/>
          </w:p>
        </w:tc>
        <w:tc>
          <w:tcPr>
            <w:tcW w:w="1381" w:type="dxa"/>
          </w:tcPr>
          <w:p w14:paraId="7FF6C854" w14:textId="77777777" w:rsidR="0026782C" w:rsidRPr="009F3EAD" w:rsidRDefault="0026782C" w:rsidP="009D2907">
            <w:pPr>
              <w:autoSpaceDE w:val="0"/>
              <w:autoSpaceDN w:val="0"/>
              <w:adjustRightInd w:val="0"/>
              <w:spacing w:line="360" w:lineRule="exact"/>
              <w:jc w:val="center"/>
              <w:rPr>
                <w:kern w:val="0"/>
                <w:sz w:val="21"/>
                <w:szCs w:val="21"/>
              </w:rPr>
            </w:pPr>
            <w:bookmarkStart w:id="85" w:name="_Hlk101939916"/>
            <w:r w:rsidRPr="009F3EAD">
              <w:rPr>
                <w:kern w:val="0"/>
                <w:sz w:val="21"/>
                <w:szCs w:val="21"/>
              </w:rPr>
              <w:t>0.857</w:t>
            </w:r>
            <w:bookmarkEnd w:id="85"/>
          </w:p>
        </w:tc>
      </w:tr>
      <w:bookmarkEnd w:id="83"/>
      <w:tr w:rsidR="0026782C" w14:paraId="20B3CF93" w14:textId="77777777" w:rsidTr="009F3EAD">
        <w:trPr>
          <w:jc w:val="center"/>
        </w:trPr>
        <w:tc>
          <w:tcPr>
            <w:tcW w:w="1371" w:type="dxa"/>
            <w:tcBorders>
              <w:bottom w:val="nil"/>
            </w:tcBorders>
          </w:tcPr>
          <w:p w14:paraId="1FF543AF" w14:textId="77777777" w:rsidR="0026782C" w:rsidRPr="009F3EAD" w:rsidRDefault="0026782C" w:rsidP="009D2907">
            <w:pPr>
              <w:autoSpaceDE w:val="0"/>
              <w:autoSpaceDN w:val="0"/>
              <w:adjustRightInd w:val="0"/>
              <w:spacing w:line="360" w:lineRule="exact"/>
              <w:jc w:val="left"/>
              <w:rPr>
                <w:kern w:val="0"/>
                <w:sz w:val="21"/>
                <w:szCs w:val="21"/>
              </w:rPr>
            </w:pPr>
            <w:r w:rsidRPr="009F3EAD">
              <w:rPr>
                <w:kern w:val="0"/>
                <w:sz w:val="21"/>
                <w:szCs w:val="21"/>
              </w:rPr>
              <w:t>Sales</w:t>
            </w:r>
          </w:p>
        </w:tc>
        <w:tc>
          <w:tcPr>
            <w:tcW w:w="1165" w:type="dxa"/>
            <w:tcBorders>
              <w:bottom w:val="nil"/>
            </w:tcBorders>
          </w:tcPr>
          <w:p w14:paraId="1F32446D" w14:textId="77777777" w:rsidR="0026782C" w:rsidRPr="009F3EAD" w:rsidRDefault="0026782C" w:rsidP="005174C3">
            <w:pPr>
              <w:autoSpaceDE w:val="0"/>
              <w:autoSpaceDN w:val="0"/>
              <w:adjustRightInd w:val="0"/>
              <w:spacing w:line="360" w:lineRule="exact"/>
              <w:jc w:val="center"/>
              <w:rPr>
                <w:kern w:val="0"/>
                <w:sz w:val="21"/>
                <w:szCs w:val="21"/>
              </w:rPr>
            </w:pPr>
            <w:r w:rsidRPr="009F3EAD">
              <w:rPr>
                <w:kern w:val="0"/>
                <w:sz w:val="21"/>
                <w:szCs w:val="21"/>
              </w:rPr>
              <w:t>318</w:t>
            </w:r>
          </w:p>
        </w:tc>
        <w:tc>
          <w:tcPr>
            <w:tcW w:w="1418" w:type="dxa"/>
            <w:tcBorders>
              <w:bottom w:val="nil"/>
            </w:tcBorders>
          </w:tcPr>
          <w:p w14:paraId="6677D7BF" w14:textId="77777777" w:rsidR="0026782C" w:rsidRPr="009F3EAD" w:rsidRDefault="0026782C" w:rsidP="009D2907">
            <w:pPr>
              <w:autoSpaceDE w:val="0"/>
              <w:autoSpaceDN w:val="0"/>
              <w:adjustRightInd w:val="0"/>
              <w:spacing w:line="360" w:lineRule="exact"/>
              <w:jc w:val="center"/>
              <w:rPr>
                <w:kern w:val="0"/>
                <w:sz w:val="21"/>
                <w:szCs w:val="21"/>
              </w:rPr>
            </w:pPr>
            <w:bookmarkStart w:id="86" w:name="_Hlk101939779"/>
            <w:r w:rsidRPr="009F3EAD">
              <w:rPr>
                <w:kern w:val="0"/>
                <w:sz w:val="21"/>
                <w:szCs w:val="21"/>
              </w:rPr>
              <w:t>1.875e+10</w:t>
            </w:r>
            <w:bookmarkEnd w:id="86"/>
          </w:p>
        </w:tc>
        <w:tc>
          <w:tcPr>
            <w:tcW w:w="1276" w:type="dxa"/>
            <w:tcBorders>
              <w:bottom w:val="nil"/>
            </w:tcBorders>
          </w:tcPr>
          <w:p w14:paraId="1E9CA589" w14:textId="77777777" w:rsidR="0026782C" w:rsidRPr="009F3EAD" w:rsidRDefault="0026782C" w:rsidP="009D2907">
            <w:pPr>
              <w:autoSpaceDE w:val="0"/>
              <w:autoSpaceDN w:val="0"/>
              <w:adjustRightInd w:val="0"/>
              <w:spacing w:line="360" w:lineRule="exact"/>
              <w:jc w:val="center"/>
              <w:rPr>
                <w:kern w:val="0"/>
                <w:sz w:val="21"/>
                <w:szCs w:val="21"/>
              </w:rPr>
            </w:pPr>
            <w:r w:rsidRPr="009F3EAD">
              <w:rPr>
                <w:kern w:val="0"/>
                <w:sz w:val="21"/>
                <w:szCs w:val="21"/>
              </w:rPr>
              <w:t>3.280e+10</w:t>
            </w:r>
          </w:p>
        </w:tc>
        <w:tc>
          <w:tcPr>
            <w:tcW w:w="1417" w:type="dxa"/>
            <w:tcBorders>
              <w:bottom w:val="nil"/>
            </w:tcBorders>
          </w:tcPr>
          <w:p w14:paraId="7A8748DD" w14:textId="77777777" w:rsidR="0026782C" w:rsidRPr="009F3EAD" w:rsidRDefault="0026782C" w:rsidP="009D2907">
            <w:pPr>
              <w:autoSpaceDE w:val="0"/>
              <w:autoSpaceDN w:val="0"/>
              <w:adjustRightInd w:val="0"/>
              <w:spacing w:line="360" w:lineRule="exact"/>
              <w:jc w:val="center"/>
              <w:rPr>
                <w:kern w:val="0"/>
                <w:sz w:val="21"/>
                <w:szCs w:val="21"/>
              </w:rPr>
            </w:pPr>
            <w:r w:rsidRPr="009F3EAD">
              <w:rPr>
                <w:kern w:val="0"/>
                <w:sz w:val="21"/>
                <w:szCs w:val="21"/>
              </w:rPr>
              <w:t>2</w:t>
            </w:r>
            <w:bookmarkStart w:id="87" w:name="_Hlk101939794"/>
            <w:r w:rsidRPr="009F3EAD">
              <w:rPr>
                <w:kern w:val="0"/>
                <w:sz w:val="21"/>
                <w:szCs w:val="21"/>
              </w:rPr>
              <w:t>.094e+08</w:t>
            </w:r>
            <w:bookmarkEnd w:id="87"/>
          </w:p>
        </w:tc>
        <w:tc>
          <w:tcPr>
            <w:tcW w:w="1381" w:type="dxa"/>
            <w:tcBorders>
              <w:bottom w:val="nil"/>
            </w:tcBorders>
          </w:tcPr>
          <w:p w14:paraId="33034D28" w14:textId="77777777" w:rsidR="0026782C" w:rsidRPr="009F3EAD" w:rsidRDefault="0026782C" w:rsidP="009D2907">
            <w:pPr>
              <w:autoSpaceDE w:val="0"/>
              <w:autoSpaceDN w:val="0"/>
              <w:adjustRightInd w:val="0"/>
              <w:spacing w:line="360" w:lineRule="exact"/>
              <w:jc w:val="center"/>
              <w:rPr>
                <w:kern w:val="0"/>
                <w:sz w:val="21"/>
                <w:szCs w:val="21"/>
              </w:rPr>
            </w:pPr>
            <w:bookmarkStart w:id="88" w:name="_Hlk101939753"/>
            <w:r w:rsidRPr="009F3EAD">
              <w:rPr>
                <w:kern w:val="0"/>
                <w:sz w:val="21"/>
                <w:szCs w:val="21"/>
              </w:rPr>
              <w:t>2.360e+11</w:t>
            </w:r>
            <w:bookmarkEnd w:id="88"/>
          </w:p>
        </w:tc>
      </w:tr>
      <w:tr w:rsidR="0026782C" w14:paraId="6354750B" w14:textId="77777777" w:rsidTr="009F3EAD">
        <w:trPr>
          <w:jc w:val="center"/>
        </w:trPr>
        <w:tc>
          <w:tcPr>
            <w:tcW w:w="1371" w:type="dxa"/>
            <w:tcBorders>
              <w:top w:val="nil"/>
              <w:bottom w:val="single" w:sz="12" w:space="0" w:color="auto"/>
            </w:tcBorders>
          </w:tcPr>
          <w:p w14:paraId="2D2EFE4A" w14:textId="77777777" w:rsidR="0026782C" w:rsidRPr="009F3EAD" w:rsidRDefault="0026782C" w:rsidP="009D2907">
            <w:pPr>
              <w:autoSpaceDE w:val="0"/>
              <w:autoSpaceDN w:val="0"/>
              <w:adjustRightInd w:val="0"/>
              <w:spacing w:line="360" w:lineRule="exact"/>
              <w:jc w:val="left"/>
              <w:rPr>
                <w:kern w:val="0"/>
                <w:sz w:val="21"/>
                <w:szCs w:val="21"/>
              </w:rPr>
            </w:pPr>
            <w:bookmarkStart w:id="89" w:name="_Hlk101939763"/>
            <w:r w:rsidRPr="009F3EAD">
              <w:rPr>
                <w:kern w:val="0"/>
                <w:sz w:val="21"/>
                <w:szCs w:val="21"/>
              </w:rPr>
              <w:t>RD</w:t>
            </w:r>
          </w:p>
        </w:tc>
        <w:tc>
          <w:tcPr>
            <w:tcW w:w="1165" w:type="dxa"/>
            <w:tcBorders>
              <w:top w:val="nil"/>
              <w:bottom w:val="single" w:sz="12" w:space="0" w:color="auto"/>
            </w:tcBorders>
          </w:tcPr>
          <w:p w14:paraId="7EDE2616" w14:textId="77777777" w:rsidR="0026782C" w:rsidRPr="009F3EAD" w:rsidRDefault="0026782C" w:rsidP="005174C3">
            <w:pPr>
              <w:autoSpaceDE w:val="0"/>
              <w:autoSpaceDN w:val="0"/>
              <w:adjustRightInd w:val="0"/>
              <w:spacing w:line="360" w:lineRule="exact"/>
              <w:jc w:val="center"/>
              <w:rPr>
                <w:kern w:val="0"/>
                <w:sz w:val="21"/>
                <w:szCs w:val="21"/>
              </w:rPr>
            </w:pPr>
            <w:r w:rsidRPr="009F3EAD">
              <w:rPr>
                <w:kern w:val="0"/>
                <w:sz w:val="21"/>
                <w:szCs w:val="21"/>
              </w:rPr>
              <w:t>318</w:t>
            </w:r>
          </w:p>
        </w:tc>
        <w:tc>
          <w:tcPr>
            <w:tcW w:w="1418" w:type="dxa"/>
            <w:tcBorders>
              <w:top w:val="nil"/>
              <w:bottom w:val="single" w:sz="12" w:space="0" w:color="auto"/>
            </w:tcBorders>
          </w:tcPr>
          <w:p w14:paraId="2B680597" w14:textId="77777777" w:rsidR="0026782C" w:rsidRPr="009F3EAD" w:rsidRDefault="0026782C" w:rsidP="009D2907">
            <w:pPr>
              <w:autoSpaceDE w:val="0"/>
              <w:autoSpaceDN w:val="0"/>
              <w:adjustRightInd w:val="0"/>
              <w:spacing w:line="360" w:lineRule="exact"/>
              <w:jc w:val="center"/>
              <w:rPr>
                <w:kern w:val="0"/>
                <w:sz w:val="21"/>
                <w:szCs w:val="21"/>
              </w:rPr>
            </w:pPr>
            <w:bookmarkStart w:id="90" w:name="_Hlk101940011"/>
            <w:r w:rsidRPr="009F3EAD">
              <w:rPr>
                <w:kern w:val="0"/>
                <w:sz w:val="21"/>
                <w:szCs w:val="21"/>
              </w:rPr>
              <w:t>2.092e+08</w:t>
            </w:r>
            <w:bookmarkEnd w:id="90"/>
          </w:p>
        </w:tc>
        <w:tc>
          <w:tcPr>
            <w:tcW w:w="1276" w:type="dxa"/>
            <w:tcBorders>
              <w:top w:val="nil"/>
              <w:bottom w:val="single" w:sz="12" w:space="0" w:color="auto"/>
            </w:tcBorders>
          </w:tcPr>
          <w:p w14:paraId="50AB4566" w14:textId="77777777" w:rsidR="0026782C" w:rsidRPr="009F3EAD" w:rsidRDefault="0026782C" w:rsidP="009D2907">
            <w:pPr>
              <w:autoSpaceDE w:val="0"/>
              <w:autoSpaceDN w:val="0"/>
              <w:adjustRightInd w:val="0"/>
              <w:spacing w:line="360" w:lineRule="exact"/>
              <w:jc w:val="center"/>
              <w:rPr>
                <w:kern w:val="0"/>
                <w:sz w:val="21"/>
                <w:szCs w:val="21"/>
              </w:rPr>
            </w:pPr>
            <w:r w:rsidRPr="009F3EAD">
              <w:rPr>
                <w:kern w:val="0"/>
                <w:sz w:val="21"/>
                <w:szCs w:val="21"/>
              </w:rPr>
              <w:t>6.754e+08</w:t>
            </w:r>
          </w:p>
        </w:tc>
        <w:tc>
          <w:tcPr>
            <w:tcW w:w="1417" w:type="dxa"/>
            <w:tcBorders>
              <w:top w:val="nil"/>
              <w:bottom w:val="single" w:sz="12" w:space="0" w:color="auto"/>
            </w:tcBorders>
          </w:tcPr>
          <w:p w14:paraId="55924833" w14:textId="77777777" w:rsidR="0026782C" w:rsidRPr="009F3EAD" w:rsidRDefault="0026782C" w:rsidP="009D2907">
            <w:pPr>
              <w:autoSpaceDE w:val="0"/>
              <w:autoSpaceDN w:val="0"/>
              <w:adjustRightInd w:val="0"/>
              <w:spacing w:line="360" w:lineRule="exact"/>
              <w:jc w:val="center"/>
              <w:rPr>
                <w:kern w:val="0"/>
                <w:sz w:val="21"/>
                <w:szCs w:val="21"/>
              </w:rPr>
            </w:pPr>
            <w:r w:rsidRPr="009F3EAD">
              <w:rPr>
                <w:kern w:val="0"/>
                <w:sz w:val="21"/>
                <w:szCs w:val="21"/>
              </w:rPr>
              <w:t>0</w:t>
            </w:r>
          </w:p>
        </w:tc>
        <w:tc>
          <w:tcPr>
            <w:tcW w:w="1381" w:type="dxa"/>
            <w:tcBorders>
              <w:top w:val="nil"/>
              <w:bottom w:val="single" w:sz="12" w:space="0" w:color="auto"/>
            </w:tcBorders>
          </w:tcPr>
          <w:p w14:paraId="67E8A6D0" w14:textId="77777777" w:rsidR="0026782C" w:rsidRPr="009F3EAD" w:rsidRDefault="0026782C" w:rsidP="009D2907">
            <w:pPr>
              <w:autoSpaceDE w:val="0"/>
              <w:autoSpaceDN w:val="0"/>
              <w:adjustRightInd w:val="0"/>
              <w:spacing w:line="360" w:lineRule="exact"/>
              <w:jc w:val="center"/>
              <w:rPr>
                <w:kern w:val="0"/>
                <w:sz w:val="21"/>
                <w:szCs w:val="21"/>
              </w:rPr>
            </w:pPr>
            <w:bookmarkStart w:id="91" w:name="_Hlk101939987"/>
            <w:r w:rsidRPr="009F3EAD">
              <w:rPr>
                <w:kern w:val="0"/>
                <w:sz w:val="21"/>
                <w:szCs w:val="21"/>
              </w:rPr>
              <w:t>6.267e+09</w:t>
            </w:r>
            <w:bookmarkEnd w:id="91"/>
          </w:p>
        </w:tc>
      </w:tr>
      <w:bookmarkEnd w:id="89"/>
    </w:tbl>
    <w:p w14:paraId="7688EE04" w14:textId="77777777" w:rsidR="00E6266D" w:rsidRDefault="00E6266D" w:rsidP="0026782C">
      <w:pPr>
        <w:ind w:firstLineChars="200" w:firstLine="480"/>
        <w:rPr>
          <w:rFonts w:ascii="宋体" w:hAnsi="宋体"/>
        </w:rPr>
      </w:pPr>
    </w:p>
    <w:p w14:paraId="6D0B96AB" w14:textId="711A944A" w:rsidR="00B07956" w:rsidRDefault="00FF517A" w:rsidP="00326904">
      <w:pPr>
        <w:pStyle w:val="1"/>
        <w:pageBreakBefore/>
        <w:spacing w:before="163" w:after="163"/>
        <w:rPr>
          <w:rFonts w:ascii="楷体_GB2312" w:eastAsia="楷体_GB2312"/>
        </w:rPr>
      </w:pPr>
      <w:bookmarkStart w:id="92" w:name="_Toc104478873"/>
      <w:r>
        <w:lastRenderedPageBreak/>
        <w:t>4</w:t>
      </w:r>
      <w:r w:rsidR="00B07956">
        <w:rPr>
          <w:rFonts w:ascii="黑体" w:hint="eastAsia"/>
        </w:rPr>
        <w:t xml:space="preserve"> </w:t>
      </w:r>
      <w:r w:rsidR="00B07956">
        <w:rPr>
          <w:rFonts w:hint="eastAsia"/>
        </w:rPr>
        <w:t>实证</w:t>
      </w:r>
      <w:r w:rsidR="005229A3">
        <w:rPr>
          <w:rFonts w:hint="eastAsia"/>
        </w:rPr>
        <w:t>结果与</w:t>
      </w:r>
      <w:r w:rsidR="00B07956">
        <w:rPr>
          <w:rFonts w:hint="eastAsia"/>
        </w:rPr>
        <w:t>分析</w:t>
      </w:r>
      <w:bookmarkEnd w:id="92"/>
    </w:p>
    <w:p w14:paraId="1EC46D9A" w14:textId="09804E1E" w:rsidR="00B07956" w:rsidRPr="002B6021" w:rsidRDefault="00FF517A" w:rsidP="002B6021">
      <w:pPr>
        <w:pStyle w:val="2"/>
        <w:spacing w:before="163" w:after="163"/>
        <w:rPr>
          <w:rFonts w:cs="Times New Roman"/>
        </w:rPr>
      </w:pPr>
      <w:bookmarkStart w:id="93" w:name="_Toc104478874"/>
      <w:r w:rsidRPr="002B6021">
        <w:rPr>
          <w:rFonts w:cs="Times New Roman"/>
        </w:rPr>
        <w:t>4</w:t>
      </w:r>
      <w:r w:rsidR="00B07956" w:rsidRPr="002B6021">
        <w:rPr>
          <w:rFonts w:cs="Times New Roman"/>
        </w:rPr>
        <w:t>.</w:t>
      </w:r>
      <w:r w:rsidR="001E34A0" w:rsidRPr="002B6021">
        <w:rPr>
          <w:rFonts w:cs="Times New Roman"/>
        </w:rPr>
        <w:t>1</w:t>
      </w:r>
      <w:r w:rsidR="00B07956" w:rsidRPr="002B6021">
        <w:rPr>
          <w:rFonts w:cs="Times New Roman" w:hint="eastAsia"/>
        </w:rPr>
        <w:t xml:space="preserve"> </w:t>
      </w:r>
      <w:r w:rsidR="00B07956" w:rsidRPr="002B6021">
        <w:rPr>
          <w:rFonts w:cs="Times New Roman" w:hint="eastAsia"/>
        </w:rPr>
        <w:t>相关性分析</w:t>
      </w:r>
      <w:bookmarkEnd w:id="93"/>
    </w:p>
    <w:p w14:paraId="17561F16" w14:textId="1C52C278" w:rsidR="009F3EAD" w:rsidRPr="00BB073C" w:rsidRDefault="00B07956" w:rsidP="005870BF">
      <w:pPr>
        <w:ind w:firstLineChars="200" w:firstLine="480"/>
      </w:pPr>
      <w:r w:rsidRPr="007E5BA9">
        <w:rPr>
          <w:rFonts w:hint="eastAsia"/>
        </w:rPr>
        <w:t>为了研究</w:t>
      </w:r>
      <w:r w:rsidRPr="007E5BA9">
        <w:rPr>
          <w:rFonts w:hint="eastAsia"/>
        </w:rPr>
        <w:t xml:space="preserve">ESG </w:t>
      </w:r>
      <w:r>
        <w:rPr>
          <w:rFonts w:hint="eastAsia"/>
        </w:rPr>
        <w:t>评分</w:t>
      </w:r>
      <w:r w:rsidRPr="007E5BA9">
        <w:rPr>
          <w:rFonts w:hint="eastAsia"/>
        </w:rPr>
        <w:t>与</w:t>
      </w:r>
      <w:r>
        <w:rPr>
          <w:rFonts w:hint="eastAsia"/>
        </w:rPr>
        <w:t>Vege</w:t>
      </w:r>
      <w:r>
        <w:rPr>
          <w:rFonts w:hint="eastAsia"/>
        </w:rPr>
        <w:t>、</w:t>
      </w:r>
      <w:r>
        <w:rPr>
          <w:rFonts w:hint="eastAsia"/>
        </w:rPr>
        <w:t>D</w:t>
      </w:r>
      <w:r>
        <w:t>elta</w:t>
      </w:r>
      <w:r w:rsidRPr="007E5BA9">
        <w:rPr>
          <w:rFonts w:hint="eastAsia"/>
        </w:rPr>
        <w:t>之间的相关性</w:t>
      </w:r>
      <w:r>
        <w:rPr>
          <w:rFonts w:hint="eastAsia"/>
        </w:rPr>
        <w:t>，</w:t>
      </w:r>
      <w:r w:rsidRPr="007E5BA9">
        <w:rPr>
          <w:rFonts w:hint="eastAsia"/>
        </w:rPr>
        <w:t>本研究运用</w:t>
      </w:r>
      <w:r w:rsidR="004A07E6">
        <w:rPr>
          <w:rFonts w:hint="eastAsia"/>
        </w:rPr>
        <w:t>S</w:t>
      </w:r>
      <w:r>
        <w:rPr>
          <w:rFonts w:hint="eastAsia"/>
        </w:rPr>
        <w:t>tata</w:t>
      </w:r>
      <w:r w:rsidRPr="007E5BA9">
        <w:rPr>
          <w:rFonts w:hint="eastAsia"/>
        </w:rPr>
        <w:t>统计软件、采用</w:t>
      </w:r>
      <w:r w:rsidRPr="007E5BA9">
        <w:rPr>
          <w:rFonts w:hint="eastAsia"/>
        </w:rPr>
        <w:t xml:space="preserve"> Pearson </w:t>
      </w:r>
      <w:r w:rsidRPr="007E5BA9">
        <w:rPr>
          <w:rFonts w:hint="eastAsia"/>
        </w:rPr>
        <w:t>相关系数的分析方法对国</w:t>
      </w:r>
      <w:r>
        <w:rPr>
          <w:rFonts w:hint="eastAsia"/>
        </w:rPr>
        <w:t>内样本</w:t>
      </w:r>
      <w:r w:rsidRPr="007E5BA9">
        <w:rPr>
          <w:rFonts w:hint="eastAsia"/>
        </w:rPr>
        <w:t>上市公司各变量数据进行相关性统计分析，表</w:t>
      </w:r>
      <w:r w:rsidRPr="007E5BA9">
        <w:rPr>
          <w:rFonts w:hint="eastAsia"/>
        </w:rPr>
        <w:t xml:space="preserve"> </w:t>
      </w:r>
      <w:r w:rsidR="00BB073C">
        <w:t>4</w:t>
      </w:r>
      <w:r>
        <w:t>-</w:t>
      </w:r>
      <w:r w:rsidR="00BB073C">
        <w:t>1</w:t>
      </w:r>
      <w:r w:rsidRPr="007E5BA9">
        <w:rPr>
          <w:rFonts w:hint="eastAsia"/>
        </w:rPr>
        <w:t xml:space="preserve"> </w:t>
      </w:r>
      <w:r w:rsidRPr="007E5BA9">
        <w:rPr>
          <w:rFonts w:hint="eastAsia"/>
        </w:rPr>
        <w:t>为相关性分析结果</w:t>
      </w:r>
      <w:r>
        <w:rPr>
          <w:rFonts w:hint="eastAsia"/>
        </w:rPr>
        <w:t>。</w:t>
      </w:r>
    </w:p>
    <w:p w14:paraId="5ADE46E6" w14:textId="77777777" w:rsidR="005870BF" w:rsidRDefault="005870BF" w:rsidP="009F3EAD">
      <w:pPr>
        <w:spacing w:line="300" w:lineRule="exact"/>
        <w:ind w:firstLineChars="200" w:firstLine="480"/>
        <w:jc w:val="center"/>
        <w:rPr>
          <w:rFonts w:ascii="黑体" w:eastAsia="黑体" w:hAnsi="宋体"/>
        </w:rPr>
      </w:pPr>
    </w:p>
    <w:p w14:paraId="1D9EE70A" w14:textId="30557E62" w:rsidR="00B07956" w:rsidRPr="009F3EAD" w:rsidRDefault="00B07956" w:rsidP="009F3EAD">
      <w:pPr>
        <w:spacing w:line="300" w:lineRule="exact"/>
        <w:ind w:firstLineChars="200" w:firstLine="480"/>
        <w:jc w:val="center"/>
      </w:pPr>
      <w:r w:rsidRPr="00677FE2">
        <w:rPr>
          <w:rFonts w:ascii="黑体" w:eastAsia="黑体" w:hAnsi="宋体" w:hint="eastAsia"/>
        </w:rPr>
        <w:t>表</w:t>
      </w:r>
      <w:r w:rsidR="00D653D6">
        <w:rPr>
          <w:rFonts w:eastAsia="黑体"/>
        </w:rPr>
        <w:t>4</w:t>
      </w:r>
      <w:r w:rsidRPr="00AB6ADE">
        <w:rPr>
          <w:rFonts w:eastAsia="黑体" w:hint="eastAsia"/>
        </w:rPr>
        <w:t>-</w:t>
      </w:r>
      <w:r w:rsidR="001E34A0">
        <w:rPr>
          <w:rFonts w:eastAsia="黑体"/>
        </w:rPr>
        <w:t>1</w:t>
      </w:r>
      <w:r>
        <w:rPr>
          <w:rFonts w:ascii="黑体" w:eastAsia="黑体" w:hAnsi="宋体" w:hint="eastAsia"/>
        </w:rPr>
        <w:t xml:space="preserve"> 相关性分析</w:t>
      </w:r>
    </w:p>
    <w:p w14:paraId="3FFCF6AE" w14:textId="77777777" w:rsidR="00870FFD" w:rsidRPr="006100E3" w:rsidRDefault="00870FFD" w:rsidP="009F3EAD">
      <w:pPr>
        <w:spacing w:line="300" w:lineRule="exact"/>
        <w:ind w:firstLineChars="200" w:firstLine="480"/>
        <w:jc w:val="center"/>
        <w:rPr>
          <w:rFonts w:ascii="黑体" w:eastAsia="黑体" w:hAnsi="宋体"/>
        </w:rPr>
      </w:pPr>
    </w:p>
    <w:tbl>
      <w:tblPr>
        <w:tblW w:w="9154" w:type="dxa"/>
        <w:jc w:val="center"/>
        <w:tblLayout w:type="fixed"/>
        <w:tblCellMar>
          <w:left w:w="75" w:type="dxa"/>
          <w:right w:w="75" w:type="dxa"/>
        </w:tblCellMar>
        <w:tblLook w:val="0000" w:firstRow="0" w:lastRow="0" w:firstColumn="0" w:lastColumn="0" w:noHBand="0" w:noVBand="0"/>
      </w:tblPr>
      <w:tblGrid>
        <w:gridCol w:w="925"/>
        <w:gridCol w:w="1277"/>
        <w:gridCol w:w="1277"/>
        <w:gridCol w:w="1135"/>
        <w:gridCol w:w="1277"/>
        <w:gridCol w:w="1277"/>
        <w:gridCol w:w="993"/>
        <w:gridCol w:w="993"/>
      </w:tblGrid>
      <w:tr w:rsidR="001F1A33" w:rsidRPr="002C4F52" w14:paraId="572E187C" w14:textId="7845694D" w:rsidTr="006B1A98">
        <w:trPr>
          <w:trHeight w:val="508"/>
          <w:jc w:val="center"/>
        </w:trPr>
        <w:tc>
          <w:tcPr>
            <w:tcW w:w="925" w:type="dxa"/>
            <w:tcBorders>
              <w:top w:val="single" w:sz="12" w:space="0" w:color="auto"/>
              <w:left w:val="nil"/>
              <w:bottom w:val="nil"/>
              <w:right w:val="nil"/>
            </w:tcBorders>
          </w:tcPr>
          <w:p w14:paraId="74122DD7" w14:textId="77777777" w:rsidR="001F1A33" w:rsidRPr="002C4F52" w:rsidRDefault="001F1A33" w:rsidP="00A5632C">
            <w:pPr>
              <w:autoSpaceDE w:val="0"/>
              <w:autoSpaceDN w:val="0"/>
              <w:adjustRightInd w:val="0"/>
              <w:jc w:val="left"/>
              <w:rPr>
                <w:kern w:val="0"/>
                <w:sz w:val="21"/>
                <w:szCs w:val="21"/>
              </w:rPr>
            </w:pPr>
          </w:p>
        </w:tc>
        <w:tc>
          <w:tcPr>
            <w:tcW w:w="1277" w:type="dxa"/>
            <w:tcBorders>
              <w:top w:val="single" w:sz="12" w:space="0" w:color="auto"/>
              <w:left w:val="nil"/>
              <w:bottom w:val="nil"/>
              <w:right w:val="nil"/>
            </w:tcBorders>
          </w:tcPr>
          <w:p w14:paraId="78758EAF" w14:textId="77777777" w:rsidR="001F1A33" w:rsidRPr="002C4F52" w:rsidRDefault="001F1A33" w:rsidP="00A5632C">
            <w:pPr>
              <w:autoSpaceDE w:val="0"/>
              <w:autoSpaceDN w:val="0"/>
              <w:adjustRightInd w:val="0"/>
              <w:jc w:val="center"/>
              <w:rPr>
                <w:kern w:val="0"/>
                <w:sz w:val="21"/>
                <w:szCs w:val="21"/>
              </w:rPr>
            </w:pPr>
            <w:r w:rsidRPr="002C4F52">
              <w:rPr>
                <w:kern w:val="0"/>
                <w:sz w:val="21"/>
                <w:szCs w:val="21"/>
              </w:rPr>
              <w:t>ESG</w:t>
            </w:r>
          </w:p>
        </w:tc>
        <w:tc>
          <w:tcPr>
            <w:tcW w:w="1277" w:type="dxa"/>
            <w:tcBorders>
              <w:top w:val="single" w:sz="12" w:space="0" w:color="auto"/>
              <w:left w:val="nil"/>
              <w:bottom w:val="nil"/>
              <w:right w:val="nil"/>
            </w:tcBorders>
          </w:tcPr>
          <w:p w14:paraId="50EFB9E6" w14:textId="77777777" w:rsidR="001F1A33" w:rsidRPr="002C4F52" w:rsidRDefault="001F1A33" w:rsidP="00A5632C">
            <w:pPr>
              <w:autoSpaceDE w:val="0"/>
              <w:autoSpaceDN w:val="0"/>
              <w:adjustRightInd w:val="0"/>
              <w:jc w:val="center"/>
              <w:rPr>
                <w:kern w:val="0"/>
                <w:sz w:val="21"/>
                <w:szCs w:val="21"/>
              </w:rPr>
            </w:pPr>
            <w:r w:rsidRPr="002C4F52">
              <w:rPr>
                <w:kern w:val="0"/>
                <w:sz w:val="21"/>
                <w:szCs w:val="21"/>
              </w:rPr>
              <w:t>Vega</w:t>
            </w:r>
          </w:p>
        </w:tc>
        <w:tc>
          <w:tcPr>
            <w:tcW w:w="1135" w:type="dxa"/>
            <w:tcBorders>
              <w:top w:val="single" w:sz="12" w:space="0" w:color="auto"/>
              <w:left w:val="nil"/>
              <w:bottom w:val="nil"/>
              <w:right w:val="nil"/>
            </w:tcBorders>
          </w:tcPr>
          <w:p w14:paraId="17BB7CCE" w14:textId="77777777" w:rsidR="001F1A33" w:rsidRPr="002C4F52" w:rsidRDefault="001F1A33" w:rsidP="00A5632C">
            <w:pPr>
              <w:autoSpaceDE w:val="0"/>
              <w:autoSpaceDN w:val="0"/>
              <w:adjustRightInd w:val="0"/>
              <w:jc w:val="center"/>
              <w:rPr>
                <w:kern w:val="0"/>
                <w:sz w:val="21"/>
                <w:szCs w:val="21"/>
              </w:rPr>
            </w:pPr>
            <w:r w:rsidRPr="002C4F52">
              <w:rPr>
                <w:kern w:val="0"/>
                <w:sz w:val="21"/>
                <w:szCs w:val="21"/>
              </w:rPr>
              <w:t>Delta</w:t>
            </w:r>
          </w:p>
        </w:tc>
        <w:tc>
          <w:tcPr>
            <w:tcW w:w="1277" w:type="dxa"/>
            <w:tcBorders>
              <w:top w:val="single" w:sz="12" w:space="0" w:color="auto"/>
              <w:left w:val="nil"/>
              <w:bottom w:val="nil"/>
              <w:right w:val="nil"/>
            </w:tcBorders>
          </w:tcPr>
          <w:p w14:paraId="0EAFB2EC" w14:textId="77777777" w:rsidR="001F1A33" w:rsidRPr="002C4F52" w:rsidRDefault="001F1A33" w:rsidP="00A5632C">
            <w:pPr>
              <w:autoSpaceDE w:val="0"/>
              <w:autoSpaceDN w:val="0"/>
              <w:adjustRightInd w:val="0"/>
              <w:jc w:val="center"/>
              <w:rPr>
                <w:kern w:val="0"/>
                <w:sz w:val="21"/>
                <w:szCs w:val="21"/>
              </w:rPr>
            </w:pPr>
            <w:r w:rsidRPr="002C4F52">
              <w:rPr>
                <w:kern w:val="0"/>
                <w:sz w:val="21"/>
                <w:szCs w:val="21"/>
              </w:rPr>
              <w:t>Size</w:t>
            </w:r>
          </w:p>
        </w:tc>
        <w:tc>
          <w:tcPr>
            <w:tcW w:w="1277" w:type="dxa"/>
            <w:tcBorders>
              <w:top w:val="single" w:sz="12" w:space="0" w:color="auto"/>
              <w:left w:val="nil"/>
              <w:bottom w:val="nil"/>
              <w:right w:val="nil"/>
            </w:tcBorders>
          </w:tcPr>
          <w:p w14:paraId="056FB12C" w14:textId="77777777" w:rsidR="001F1A33" w:rsidRPr="002C4F52" w:rsidRDefault="001F1A33" w:rsidP="00A5632C">
            <w:pPr>
              <w:autoSpaceDE w:val="0"/>
              <w:autoSpaceDN w:val="0"/>
              <w:adjustRightInd w:val="0"/>
              <w:jc w:val="center"/>
              <w:rPr>
                <w:kern w:val="0"/>
                <w:sz w:val="21"/>
                <w:szCs w:val="21"/>
              </w:rPr>
            </w:pPr>
            <w:r w:rsidRPr="002C4F52">
              <w:rPr>
                <w:kern w:val="0"/>
                <w:sz w:val="21"/>
                <w:szCs w:val="21"/>
              </w:rPr>
              <w:t>Sales</w:t>
            </w:r>
          </w:p>
        </w:tc>
        <w:tc>
          <w:tcPr>
            <w:tcW w:w="993" w:type="dxa"/>
            <w:tcBorders>
              <w:top w:val="single" w:sz="12" w:space="0" w:color="auto"/>
              <w:left w:val="nil"/>
              <w:bottom w:val="nil"/>
              <w:right w:val="nil"/>
            </w:tcBorders>
          </w:tcPr>
          <w:p w14:paraId="28ECA99F" w14:textId="77777777" w:rsidR="001F1A33" w:rsidRPr="002C4F52" w:rsidRDefault="001F1A33" w:rsidP="00A5632C">
            <w:pPr>
              <w:autoSpaceDE w:val="0"/>
              <w:autoSpaceDN w:val="0"/>
              <w:adjustRightInd w:val="0"/>
              <w:jc w:val="center"/>
              <w:rPr>
                <w:kern w:val="0"/>
                <w:sz w:val="21"/>
                <w:szCs w:val="21"/>
              </w:rPr>
            </w:pPr>
            <w:r w:rsidRPr="002C4F52">
              <w:rPr>
                <w:kern w:val="0"/>
                <w:sz w:val="21"/>
                <w:szCs w:val="21"/>
              </w:rPr>
              <w:t>RD</w:t>
            </w:r>
          </w:p>
        </w:tc>
        <w:tc>
          <w:tcPr>
            <w:tcW w:w="993" w:type="dxa"/>
            <w:tcBorders>
              <w:top w:val="single" w:sz="12" w:space="0" w:color="auto"/>
              <w:left w:val="nil"/>
              <w:bottom w:val="nil"/>
              <w:right w:val="nil"/>
            </w:tcBorders>
          </w:tcPr>
          <w:p w14:paraId="19E5A92F" w14:textId="181DFBA5" w:rsidR="001F1A33" w:rsidRPr="002C4F52" w:rsidRDefault="001F1A33" w:rsidP="001F1A33">
            <w:pPr>
              <w:autoSpaceDE w:val="0"/>
              <w:autoSpaceDN w:val="0"/>
              <w:adjustRightInd w:val="0"/>
              <w:ind w:firstLineChars="100" w:firstLine="210"/>
              <w:jc w:val="left"/>
              <w:rPr>
                <w:kern w:val="0"/>
                <w:sz w:val="21"/>
                <w:szCs w:val="21"/>
              </w:rPr>
            </w:pPr>
            <w:r w:rsidRPr="002C4F52">
              <w:rPr>
                <w:rFonts w:hint="eastAsia"/>
                <w:kern w:val="0"/>
                <w:sz w:val="21"/>
                <w:szCs w:val="21"/>
              </w:rPr>
              <w:t>DTA</w:t>
            </w:r>
          </w:p>
        </w:tc>
      </w:tr>
      <w:tr w:rsidR="001F1A33" w:rsidRPr="002C4F52" w14:paraId="2E342B86" w14:textId="1A982D71" w:rsidTr="006B1A98">
        <w:trPr>
          <w:trHeight w:val="492"/>
          <w:jc w:val="center"/>
        </w:trPr>
        <w:tc>
          <w:tcPr>
            <w:tcW w:w="925" w:type="dxa"/>
            <w:tcBorders>
              <w:top w:val="nil"/>
              <w:left w:val="nil"/>
              <w:bottom w:val="single" w:sz="4" w:space="0" w:color="auto"/>
              <w:right w:val="nil"/>
            </w:tcBorders>
          </w:tcPr>
          <w:p w14:paraId="1E6E2457" w14:textId="77777777" w:rsidR="001F1A33" w:rsidRPr="002C4F52" w:rsidRDefault="001F1A33" w:rsidP="00A5632C">
            <w:pPr>
              <w:autoSpaceDE w:val="0"/>
              <w:autoSpaceDN w:val="0"/>
              <w:adjustRightInd w:val="0"/>
              <w:jc w:val="left"/>
              <w:rPr>
                <w:kern w:val="0"/>
                <w:sz w:val="21"/>
                <w:szCs w:val="21"/>
              </w:rPr>
            </w:pPr>
            <w:r w:rsidRPr="002C4F52">
              <w:rPr>
                <w:kern w:val="0"/>
                <w:sz w:val="21"/>
                <w:szCs w:val="21"/>
              </w:rPr>
              <w:t>ESG</w:t>
            </w:r>
          </w:p>
        </w:tc>
        <w:tc>
          <w:tcPr>
            <w:tcW w:w="1277" w:type="dxa"/>
            <w:tcBorders>
              <w:top w:val="nil"/>
              <w:left w:val="nil"/>
              <w:bottom w:val="single" w:sz="4" w:space="0" w:color="auto"/>
              <w:right w:val="nil"/>
            </w:tcBorders>
          </w:tcPr>
          <w:p w14:paraId="0274E88A" w14:textId="77777777" w:rsidR="001F1A33" w:rsidRPr="002C4F52" w:rsidRDefault="001F1A33" w:rsidP="00A5632C">
            <w:pPr>
              <w:autoSpaceDE w:val="0"/>
              <w:autoSpaceDN w:val="0"/>
              <w:adjustRightInd w:val="0"/>
              <w:jc w:val="center"/>
              <w:rPr>
                <w:kern w:val="0"/>
                <w:sz w:val="21"/>
                <w:szCs w:val="21"/>
              </w:rPr>
            </w:pPr>
            <w:r w:rsidRPr="002C4F52">
              <w:rPr>
                <w:kern w:val="0"/>
                <w:sz w:val="21"/>
                <w:szCs w:val="21"/>
              </w:rPr>
              <w:t>1</w:t>
            </w:r>
          </w:p>
        </w:tc>
        <w:tc>
          <w:tcPr>
            <w:tcW w:w="1277" w:type="dxa"/>
            <w:tcBorders>
              <w:top w:val="nil"/>
              <w:left w:val="nil"/>
              <w:bottom w:val="single" w:sz="4" w:space="0" w:color="auto"/>
              <w:right w:val="nil"/>
            </w:tcBorders>
          </w:tcPr>
          <w:p w14:paraId="5A099BD2" w14:textId="77777777" w:rsidR="001F1A33" w:rsidRPr="002C4F52" w:rsidRDefault="001F1A33" w:rsidP="00A5632C">
            <w:pPr>
              <w:autoSpaceDE w:val="0"/>
              <w:autoSpaceDN w:val="0"/>
              <w:adjustRightInd w:val="0"/>
              <w:jc w:val="center"/>
              <w:rPr>
                <w:kern w:val="0"/>
                <w:sz w:val="21"/>
                <w:szCs w:val="21"/>
              </w:rPr>
            </w:pPr>
          </w:p>
        </w:tc>
        <w:tc>
          <w:tcPr>
            <w:tcW w:w="1135" w:type="dxa"/>
            <w:tcBorders>
              <w:top w:val="nil"/>
              <w:left w:val="nil"/>
              <w:bottom w:val="single" w:sz="4" w:space="0" w:color="auto"/>
              <w:right w:val="nil"/>
            </w:tcBorders>
          </w:tcPr>
          <w:p w14:paraId="3DABAF24" w14:textId="77777777" w:rsidR="001F1A33" w:rsidRPr="002C4F52" w:rsidRDefault="001F1A33" w:rsidP="00A5632C">
            <w:pPr>
              <w:autoSpaceDE w:val="0"/>
              <w:autoSpaceDN w:val="0"/>
              <w:adjustRightInd w:val="0"/>
              <w:jc w:val="center"/>
              <w:rPr>
                <w:kern w:val="0"/>
                <w:sz w:val="21"/>
                <w:szCs w:val="21"/>
              </w:rPr>
            </w:pPr>
          </w:p>
        </w:tc>
        <w:tc>
          <w:tcPr>
            <w:tcW w:w="1277" w:type="dxa"/>
            <w:tcBorders>
              <w:top w:val="nil"/>
              <w:left w:val="nil"/>
              <w:bottom w:val="single" w:sz="4" w:space="0" w:color="auto"/>
              <w:right w:val="nil"/>
            </w:tcBorders>
          </w:tcPr>
          <w:p w14:paraId="7E6ADF7A" w14:textId="77777777" w:rsidR="001F1A33" w:rsidRPr="002C4F52" w:rsidRDefault="001F1A33" w:rsidP="00A5632C">
            <w:pPr>
              <w:autoSpaceDE w:val="0"/>
              <w:autoSpaceDN w:val="0"/>
              <w:adjustRightInd w:val="0"/>
              <w:jc w:val="center"/>
              <w:rPr>
                <w:kern w:val="0"/>
                <w:sz w:val="21"/>
                <w:szCs w:val="21"/>
              </w:rPr>
            </w:pPr>
          </w:p>
        </w:tc>
        <w:tc>
          <w:tcPr>
            <w:tcW w:w="1277" w:type="dxa"/>
            <w:tcBorders>
              <w:top w:val="nil"/>
              <w:left w:val="nil"/>
              <w:bottom w:val="single" w:sz="4" w:space="0" w:color="auto"/>
              <w:right w:val="nil"/>
            </w:tcBorders>
          </w:tcPr>
          <w:p w14:paraId="650C3EA2" w14:textId="77777777" w:rsidR="001F1A33" w:rsidRPr="002C4F52" w:rsidRDefault="001F1A33" w:rsidP="00A5632C">
            <w:pPr>
              <w:autoSpaceDE w:val="0"/>
              <w:autoSpaceDN w:val="0"/>
              <w:adjustRightInd w:val="0"/>
              <w:jc w:val="center"/>
              <w:rPr>
                <w:kern w:val="0"/>
                <w:sz w:val="21"/>
                <w:szCs w:val="21"/>
              </w:rPr>
            </w:pPr>
          </w:p>
        </w:tc>
        <w:tc>
          <w:tcPr>
            <w:tcW w:w="993" w:type="dxa"/>
            <w:tcBorders>
              <w:top w:val="nil"/>
              <w:left w:val="nil"/>
              <w:bottom w:val="single" w:sz="4" w:space="0" w:color="auto"/>
              <w:right w:val="nil"/>
            </w:tcBorders>
          </w:tcPr>
          <w:p w14:paraId="21CBBBAC" w14:textId="77777777" w:rsidR="001F1A33" w:rsidRPr="002C4F52" w:rsidRDefault="001F1A33" w:rsidP="00A5632C">
            <w:pPr>
              <w:autoSpaceDE w:val="0"/>
              <w:autoSpaceDN w:val="0"/>
              <w:adjustRightInd w:val="0"/>
              <w:jc w:val="center"/>
              <w:rPr>
                <w:kern w:val="0"/>
                <w:sz w:val="21"/>
                <w:szCs w:val="21"/>
              </w:rPr>
            </w:pPr>
          </w:p>
        </w:tc>
        <w:tc>
          <w:tcPr>
            <w:tcW w:w="993" w:type="dxa"/>
            <w:tcBorders>
              <w:top w:val="nil"/>
              <w:left w:val="nil"/>
              <w:bottom w:val="single" w:sz="4" w:space="0" w:color="auto"/>
              <w:right w:val="nil"/>
            </w:tcBorders>
          </w:tcPr>
          <w:p w14:paraId="5B1418D2" w14:textId="77777777" w:rsidR="001F1A33" w:rsidRPr="002C4F52" w:rsidRDefault="001F1A33" w:rsidP="00A5632C">
            <w:pPr>
              <w:autoSpaceDE w:val="0"/>
              <w:autoSpaceDN w:val="0"/>
              <w:adjustRightInd w:val="0"/>
              <w:jc w:val="center"/>
              <w:rPr>
                <w:kern w:val="0"/>
                <w:sz w:val="21"/>
                <w:szCs w:val="21"/>
              </w:rPr>
            </w:pPr>
          </w:p>
        </w:tc>
      </w:tr>
      <w:tr w:rsidR="001F1A33" w:rsidRPr="002C4F52" w14:paraId="2D5D79C4" w14:textId="2D092926" w:rsidTr="006B1A98">
        <w:trPr>
          <w:trHeight w:val="492"/>
          <w:jc w:val="center"/>
        </w:trPr>
        <w:tc>
          <w:tcPr>
            <w:tcW w:w="925" w:type="dxa"/>
            <w:tcBorders>
              <w:top w:val="single" w:sz="4" w:space="0" w:color="auto"/>
              <w:left w:val="nil"/>
              <w:bottom w:val="nil"/>
              <w:right w:val="nil"/>
            </w:tcBorders>
          </w:tcPr>
          <w:p w14:paraId="227670AC" w14:textId="77777777" w:rsidR="001F1A33" w:rsidRPr="002C4F52" w:rsidRDefault="001F1A33" w:rsidP="00A5632C">
            <w:pPr>
              <w:autoSpaceDE w:val="0"/>
              <w:autoSpaceDN w:val="0"/>
              <w:adjustRightInd w:val="0"/>
              <w:jc w:val="left"/>
              <w:rPr>
                <w:kern w:val="0"/>
                <w:sz w:val="21"/>
                <w:szCs w:val="21"/>
              </w:rPr>
            </w:pPr>
            <w:r w:rsidRPr="002C4F52">
              <w:rPr>
                <w:kern w:val="0"/>
                <w:sz w:val="21"/>
                <w:szCs w:val="21"/>
              </w:rPr>
              <w:t>Vega</w:t>
            </w:r>
          </w:p>
        </w:tc>
        <w:tc>
          <w:tcPr>
            <w:tcW w:w="1277" w:type="dxa"/>
            <w:tcBorders>
              <w:top w:val="single" w:sz="4" w:space="0" w:color="auto"/>
              <w:left w:val="nil"/>
              <w:bottom w:val="nil"/>
              <w:right w:val="nil"/>
            </w:tcBorders>
          </w:tcPr>
          <w:p w14:paraId="34CD4AC8" w14:textId="77777777" w:rsidR="001F1A33" w:rsidRPr="002C4F52" w:rsidRDefault="001F1A33" w:rsidP="00A5632C">
            <w:pPr>
              <w:autoSpaceDE w:val="0"/>
              <w:autoSpaceDN w:val="0"/>
              <w:adjustRightInd w:val="0"/>
              <w:jc w:val="center"/>
              <w:rPr>
                <w:kern w:val="0"/>
                <w:sz w:val="21"/>
                <w:szCs w:val="21"/>
              </w:rPr>
            </w:pPr>
            <w:r w:rsidRPr="002C4F52">
              <w:rPr>
                <w:kern w:val="0"/>
                <w:sz w:val="21"/>
                <w:szCs w:val="21"/>
              </w:rPr>
              <w:t>0.104*</w:t>
            </w:r>
          </w:p>
        </w:tc>
        <w:tc>
          <w:tcPr>
            <w:tcW w:w="1277" w:type="dxa"/>
            <w:tcBorders>
              <w:top w:val="single" w:sz="4" w:space="0" w:color="auto"/>
              <w:left w:val="nil"/>
              <w:bottom w:val="nil"/>
              <w:right w:val="nil"/>
            </w:tcBorders>
          </w:tcPr>
          <w:p w14:paraId="42BA9B65" w14:textId="77777777" w:rsidR="001F1A33" w:rsidRPr="002C4F52" w:rsidRDefault="001F1A33" w:rsidP="00A5632C">
            <w:pPr>
              <w:autoSpaceDE w:val="0"/>
              <w:autoSpaceDN w:val="0"/>
              <w:adjustRightInd w:val="0"/>
              <w:jc w:val="center"/>
              <w:rPr>
                <w:kern w:val="0"/>
                <w:sz w:val="21"/>
                <w:szCs w:val="21"/>
              </w:rPr>
            </w:pPr>
            <w:r w:rsidRPr="002C4F52">
              <w:rPr>
                <w:kern w:val="0"/>
                <w:sz w:val="21"/>
                <w:szCs w:val="21"/>
              </w:rPr>
              <w:t>1</w:t>
            </w:r>
          </w:p>
        </w:tc>
        <w:tc>
          <w:tcPr>
            <w:tcW w:w="1135" w:type="dxa"/>
            <w:tcBorders>
              <w:top w:val="single" w:sz="4" w:space="0" w:color="auto"/>
              <w:left w:val="nil"/>
              <w:bottom w:val="nil"/>
              <w:right w:val="nil"/>
            </w:tcBorders>
          </w:tcPr>
          <w:p w14:paraId="0BE84923" w14:textId="77777777" w:rsidR="001F1A33" w:rsidRPr="002C4F52" w:rsidRDefault="001F1A33" w:rsidP="00A5632C">
            <w:pPr>
              <w:autoSpaceDE w:val="0"/>
              <w:autoSpaceDN w:val="0"/>
              <w:adjustRightInd w:val="0"/>
              <w:jc w:val="center"/>
              <w:rPr>
                <w:kern w:val="0"/>
                <w:sz w:val="21"/>
                <w:szCs w:val="21"/>
              </w:rPr>
            </w:pPr>
          </w:p>
        </w:tc>
        <w:tc>
          <w:tcPr>
            <w:tcW w:w="1277" w:type="dxa"/>
            <w:tcBorders>
              <w:top w:val="single" w:sz="4" w:space="0" w:color="auto"/>
              <w:left w:val="nil"/>
              <w:bottom w:val="nil"/>
              <w:right w:val="nil"/>
            </w:tcBorders>
          </w:tcPr>
          <w:p w14:paraId="694A7637" w14:textId="77777777" w:rsidR="001F1A33" w:rsidRPr="002C4F52" w:rsidRDefault="001F1A33" w:rsidP="00A5632C">
            <w:pPr>
              <w:autoSpaceDE w:val="0"/>
              <w:autoSpaceDN w:val="0"/>
              <w:adjustRightInd w:val="0"/>
              <w:jc w:val="center"/>
              <w:rPr>
                <w:kern w:val="0"/>
                <w:sz w:val="21"/>
                <w:szCs w:val="21"/>
              </w:rPr>
            </w:pPr>
          </w:p>
        </w:tc>
        <w:tc>
          <w:tcPr>
            <w:tcW w:w="1277" w:type="dxa"/>
            <w:tcBorders>
              <w:top w:val="single" w:sz="4" w:space="0" w:color="auto"/>
              <w:left w:val="nil"/>
              <w:bottom w:val="nil"/>
              <w:right w:val="nil"/>
            </w:tcBorders>
          </w:tcPr>
          <w:p w14:paraId="68A60627" w14:textId="77777777" w:rsidR="001F1A33" w:rsidRPr="002C4F52" w:rsidRDefault="001F1A33" w:rsidP="00A5632C">
            <w:pPr>
              <w:autoSpaceDE w:val="0"/>
              <w:autoSpaceDN w:val="0"/>
              <w:adjustRightInd w:val="0"/>
              <w:jc w:val="center"/>
              <w:rPr>
                <w:kern w:val="0"/>
                <w:sz w:val="21"/>
                <w:szCs w:val="21"/>
              </w:rPr>
            </w:pPr>
          </w:p>
        </w:tc>
        <w:tc>
          <w:tcPr>
            <w:tcW w:w="993" w:type="dxa"/>
            <w:tcBorders>
              <w:top w:val="single" w:sz="4" w:space="0" w:color="auto"/>
              <w:left w:val="nil"/>
              <w:bottom w:val="nil"/>
              <w:right w:val="nil"/>
            </w:tcBorders>
          </w:tcPr>
          <w:p w14:paraId="4446EEC5" w14:textId="77777777" w:rsidR="001F1A33" w:rsidRPr="002C4F52" w:rsidRDefault="001F1A33" w:rsidP="00A5632C">
            <w:pPr>
              <w:autoSpaceDE w:val="0"/>
              <w:autoSpaceDN w:val="0"/>
              <w:adjustRightInd w:val="0"/>
              <w:jc w:val="center"/>
              <w:rPr>
                <w:kern w:val="0"/>
                <w:sz w:val="21"/>
                <w:szCs w:val="21"/>
              </w:rPr>
            </w:pPr>
          </w:p>
        </w:tc>
        <w:tc>
          <w:tcPr>
            <w:tcW w:w="993" w:type="dxa"/>
            <w:tcBorders>
              <w:top w:val="single" w:sz="4" w:space="0" w:color="auto"/>
              <w:left w:val="nil"/>
              <w:bottom w:val="nil"/>
              <w:right w:val="nil"/>
            </w:tcBorders>
          </w:tcPr>
          <w:p w14:paraId="537C701E" w14:textId="77777777" w:rsidR="001F1A33" w:rsidRPr="002C4F52" w:rsidRDefault="001F1A33" w:rsidP="00A5632C">
            <w:pPr>
              <w:autoSpaceDE w:val="0"/>
              <w:autoSpaceDN w:val="0"/>
              <w:adjustRightInd w:val="0"/>
              <w:jc w:val="center"/>
              <w:rPr>
                <w:kern w:val="0"/>
                <w:sz w:val="21"/>
                <w:szCs w:val="21"/>
              </w:rPr>
            </w:pPr>
          </w:p>
        </w:tc>
      </w:tr>
      <w:tr w:rsidR="001F1A33" w:rsidRPr="002C4F52" w14:paraId="3E024771" w14:textId="67E61C84" w:rsidTr="006B1A98">
        <w:trPr>
          <w:trHeight w:val="508"/>
          <w:jc w:val="center"/>
        </w:trPr>
        <w:tc>
          <w:tcPr>
            <w:tcW w:w="925" w:type="dxa"/>
            <w:tcBorders>
              <w:top w:val="nil"/>
              <w:left w:val="nil"/>
              <w:bottom w:val="nil"/>
              <w:right w:val="nil"/>
            </w:tcBorders>
          </w:tcPr>
          <w:p w14:paraId="76151F34" w14:textId="77777777" w:rsidR="001F1A33" w:rsidRPr="002C4F52" w:rsidRDefault="001F1A33" w:rsidP="00A5632C">
            <w:pPr>
              <w:autoSpaceDE w:val="0"/>
              <w:autoSpaceDN w:val="0"/>
              <w:adjustRightInd w:val="0"/>
              <w:jc w:val="left"/>
              <w:rPr>
                <w:kern w:val="0"/>
                <w:sz w:val="21"/>
                <w:szCs w:val="21"/>
              </w:rPr>
            </w:pPr>
            <w:r w:rsidRPr="002C4F52">
              <w:rPr>
                <w:kern w:val="0"/>
                <w:sz w:val="21"/>
                <w:szCs w:val="21"/>
              </w:rPr>
              <w:t>Delta</w:t>
            </w:r>
          </w:p>
        </w:tc>
        <w:tc>
          <w:tcPr>
            <w:tcW w:w="1277" w:type="dxa"/>
            <w:tcBorders>
              <w:top w:val="nil"/>
              <w:left w:val="nil"/>
              <w:bottom w:val="nil"/>
              <w:right w:val="nil"/>
            </w:tcBorders>
          </w:tcPr>
          <w:p w14:paraId="235B0747" w14:textId="77777777" w:rsidR="001F1A33" w:rsidRPr="002C4F52" w:rsidRDefault="001F1A33" w:rsidP="00A5632C">
            <w:pPr>
              <w:autoSpaceDE w:val="0"/>
              <w:autoSpaceDN w:val="0"/>
              <w:adjustRightInd w:val="0"/>
              <w:jc w:val="center"/>
              <w:rPr>
                <w:kern w:val="0"/>
                <w:sz w:val="21"/>
                <w:szCs w:val="21"/>
              </w:rPr>
            </w:pPr>
            <w:r w:rsidRPr="002C4F52">
              <w:rPr>
                <w:kern w:val="0"/>
                <w:sz w:val="21"/>
                <w:szCs w:val="21"/>
              </w:rPr>
              <w:t>0.0910</w:t>
            </w:r>
          </w:p>
        </w:tc>
        <w:tc>
          <w:tcPr>
            <w:tcW w:w="1277" w:type="dxa"/>
            <w:tcBorders>
              <w:top w:val="nil"/>
              <w:left w:val="nil"/>
              <w:bottom w:val="nil"/>
              <w:right w:val="nil"/>
            </w:tcBorders>
          </w:tcPr>
          <w:p w14:paraId="7632EC28" w14:textId="77777777" w:rsidR="001F1A33" w:rsidRPr="002C4F52" w:rsidRDefault="001F1A33" w:rsidP="00A5632C">
            <w:pPr>
              <w:autoSpaceDE w:val="0"/>
              <w:autoSpaceDN w:val="0"/>
              <w:adjustRightInd w:val="0"/>
              <w:jc w:val="center"/>
              <w:rPr>
                <w:kern w:val="0"/>
                <w:sz w:val="21"/>
                <w:szCs w:val="21"/>
              </w:rPr>
            </w:pPr>
            <w:r w:rsidRPr="002C4F52">
              <w:rPr>
                <w:kern w:val="0"/>
                <w:sz w:val="21"/>
                <w:szCs w:val="21"/>
              </w:rPr>
              <w:t>0.993***</w:t>
            </w:r>
          </w:p>
        </w:tc>
        <w:tc>
          <w:tcPr>
            <w:tcW w:w="1135" w:type="dxa"/>
            <w:tcBorders>
              <w:top w:val="nil"/>
              <w:left w:val="nil"/>
              <w:bottom w:val="nil"/>
              <w:right w:val="nil"/>
            </w:tcBorders>
          </w:tcPr>
          <w:p w14:paraId="1A9AB1AB" w14:textId="77777777" w:rsidR="001F1A33" w:rsidRPr="002C4F52" w:rsidRDefault="001F1A33" w:rsidP="00A5632C">
            <w:pPr>
              <w:autoSpaceDE w:val="0"/>
              <w:autoSpaceDN w:val="0"/>
              <w:adjustRightInd w:val="0"/>
              <w:jc w:val="center"/>
              <w:rPr>
                <w:kern w:val="0"/>
                <w:sz w:val="21"/>
                <w:szCs w:val="21"/>
              </w:rPr>
            </w:pPr>
            <w:r w:rsidRPr="002C4F52">
              <w:rPr>
                <w:kern w:val="0"/>
                <w:sz w:val="21"/>
                <w:szCs w:val="21"/>
              </w:rPr>
              <w:t>1</w:t>
            </w:r>
          </w:p>
        </w:tc>
        <w:tc>
          <w:tcPr>
            <w:tcW w:w="1277" w:type="dxa"/>
            <w:tcBorders>
              <w:top w:val="nil"/>
              <w:left w:val="nil"/>
              <w:bottom w:val="nil"/>
              <w:right w:val="nil"/>
            </w:tcBorders>
          </w:tcPr>
          <w:p w14:paraId="3B9EBFC5" w14:textId="77777777" w:rsidR="001F1A33" w:rsidRPr="002C4F52" w:rsidRDefault="001F1A33" w:rsidP="00A5632C">
            <w:pPr>
              <w:autoSpaceDE w:val="0"/>
              <w:autoSpaceDN w:val="0"/>
              <w:adjustRightInd w:val="0"/>
              <w:jc w:val="center"/>
              <w:rPr>
                <w:kern w:val="0"/>
                <w:sz w:val="21"/>
                <w:szCs w:val="21"/>
              </w:rPr>
            </w:pPr>
          </w:p>
        </w:tc>
        <w:tc>
          <w:tcPr>
            <w:tcW w:w="1277" w:type="dxa"/>
            <w:tcBorders>
              <w:top w:val="nil"/>
              <w:left w:val="nil"/>
              <w:bottom w:val="nil"/>
              <w:right w:val="nil"/>
            </w:tcBorders>
          </w:tcPr>
          <w:p w14:paraId="542FA974" w14:textId="77777777" w:rsidR="001F1A33" w:rsidRPr="002C4F52" w:rsidRDefault="001F1A33" w:rsidP="00A5632C">
            <w:pPr>
              <w:autoSpaceDE w:val="0"/>
              <w:autoSpaceDN w:val="0"/>
              <w:adjustRightInd w:val="0"/>
              <w:jc w:val="center"/>
              <w:rPr>
                <w:kern w:val="0"/>
                <w:sz w:val="21"/>
                <w:szCs w:val="21"/>
              </w:rPr>
            </w:pPr>
          </w:p>
        </w:tc>
        <w:tc>
          <w:tcPr>
            <w:tcW w:w="993" w:type="dxa"/>
            <w:tcBorders>
              <w:top w:val="nil"/>
              <w:left w:val="nil"/>
              <w:bottom w:val="nil"/>
              <w:right w:val="nil"/>
            </w:tcBorders>
          </w:tcPr>
          <w:p w14:paraId="4384AC85" w14:textId="77777777" w:rsidR="001F1A33" w:rsidRPr="002C4F52" w:rsidRDefault="001F1A33" w:rsidP="00A5632C">
            <w:pPr>
              <w:autoSpaceDE w:val="0"/>
              <w:autoSpaceDN w:val="0"/>
              <w:adjustRightInd w:val="0"/>
              <w:jc w:val="center"/>
              <w:rPr>
                <w:kern w:val="0"/>
                <w:sz w:val="21"/>
                <w:szCs w:val="21"/>
              </w:rPr>
            </w:pPr>
          </w:p>
        </w:tc>
        <w:tc>
          <w:tcPr>
            <w:tcW w:w="993" w:type="dxa"/>
            <w:tcBorders>
              <w:top w:val="nil"/>
              <w:left w:val="nil"/>
              <w:bottom w:val="nil"/>
              <w:right w:val="nil"/>
            </w:tcBorders>
          </w:tcPr>
          <w:p w14:paraId="01E0EA32" w14:textId="77777777" w:rsidR="001F1A33" w:rsidRPr="002C4F52" w:rsidRDefault="001F1A33" w:rsidP="00A5632C">
            <w:pPr>
              <w:autoSpaceDE w:val="0"/>
              <w:autoSpaceDN w:val="0"/>
              <w:adjustRightInd w:val="0"/>
              <w:jc w:val="center"/>
              <w:rPr>
                <w:kern w:val="0"/>
                <w:sz w:val="21"/>
                <w:szCs w:val="21"/>
              </w:rPr>
            </w:pPr>
          </w:p>
        </w:tc>
      </w:tr>
      <w:tr w:rsidR="001F1A33" w:rsidRPr="002C4F52" w14:paraId="7F9EB5E8" w14:textId="2C852568" w:rsidTr="006B1A98">
        <w:trPr>
          <w:trHeight w:val="508"/>
          <w:jc w:val="center"/>
        </w:trPr>
        <w:tc>
          <w:tcPr>
            <w:tcW w:w="925" w:type="dxa"/>
            <w:tcBorders>
              <w:top w:val="nil"/>
              <w:left w:val="nil"/>
              <w:bottom w:val="nil"/>
              <w:right w:val="nil"/>
            </w:tcBorders>
          </w:tcPr>
          <w:p w14:paraId="787B90F7" w14:textId="77777777" w:rsidR="001F1A33" w:rsidRPr="002C4F52" w:rsidRDefault="001F1A33" w:rsidP="00A5632C">
            <w:pPr>
              <w:autoSpaceDE w:val="0"/>
              <w:autoSpaceDN w:val="0"/>
              <w:adjustRightInd w:val="0"/>
              <w:jc w:val="left"/>
              <w:rPr>
                <w:kern w:val="0"/>
                <w:sz w:val="21"/>
                <w:szCs w:val="21"/>
              </w:rPr>
            </w:pPr>
            <w:r w:rsidRPr="002C4F52">
              <w:rPr>
                <w:kern w:val="0"/>
                <w:sz w:val="21"/>
                <w:szCs w:val="21"/>
              </w:rPr>
              <w:t>Size</w:t>
            </w:r>
          </w:p>
        </w:tc>
        <w:tc>
          <w:tcPr>
            <w:tcW w:w="1277" w:type="dxa"/>
            <w:tcBorders>
              <w:top w:val="nil"/>
              <w:left w:val="nil"/>
              <w:bottom w:val="nil"/>
              <w:right w:val="nil"/>
            </w:tcBorders>
          </w:tcPr>
          <w:p w14:paraId="3775488B" w14:textId="77777777" w:rsidR="001F1A33" w:rsidRPr="002C4F52" w:rsidRDefault="001F1A33" w:rsidP="00A5632C">
            <w:pPr>
              <w:autoSpaceDE w:val="0"/>
              <w:autoSpaceDN w:val="0"/>
              <w:adjustRightInd w:val="0"/>
              <w:jc w:val="center"/>
              <w:rPr>
                <w:kern w:val="0"/>
                <w:sz w:val="21"/>
                <w:szCs w:val="21"/>
              </w:rPr>
            </w:pPr>
            <w:r w:rsidRPr="002C4F52">
              <w:rPr>
                <w:kern w:val="0"/>
                <w:sz w:val="21"/>
                <w:szCs w:val="21"/>
              </w:rPr>
              <w:t>0.132**</w:t>
            </w:r>
          </w:p>
        </w:tc>
        <w:tc>
          <w:tcPr>
            <w:tcW w:w="1277" w:type="dxa"/>
            <w:tcBorders>
              <w:top w:val="nil"/>
              <w:left w:val="nil"/>
              <w:bottom w:val="nil"/>
              <w:right w:val="nil"/>
            </w:tcBorders>
          </w:tcPr>
          <w:p w14:paraId="296CDD3B" w14:textId="77777777" w:rsidR="001F1A33" w:rsidRPr="002C4F52" w:rsidRDefault="001F1A33" w:rsidP="00A5632C">
            <w:pPr>
              <w:autoSpaceDE w:val="0"/>
              <w:autoSpaceDN w:val="0"/>
              <w:adjustRightInd w:val="0"/>
              <w:jc w:val="center"/>
              <w:rPr>
                <w:kern w:val="0"/>
                <w:sz w:val="21"/>
                <w:szCs w:val="21"/>
              </w:rPr>
            </w:pPr>
            <w:r w:rsidRPr="002C4F52">
              <w:rPr>
                <w:kern w:val="0"/>
                <w:sz w:val="21"/>
                <w:szCs w:val="21"/>
              </w:rPr>
              <w:t>0.106*</w:t>
            </w:r>
          </w:p>
        </w:tc>
        <w:tc>
          <w:tcPr>
            <w:tcW w:w="1135" w:type="dxa"/>
            <w:tcBorders>
              <w:top w:val="nil"/>
              <w:left w:val="nil"/>
              <w:bottom w:val="nil"/>
              <w:right w:val="nil"/>
            </w:tcBorders>
          </w:tcPr>
          <w:p w14:paraId="506FE704" w14:textId="77777777" w:rsidR="001F1A33" w:rsidRPr="002C4F52" w:rsidRDefault="001F1A33" w:rsidP="00A5632C">
            <w:pPr>
              <w:autoSpaceDE w:val="0"/>
              <w:autoSpaceDN w:val="0"/>
              <w:adjustRightInd w:val="0"/>
              <w:jc w:val="center"/>
              <w:rPr>
                <w:kern w:val="0"/>
                <w:sz w:val="21"/>
                <w:szCs w:val="21"/>
              </w:rPr>
            </w:pPr>
            <w:r w:rsidRPr="002C4F52">
              <w:rPr>
                <w:kern w:val="0"/>
                <w:sz w:val="21"/>
                <w:szCs w:val="21"/>
              </w:rPr>
              <w:t>0.121**</w:t>
            </w:r>
          </w:p>
        </w:tc>
        <w:tc>
          <w:tcPr>
            <w:tcW w:w="1277" w:type="dxa"/>
            <w:tcBorders>
              <w:top w:val="nil"/>
              <w:left w:val="nil"/>
              <w:bottom w:val="nil"/>
              <w:right w:val="nil"/>
            </w:tcBorders>
          </w:tcPr>
          <w:p w14:paraId="6FFE6256" w14:textId="77777777" w:rsidR="001F1A33" w:rsidRPr="002C4F52" w:rsidRDefault="001F1A33" w:rsidP="00A5632C">
            <w:pPr>
              <w:autoSpaceDE w:val="0"/>
              <w:autoSpaceDN w:val="0"/>
              <w:adjustRightInd w:val="0"/>
              <w:jc w:val="center"/>
              <w:rPr>
                <w:kern w:val="0"/>
                <w:sz w:val="21"/>
                <w:szCs w:val="21"/>
              </w:rPr>
            </w:pPr>
            <w:r w:rsidRPr="002C4F52">
              <w:rPr>
                <w:kern w:val="0"/>
                <w:sz w:val="21"/>
                <w:szCs w:val="21"/>
              </w:rPr>
              <w:t>1</w:t>
            </w:r>
          </w:p>
        </w:tc>
        <w:tc>
          <w:tcPr>
            <w:tcW w:w="1277" w:type="dxa"/>
            <w:tcBorders>
              <w:top w:val="nil"/>
              <w:left w:val="nil"/>
              <w:bottom w:val="nil"/>
              <w:right w:val="nil"/>
            </w:tcBorders>
          </w:tcPr>
          <w:p w14:paraId="0D0F6DF0" w14:textId="77777777" w:rsidR="001F1A33" w:rsidRPr="002C4F52" w:rsidRDefault="001F1A33" w:rsidP="00A5632C">
            <w:pPr>
              <w:autoSpaceDE w:val="0"/>
              <w:autoSpaceDN w:val="0"/>
              <w:adjustRightInd w:val="0"/>
              <w:jc w:val="center"/>
              <w:rPr>
                <w:kern w:val="0"/>
                <w:sz w:val="21"/>
                <w:szCs w:val="21"/>
              </w:rPr>
            </w:pPr>
          </w:p>
        </w:tc>
        <w:tc>
          <w:tcPr>
            <w:tcW w:w="993" w:type="dxa"/>
            <w:tcBorders>
              <w:top w:val="nil"/>
              <w:left w:val="nil"/>
              <w:bottom w:val="nil"/>
              <w:right w:val="nil"/>
            </w:tcBorders>
          </w:tcPr>
          <w:p w14:paraId="23F94ADC" w14:textId="77777777" w:rsidR="001F1A33" w:rsidRPr="002C4F52" w:rsidRDefault="001F1A33" w:rsidP="00A5632C">
            <w:pPr>
              <w:autoSpaceDE w:val="0"/>
              <w:autoSpaceDN w:val="0"/>
              <w:adjustRightInd w:val="0"/>
              <w:jc w:val="center"/>
              <w:rPr>
                <w:kern w:val="0"/>
                <w:sz w:val="21"/>
                <w:szCs w:val="21"/>
              </w:rPr>
            </w:pPr>
          </w:p>
        </w:tc>
        <w:tc>
          <w:tcPr>
            <w:tcW w:w="993" w:type="dxa"/>
            <w:tcBorders>
              <w:top w:val="nil"/>
              <w:left w:val="nil"/>
              <w:bottom w:val="nil"/>
              <w:right w:val="nil"/>
            </w:tcBorders>
          </w:tcPr>
          <w:p w14:paraId="0AF8C4D4" w14:textId="77777777" w:rsidR="001F1A33" w:rsidRPr="002C4F52" w:rsidRDefault="001F1A33" w:rsidP="00A5632C">
            <w:pPr>
              <w:autoSpaceDE w:val="0"/>
              <w:autoSpaceDN w:val="0"/>
              <w:adjustRightInd w:val="0"/>
              <w:jc w:val="center"/>
              <w:rPr>
                <w:kern w:val="0"/>
                <w:sz w:val="21"/>
                <w:szCs w:val="21"/>
              </w:rPr>
            </w:pPr>
          </w:p>
        </w:tc>
      </w:tr>
      <w:tr w:rsidR="001F1A33" w:rsidRPr="002C4F52" w14:paraId="6A9043CB" w14:textId="04A3AC6C" w:rsidTr="006B1A98">
        <w:trPr>
          <w:trHeight w:val="492"/>
          <w:jc w:val="center"/>
        </w:trPr>
        <w:tc>
          <w:tcPr>
            <w:tcW w:w="925" w:type="dxa"/>
            <w:tcBorders>
              <w:top w:val="nil"/>
              <w:left w:val="nil"/>
              <w:bottom w:val="nil"/>
              <w:right w:val="nil"/>
            </w:tcBorders>
          </w:tcPr>
          <w:p w14:paraId="06B58869" w14:textId="77777777" w:rsidR="001F1A33" w:rsidRPr="002C4F52" w:rsidRDefault="001F1A33" w:rsidP="00A5632C">
            <w:pPr>
              <w:autoSpaceDE w:val="0"/>
              <w:autoSpaceDN w:val="0"/>
              <w:adjustRightInd w:val="0"/>
              <w:jc w:val="left"/>
              <w:rPr>
                <w:kern w:val="0"/>
                <w:sz w:val="21"/>
                <w:szCs w:val="21"/>
              </w:rPr>
            </w:pPr>
            <w:r w:rsidRPr="002C4F52">
              <w:rPr>
                <w:kern w:val="0"/>
                <w:sz w:val="21"/>
                <w:szCs w:val="21"/>
              </w:rPr>
              <w:t>Sales</w:t>
            </w:r>
          </w:p>
        </w:tc>
        <w:tc>
          <w:tcPr>
            <w:tcW w:w="1277" w:type="dxa"/>
            <w:tcBorders>
              <w:top w:val="nil"/>
              <w:left w:val="nil"/>
              <w:bottom w:val="nil"/>
              <w:right w:val="nil"/>
            </w:tcBorders>
          </w:tcPr>
          <w:p w14:paraId="7D3ED2D2" w14:textId="77777777" w:rsidR="001F1A33" w:rsidRPr="002C4F52" w:rsidRDefault="001F1A33" w:rsidP="00A5632C">
            <w:pPr>
              <w:autoSpaceDE w:val="0"/>
              <w:autoSpaceDN w:val="0"/>
              <w:adjustRightInd w:val="0"/>
              <w:jc w:val="center"/>
              <w:rPr>
                <w:kern w:val="0"/>
                <w:sz w:val="21"/>
                <w:szCs w:val="21"/>
              </w:rPr>
            </w:pPr>
            <w:r w:rsidRPr="002C4F52">
              <w:rPr>
                <w:kern w:val="0"/>
                <w:sz w:val="21"/>
                <w:szCs w:val="21"/>
              </w:rPr>
              <w:t>0.257***</w:t>
            </w:r>
          </w:p>
        </w:tc>
        <w:tc>
          <w:tcPr>
            <w:tcW w:w="1277" w:type="dxa"/>
            <w:tcBorders>
              <w:top w:val="nil"/>
              <w:left w:val="nil"/>
              <w:bottom w:val="nil"/>
              <w:right w:val="nil"/>
            </w:tcBorders>
          </w:tcPr>
          <w:p w14:paraId="6E2AC8B5" w14:textId="77777777" w:rsidR="001F1A33" w:rsidRPr="002C4F52" w:rsidRDefault="001F1A33" w:rsidP="00A5632C">
            <w:pPr>
              <w:autoSpaceDE w:val="0"/>
              <w:autoSpaceDN w:val="0"/>
              <w:adjustRightInd w:val="0"/>
              <w:jc w:val="center"/>
              <w:rPr>
                <w:kern w:val="0"/>
                <w:sz w:val="21"/>
                <w:szCs w:val="21"/>
              </w:rPr>
            </w:pPr>
            <w:r w:rsidRPr="002C4F52">
              <w:rPr>
                <w:kern w:val="0"/>
                <w:sz w:val="21"/>
                <w:szCs w:val="21"/>
              </w:rPr>
              <w:t>0.0630</w:t>
            </w:r>
          </w:p>
        </w:tc>
        <w:tc>
          <w:tcPr>
            <w:tcW w:w="1135" w:type="dxa"/>
            <w:tcBorders>
              <w:top w:val="nil"/>
              <w:left w:val="nil"/>
              <w:bottom w:val="nil"/>
              <w:right w:val="nil"/>
            </w:tcBorders>
          </w:tcPr>
          <w:p w14:paraId="7A62C2DC" w14:textId="77777777" w:rsidR="001F1A33" w:rsidRPr="002C4F52" w:rsidRDefault="001F1A33" w:rsidP="00A5632C">
            <w:pPr>
              <w:autoSpaceDE w:val="0"/>
              <w:autoSpaceDN w:val="0"/>
              <w:adjustRightInd w:val="0"/>
              <w:jc w:val="center"/>
              <w:rPr>
                <w:kern w:val="0"/>
                <w:sz w:val="21"/>
                <w:szCs w:val="21"/>
              </w:rPr>
            </w:pPr>
            <w:r w:rsidRPr="002C4F52">
              <w:rPr>
                <w:kern w:val="0"/>
                <w:sz w:val="21"/>
                <w:szCs w:val="21"/>
              </w:rPr>
              <w:t>0.0690</w:t>
            </w:r>
          </w:p>
        </w:tc>
        <w:tc>
          <w:tcPr>
            <w:tcW w:w="1277" w:type="dxa"/>
            <w:tcBorders>
              <w:top w:val="nil"/>
              <w:left w:val="nil"/>
              <w:bottom w:val="nil"/>
              <w:right w:val="nil"/>
            </w:tcBorders>
          </w:tcPr>
          <w:p w14:paraId="39DA5C8C" w14:textId="77777777" w:rsidR="001F1A33" w:rsidRPr="002C4F52" w:rsidRDefault="001F1A33" w:rsidP="00A5632C">
            <w:pPr>
              <w:autoSpaceDE w:val="0"/>
              <w:autoSpaceDN w:val="0"/>
              <w:adjustRightInd w:val="0"/>
              <w:jc w:val="center"/>
              <w:rPr>
                <w:kern w:val="0"/>
                <w:sz w:val="21"/>
                <w:szCs w:val="21"/>
              </w:rPr>
            </w:pPr>
            <w:r w:rsidRPr="002C4F52">
              <w:rPr>
                <w:kern w:val="0"/>
                <w:sz w:val="21"/>
                <w:szCs w:val="21"/>
              </w:rPr>
              <w:t>0.770***</w:t>
            </w:r>
          </w:p>
        </w:tc>
        <w:tc>
          <w:tcPr>
            <w:tcW w:w="1277" w:type="dxa"/>
            <w:tcBorders>
              <w:top w:val="nil"/>
              <w:left w:val="nil"/>
              <w:bottom w:val="nil"/>
              <w:right w:val="nil"/>
            </w:tcBorders>
          </w:tcPr>
          <w:p w14:paraId="091D2C9F" w14:textId="77777777" w:rsidR="001F1A33" w:rsidRPr="002C4F52" w:rsidRDefault="001F1A33" w:rsidP="00A5632C">
            <w:pPr>
              <w:autoSpaceDE w:val="0"/>
              <w:autoSpaceDN w:val="0"/>
              <w:adjustRightInd w:val="0"/>
              <w:jc w:val="center"/>
              <w:rPr>
                <w:kern w:val="0"/>
                <w:sz w:val="21"/>
                <w:szCs w:val="21"/>
              </w:rPr>
            </w:pPr>
            <w:r w:rsidRPr="002C4F52">
              <w:rPr>
                <w:kern w:val="0"/>
                <w:sz w:val="21"/>
                <w:szCs w:val="21"/>
              </w:rPr>
              <w:t>1</w:t>
            </w:r>
          </w:p>
        </w:tc>
        <w:tc>
          <w:tcPr>
            <w:tcW w:w="993" w:type="dxa"/>
            <w:tcBorders>
              <w:top w:val="nil"/>
              <w:left w:val="nil"/>
              <w:bottom w:val="nil"/>
              <w:right w:val="nil"/>
            </w:tcBorders>
          </w:tcPr>
          <w:p w14:paraId="3F45875C" w14:textId="77777777" w:rsidR="001F1A33" w:rsidRPr="002C4F52" w:rsidRDefault="001F1A33" w:rsidP="00A5632C">
            <w:pPr>
              <w:autoSpaceDE w:val="0"/>
              <w:autoSpaceDN w:val="0"/>
              <w:adjustRightInd w:val="0"/>
              <w:jc w:val="center"/>
              <w:rPr>
                <w:kern w:val="0"/>
                <w:sz w:val="21"/>
                <w:szCs w:val="21"/>
              </w:rPr>
            </w:pPr>
          </w:p>
        </w:tc>
        <w:tc>
          <w:tcPr>
            <w:tcW w:w="993" w:type="dxa"/>
            <w:tcBorders>
              <w:top w:val="nil"/>
              <w:left w:val="nil"/>
              <w:bottom w:val="nil"/>
              <w:right w:val="nil"/>
            </w:tcBorders>
          </w:tcPr>
          <w:p w14:paraId="161A4F94" w14:textId="77777777" w:rsidR="001F1A33" w:rsidRPr="002C4F52" w:rsidRDefault="001F1A33" w:rsidP="00A5632C">
            <w:pPr>
              <w:autoSpaceDE w:val="0"/>
              <w:autoSpaceDN w:val="0"/>
              <w:adjustRightInd w:val="0"/>
              <w:jc w:val="center"/>
              <w:rPr>
                <w:kern w:val="0"/>
                <w:sz w:val="21"/>
                <w:szCs w:val="21"/>
              </w:rPr>
            </w:pPr>
          </w:p>
        </w:tc>
      </w:tr>
      <w:tr w:rsidR="001F1A33" w:rsidRPr="002C4F52" w14:paraId="3612EED6" w14:textId="0A6B97EB" w:rsidTr="006A7B6E">
        <w:trPr>
          <w:trHeight w:val="508"/>
          <w:jc w:val="center"/>
        </w:trPr>
        <w:tc>
          <w:tcPr>
            <w:tcW w:w="925" w:type="dxa"/>
            <w:tcBorders>
              <w:top w:val="nil"/>
              <w:left w:val="nil"/>
              <w:right w:val="nil"/>
            </w:tcBorders>
          </w:tcPr>
          <w:p w14:paraId="3B85A055" w14:textId="77777777" w:rsidR="001F1A33" w:rsidRPr="002C4F52" w:rsidRDefault="001F1A33" w:rsidP="00A5632C">
            <w:pPr>
              <w:autoSpaceDE w:val="0"/>
              <w:autoSpaceDN w:val="0"/>
              <w:adjustRightInd w:val="0"/>
              <w:jc w:val="left"/>
              <w:rPr>
                <w:kern w:val="0"/>
                <w:sz w:val="21"/>
                <w:szCs w:val="21"/>
              </w:rPr>
            </w:pPr>
            <w:r w:rsidRPr="002C4F52">
              <w:rPr>
                <w:kern w:val="0"/>
                <w:sz w:val="21"/>
                <w:szCs w:val="21"/>
              </w:rPr>
              <w:t>RD</w:t>
            </w:r>
          </w:p>
        </w:tc>
        <w:tc>
          <w:tcPr>
            <w:tcW w:w="1277" w:type="dxa"/>
            <w:tcBorders>
              <w:top w:val="nil"/>
              <w:left w:val="nil"/>
              <w:right w:val="nil"/>
            </w:tcBorders>
          </w:tcPr>
          <w:p w14:paraId="1064B1B3" w14:textId="77777777" w:rsidR="001F1A33" w:rsidRPr="002C4F52" w:rsidRDefault="001F1A33" w:rsidP="00A5632C">
            <w:pPr>
              <w:autoSpaceDE w:val="0"/>
              <w:autoSpaceDN w:val="0"/>
              <w:adjustRightInd w:val="0"/>
              <w:jc w:val="center"/>
              <w:rPr>
                <w:kern w:val="0"/>
                <w:sz w:val="21"/>
                <w:szCs w:val="21"/>
              </w:rPr>
            </w:pPr>
            <w:r w:rsidRPr="002C4F52">
              <w:rPr>
                <w:kern w:val="0"/>
                <w:sz w:val="21"/>
                <w:szCs w:val="21"/>
              </w:rPr>
              <w:t>0.260***</w:t>
            </w:r>
          </w:p>
        </w:tc>
        <w:tc>
          <w:tcPr>
            <w:tcW w:w="1277" w:type="dxa"/>
            <w:tcBorders>
              <w:top w:val="nil"/>
              <w:left w:val="nil"/>
              <w:right w:val="nil"/>
            </w:tcBorders>
          </w:tcPr>
          <w:p w14:paraId="0201EB2F" w14:textId="77777777" w:rsidR="001F1A33" w:rsidRPr="002C4F52" w:rsidRDefault="001F1A33" w:rsidP="00A5632C">
            <w:pPr>
              <w:autoSpaceDE w:val="0"/>
              <w:autoSpaceDN w:val="0"/>
              <w:adjustRightInd w:val="0"/>
              <w:jc w:val="center"/>
              <w:rPr>
                <w:kern w:val="0"/>
                <w:sz w:val="21"/>
                <w:szCs w:val="21"/>
              </w:rPr>
            </w:pPr>
            <w:r w:rsidRPr="002C4F52">
              <w:rPr>
                <w:kern w:val="0"/>
                <w:sz w:val="21"/>
                <w:szCs w:val="21"/>
              </w:rPr>
              <w:t>0.0780</w:t>
            </w:r>
          </w:p>
        </w:tc>
        <w:tc>
          <w:tcPr>
            <w:tcW w:w="1135" w:type="dxa"/>
            <w:tcBorders>
              <w:top w:val="nil"/>
              <w:left w:val="nil"/>
              <w:right w:val="nil"/>
            </w:tcBorders>
          </w:tcPr>
          <w:p w14:paraId="1EA824AC" w14:textId="77777777" w:rsidR="001F1A33" w:rsidRPr="002C4F52" w:rsidRDefault="001F1A33" w:rsidP="00A5632C">
            <w:pPr>
              <w:autoSpaceDE w:val="0"/>
              <w:autoSpaceDN w:val="0"/>
              <w:adjustRightInd w:val="0"/>
              <w:jc w:val="center"/>
              <w:rPr>
                <w:kern w:val="0"/>
                <w:sz w:val="21"/>
                <w:szCs w:val="21"/>
              </w:rPr>
            </w:pPr>
            <w:r w:rsidRPr="002C4F52">
              <w:rPr>
                <w:kern w:val="0"/>
                <w:sz w:val="21"/>
                <w:szCs w:val="21"/>
              </w:rPr>
              <w:t>0.0730</w:t>
            </w:r>
          </w:p>
        </w:tc>
        <w:tc>
          <w:tcPr>
            <w:tcW w:w="1277" w:type="dxa"/>
            <w:tcBorders>
              <w:top w:val="nil"/>
              <w:left w:val="nil"/>
              <w:right w:val="nil"/>
            </w:tcBorders>
          </w:tcPr>
          <w:p w14:paraId="33938F9D" w14:textId="77777777" w:rsidR="001F1A33" w:rsidRPr="002C4F52" w:rsidRDefault="001F1A33" w:rsidP="00A5632C">
            <w:pPr>
              <w:autoSpaceDE w:val="0"/>
              <w:autoSpaceDN w:val="0"/>
              <w:adjustRightInd w:val="0"/>
              <w:jc w:val="center"/>
              <w:rPr>
                <w:kern w:val="0"/>
                <w:sz w:val="21"/>
                <w:szCs w:val="21"/>
              </w:rPr>
            </w:pPr>
            <w:r w:rsidRPr="002C4F52">
              <w:rPr>
                <w:kern w:val="0"/>
                <w:sz w:val="21"/>
                <w:szCs w:val="21"/>
              </w:rPr>
              <w:t>0.115**</w:t>
            </w:r>
          </w:p>
        </w:tc>
        <w:tc>
          <w:tcPr>
            <w:tcW w:w="1277" w:type="dxa"/>
            <w:tcBorders>
              <w:top w:val="nil"/>
              <w:left w:val="nil"/>
              <w:right w:val="nil"/>
            </w:tcBorders>
          </w:tcPr>
          <w:p w14:paraId="3EF93C32" w14:textId="77777777" w:rsidR="001F1A33" w:rsidRPr="002C4F52" w:rsidRDefault="001F1A33" w:rsidP="00A5632C">
            <w:pPr>
              <w:autoSpaceDE w:val="0"/>
              <w:autoSpaceDN w:val="0"/>
              <w:adjustRightInd w:val="0"/>
              <w:jc w:val="center"/>
              <w:rPr>
                <w:kern w:val="0"/>
                <w:sz w:val="21"/>
                <w:szCs w:val="21"/>
              </w:rPr>
            </w:pPr>
            <w:r w:rsidRPr="002C4F52">
              <w:rPr>
                <w:kern w:val="0"/>
                <w:sz w:val="21"/>
                <w:szCs w:val="21"/>
              </w:rPr>
              <w:t>0.483***</w:t>
            </w:r>
          </w:p>
        </w:tc>
        <w:tc>
          <w:tcPr>
            <w:tcW w:w="993" w:type="dxa"/>
            <w:tcBorders>
              <w:top w:val="nil"/>
              <w:left w:val="nil"/>
              <w:right w:val="nil"/>
            </w:tcBorders>
          </w:tcPr>
          <w:p w14:paraId="7A8732E9" w14:textId="77777777" w:rsidR="001F1A33" w:rsidRPr="002C4F52" w:rsidRDefault="001F1A33" w:rsidP="00A5632C">
            <w:pPr>
              <w:autoSpaceDE w:val="0"/>
              <w:autoSpaceDN w:val="0"/>
              <w:adjustRightInd w:val="0"/>
              <w:jc w:val="center"/>
              <w:rPr>
                <w:kern w:val="0"/>
                <w:sz w:val="21"/>
                <w:szCs w:val="21"/>
              </w:rPr>
            </w:pPr>
            <w:r w:rsidRPr="002C4F52">
              <w:rPr>
                <w:kern w:val="0"/>
                <w:sz w:val="21"/>
                <w:szCs w:val="21"/>
              </w:rPr>
              <w:t>1</w:t>
            </w:r>
          </w:p>
        </w:tc>
        <w:tc>
          <w:tcPr>
            <w:tcW w:w="993" w:type="dxa"/>
            <w:tcBorders>
              <w:top w:val="nil"/>
              <w:left w:val="nil"/>
              <w:right w:val="nil"/>
            </w:tcBorders>
          </w:tcPr>
          <w:p w14:paraId="5CAFB9DB" w14:textId="77777777" w:rsidR="001F1A33" w:rsidRPr="002C4F52" w:rsidRDefault="001F1A33" w:rsidP="00A5632C">
            <w:pPr>
              <w:autoSpaceDE w:val="0"/>
              <w:autoSpaceDN w:val="0"/>
              <w:adjustRightInd w:val="0"/>
              <w:jc w:val="center"/>
              <w:rPr>
                <w:kern w:val="0"/>
                <w:sz w:val="21"/>
                <w:szCs w:val="21"/>
              </w:rPr>
            </w:pPr>
          </w:p>
        </w:tc>
      </w:tr>
      <w:tr w:rsidR="001F1A33" w:rsidRPr="002C4F52" w14:paraId="0767AE36" w14:textId="5C79FC32" w:rsidTr="006B1A98">
        <w:tblPrEx>
          <w:tblBorders>
            <w:bottom w:val="single" w:sz="6" w:space="0" w:color="auto"/>
          </w:tblBorders>
        </w:tblPrEx>
        <w:trPr>
          <w:trHeight w:val="492"/>
          <w:jc w:val="center"/>
        </w:trPr>
        <w:tc>
          <w:tcPr>
            <w:tcW w:w="925" w:type="dxa"/>
            <w:tcBorders>
              <w:top w:val="nil"/>
              <w:left w:val="nil"/>
              <w:bottom w:val="single" w:sz="12" w:space="0" w:color="auto"/>
              <w:right w:val="nil"/>
            </w:tcBorders>
          </w:tcPr>
          <w:p w14:paraId="0F615885" w14:textId="77777777" w:rsidR="001F1A33" w:rsidRPr="002C4F52" w:rsidRDefault="001F1A33" w:rsidP="00A5632C">
            <w:pPr>
              <w:autoSpaceDE w:val="0"/>
              <w:autoSpaceDN w:val="0"/>
              <w:adjustRightInd w:val="0"/>
              <w:jc w:val="left"/>
              <w:rPr>
                <w:kern w:val="0"/>
                <w:sz w:val="21"/>
                <w:szCs w:val="21"/>
              </w:rPr>
            </w:pPr>
            <w:r w:rsidRPr="002C4F52">
              <w:rPr>
                <w:kern w:val="0"/>
                <w:sz w:val="21"/>
                <w:szCs w:val="21"/>
              </w:rPr>
              <w:t>DTA</w:t>
            </w:r>
          </w:p>
        </w:tc>
        <w:tc>
          <w:tcPr>
            <w:tcW w:w="1277" w:type="dxa"/>
            <w:tcBorders>
              <w:top w:val="nil"/>
              <w:left w:val="nil"/>
              <w:bottom w:val="single" w:sz="12" w:space="0" w:color="auto"/>
              <w:right w:val="nil"/>
            </w:tcBorders>
          </w:tcPr>
          <w:p w14:paraId="248D9274" w14:textId="77777777" w:rsidR="001F1A33" w:rsidRPr="002C4F52" w:rsidRDefault="001F1A33" w:rsidP="00A5632C">
            <w:pPr>
              <w:autoSpaceDE w:val="0"/>
              <w:autoSpaceDN w:val="0"/>
              <w:adjustRightInd w:val="0"/>
              <w:jc w:val="center"/>
              <w:rPr>
                <w:kern w:val="0"/>
                <w:sz w:val="21"/>
                <w:szCs w:val="21"/>
              </w:rPr>
            </w:pPr>
            <w:r w:rsidRPr="002C4F52">
              <w:rPr>
                <w:kern w:val="0"/>
                <w:sz w:val="21"/>
                <w:szCs w:val="21"/>
              </w:rPr>
              <w:t>0.237***</w:t>
            </w:r>
          </w:p>
        </w:tc>
        <w:tc>
          <w:tcPr>
            <w:tcW w:w="1277" w:type="dxa"/>
            <w:tcBorders>
              <w:top w:val="nil"/>
              <w:left w:val="nil"/>
              <w:bottom w:val="single" w:sz="12" w:space="0" w:color="auto"/>
              <w:right w:val="nil"/>
            </w:tcBorders>
          </w:tcPr>
          <w:p w14:paraId="66381F17" w14:textId="77777777" w:rsidR="001F1A33" w:rsidRPr="002C4F52" w:rsidRDefault="001F1A33" w:rsidP="00A5632C">
            <w:pPr>
              <w:autoSpaceDE w:val="0"/>
              <w:autoSpaceDN w:val="0"/>
              <w:adjustRightInd w:val="0"/>
              <w:jc w:val="center"/>
              <w:rPr>
                <w:kern w:val="0"/>
                <w:sz w:val="21"/>
                <w:szCs w:val="21"/>
              </w:rPr>
            </w:pPr>
            <w:r w:rsidRPr="002C4F52">
              <w:rPr>
                <w:kern w:val="0"/>
                <w:sz w:val="21"/>
                <w:szCs w:val="21"/>
              </w:rPr>
              <w:t>-0.0360</w:t>
            </w:r>
          </w:p>
        </w:tc>
        <w:tc>
          <w:tcPr>
            <w:tcW w:w="1135" w:type="dxa"/>
            <w:tcBorders>
              <w:top w:val="nil"/>
              <w:left w:val="nil"/>
              <w:bottom w:val="single" w:sz="12" w:space="0" w:color="auto"/>
              <w:right w:val="nil"/>
            </w:tcBorders>
          </w:tcPr>
          <w:p w14:paraId="120DA2FB" w14:textId="77777777" w:rsidR="001F1A33" w:rsidRPr="002C4F52" w:rsidRDefault="001F1A33" w:rsidP="00A5632C">
            <w:pPr>
              <w:autoSpaceDE w:val="0"/>
              <w:autoSpaceDN w:val="0"/>
              <w:adjustRightInd w:val="0"/>
              <w:jc w:val="center"/>
              <w:rPr>
                <w:kern w:val="0"/>
                <w:sz w:val="21"/>
                <w:szCs w:val="21"/>
              </w:rPr>
            </w:pPr>
            <w:r w:rsidRPr="002C4F52">
              <w:rPr>
                <w:kern w:val="0"/>
                <w:sz w:val="21"/>
                <w:szCs w:val="21"/>
              </w:rPr>
              <w:t>-0.0440</w:t>
            </w:r>
          </w:p>
        </w:tc>
        <w:tc>
          <w:tcPr>
            <w:tcW w:w="1277" w:type="dxa"/>
            <w:tcBorders>
              <w:top w:val="nil"/>
              <w:left w:val="nil"/>
              <w:bottom w:val="single" w:sz="12" w:space="0" w:color="auto"/>
              <w:right w:val="nil"/>
            </w:tcBorders>
          </w:tcPr>
          <w:p w14:paraId="303220B2" w14:textId="77777777" w:rsidR="001F1A33" w:rsidRPr="002C4F52" w:rsidRDefault="001F1A33" w:rsidP="00A5632C">
            <w:pPr>
              <w:autoSpaceDE w:val="0"/>
              <w:autoSpaceDN w:val="0"/>
              <w:adjustRightInd w:val="0"/>
              <w:jc w:val="center"/>
              <w:rPr>
                <w:kern w:val="0"/>
                <w:sz w:val="21"/>
                <w:szCs w:val="21"/>
              </w:rPr>
            </w:pPr>
            <w:r w:rsidRPr="002C4F52">
              <w:rPr>
                <w:kern w:val="0"/>
                <w:sz w:val="21"/>
                <w:szCs w:val="21"/>
              </w:rPr>
              <w:t>0.350***</w:t>
            </w:r>
          </w:p>
        </w:tc>
        <w:tc>
          <w:tcPr>
            <w:tcW w:w="1277" w:type="dxa"/>
            <w:tcBorders>
              <w:top w:val="nil"/>
              <w:left w:val="nil"/>
              <w:bottom w:val="single" w:sz="12" w:space="0" w:color="auto"/>
              <w:right w:val="nil"/>
            </w:tcBorders>
          </w:tcPr>
          <w:p w14:paraId="0E1D1845" w14:textId="77777777" w:rsidR="001F1A33" w:rsidRPr="002C4F52" w:rsidRDefault="001F1A33" w:rsidP="00A5632C">
            <w:pPr>
              <w:autoSpaceDE w:val="0"/>
              <w:autoSpaceDN w:val="0"/>
              <w:adjustRightInd w:val="0"/>
              <w:jc w:val="center"/>
              <w:rPr>
                <w:kern w:val="0"/>
                <w:sz w:val="21"/>
                <w:szCs w:val="21"/>
              </w:rPr>
            </w:pPr>
            <w:r w:rsidRPr="002C4F52">
              <w:rPr>
                <w:kern w:val="0"/>
                <w:sz w:val="21"/>
                <w:szCs w:val="21"/>
              </w:rPr>
              <w:t>0.413***</w:t>
            </w:r>
          </w:p>
        </w:tc>
        <w:tc>
          <w:tcPr>
            <w:tcW w:w="993" w:type="dxa"/>
            <w:tcBorders>
              <w:top w:val="nil"/>
              <w:left w:val="nil"/>
              <w:bottom w:val="single" w:sz="12" w:space="0" w:color="auto"/>
              <w:right w:val="nil"/>
            </w:tcBorders>
          </w:tcPr>
          <w:p w14:paraId="0D38CD1C" w14:textId="77777777" w:rsidR="001F1A33" w:rsidRPr="002C4F52" w:rsidRDefault="001F1A33" w:rsidP="00A5632C">
            <w:pPr>
              <w:autoSpaceDE w:val="0"/>
              <w:autoSpaceDN w:val="0"/>
              <w:adjustRightInd w:val="0"/>
              <w:jc w:val="center"/>
              <w:rPr>
                <w:kern w:val="0"/>
                <w:sz w:val="21"/>
                <w:szCs w:val="21"/>
              </w:rPr>
            </w:pPr>
            <w:r w:rsidRPr="002C4F52">
              <w:rPr>
                <w:kern w:val="0"/>
                <w:sz w:val="21"/>
                <w:szCs w:val="21"/>
              </w:rPr>
              <w:t xml:space="preserve">0.0690    </w:t>
            </w:r>
          </w:p>
        </w:tc>
        <w:tc>
          <w:tcPr>
            <w:tcW w:w="993" w:type="dxa"/>
            <w:tcBorders>
              <w:top w:val="nil"/>
              <w:left w:val="nil"/>
              <w:bottom w:val="single" w:sz="12" w:space="0" w:color="auto"/>
              <w:right w:val="nil"/>
            </w:tcBorders>
          </w:tcPr>
          <w:p w14:paraId="4ECCEABF" w14:textId="514BAABA" w:rsidR="001F1A33" w:rsidRPr="002C4F52" w:rsidRDefault="001F1A33" w:rsidP="00A5632C">
            <w:pPr>
              <w:autoSpaceDE w:val="0"/>
              <w:autoSpaceDN w:val="0"/>
              <w:adjustRightInd w:val="0"/>
              <w:jc w:val="center"/>
              <w:rPr>
                <w:kern w:val="0"/>
                <w:sz w:val="21"/>
                <w:szCs w:val="21"/>
              </w:rPr>
            </w:pPr>
            <w:r w:rsidRPr="002C4F52">
              <w:rPr>
                <w:rFonts w:hint="eastAsia"/>
                <w:kern w:val="0"/>
                <w:sz w:val="21"/>
                <w:szCs w:val="21"/>
              </w:rPr>
              <w:t>1</w:t>
            </w:r>
          </w:p>
        </w:tc>
      </w:tr>
    </w:tbl>
    <w:p w14:paraId="0CC9B8E4" w14:textId="3F5BB432" w:rsidR="005870BF" w:rsidRPr="002C4F52" w:rsidRDefault="0094093E" w:rsidP="0094093E">
      <w:pPr>
        <w:autoSpaceDE w:val="0"/>
        <w:autoSpaceDN w:val="0"/>
        <w:adjustRightInd w:val="0"/>
        <w:jc w:val="left"/>
        <w:rPr>
          <w:rFonts w:eastAsia="等线"/>
          <w:kern w:val="0"/>
          <w:sz w:val="21"/>
          <w:szCs w:val="21"/>
        </w:rPr>
      </w:pPr>
      <w:r w:rsidRPr="002C4F52">
        <w:rPr>
          <w:rFonts w:eastAsia="等线" w:hint="eastAsia"/>
          <w:kern w:val="0"/>
          <w:sz w:val="21"/>
          <w:szCs w:val="21"/>
        </w:rPr>
        <w:t>注：</w:t>
      </w:r>
      <w:r w:rsidRPr="002C4F52">
        <w:rPr>
          <w:rFonts w:eastAsia="等线"/>
          <w:kern w:val="0"/>
          <w:sz w:val="21"/>
          <w:szCs w:val="21"/>
          <w:vertAlign w:val="superscript"/>
        </w:rPr>
        <w:t>*</w:t>
      </w:r>
      <w:r w:rsidRPr="002C4F52">
        <w:rPr>
          <w:rFonts w:eastAsia="等线"/>
          <w:kern w:val="0"/>
          <w:sz w:val="21"/>
          <w:szCs w:val="21"/>
        </w:rPr>
        <w:t xml:space="preserve"> </w:t>
      </w:r>
      <w:r w:rsidRPr="002C4F52">
        <w:rPr>
          <w:rFonts w:eastAsia="等线"/>
          <w:i/>
          <w:iCs/>
          <w:kern w:val="0"/>
          <w:sz w:val="21"/>
          <w:szCs w:val="21"/>
        </w:rPr>
        <w:t>p</w:t>
      </w:r>
      <w:r w:rsidRPr="002C4F52">
        <w:rPr>
          <w:rFonts w:eastAsia="等线"/>
          <w:kern w:val="0"/>
          <w:sz w:val="21"/>
          <w:szCs w:val="21"/>
        </w:rPr>
        <w:t xml:space="preserve"> &lt; 0.1, </w:t>
      </w:r>
      <w:r w:rsidRPr="002C4F52">
        <w:rPr>
          <w:rFonts w:eastAsia="等线"/>
          <w:kern w:val="0"/>
          <w:sz w:val="21"/>
          <w:szCs w:val="21"/>
          <w:vertAlign w:val="superscript"/>
        </w:rPr>
        <w:t>**</w:t>
      </w:r>
      <w:r w:rsidRPr="002C4F52">
        <w:rPr>
          <w:rFonts w:eastAsia="等线"/>
          <w:kern w:val="0"/>
          <w:sz w:val="21"/>
          <w:szCs w:val="21"/>
        </w:rPr>
        <w:t xml:space="preserve"> </w:t>
      </w:r>
      <w:r w:rsidRPr="002C4F52">
        <w:rPr>
          <w:rFonts w:eastAsia="等线"/>
          <w:i/>
          <w:iCs/>
          <w:kern w:val="0"/>
          <w:sz w:val="21"/>
          <w:szCs w:val="21"/>
        </w:rPr>
        <w:t>p</w:t>
      </w:r>
      <w:r w:rsidRPr="002C4F52">
        <w:rPr>
          <w:rFonts w:eastAsia="等线"/>
          <w:kern w:val="0"/>
          <w:sz w:val="21"/>
          <w:szCs w:val="21"/>
        </w:rPr>
        <w:t xml:space="preserve"> &lt; 0.05, </w:t>
      </w:r>
      <w:r w:rsidRPr="002C4F52">
        <w:rPr>
          <w:rFonts w:eastAsia="等线"/>
          <w:kern w:val="0"/>
          <w:sz w:val="21"/>
          <w:szCs w:val="21"/>
          <w:vertAlign w:val="superscript"/>
        </w:rPr>
        <w:t>***</w:t>
      </w:r>
      <w:r w:rsidRPr="002C4F52">
        <w:rPr>
          <w:rFonts w:eastAsia="等线"/>
          <w:kern w:val="0"/>
          <w:sz w:val="21"/>
          <w:szCs w:val="21"/>
        </w:rPr>
        <w:t xml:space="preserve"> </w:t>
      </w:r>
      <w:r w:rsidRPr="002C4F52">
        <w:rPr>
          <w:rFonts w:eastAsia="等线"/>
          <w:i/>
          <w:iCs/>
          <w:kern w:val="0"/>
          <w:sz w:val="21"/>
          <w:szCs w:val="21"/>
        </w:rPr>
        <w:t>p</w:t>
      </w:r>
      <w:r w:rsidRPr="002C4F52">
        <w:rPr>
          <w:rFonts w:eastAsia="等线"/>
          <w:kern w:val="0"/>
          <w:sz w:val="21"/>
          <w:szCs w:val="21"/>
        </w:rPr>
        <w:t xml:space="preserve"> &lt; 0.01</w:t>
      </w:r>
    </w:p>
    <w:p w14:paraId="732D6DEE" w14:textId="77777777" w:rsidR="005870BF" w:rsidRDefault="00B07956" w:rsidP="005870BF">
      <w:pPr>
        <w:ind w:firstLineChars="200" w:firstLine="480"/>
      </w:pPr>
      <w:r w:rsidRPr="007E5BA9">
        <w:rPr>
          <w:rFonts w:hint="eastAsia"/>
        </w:rPr>
        <w:t>由表可知</w:t>
      </w:r>
      <w:r w:rsidR="005870BF">
        <w:rPr>
          <w:rFonts w:hint="eastAsia"/>
        </w:rPr>
        <w:t>，</w:t>
      </w:r>
      <w:r>
        <w:rPr>
          <w:rFonts w:hint="eastAsia"/>
        </w:rPr>
        <w:t>Vega</w:t>
      </w:r>
      <w:r w:rsidRPr="007E5BA9">
        <w:rPr>
          <w:rFonts w:hint="eastAsia"/>
        </w:rPr>
        <w:t>系数分别为</w:t>
      </w:r>
      <w:r>
        <w:t>0.104</w:t>
      </w:r>
      <w:r w:rsidRPr="007E5BA9">
        <w:rPr>
          <w:rFonts w:hint="eastAsia"/>
        </w:rPr>
        <w:t>且</w:t>
      </w:r>
      <w:r w:rsidRPr="007E5BA9">
        <w:rPr>
          <w:rFonts w:hint="eastAsia"/>
        </w:rPr>
        <w:t>P</w:t>
      </w:r>
      <w:r w:rsidRPr="007E5BA9">
        <w:rPr>
          <w:rFonts w:hint="eastAsia"/>
        </w:rPr>
        <w:t>值小于临界值</w:t>
      </w:r>
      <w:r w:rsidRPr="007E5BA9">
        <w:rPr>
          <w:rFonts w:hint="eastAsia"/>
        </w:rPr>
        <w:t>0.</w:t>
      </w:r>
      <w:r>
        <w:t>1</w:t>
      </w:r>
      <w:r w:rsidRPr="007E5BA9">
        <w:rPr>
          <w:rFonts w:hint="eastAsia"/>
        </w:rPr>
        <w:t>，说明这</w:t>
      </w:r>
      <w:r>
        <w:rPr>
          <w:rFonts w:hint="eastAsia"/>
        </w:rPr>
        <w:t>这个</w:t>
      </w:r>
      <w:r w:rsidRPr="007E5BA9">
        <w:rPr>
          <w:rFonts w:hint="eastAsia"/>
        </w:rPr>
        <w:t>变量对于研究当期</w:t>
      </w:r>
      <w:r>
        <w:rPr>
          <w:rFonts w:hint="eastAsia"/>
        </w:rPr>
        <w:t>与</w:t>
      </w:r>
      <w:r w:rsidRPr="007E5BA9">
        <w:rPr>
          <w:rFonts w:hint="eastAsia"/>
        </w:rPr>
        <w:t>ESG</w:t>
      </w:r>
      <w:r>
        <w:rPr>
          <w:rFonts w:hint="eastAsia"/>
        </w:rPr>
        <w:t>的关系</w:t>
      </w:r>
      <w:r w:rsidRPr="007E5BA9">
        <w:rPr>
          <w:rFonts w:hint="eastAsia"/>
        </w:rPr>
        <w:t>是有意义的</w:t>
      </w:r>
      <w:r>
        <w:rPr>
          <w:rFonts w:hint="eastAsia"/>
        </w:rPr>
        <w:t>，而</w:t>
      </w:r>
      <w:r>
        <w:rPr>
          <w:rFonts w:hint="eastAsia"/>
        </w:rPr>
        <w:t>Delta</w:t>
      </w:r>
      <w:r>
        <w:rPr>
          <w:rFonts w:hint="eastAsia"/>
        </w:rPr>
        <w:t>相关分析中与</w:t>
      </w:r>
      <w:r>
        <w:rPr>
          <w:rFonts w:hint="eastAsia"/>
        </w:rPr>
        <w:t>ESG</w:t>
      </w:r>
      <w:r>
        <w:rPr>
          <w:rFonts w:hint="eastAsia"/>
        </w:rPr>
        <w:t>关系</w:t>
      </w:r>
      <w:r w:rsidR="005870BF">
        <w:rPr>
          <w:rFonts w:hint="eastAsia"/>
        </w:rPr>
        <w:t>的系数为</w:t>
      </w:r>
      <w:r w:rsidR="005870BF">
        <w:rPr>
          <w:rFonts w:hint="eastAsia"/>
        </w:rPr>
        <w:t>0</w:t>
      </w:r>
      <w:r w:rsidR="005870BF">
        <w:t>.0910</w:t>
      </w:r>
      <w:r w:rsidR="005870BF">
        <w:rPr>
          <w:rFonts w:hint="eastAsia"/>
        </w:rPr>
        <w:t>，但是其显著</w:t>
      </w:r>
      <w:proofErr w:type="gramStart"/>
      <w:r w:rsidR="004C6E4A">
        <w:rPr>
          <w:rFonts w:hint="eastAsia"/>
        </w:rPr>
        <w:t>著</w:t>
      </w:r>
      <w:proofErr w:type="gramEnd"/>
      <w:r w:rsidR="004C6E4A">
        <w:rPr>
          <w:rFonts w:hint="eastAsia"/>
        </w:rPr>
        <w:t>性较弱</w:t>
      </w:r>
      <w:r>
        <w:rPr>
          <w:rFonts w:hint="eastAsia"/>
        </w:rPr>
        <w:t>，需要</w:t>
      </w:r>
      <w:r w:rsidR="005870BF">
        <w:rPr>
          <w:rFonts w:hint="eastAsia"/>
        </w:rPr>
        <w:t>进行</w:t>
      </w:r>
      <w:r>
        <w:rPr>
          <w:rFonts w:hint="eastAsia"/>
        </w:rPr>
        <w:t>进一步</w:t>
      </w:r>
      <w:r w:rsidR="005870BF">
        <w:rPr>
          <w:rFonts w:hint="eastAsia"/>
        </w:rPr>
        <w:t>的</w:t>
      </w:r>
      <w:r>
        <w:rPr>
          <w:rFonts w:hint="eastAsia"/>
        </w:rPr>
        <w:t>研究。</w:t>
      </w:r>
      <w:r w:rsidR="005870BF">
        <w:rPr>
          <w:rFonts w:hint="eastAsia"/>
        </w:rPr>
        <w:t>结果初步表明股权激励的两个效应风险承担效应与激励效应对</w:t>
      </w:r>
      <w:r w:rsidR="005870BF">
        <w:rPr>
          <w:rFonts w:hint="eastAsia"/>
        </w:rPr>
        <w:t>ESG</w:t>
      </w:r>
      <w:r w:rsidR="005870BF">
        <w:rPr>
          <w:rFonts w:hint="eastAsia"/>
        </w:rPr>
        <w:t>的影响是不一样的。风险承担效应与</w:t>
      </w:r>
      <w:r w:rsidR="005870BF">
        <w:rPr>
          <w:rFonts w:hint="eastAsia"/>
        </w:rPr>
        <w:t>ESG</w:t>
      </w:r>
      <w:r w:rsidR="005870BF">
        <w:rPr>
          <w:rFonts w:hint="eastAsia"/>
        </w:rPr>
        <w:t>呈现显著正相关关系，而激励效应与</w:t>
      </w:r>
      <w:r w:rsidR="005870BF">
        <w:rPr>
          <w:rFonts w:hint="eastAsia"/>
        </w:rPr>
        <w:t>ESG</w:t>
      </w:r>
      <w:r w:rsidR="005870BF">
        <w:rPr>
          <w:rFonts w:hint="eastAsia"/>
        </w:rPr>
        <w:t>的正相关关系不显著，但是，这还不能排除是两个变量相互影响的结果，需要进一步验证其相关性。</w:t>
      </w:r>
    </w:p>
    <w:p w14:paraId="0A402FE8" w14:textId="387B7467" w:rsidR="002B6021" w:rsidRDefault="004C6E4A" w:rsidP="005870BF">
      <w:pPr>
        <w:ind w:firstLineChars="200" w:firstLine="480"/>
      </w:pPr>
      <w:r>
        <w:rPr>
          <w:rFonts w:hint="eastAsia"/>
        </w:rPr>
        <w:t>此外，</w:t>
      </w:r>
      <w:r w:rsidR="005870BF">
        <w:rPr>
          <w:rFonts w:hint="eastAsia"/>
        </w:rPr>
        <w:t>针对其他控制变量，总资产</w:t>
      </w:r>
      <w:r>
        <w:rPr>
          <w:rFonts w:hint="eastAsia"/>
        </w:rPr>
        <w:t>更</w:t>
      </w:r>
      <w:r w:rsidR="005870BF">
        <w:rPr>
          <w:rFonts w:hint="eastAsia"/>
        </w:rPr>
        <w:t>多</w:t>
      </w:r>
      <w:r>
        <w:rPr>
          <w:rFonts w:hint="eastAsia"/>
        </w:rPr>
        <w:t>、研发费用更高、资产负债率更高的公司更有可能有更高的</w:t>
      </w:r>
      <w:r>
        <w:rPr>
          <w:rFonts w:hint="eastAsia"/>
        </w:rPr>
        <w:t>ES</w:t>
      </w:r>
      <w:r w:rsidR="00710D3A">
        <w:rPr>
          <w:rFonts w:hint="eastAsia"/>
        </w:rPr>
        <w:t>G</w:t>
      </w:r>
      <w:r>
        <w:rPr>
          <w:rFonts w:hint="eastAsia"/>
        </w:rPr>
        <w:t>评分</w:t>
      </w:r>
      <w:bookmarkStart w:id="94" w:name="_Toc104478875"/>
      <w:r w:rsidR="005870BF">
        <w:rPr>
          <w:rFonts w:hint="eastAsia"/>
        </w:rPr>
        <w:t>，也就是说，企业规模更大、研发投入更高以及企业风险更高的公司更有可能获得更高的</w:t>
      </w:r>
      <w:r w:rsidR="005870BF">
        <w:rPr>
          <w:rFonts w:hint="eastAsia"/>
        </w:rPr>
        <w:t>ESG</w:t>
      </w:r>
      <w:r w:rsidR="005870BF">
        <w:rPr>
          <w:rFonts w:hint="eastAsia"/>
        </w:rPr>
        <w:t>评分。</w:t>
      </w:r>
    </w:p>
    <w:p w14:paraId="431339CE" w14:textId="751A3A6C" w:rsidR="00A13378" w:rsidRDefault="00360661" w:rsidP="002B6021">
      <w:pPr>
        <w:pStyle w:val="2"/>
        <w:spacing w:before="163" w:after="163"/>
      </w:pPr>
      <w:r w:rsidRPr="001E34A0">
        <w:rPr>
          <w:rFonts w:cs="Times New Roman"/>
        </w:rPr>
        <w:lastRenderedPageBreak/>
        <w:t>4.</w:t>
      </w:r>
      <w:r w:rsidR="001E34A0">
        <w:rPr>
          <w:rFonts w:cs="Times New Roman"/>
        </w:rPr>
        <w:t xml:space="preserve">2 </w:t>
      </w:r>
      <w:r>
        <w:rPr>
          <w:rFonts w:hint="eastAsia"/>
        </w:rPr>
        <w:t>行业固定效应回归分析</w:t>
      </w:r>
      <w:bookmarkStart w:id="95" w:name="_Toc103038541"/>
      <w:bookmarkEnd w:id="94"/>
    </w:p>
    <w:p w14:paraId="7A65D8FC" w14:textId="77777777" w:rsidR="0026782C" w:rsidRDefault="0026782C" w:rsidP="0026782C">
      <w:pPr>
        <w:pStyle w:val="3"/>
      </w:pPr>
      <w:bookmarkStart w:id="96" w:name="_Toc103093667"/>
      <w:bookmarkStart w:id="97" w:name="_Toc103345047"/>
      <w:bookmarkStart w:id="98" w:name="_Toc103549485"/>
      <w:r>
        <w:rPr>
          <w:rFonts w:hint="eastAsia"/>
        </w:rPr>
        <w:t>4</w:t>
      </w:r>
      <w:r>
        <w:t xml:space="preserve">.2.1 </w:t>
      </w:r>
      <w:r>
        <w:rPr>
          <w:rFonts w:hint="eastAsia"/>
        </w:rPr>
        <w:t>回归结果分析</w:t>
      </w:r>
      <w:bookmarkEnd w:id="95"/>
      <w:bookmarkEnd w:id="96"/>
      <w:bookmarkEnd w:id="97"/>
      <w:bookmarkEnd w:id="98"/>
    </w:p>
    <w:p w14:paraId="13FFEF12" w14:textId="667D4236" w:rsidR="001E34A0" w:rsidRDefault="001E34A0" w:rsidP="001E34A0">
      <w:pPr>
        <w:ind w:firstLineChars="200" w:firstLine="480"/>
        <w:rPr>
          <w:rFonts w:ascii="宋体" w:hAnsi="宋体"/>
        </w:rPr>
      </w:pPr>
      <w:r w:rsidRPr="00266AD6">
        <w:rPr>
          <w:rFonts w:ascii="宋体" w:hAnsi="宋体" w:hint="eastAsia"/>
        </w:rPr>
        <w:t>通过以上分析，我们最终选择表</w:t>
      </w:r>
      <w:r>
        <w:rPr>
          <w:rFonts w:ascii="宋体" w:hAnsi="宋体"/>
        </w:rPr>
        <w:t>4</w:t>
      </w:r>
      <w:r w:rsidRPr="00266AD6">
        <w:rPr>
          <w:rFonts w:ascii="宋体" w:hAnsi="宋体" w:hint="eastAsia"/>
        </w:rPr>
        <w:t>-</w:t>
      </w:r>
      <w:r w:rsidR="00A13378">
        <w:rPr>
          <w:rFonts w:ascii="宋体" w:hAnsi="宋体"/>
        </w:rPr>
        <w:t>2</w:t>
      </w:r>
      <w:r>
        <w:rPr>
          <w:rFonts w:ascii="宋体" w:hAnsi="宋体" w:hint="eastAsia"/>
        </w:rPr>
        <w:t>所示</w:t>
      </w:r>
      <w:r w:rsidRPr="00266AD6">
        <w:rPr>
          <w:rFonts w:ascii="宋体" w:hAnsi="宋体" w:hint="eastAsia"/>
        </w:rPr>
        <w:t>的行业固定效应模型分析Vega与</w:t>
      </w:r>
      <w:r>
        <w:rPr>
          <w:rFonts w:ascii="宋体" w:hAnsi="宋体" w:hint="eastAsia"/>
        </w:rPr>
        <w:t>Delta对ESG</w:t>
      </w:r>
      <w:r w:rsidR="00A13378">
        <w:rPr>
          <w:rFonts w:ascii="宋体" w:hAnsi="宋体" w:hint="eastAsia"/>
        </w:rPr>
        <w:t>分别独立和共同</w:t>
      </w:r>
      <w:r>
        <w:rPr>
          <w:rFonts w:ascii="宋体" w:hAnsi="宋体" w:hint="eastAsia"/>
        </w:rPr>
        <w:t>的影响</w:t>
      </w:r>
      <w:r w:rsidR="00A13378">
        <w:rPr>
          <w:rFonts w:ascii="宋体" w:hAnsi="宋体" w:hint="eastAsia"/>
        </w:rPr>
        <w:t>：（1）和（2）列分别为Vega和Delta作为单独解释变量下的回归结果，（3）列为上述模型两者皆为解释变量下的回归结果</w:t>
      </w:r>
      <w:r>
        <w:rPr>
          <w:rFonts w:ascii="宋体" w:hAnsi="宋体" w:hint="eastAsia"/>
        </w:rPr>
        <w:t>。</w:t>
      </w:r>
      <w:r w:rsidRPr="00202EFD">
        <w:rPr>
          <w:rFonts w:ascii="宋体" w:hAnsi="宋体" w:hint="eastAsia"/>
        </w:rPr>
        <w:t>总之，我们发现Vega和</w:t>
      </w:r>
      <w:r>
        <w:rPr>
          <w:rFonts w:ascii="宋体" w:hAnsi="宋体" w:hint="eastAsia"/>
        </w:rPr>
        <w:t>Delta</w:t>
      </w:r>
      <w:r w:rsidRPr="00202EFD">
        <w:rPr>
          <w:rFonts w:ascii="宋体" w:hAnsi="宋体" w:hint="eastAsia"/>
        </w:rPr>
        <w:t>是</w:t>
      </w:r>
      <w:r>
        <w:rPr>
          <w:rFonts w:ascii="宋体" w:hAnsi="宋体" w:hint="eastAsia"/>
        </w:rPr>
        <w:t>ESG</w:t>
      </w:r>
      <w:r w:rsidRPr="00202EFD">
        <w:rPr>
          <w:rFonts w:ascii="宋体" w:hAnsi="宋体" w:hint="eastAsia"/>
        </w:rPr>
        <w:t>评</w:t>
      </w:r>
      <w:r>
        <w:rPr>
          <w:rFonts w:ascii="宋体" w:hAnsi="宋体" w:hint="eastAsia"/>
        </w:rPr>
        <w:t>分</w:t>
      </w:r>
      <w:r w:rsidRPr="00202EFD">
        <w:rPr>
          <w:rFonts w:ascii="宋体" w:hAnsi="宋体" w:hint="eastAsia"/>
        </w:rPr>
        <w:t>的重要驱动因素。</w:t>
      </w:r>
      <w:r w:rsidRPr="00C76F49">
        <w:rPr>
          <w:rFonts w:ascii="宋体" w:hAnsi="宋体" w:hint="eastAsia"/>
        </w:rPr>
        <w:t xml:space="preserve">通过观察回归分析结果，发现 </w:t>
      </w:r>
      <w:r>
        <w:rPr>
          <w:rFonts w:ascii="宋体" w:hAnsi="宋体" w:hint="eastAsia"/>
        </w:rPr>
        <w:t>Vega与Delta以及控制变量营业收入与资产负债率的</w:t>
      </w:r>
      <w:r w:rsidRPr="00C76F49">
        <w:rPr>
          <w:rFonts w:ascii="宋体" w:hAnsi="宋体" w:hint="eastAsia"/>
        </w:rPr>
        <w:t>P 值均小于临界值 0.</w:t>
      </w:r>
      <w:r>
        <w:rPr>
          <w:rFonts w:ascii="宋体" w:hAnsi="宋体"/>
        </w:rPr>
        <w:t>05</w:t>
      </w:r>
      <w:r w:rsidRPr="00C76F49">
        <w:rPr>
          <w:rFonts w:ascii="宋体" w:hAnsi="宋体" w:hint="eastAsia"/>
        </w:rPr>
        <w:t>，因此解释变量</w:t>
      </w:r>
      <w:r>
        <w:rPr>
          <w:rFonts w:ascii="宋体" w:hAnsi="宋体" w:hint="eastAsia"/>
        </w:rPr>
        <w:t>Vega、Delta</w:t>
      </w:r>
      <w:r w:rsidRPr="00C76F49">
        <w:rPr>
          <w:rFonts w:ascii="宋体" w:hAnsi="宋体" w:hint="eastAsia"/>
        </w:rPr>
        <w:t>与控制变量均通过显著性检验。</w:t>
      </w:r>
      <w:r>
        <w:rPr>
          <w:rFonts w:ascii="宋体" w:hAnsi="宋体" w:hint="eastAsia"/>
        </w:rPr>
        <w:t>而Vega与Delta的</w:t>
      </w:r>
      <w:r w:rsidRPr="00C76F49">
        <w:rPr>
          <w:rFonts w:ascii="宋体" w:hAnsi="宋体" w:hint="eastAsia"/>
        </w:rPr>
        <w:t xml:space="preserve">回归系数分别为 </w:t>
      </w:r>
      <w:r>
        <w:rPr>
          <w:rFonts w:ascii="宋体" w:hAnsi="宋体"/>
        </w:rPr>
        <w:t>2.017</w:t>
      </w:r>
      <w:r>
        <w:rPr>
          <w:rFonts w:ascii="宋体" w:hAnsi="宋体" w:hint="eastAsia"/>
        </w:rPr>
        <w:t>和</w:t>
      </w:r>
      <w:r>
        <w:rPr>
          <w:rFonts w:ascii="宋体" w:hAnsi="宋体"/>
        </w:rPr>
        <w:t>-1.787</w:t>
      </w:r>
      <w:r>
        <w:rPr>
          <w:rFonts w:ascii="宋体" w:hAnsi="宋体" w:hint="eastAsia"/>
        </w:rPr>
        <w:t>，</w:t>
      </w:r>
      <w:r w:rsidRPr="00C76F49">
        <w:rPr>
          <w:rFonts w:ascii="宋体" w:hAnsi="宋体" w:hint="eastAsia"/>
        </w:rPr>
        <w:t>说明</w:t>
      </w:r>
      <w:bookmarkStart w:id="99" w:name="_Hlk103090776"/>
      <w:r>
        <w:rPr>
          <w:rFonts w:ascii="宋体" w:hAnsi="宋体" w:hint="eastAsia"/>
        </w:rPr>
        <w:t>当期Vega</w:t>
      </w:r>
      <w:r w:rsidRPr="00C76F49">
        <w:rPr>
          <w:rFonts w:ascii="宋体" w:hAnsi="宋体" w:hint="eastAsia"/>
        </w:rPr>
        <w:t>与</w:t>
      </w:r>
      <w:r>
        <w:rPr>
          <w:rFonts w:ascii="宋体" w:hAnsi="宋体" w:hint="eastAsia"/>
        </w:rPr>
        <w:t>ESG评分</w:t>
      </w:r>
      <w:r w:rsidRPr="00C76F49">
        <w:rPr>
          <w:rFonts w:ascii="宋体" w:hAnsi="宋体" w:hint="eastAsia"/>
        </w:rPr>
        <w:t>存在正相关性，</w:t>
      </w:r>
      <w:r>
        <w:rPr>
          <w:rFonts w:ascii="宋体" w:hAnsi="宋体" w:hint="eastAsia"/>
        </w:rPr>
        <w:t>而当期Delta</w:t>
      </w:r>
      <w:r w:rsidRPr="00C76F49">
        <w:rPr>
          <w:rFonts w:ascii="宋体" w:hAnsi="宋体" w:hint="eastAsia"/>
        </w:rPr>
        <w:t>与</w:t>
      </w:r>
      <w:r>
        <w:rPr>
          <w:rFonts w:ascii="宋体" w:hAnsi="宋体" w:hint="eastAsia"/>
        </w:rPr>
        <w:t>ESG评分</w:t>
      </w:r>
      <w:r w:rsidRPr="00C76F49">
        <w:rPr>
          <w:rFonts w:ascii="宋体" w:hAnsi="宋体" w:hint="eastAsia"/>
        </w:rPr>
        <w:t>存在</w:t>
      </w:r>
      <w:r>
        <w:rPr>
          <w:rFonts w:ascii="宋体" w:hAnsi="宋体" w:hint="eastAsia"/>
        </w:rPr>
        <w:t>负</w:t>
      </w:r>
      <w:r w:rsidRPr="00C76F49">
        <w:rPr>
          <w:rFonts w:ascii="宋体" w:hAnsi="宋体" w:hint="eastAsia"/>
        </w:rPr>
        <w:t>相关性</w:t>
      </w:r>
      <w:r>
        <w:rPr>
          <w:rFonts w:ascii="宋体" w:hAnsi="宋体" w:hint="eastAsia"/>
        </w:rPr>
        <w:t>，</w:t>
      </w:r>
      <w:r w:rsidRPr="00C76F49">
        <w:rPr>
          <w:rFonts w:ascii="宋体" w:hAnsi="宋体" w:hint="eastAsia"/>
        </w:rPr>
        <w:t>因此本研究的假设 H</w:t>
      </w:r>
      <w:r>
        <w:rPr>
          <w:rFonts w:ascii="宋体" w:hAnsi="宋体"/>
        </w:rPr>
        <w:t>1</w:t>
      </w:r>
      <w:r>
        <w:rPr>
          <w:rFonts w:ascii="宋体" w:hAnsi="宋体" w:hint="eastAsia"/>
        </w:rPr>
        <w:t>和H</w:t>
      </w:r>
      <w:r>
        <w:rPr>
          <w:rFonts w:ascii="宋体" w:hAnsi="宋体"/>
        </w:rPr>
        <w:t>2</w:t>
      </w:r>
      <w:r>
        <w:rPr>
          <w:rFonts w:ascii="宋体" w:hAnsi="宋体" w:hint="eastAsia"/>
        </w:rPr>
        <w:t>均</w:t>
      </w:r>
      <w:r w:rsidRPr="00C76F49">
        <w:rPr>
          <w:rFonts w:ascii="宋体" w:hAnsi="宋体" w:hint="eastAsia"/>
        </w:rPr>
        <w:t>成功通过检验。</w:t>
      </w:r>
    </w:p>
    <w:p w14:paraId="5C833CD6" w14:textId="1D0255CB" w:rsidR="001E34A0" w:rsidRDefault="001E34A0" w:rsidP="001E34A0">
      <w:pPr>
        <w:ind w:firstLineChars="200" w:firstLine="480"/>
        <w:rPr>
          <w:rFonts w:ascii="宋体" w:hAnsi="宋体"/>
        </w:rPr>
      </w:pPr>
      <w:bookmarkStart w:id="100" w:name="_Hlk103090825"/>
      <w:bookmarkEnd w:id="99"/>
      <w:r w:rsidRPr="000F770E">
        <w:rPr>
          <w:rFonts w:ascii="宋体" w:hAnsi="宋体" w:hint="eastAsia"/>
        </w:rPr>
        <w:t>由于Delta</w:t>
      </w:r>
      <w:r>
        <w:rPr>
          <w:rFonts w:ascii="宋体" w:hAnsi="宋体" w:hint="eastAsia"/>
        </w:rPr>
        <w:t>回归系数</w:t>
      </w:r>
      <w:r w:rsidRPr="000F770E">
        <w:rPr>
          <w:rFonts w:ascii="宋体" w:hAnsi="宋体" w:hint="eastAsia"/>
        </w:rPr>
        <w:t>显著</w:t>
      </w:r>
      <w:r>
        <w:rPr>
          <w:rFonts w:ascii="宋体" w:hAnsi="宋体" w:hint="eastAsia"/>
        </w:rPr>
        <w:t>小</w:t>
      </w:r>
      <w:r w:rsidRPr="000F770E">
        <w:rPr>
          <w:rFonts w:ascii="宋体" w:hAnsi="宋体" w:hint="eastAsia"/>
        </w:rPr>
        <w:t>于零，</w:t>
      </w:r>
      <w:r w:rsidR="009A2758">
        <w:rPr>
          <w:rFonts w:ascii="宋体" w:hAnsi="宋体" w:hint="eastAsia"/>
        </w:rPr>
        <w:t>可以看出</w:t>
      </w:r>
      <w:bookmarkStart w:id="101" w:name="_Hlk103095240"/>
      <w:r w:rsidR="009A2758">
        <w:rPr>
          <w:rFonts w:ascii="宋体" w:hAnsi="宋体" w:hint="eastAsia"/>
        </w:rPr>
        <w:t>Delta更高的高管可能更有可能放弃ESG相关投资项目，这可能因为</w:t>
      </w:r>
      <w:r>
        <w:rPr>
          <w:rFonts w:ascii="宋体" w:hAnsi="宋体" w:hint="eastAsia"/>
        </w:rPr>
        <w:t>高管</w:t>
      </w:r>
      <w:r w:rsidRPr="000F770E">
        <w:rPr>
          <w:rFonts w:ascii="宋体" w:hAnsi="宋体" w:hint="eastAsia"/>
        </w:rPr>
        <w:t>们</w:t>
      </w:r>
      <w:r>
        <w:rPr>
          <w:rFonts w:ascii="宋体" w:hAnsi="宋体" w:hint="eastAsia"/>
        </w:rPr>
        <w:t>认为</w:t>
      </w:r>
      <w:r w:rsidRPr="000F770E">
        <w:rPr>
          <w:rFonts w:ascii="宋体" w:hAnsi="宋体" w:hint="eastAsia"/>
        </w:rPr>
        <w:t>投资于更高的</w:t>
      </w:r>
      <w:r>
        <w:rPr>
          <w:rFonts w:ascii="宋体" w:hAnsi="宋体" w:hint="eastAsia"/>
        </w:rPr>
        <w:t>ESG评分是</w:t>
      </w:r>
      <w:r w:rsidRPr="000F770E">
        <w:rPr>
          <w:rFonts w:ascii="宋体" w:hAnsi="宋体" w:hint="eastAsia"/>
        </w:rPr>
        <w:t>一个</w:t>
      </w:r>
      <w:r>
        <w:rPr>
          <w:rFonts w:ascii="宋体" w:hAnsi="宋体" w:hint="eastAsia"/>
        </w:rPr>
        <w:t>消极</w:t>
      </w:r>
      <w:r w:rsidRPr="000F770E">
        <w:rPr>
          <w:rFonts w:ascii="宋体" w:hAnsi="宋体" w:hint="eastAsia"/>
        </w:rPr>
        <w:t>的净现值</w:t>
      </w:r>
      <w:r>
        <w:rPr>
          <w:rFonts w:ascii="宋体" w:hAnsi="宋体" w:hint="eastAsia"/>
        </w:rPr>
        <w:t>投资项目，</w:t>
      </w:r>
      <w:r w:rsidRPr="000F770E">
        <w:rPr>
          <w:rFonts w:ascii="宋体" w:hAnsi="宋体" w:hint="eastAsia"/>
        </w:rPr>
        <w:t>这可能是因为</w:t>
      </w:r>
      <w:r>
        <w:rPr>
          <w:rFonts w:ascii="宋体" w:hAnsi="宋体" w:hint="eastAsia"/>
        </w:rPr>
        <w:t>ESG相关</w:t>
      </w:r>
      <w:r w:rsidRPr="000F770E">
        <w:rPr>
          <w:rFonts w:ascii="宋体" w:hAnsi="宋体" w:hint="eastAsia"/>
        </w:rPr>
        <w:t>投资难以量化，因此难以向股东证明其合理性</w:t>
      </w:r>
      <w:r>
        <w:rPr>
          <w:rFonts w:ascii="宋体" w:hAnsi="宋体" w:hint="eastAsia"/>
        </w:rPr>
        <w:t>，</w:t>
      </w:r>
      <w:r w:rsidRPr="000F770E">
        <w:rPr>
          <w:rFonts w:ascii="宋体" w:hAnsi="宋体" w:hint="eastAsia"/>
        </w:rPr>
        <w:t>这也可能是因为</w:t>
      </w:r>
      <w:r w:rsidR="00A13378">
        <w:rPr>
          <w:rFonts w:ascii="宋体" w:hAnsi="宋体" w:hint="eastAsia"/>
        </w:rPr>
        <w:t>ESG相关</w:t>
      </w:r>
      <w:r w:rsidRPr="000F770E">
        <w:rPr>
          <w:rFonts w:ascii="宋体" w:hAnsi="宋体" w:hint="eastAsia"/>
        </w:rPr>
        <w:t>投资的好处被认为太遥远，今天不值得关注</w:t>
      </w:r>
      <w:r w:rsidR="009A2758">
        <w:rPr>
          <w:rFonts w:ascii="宋体" w:hAnsi="宋体" w:hint="eastAsia"/>
        </w:rPr>
        <w:t>，从而会导致他们短期的财富减少</w:t>
      </w:r>
      <w:r w:rsidRPr="000F770E">
        <w:rPr>
          <w:rFonts w:ascii="宋体" w:hAnsi="宋体" w:hint="eastAsia"/>
        </w:rPr>
        <w:t>。</w:t>
      </w:r>
      <w:r>
        <w:rPr>
          <w:rFonts w:ascii="宋体" w:hAnsi="宋体" w:hint="eastAsia"/>
        </w:rPr>
        <w:t>而Vega回归系数却显著大于零，</w:t>
      </w:r>
      <w:r w:rsidRPr="000F770E">
        <w:rPr>
          <w:rFonts w:ascii="宋体" w:hAnsi="宋体" w:hint="eastAsia"/>
        </w:rPr>
        <w:t>这就引出了本文最有趣的发现：尽管</w:t>
      </w:r>
      <w:r>
        <w:rPr>
          <w:rFonts w:ascii="宋体" w:hAnsi="宋体" w:hint="eastAsia"/>
        </w:rPr>
        <w:t>高管</w:t>
      </w:r>
      <w:r w:rsidRPr="000F770E">
        <w:rPr>
          <w:rFonts w:ascii="宋体" w:hAnsi="宋体" w:hint="eastAsia"/>
        </w:rPr>
        <w:t>们</w:t>
      </w:r>
      <w:r>
        <w:rPr>
          <w:rFonts w:ascii="宋体" w:hAnsi="宋体" w:hint="eastAsia"/>
        </w:rPr>
        <w:t>认为ESG相关投资对股价是有负面影响的</w:t>
      </w:r>
      <w:r w:rsidRPr="000F770E">
        <w:rPr>
          <w:rFonts w:ascii="宋体" w:hAnsi="宋体" w:hint="eastAsia"/>
        </w:rPr>
        <w:t>，</w:t>
      </w:r>
      <w:r>
        <w:rPr>
          <w:rFonts w:ascii="宋体" w:hAnsi="宋体" w:hint="eastAsia"/>
        </w:rPr>
        <w:t>但他们认为ESG相关投资会增加股价波动性，也就是说，</w:t>
      </w:r>
      <w:r w:rsidRPr="00043361">
        <w:rPr>
          <w:rFonts w:ascii="宋体" w:hAnsi="宋体" w:hint="eastAsia"/>
        </w:rPr>
        <w:t>在更高的</w:t>
      </w:r>
      <w:r>
        <w:rPr>
          <w:rFonts w:ascii="宋体" w:hAnsi="宋体" w:hint="eastAsia"/>
        </w:rPr>
        <w:t>V</w:t>
      </w:r>
      <w:r w:rsidRPr="00043361">
        <w:rPr>
          <w:rFonts w:ascii="宋体" w:hAnsi="宋体" w:hint="eastAsia"/>
        </w:rPr>
        <w:t>ega激励下，他们将</w:t>
      </w:r>
      <w:r>
        <w:rPr>
          <w:rFonts w:ascii="宋体" w:hAnsi="宋体" w:hint="eastAsia"/>
        </w:rPr>
        <w:t>ESG相关</w:t>
      </w:r>
      <w:r w:rsidRPr="00043361">
        <w:rPr>
          <w:rFonts w:ascii="宋体" w:hAnsi="宋体" w:hint="eastAsia"/>
        </w:rPr>
        <w:t>投资视为增加公司风险的一种方式</w:t>
      </w:r>
      <w:r w:rsidR="009A2758">
        <w:rPr>
          <w:rFonts w:ascii="宋体" w:hAnsi="宋体" w:hint="eastAsia"/>
        </w:rPr>
        <w:t>，这有利于他们的财富增加</w:t>
      </w:r>
      <w:r w:rsidRPr="00043361">
        <w:rPr>
          <w:rFonts w:ascii="宋体" w:hAnsi="宋体" w:hint="eastAsia"/>
        </w:rPr>
        <w:t>。</w:t>
      </w:r>
      <w:r w:rsidR="003C6C2B">
        <w:rPr>
          <w:rFonts w:ascii="宋体" w:hAnsi="宋体"/>
        </w:rPr>
        <w:t xml:space="preserve"> </w:t>
      </w:r>
    </w:p>
    <w:bookmarkEnd w:id="100"/>
    <w:bookmarkEnd w:id="101"/>
    <w:p w14:paraId="2B3446AB" w14:textId="0DA009B6" w:rsidR="00B45778" w:rsidRDefault="001E34A0" w:rsidP="00C146EE">
      <w:pPr>
        <w:ind w:firstLineChars="200" w:firstLine="480"/>
        <w:rPr>
          <w:rFonts w:ascii="宋体" w:hAnsi="宋体"/>
        </w:rPr>
      </w:pPr>
      <w:r>
        <w:rPr>
          <w:rFonts w:ascii="宋体" w:hAnsi="宋体" w:hint="eastAsia"/>
        </w:rPr>
        <w:t>同时，可以发现DTA（资产负债率）的系数也是显著为正的，这也更加支持了上述所述的高管们</w:t>
      </w:r>
      <w:r w:rsidRPr="00043361">
        <w:rPr>
          <w:rFonts w:ascii="宋体" w:hAnsi="宋体" w:hint="eastAsia"/>
        </w:rPr>
        <w:t>将</w:t>
      </w:r>
      <w:r>
        <w:rPr>
          <w:rFonts w:ascii="宋体" w:hAnsi="宋体" w:hint="eastAsia"/>
        </w:rPr>
        <w:t>ESG相关</w:t>
      </w:r>
      <w:r w:rsidRPr="00043361">
        <w:rPr>
          <w:rFonts w:ascii="宋体" w:hAnsi="宋体" w:hint="eastAsia"/>
        </w:rPr>
        <w:t>投资视为增加公司风险的一种方式</w:t>
      </w:r>
      <w:r>
        <w:rPr>
          <w:rFonts w:ascii="宋体" w:hAnsi="宋体" w:hint="eastAsia"/>
        </w:rPr>
        <w:t>的猜想。而Size（总资产）作为企业规模的控制变量，其系数同样显著为正，这说明其他情况控制不变，企业规模越大，企业ESG环境越好，这可能是由于更大的企业在如今追求可持续性发展的新环境下有更大的能力去进行ESG相关投资活动，从而其ESG评分更佳。</w:t>
      </w:r>
    </w:p>
    <w:p w14:paraId="56D3E99A" w14:textId="77777777" w:rsidR="002B6021" w:rsidRDefault="002B6021" w:rsidP="005870BF">
      <w:pPr>
        <w:rPr>
          <w:rFonts w:ascii="宋体" w:hAnsi="宋体"/>
        </w:rPr>
      </w:pPr>
    </w:p>
    <w:p w14:paraId="17EE9630" w14:textId="77777777" w:rsidR="003C6C2B" w:rsidRDefault="003C6C2B" w:rsidP="009F3EAD">
      <w:pPr>
        <w:spacing w:line="300" w:lineRule="exact"/>
        <w:jc w:val="center"/>
        <w:rPr>
          <w:rFonts w:ascii="宋体" w:hAnsi="宋体"/>
        </w:rPr>
      </w:pPr>
    </w:p>
    <w:p w14:paraId="049A36E1" w14:textId="6995190A" w:rsidR="00360661" w:rsidRDefault="00360661" w:rsidP="009F3EAD">
      <w:pPr>
        <w:spacing w:line="300" w:lineRule="exact"/>
        <w:jc w:val="center"/>
        <w:rPr>
          <w:rFonts w:ascii="黑体" w:eastAsia="黑体" w:hAnsi="宋体"/>
        </w:rPr>
      </w:pPr>
      <w:r w:rsidRPr="00677FE2">
        <w:rPr>
          <w:rFonts w:ascii="黑体" w:eastAsia="黑体" w:hAnsi="宋体" w:hint="eastAsia"/>
        </w:rPr>
        <w:t>表</w:t>
      </w:r>
      <w:r>
        <w:rPr>
          <w:rFonts w:eastAsia="黑体"/>
        </w:rPr>
        <w:t>4</w:t>
      </w:r>
      <w:r w:rsidRPr="00AB6ADE">
        <w:rPr>
          <w:rFonts w:eastAsia="黑体" w:hint="eastAsia"/>
        </w:rPr>
        <w:t>-</w:t>
      </w:r>
      <w:r w:rsidR="00A13378">
        <w:rPr>
          <w:rFonts w:eastAsia="黑体"/>
        </w:rPr>
        <w:t>2</w:t>
      </w:r>
      <w:r>
        <w:rPr>
          <w:rFonts w:ascii="黑体" w:eastAsia="黑体" w:hAnsi="宋体" w:hint="eastAsia"/>
        </w:rPr>
        <w:t xml:space="preserve"> 行业固定效应回归结果</w:t>
      </w:r>
    </w:p>
    <w:p w14:paraId="4C823BA6" w14:textId="77777777" w:rsidR="00360661" w:rsidRDefault="00360661" w:rsidP="00360661">
      <w:pPr>
        <w:spacing w:line="300" w:lineRule="exact"/>
        <w:ind w:firstLineChars="400" w:firstLine="960"/>
        <w:rPr>
          <w:rFonts w:ascii="宋体" w:hAnsi="宋体"/>
        </w:rPr>
      </w:pPr>
    </w:p>
    <w:tbl>
      <w:tblPr>
        <w:tblW w:w="0" w:type="auto"/>
        <w:jc w:val="center"/>
        <w:tblLayout w:type="fixed"/>
        <w:tblLook w:val="0000" w:firstRow="0" w:lastRow="0" w:firstColumn="0" w:lastColumn="0" w:noHBand="0" w:noVBand="0"/>
      </w:tblPr>
      <w:tblGrid>
        <w:gridCol w:w="1563"/>
        <w:gridCol w:w="1829"/>
        <w:gridCol w:w="1829"/>
        <w:gridCol w:w="1829"/>
      </w:tblGrid>
      <w:tr w:rsidR="00360661" w:rsidRPr="00A13378" w14:paraId="3A3E4A11" w14:textId="77777777" w:rsidTr="00703708">
        <w:trPr>
          <w:trHeight w:val="329"/>
          <w:jc w:val="center"/>
        </w:trPr>
        <w:tc>
          <w:tcPr>
            <w:tcW w:w="1563" w:type="dxa"/>
            <w:tcBorders>
              <w:top w:val="single" w:sz="12" w:space="0" w:color="auto"/>
              <w:left w:val="nil"/>
              <w:bottom w:val="nil"/>
              <w:right w:val="nil"/>
            </w:tcBorders>
          </w:tcPr>
          <w:p w14:paraId="57C69989" w14:textId="77777777" w:rsidR="00360661" w:rsidRPr="00A13378" w:rsidRDefault="00360661" w:rsidP="00360661">
            <w:pPr>
              <w:autoSpaceDE w:val="0"/>
              <w:autoSpaceDN w:val="0"/>
              <w:adjustRightInd w:val="0"/>
              <w:spacing w:line="240" w:lineRule="auto"/>
              <w:jc w:val="left"/>
              <w:rPr>
                <w:rFonts w:eastAsiaTheme="minorEastAsia"/>
                <w:kern w:val="0"/>
                <w:sz w:val="21"/>
                <w:szCs w:val="21"/>
              </w:rPr>
            </w:pPr>
          </w:p>
        </w:tc>
        <w:tc>
          <w:tcPr>
            <w:tcW w:w="1829" w:type="dxa"/>
            <w:tcBorders>
              <w:top w:val="single" w:sz="12" w:space="0" w:color="auto"/>
              <w:left w:val="nil"/>
              <w:bottom w:val="nil"/>
              <w:right w:val="nil"/>
            </w:tcBorders>
          </w:tcPr>
          <w:p w14:paraId="78FCEFC9"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(1)</w:t>
            </w:r>
          </w:p>
        </w:tc>
        <w:tc>
          <w:tcPr>
            <w:tcW w:w="1829" w:type="dxa"/>
            <w:tcBorders>
              <w:top w:val="single" w:sz="12" w:space="0" w:color="auto"/>
              <w:left w:val="nil"/>
              <w:bottom w:val="nil"/>
              <w:right w:val="nil"/>
            </w:tcBorders>
          </w:tcPr>
          <w:p w14:paraId="1A87FC1D"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(2)</w:t>
            </w:r>
          </w:p>
        </w:tc>
        <w:tc>
          <w:tcPr>
            <w:tcW w:w="1829" w:type="dxa"/>
            <w:tcBorders>
              <w:top w:val="single" w:sz="12" w:space="0" w:color="auto"/>
              <w:left w:val="nil"/>
              <w:bottom w:val="nil"/>
              <w:right w:val="nil"/>
            </w:tcBorders>
          </w:tcPr>
          <w:p w14:paraId="6DDFB561"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(3)</w:t>
            </w:r>
          </w:p>
        </w:tc>
      </w:tr>
      <w:tr w:rsidR="00360661" w:rsidRPr="00A13378" w14:paraId="7834B41E" w14:textId="77777777" w:rsidTr="00703708">
        <w:trPr>
          <w:trHeight w:val="347"/>
          <w:jc w:val="center"/>
        </w:trPr>
        <w:tc>
          <w:tcPr>
            <w:tcW w:w="1563" w:type="dxa"/>
            <w:tcBorders>
              <w:top w:val="nil"/>
              <w:left w:val="nil"/>
              <w:bottom w:val="single" w:sz="4" w:space="0" w:color="auto"/>
              <w:right w:val="nil"/>
            </w:tcBorders>
          </w:tcPr>
          <w:p w14:paraId="02AC4386" w14:textId="77777777" w:rsidR="00360661" w:rsidRPr="00A13378" w:rsidRDefault="00360661" w:rsidP="00360661">
            <w:pPr>
              <w:autoSpaceDE w:val="0"/>
              <w:autoSpaceDN w:val="0"/>
              <w:adjustRightInd w:val="0"/>
              <w:spacing w:line="240" w:lineRule="auto"/>
              <w:jc w:val="left"/>
              <w:rPr>
                <w:rFonts w:eastAsiaTheme="minorEastAsia"/>
                <w:kern w:val="0"/>
                <w:sz w:val="21"/>
                <w:szCs w:val="21"/>
              </w:rPr>
            </w:pPr>
          </w:p>
        </w:tc>
        <w:tc>
          <w:tcPr>
            <w:tcW w:w="1829" w:type="dxa"/>
            <w:tcBorders>
              <w:top w:val="nil"/>
              <w:left w:val="nil"/>
              <w:bottom w:val="single" w:sz="4" w:space="0" w:color="auto"/>
              <w:right w:val="nil"/>
            </w:tcBorders>
          </w:tcPr>
          <w:p w14:paraId="25A71AE3"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ESG</w:t>
            </w:r>
          </w:p>
        </w:tc>
        <w:tc>
          <w:tcPr>
            <w:tcW w:w="1829" w:type="dxa"/>
            <w:tcBorders>
              <w:top w:val="nil"/>
              <w:left w:val="nil"/>
              <w:bottom w:val="single" w:sz="4" w:space="0" w:color="auto"/>
              <w:right w:val="nil"/>
            </w:tcBorders>
          </w:tcPr>
          <w:p w14:paraId="16BF3A94"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ESG</w:t>
            </w:r>
          </w:p>
        </w:tc>
        <w:tc>
          <w:tcPr>
            <w:tcW w:w="1829" w:type="dxa"/>
            <w:tcBorders>
              <w:top w:val="nil"/>
              <w:left w:val="nil"/>
              <w:bottom w:val="single" w:sz="4" w:space="0" w:color="auto"/>
              <w:right w:val="nil"/>
            </w:tcBorders>
          </w:tcPr>
          <w:p w14:paraId="41370E84"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ESG</w:t>
            </w:r>
          </w:p>
        </w:tc>
      </w:tr>
      <w:tr w:rsidR="00360661" w:rsidRPr="00A13378" w14:paraId="7BD6B1B9" w14:textId="77777777" w:rsidTr="00703708">
        <w:trPr>
          <w:trHeight w:val="329"/>
          <w:jc w:val="center"/>
        </w:trPr>
        <w:tc>
          <w:tcPr>
            <w:tcW w:w="1563" w:type="dxa"/>
            <w:tcBorders>
              <w:top w:val="single" w:sz="4" w:space="0" w:color="auto"/>
              <w:left w:val="nil"/>
              <w:bottom w:val="nil"/>
              <w:right w:val="nil"/>
            </w:tcBorders>
          </w:tcPr>
          <w:p w14:paraId="18EEDEC2" w14:textId="77777777" w:rsidR="00360661" w:rsidRPr="00A13378" w:rsidRDefault="00360661" w:rsidP="00360661">
            <w:pPr>
              <w:autoSpaceDE w:val="0"/>
              <w:autoSpaceDN w:val="0"/>
              <w:adjustRightInd w:val="0"/>
              <w:spacing w:line="240" w:lineRule="auto"/>
              <w:jc w:val="left"/>
              <w:rPr>
                <w:rFonts w:eastAsiaTheme="minorEastAsia"/>
                <w:kern w:val="0"/>
                <w:sz w:val="21"/>
                <w:szCs w:val="21"/>
              </w:rPr>
            </w:pPr>
            <w:r w:rsidRPr="00A13378">
              <w:rPr>
                <w:rFonts w:eastAsiaTheme="minorEastAsia"/>
                <w:kern w:val="0"/>
                <w:sz w:val="21"/>
                <w:szCs w:val="21"/>
              </w:rPr>
              <w:t>Vega</w:t>
            </w:r>
          </w:p>
        </w:tc>
        <w:tc>
          <w:tcPr>
            <w:tcW w:w="1829" w:type="dxa"/>
            <w:tcBorders>
              <w:top w:val="single" w:sz="4" w:space="0" w:color="auto"/>
              <w:left w:val="nil"/>
              <w:bottom w:val="nil"/>
              <w:right w:val="nil"/>
            </w:tcBorders>
          </w:tcPr>
          <w:p w14:paraId="1EE475B2"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0.195</w:t>
            </w:r>
            <w:r w:rsidRPr="00A13378">
              <w:rPr>
                <w:rFonts w:eastAsiaTheme="minorEastAsia"/>
                <w:kern w:val="0"/>
                <w:sz w:val="21"/>
                <w:szCs w:val="21"/>
                <w:vertAlign w:val="superscript"/>
              </w:rPr>
              <w:t>**</w:t>
            </w:r>
          </w:p>
        </w:tc>
        <w:tc>
          <w:tcPr>
            <w:tcW w:w="1829" w:type="dxa"/>
            <w:tcBorders>
              <w:top w:val="single" w:sz="4" w:space="0" w:color="auto"/>
              <w:left w:val="nil"/>
              <w:bottom w:val="nil"/>
              <w:right w:val="nil"/>
            </w:tcBorders>
          </w:tcPr>
          <w:p w14:paraId="3D83F080"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p>
        </w:tc>
        <w:tc>
          <w:tcPr>
            <w:tcW w:w="1829" w:type="dxa"/>
            <w:tcBorders>
              <w:top w:val="single" w:sz="4" w:space="0" w:color="auto"/>
              <w:left w:val="nil"/>
              <w:bottom w:val="nil"/>
              <w:right w:val="nil"/>
            </w:tcBorders>
          </w:tcPr>
          <w:p w14:paraId="09AE393E"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2.017</w:t>
            </w:r>
            <w:r w:rsidRPr="00A13378">
              <w:rPr>
                <w:rFonts w:eastAsiaTheme="minorEastAsia"/>
                <w:kern w:val="0"/>
                <w:sz w:val="21"/>
                <w:szCs w:val="21"/>
                <w:vertAlign w:val="superscript"/>
              </w:rPr>
              <w:t>***</w:t>
            </w:r>
          </w:p>
        </w:tc>
      </w:tr>
      <w:tr w:rsidR="00360661" w:rsidRPr="00A13378" w14:paraId="7B5BF4AF" w14:textId="77777777" w:rsidTr="00703708">
        <w:trPr>
          <w:trHeight w:val="329"/>
          <w:jc w:val="center"/>
        </w:trPr>
        <w:tc>
          <w:tcPr>
            <w:tcW w:w="1563" w:type="dxa"/>
            <w:tcBorders>
              <w:top w:val="nil"/>
              <w:left w:val="nil"/>
              <w:bottom w:val="nil"/>
              <w:right w:val="nil"/>
            </w:tcBorders>
          </w:tcPr>
          <w:p w14:paraId="766CFADE" w14:textId="77777777" w:rsidR="00360661" w:rsidRPr="00A13378" w:rsidRDefault="00360661" w:rsidP="00360661">
            <w:pPr>
              <w:autoSpaceDE w:val="0"/>
              <w:autoSpaceDN w:val="0"/>
              <w:adjustRightInd w:val="0"/>
              <w:spacing w:line="240" w:lineRule="auto"/>
              <w:jc w:val="left"/>
              <w:rPr>
                <w:rFonts w:eastAsiaTheme="minorEastAsia"/>
                <w:kern w:val="0"/>
                <w:sz w:val="21"/>
                <w:szCs w:val="21"/>
              </w:rPr>
            </w:pPr>
          </w:p>
        </w:tc>
        <w:tc>
          <w:tcPr>
            <w:tcW w:w="1829" w:type="dxa"/>
            <w:tcBorders>
              <w:top w:val="nil"/>
              <w:left w:val="nil"/>
              <w:bottom w:val="nil"/>
              <w:right w:val="nil"/>
            </w:tcBorders>
          </w:tcPr>
          <w:p w14:paraId="4DE10FCF"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(0.083)</w:t>
            </w:r>
          </w:p>
        </w:tc>
        <w:tc>
          <w:tcPr>
            <w:tcW w:w="1829" w:type="dxa"/>
            <w:tcBorders>
              <w:top w:val="nil"/>
              <w:left w:val="nil"/>
              <w:bottom w:val="nil"/>
              <w:right w:val="nil"/>
            </w:tcBorders>
          </w:tcPr>
          <w:p w14:paraId="4E284719"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p>
        </w:tc>
        <w:tc>
          <w:tcPr>
            <w:tcW w:w="1829" w:type="dxa"/>
            <w:tcBorders>
              <w:top w:val="nil"/>
              <w:left w:val="nil"/>
              <w:bottom w:val="nil"/>
              <w:right w:val="nil"/>
            </w:tcBorders>
          </w:tcPr>
          <w:p w14:paraId="7A3C6E2F"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(0.720)</w:t>
            </w:r>
          </w:p>
        </w:tc>
      </w:tr>
      <w:tr w:rsidR="00360661" w:rsidRPr="00A13378" w14:paraId="0E8C8707" w14:textId="77777777" w:rsidTr="00703708">
        <w:trPr>
          <w:trHeight w:val="347"/>
          <w:jc w:val="center"/>
        </w:trPr>
        <w:tc>
          <w:tcPr>
            <w:tcW w:w="1563" w:type="dxa"/>
            <w:tcBorders>
              <w:top w:val="nil"/>
              <w:left w:val="nil"/>
              <w:bottom w:val="nil"/>
              <w:right w:val="nil"/>
            </w:tcBorders>
          </w:tcPr>
          <w:p w14:paraId="11C6E845" w14:textId="77777777" w:rsidR="00360661" w:rsidRPr="00A13378" w:rsidRDefault="00360661" w:rsidP="00360661">
            <w:pPr>
              <w:autoSpaceDE w:val="0"/>
              <w:autoSpaceDN w:val="0"/>
              <w:adjustRightInd w:val="0"/>
              <w:spacing w:line="240" w:lineRule="auto"/>
              <w:jc w:val="left"/>
              <w:rPr>
                <w:rFonts w:eastAsiaTheme="minorEastAsia"/>
                <w:kern w:val="0"/>
                <w:sz w:val="21"/>
                <w:szCs w:val="21"/>
              </w:rPr>
            </w:pPr>
            <w:r w:rsidRPr="00A13378">
              <w:rPr>
                <w:rFonts w:eastAsiaTheme="minorEastAsia"/>
                <w:kern w:val="0"/>
                <w:sz w:val="21"/>
                <w:szCs w:val="21"/>
              </w:rPr>
              <w:t>Size</w:t>
            </w:r>
          </w:p>
        </w:tc>
        <w:tc>
          <w:tcPr>
            <w:tcW w:w="1829" w:type="dxa"/>
            <w:tcBorders>
              <w:top w:val="nil"/>
              <w:left w:val="nil"/>
              <w:bottom w:val="nil"/>
              <w:right w:val="nil"/>
            </w:tcBorders>
          </w:tcPr>
          <w:p w14:paraId="16C95AF0"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0.000</w:t>
            </w:r>
            <w:r w:rsidRPr="00A13378">
              <w:rPr>
                <w:rFonts w:eastAsiaTheme="minorEastAsia"/>
                <w:kern w:val="0"/>
                <w:sz w:val="21"/>
                <w:szCs w:val="21"/>
                <w:vertAlign w:val="superscript"/>
              </w:rPr>
              <w:t>*</w:t>
            </w:r>
          </w:p>
        </w:tc>
        <w:tc>
          <w:tcPr>
            <w:tcW w:w="1829" w:type="dxa"/>
            <w:tcBorders>
              <w:top w:val="nil"/>
              <w:left w:val="nil"/>
              <w:bottom w:val="nil"/>
              <w:right w:val="nil"/>
            </w:tcBorders>
          </w:tcPr>
          <w:p w14:paraId="45B261AF"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0.000</w:t>
            </w:r>
            <w:r w:rsidRPr="00A13378">
              <w:rPr>
                <w:rFonts w:eastAsiaTheme="minorEastAsia"/>
                <w:kern w:val="0"/>
                <w:sz w:val="21"/>
                <w:szCs w:val="21"/>
                <w:vertAlign w:val="superscript"/>
              </w:rPr>
              <w:t>*</w:t>
            </w:r>
          </w:p>
        </w:tc>
        <w:tc>
          <w:tcPr>
            <w:tcW w:w="1829" w:type="dxa"/>
            <w:tcBorders>
              <w:top w:val="nil"/>
              <w:left w:val="nil"/>
              <w:bottom w:val="nil"/>
              <w:right w:val="nil"/>
            </w:tcBorders>
          </w:tcPr>
          <w:p w14:paraId="675A4EC3"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0.000</w:t>
            </w:r>
            <w:r w:rsidRPr="00A13378">
              <w:rPr>
                <w:rFonts w:eastAsiaTheme="minorEastAsia"/>
                <w:kern w:val="0"/>
                <w:sz w:val="21"/>
                <w:szCs w:val="21"/>
                <w:vertAlign w:val="superscript"/>
              </w:rPr>
              <w:t>**</w:t>
            </w:r>
          </w:p>
        </w:tc>
      </w:tr>
      <w:tr w:rsidR="00360661" w:rsidRPr="00A13378" w14:paraId="50447F33" w14:textId="77777777" w:rsidTr="00703708">
        <w:trPr>
          <w:trHeight w:val="329"/>
          <w:jc w:val="center"/>
        </w:trPr>
        <w:tc>
          <w:tcPr>
            <w:tcW w:w="1563" w:type="dxa"/>
            <w:tcBorders>
              <w:top w:val="nil"/>
              <w:left w:val="nil"/>
              <w:bottom w:val="nil"/>
              <w:right w:val="nil"/>
            </w:tcBorders>
          </w:tcPr>
          <w:p w14:paraId="4024D882" w14:textId="77777777" w:rsidR="00360661" w:rsidRPr="00A13378" w:rsidRDefault="00360661" w:rsidP="00360661">
            <w:pPr>
              <w:autoSpaceDE w:val="0"/>
              <w:autoSpaceDN w:val="0"/>
              <w:adjustRightInd w:val="0"/>
              <w:spacing w:line="240" w:lineRule="auto"/>
              <w:jc w:val="left"/>
              <w:rPr>
                <w:rFonts w:eastAsiaTheme="minorEastAsia"/>
                <w:kern w:val="0"/>
                <w:sz w:val="21"/>
                <w:szCs w:val="21"/>
              </w:rPr>
            </w:pPr>
          </w:p>
        </w:tc>
        <w:tc>
          <w:tcPr>
            <w:tcW w:w="1829" w:type="dxa"/>
            <w:tcBorders>
              <w:top w:val="nil"/>
              <w:left w:val="nil"/>
              <w:bottom w:val="nil"/>
              <w:right w:val="nil"/>
            </w:tcBorders>
          </w:tcPr>
          <w:p w14:paraId="6092B935"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(0.000)</w:t>
            </w:r>
          </w:p>
        </w:tc>
        <w:tc>
          <w:tcPr>
            <w:tcW w:w="1829" w:type="dxa"/>
            <w:tcBorders>
              <w:top w:val="nil"/>
              <w:left w:val="nil"/>
              <w:bottom w:val="nil"/>
              <w:right w:val="nil"/>
            </w:tcBorders>
          </w:tcPr>
          <w:p w14:paraId="77D8191E"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(0.000)</w:t>
            </w:r>
          </w:p>
        </w:tc>
        <w:tc>
          <w:tcPr>
            <w:tcW w:w="1829" w:type="dxa"/>
            <w:tcBorders>
              <w:top w:val="nil"/>
              <w:left w:val="nil"/>
              <w:bottom w:val="nil"/>
              <w:right w:val="nil"/>
            </w:tcBorders>
          </w:tcPr>
          <w:p w14:paraId="38487F32"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(0.000)</w:t>
            </w:r>
          </w:p>
        </w:tc>
      </w:tr>
      <w:tr w:rsidR="00360661" w:rsidRPr="00A13378" w14:paraId="17699D96" w14:textId="77777777" w:rsidTr="00703708">
        <w:trPr>
          <w:trHeight w:val="347"/>
          <w:jc w:val="center"/>
        </w:trPr>
        <w:tc>
          <w:tcPr>
            <w:tcW w:w="1563" w:type="dxa"/>
            <w:tcBorders>
              <w:top w:val="nil"/>
              <w:left w:val="nil"/>
              <w:bottom w:val="nil"/>
              <w:right w:val="nil"/>
            </w:tcBorders>
          </w:tcPr>
          <w:p w14:paraId="6ED09FCA" w14:textId="77777777" w:rsidR="00360661" w:rsidRPr="00A13378" w:rsidRDefault="00360661" w:rsidP="00360661">
            <w:pPr>
              <w:autoSpaceDE w:val="0"/>
              <w:autoSpaceDN w:val="0"/>
              <w:adjustRightInd w:val="0"/>
              <w:spacing w:line="240" w:lineRule="auto"/>
              <w:jc w:val="left"/>
              <w:rPr>
                <w:rFonts w:eastAsiaTheme="minorEastAsia"/>
                <w:kern w:val="0"/>
                <w:sz w:val="21"/>
                <w:szCs w:val="21"/>
              </w:rPr>
            </w:pPr>
            <w:r w:rsidRPr="00A13378">
              <w:rPr>
                <w:rFonts w:eastAsiaTheme="minorEastAsia"/>
                <w:kern w:val="0"/>
                <w:sz w:val="21"/>
                <w:szCs w:val="21"/>
              </w:rPr>
              <w:t>DTA</w:t>
            </w:r>
          </w:p>
        </w:tc>
        <w:tc>
          <w:tcPr>
            <w:tcW w:w="1829" w:type="dxa"/>
            <w:tcBorders>
              <w:top w:val="nil"/>
              <w:left w:val="nil"/>
              <w:bottom w:val="nil"/>
              <w:right w:val="nil"/>
            </w:tcBorders>
          </w:tcPr>
          <w:p w14:paraId="548F0789"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14.468</w:t>
            </w:r>
            <w:r w:rsidRPr="00A13378">
              <w:rPr>
                <w:rFonts w:eastAsiaTheme="minorEastAsia"/>
                <w:kern w:val="0"/>
                <w:sz w:val="21"/>
                <w:szCs w:val="21"/>
                <w:vertAlign w:val="superscript"/>
              </w:rPr>
              <w:t>***</w:t>
            </w:r>
          </w:p>
        </w:tc>
        <w:tc>
          <w:tcPr>
            <w:tcW w:w="1829" w:type="dxa"/>
            <w:tcBorders>
              <w:top w:val="nil"/>
              <w:left w:val="nil"/>
              <w:bottom w:val="nil"/>
              <w:right w:val="nil"/>
            </w:tcBorders>
          </w:tcPr>
          <w:p w14:paraId="0E20F60E"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14.460</w:t>
            </w:r>
            <w:r w:rsidRPr="00A13378">
              <w:rPr>
                <w:rFonts w:eastAsiaTheme="minorEastAsia"/>
                <w:kern w:val="0"/>
                <w:sz w:val="21"/>
                <w:szCs w:val="21"/>
                <w:vertAlign w:val="superscript"/>
              </w:rPr>
              <w:t>***</w:t>
            </w:r>
          </w:p>
        </w:tc>
        <w:tc>
          <w:tcPr>
            <w:tcW w:w="1829" w:type="dxa"/>
            <w:tcBorders>
              <w:top w:val="nil"/>
              <w:left w:val="nil"/>
              <w:bottom w:val="nil"/>
              <w:right w:val="nil"/>
            </w:tcBorders>
          </w:tcPr>
          <w:p w14:paraId="218C1E0D"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14.094</w:t>
            </w:r>
            <w:r w:rsidRPr="00A13378">
              <w:rPr>
                <w:rFonts w:eastAsiaTheme="minorEastAsia"/>
                <w:kern w:val="0"/>
                <w:sz w:val="21"/>
                <w:szCs w:val="21"/>
                <w:vertAlign w:val="superscript"/>
              </w:rPr>
              <w:t>***</w:t>
            </w:r>
          </w:p>
        </w:tc>
      </w:tr>
      <w:tr w:rsidR="00360661" w:rsidRPr="00A13378" w14:paraId="675ED683" w14:textId="77777777" w:rsidTr="00703708">
        <w:trPr>
          <w:trHeight w:val="329"/>
          <w:jc w:val="center"/>
        </w:trPr>
        <w:tc>
          <w:tcPr>
            <w:tcW w:w="1563" w:type="dxa"/>
            <w:tcBorders>
              <w:top w:val="nil"/>
              <w:left w:val="nil"/>
              <w:bottom w:val="nil"/>
              <w:right w:val="nil"/>
            </w:tcBorders>
          </w:tcPr>
          <w:p w14:paraId="49CF3432" w14:textId="77777777" w:rsidR="00360661" w:rsidRPr="00A13378" w:rsidRDefault="00360661" w:rsidP="00360661">
            <w:pPr>
              <w:autoSpaceDE w:val="0"/>
              <w:autoSpaceDN w:val="0"/>
              <w:adjustRightInd w:val="0"/>
              <w:spacing w:line="240" w:lineRule="auto"/>
              <w:jc w:val="left"/>
              <w:rPr>
                <w:rFonts w:eastAsiaTheme="minorEastAsia"/>
                <w:kern w:val="0"/>
                <w:sz w:val="21"/>
                <w:szCs w:val="21"/>
              </w:rPr>
            </w:pPr>
          </w:p>
        </w:tc>
        <w:tc>
          <w:tcPr>
            <w:tcW w:w="1829" w:type="dxa"/>
            <w:tcBorders>
              <w:top w:val="nil"/>
              <w:left w:val="nil"/>
              <w:bottom w:val="nil"/>
              <w:right w:val="nil"/>
            </w:tcBorders>
          </w:tcPr>
          <w:p w14:paraId="2D123E8D"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(2.373)</w:t>
            </w:r>
          </w:p>
        </w:tc>
        <w:tc>
          <w:tcPr>
            <w:tcW w:w="1829" w:type="dxa"/>
            <w:tcBorders>
              <w:top w:val="nil"/>
              <w:left w:val="nil"/>
              <w:bottom w:val="nil"/>
              <w:right w:val="nil"/>
            </w:tcBorders>
          </w:tcPr>
          <w:p w14:paraId="2FF67FA4"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(2.379)</w:t>
            </w:r>
          </w:p>
        </w:tc>
        <w:tc>
          <w:tcPr>
            <w:tcW w:w="1829" w:type="dxa"/>
            <w:tcBorders>
              <w:top w:val="nil"/>
              <w:left w:val="nil"/>
              <w:bottom w:val="nil"/>
              <w:right w:val="nil"/>
            </w:tcBorders>
          </w:tcPr>
          <w:p w14:paraId="1E8B76F2"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(2.357)</w:t>
            </w:r>
          </w:p>
        </w:tc>
      </w:tr>
      <w:tr w:rsidR="00360661" w:rsidRPr="00A13378" w14:paraId="60D2DE2D" w14:textId="77777777" w:rsidTr="00703708">
        <w:trPr>
          <w:trHeight w:val="347"/>
          <w:jc w:val="center"/>
        </w:trPr>
        <w:tc>
          <w:tcPr>
            <w:tcW w:w="1563" w:type="dxa"/>
            <w:tcBorders>
              <w:top w:val="nil"/>
              <w:left w:val="nil"/>
              <w:bottom w:val="nil"/>
              <w:right w:val="nil"/>
            </w:tcBorders>
          </w:tcPr>
          <w:p w14:paraId="3C584D10" w14:textId="77777777" w:rsidR="00360661" w:rsidRPr="00A13378" w:rsidRDefault="00360661" w:rsidP="00360661">
            <w:pPr>
              <w:autoSpaceDE w:val="0"/>
              <w:autoSpaceDN w:val="0"/>
              <w:adjustRightInd w:val="0"/>
              <w:spacing w:line="240" w:lineRule="auto"/>
              <w:jc w:val="left"/>
              <w:rPr>
                <w:rFonts w:eastAsiaTheme="minorEastAsia"/>
                <w:kern w:val="0"/>
                <w:sz w:val="21"/>
                <w:szCs w:val="21"/>
              </w:rPr>
            </w:pPr>
            <w:r w:rsidRPr="00A13378">
              <w:rPr>
                <w:rFonts w:eastAsiaTheme="minorEastAsia"/>
                <w:kern w:val="0"/>
                <w:sz w:val="21"/>
                <w:szCs w:val="21"/>
              </w:rPr>
              <w:t>2.ind</w:t>
            </w:r>
          </w:p>
        </w:tc>
        <w:tc>
          <w:tcPr>
            <w:tcW w:w="1829" w:type="dxa"/>
            <w:tcBorders>
              <w:top w:val="nil"/>
              <w:left w:val="nil"/>
              <w:bottom w:val="nil"/>
              <w:right w:val="nil"/>
            </w:tcBorders>
          </w:tcPr>
          <w:p w14:paraId="229120C0"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0.000</w:t>
            </w:r>
          </w:p>
        </w:tc>
        <w:tc>
          <w:tcPr>
            <w:tcW w:w="1829" w:type="dxa"/>
            <w:tcBorders>
              <w:top w:val="nil"/>
              <w:left w:val="nil"/>
              <w:bottom w:val="nil"/>
              <w:right w:val="nil"/>
            </w:tcBorders>
          </w:tcPr>
          <w:p w14:paraId="34A23999"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0.000</w:t>
            </w:r>
          </w:p>
        </w:tc>
        <w:tc>
          <w:tcPr>
            <w:tcW w:w="1829" w:type="dxa"/>
            <w:tcBorders>
              <w:top w:val="nil"/>
              <w:left w:val="nil"/>
              <w:bottom w:val="nil"/>
              <w:right w:val="nil"/>
            </w:tcBorders>
          </w:tcPr>
          <w:p w14:paraId="4E885FDF"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0.000</w:t>
            </w:r>
          </w:p>
        </w:tc>
      </w:tr>
      <w:tr w:rsidR="00360661" w:rsidRPr="00A13378" w14:paraId="4278F3F2" w14:textId="77777777" w:rsidTr="00703708">
        <w:trPr>
          <w:trHeight w:val="329"/>
          <w:jc w:val="center"/>
        </w:trPr>
        <w:tc>
          <w:tcPr>
            <w:tcW w:w="1563" w:type="dxa"/>
            <w:tcBorders>
              <w:top w:val="nil"/>
              <w:left w:val="nil"/>
              <w:bottom w:val="nil"/>
              <w:right w:val="nil"/>
            </w:tcBorders>
          </w:tcPr>
          <w:p w14:paraId="14A26155" w14:textId="77777777" w:rsidR="00360661" w:rsidRPr="00A13378" w:rsidRDefault="00360661" w:rsidP="00360661">
            <w:pPr>
              <w:autoSpaceDE w:val="0"/>
              <w:autoSpaceDN w:val="0"/>
              <w:adjustRightInd w:val="0"/>
              <w:spacing w:line="240" w:lineRule="auto"/>
              <w:jc w:val="left"/>
              <w:rPr>
                <w:rFonts w:eastAsiaTheme="minorEastAsia"/>
                <w:kern w:val="0"/>
                <w:sz w:val="21"/>
                <w:szCs w:val="21"/>
              </w:rPr>
            </w:pPr>
          </w:p>
        </w:tc>
        <w:tc>
          <w:tcPr>
            <w:tcW w:w="1829" w:type="dxa"/>
            <w:tcBorders>
              <w:top w:val="nil"/>
              <w:left w:val="nil"/>
              <w:bottom w:val="nil"/>
              <w:right w:val="nil"/>
            </w:tcBorders>
          </w:tcPr>
          <w:p w14:paraId="347CAC75"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w:t>
            </w:r>
          </w:p>
        </w:tc>
        <w:tc>
          <w:tcPr>
            <w:tcW w:w="1829" w:type="dxa"/>
            <w:tcBorders>
              <w:top w:val="nil"/>
              <w:left w:val="nil"/>
              <w:bottom w:val="nil"/>
              <w:right w:val="nil"/>
            </w:tcBorders>
          </w:tcPr>
          <w:p w14:paraId="2DF0CF49"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w:t>
            </w:r>
          </w:p>
        </w:tc>
        <w:tc>
          <w:tcPr>
            <w:tcW w:w="1829" w:type="dxa"/>
            <w:tcBorders>
              <w:top w:val="nil"/>
              <w:left w:val="nil"/>
              <w:bottom w:val="nil"/>
              <w:right w:val="nil"/>
            </w:tcBorders>
          </w:tcPr>
          <w:p w14:paraId="0A4CE1A4"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w:t>
            </w:r>
          </w:p>
        </w:tc>
      </w:tr>
      <w:tr w:rsidR="00360661" w:rsidRPr="00A13378" w14:paraId="4800CD15" w14:textId="77777777" w:rsidTr="00703708">
        <w:trPr>
          <w:trHeight w:val="347"/>
          <w:jc w:val="center"/>
        </w:trPr>
        <w:tc>
          <w:tcPr>
            <w:tcW w:w="1563" w:type="dxa"/>
            <w:tcBorders>
              <w:top w:val="nil"/>
              <w:left w:val="nil"/>
              <w:bottom w:val="nil"/>
              <w:right w:val="nil"/>
            </w:tcBorders>
          </w:tcPr>
          <w:p w14:paraId="35335A90" w14:textId="77777777" w:rsidR="00360661" w:rsidRPr="00A13378" w:rsidRDefault="00360661" w:rsidP="00360661">
            <w:pPr>
              <w:autoSpaceDE w:val="0"/>
              <w:autoSpaceDN w:val="0"/>
              <w:adjustRightInd w:val="0"/>
              <w:spacing w:line="240" w:lineRule="auto"/>
              <w:jc w:val="left"/>
              <w:rPr>
                <w:rFonts w:eastAsiaTheme="minorEastAsia"/>
                <w:kern w:val="0"/>
                <w:sz w:val="21"/>
                <w:szCs w:val="21"/>
              </w:rPr>
            </w:pPr>
            <w:r w:rsidRPr="00A13378">
              <w:rPr>
                <w:rFonts w:eastAsiaTheme="minorEastAsia"/>
                <w:kern w:val="0"/>
                <w:sz w:val="21"/>
                <w:szCs w:val="21"/>
              </w:rPr>
              <w:t>3.ind</w:t>
            </w:r>
          </w:p>
        </w:tc>
        <w:tc>
          <w:tcPr>
            <w:tcW w:w="1829" w:type="dxa"/>
            <w:tcBorders>
              <w:top w:val="nil"/>
              <w:left w:val="nil"/>
              <w:bottom w:val="nil"/>
              <w:right w:val="nil"/>
            </w:tcBorders>
          </w:tcPr>
          <w:p w14:paraId="0E262360"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-4.037</w:t>
            </w:r>
            <w:r w:rsidRPr="00A13378">
              <w:rPr>
                <w:rFonts w:eastAsiaTheme="minorEastAsia"/>
                <w:kern w:val="0"/>
                <w:sz w:val="21"/>
                <w:szCs w:val="21"/>
                <w:vertAlign w:val="superscript"/>
              </w:rPr>
              <w:t>**</w:t>
            </w:r>
          </w:p>
        </w:tc>
        <w:tc>
          <w:tcPr>
            <w:tcW w:w="1829" w:type="dxa"/>
            <w:tcBorders>
              <w:top w:val="nil"/>
              <w:left w:val="nil"/>
              <w:bottom w:val="nil"/>
              <w:right w:val="nil"/>
            </w:tcBorders>
          </w:tcPr>
          <w:p w14:paraId="6827E447"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-4.018</w:t>
            </w:r>
            <w:r w:rsidRPr="00A13378">
              <w:rPr>
                <w:rFonts w:eastAsiaTheme="minorEastAsia"/>
                <w:kern w:val="0"/>
                <w:sz w:val="21"/>
                <w:szCs w:val="21"/>
                <w:vertAlign w:val="superscript"/>
              </w:rPr>
              <w:t>**</w:t>
            </w:r>
          </w:p>
        </w:tc>
        <w:tc>
          <w:tcPr>
            <w:tcW w:w="1829" w:type="dxa"/>
            <w:tcBorders>
              <w:top w:val="nil"/>
              <w:left w:val="nil"/>
              <w:bottom w:val="nil"/>
              <w:right w:val="nil"/>
            </w:tcBorders>
          </w:tcPr>
          <w:p w14:paraId="5D6D5FCB"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-4.492</w:t>
            </w:r>
            <w:r w:rsidRPr="00A13378">
              <w:rPr>
                <w:rFonts w:eastAsiaTheme="minorEastAsia"/>
                <w:kern w:val="0"/>
                <w:sz w:val="21"/>
                <w:szCs w:val="21"/>
                <w:vertAlign w:val="superscript"/>
              </w:rPr>
              <w:t>***</w:t>
            </w:r>
          </w:p>
        </w:tc>
      </w:tr>
      <w:tr w:rsidR="00360661" w:rsidRPr="00A13378" w14:paraId="7D4F7E54" w14:textId="77777777" w:rsidTr="00703708">
        <w:trPr>
          <w:trHeight w:val="329"/>
          <w:jc w:val="center"/>
        </w:trPr>
        <w:tc>
          <w:tcPr>
            <w:tcW w:w="1563" w:type="dxa"/>
            <w:tcBorders>
              <w:top w:val="nil"/>
              <w:left w:val="nil"/>
              <w:bottom w:val="nil"/>
              <w:right w:val="nil"/>
            </w:tcBorders>
          </w:tcPr>
          <w:p w14:paraId="61C86C67" w14:textId="77777777" w:rsidR="00360661" w:rsidRPr="00A13378" w:rsidRDefault="00360661" w:rsidP="00360661">
            <w:pPr>
              <w:autoSpaceDE w:val="0"/>
              <w:autoSpaceDN w:val="0"/>
              <w:adjustRightInd w:val="0"/>
              <w:spacing w:line="240" w:lineRule="auto"/>
              <w:jc w:val="left"/>
              <w:rPr>
                <w:rFonts w:eastAsiaTheme="minorEastAsia"/>
                <w:kern w:val="0"/>
                <w:sz w:val="21"/>
                <w:szCs w:val="21"/>
              </w:rPr>
            </w:pPr>
          </w:p>
        </w:tc>
        <w:tc>
          <w:tcPr>
            <w:tcW w:w="1829" w:type="dxa"/>
            <w:tcBorders>
              <w:top w:val="nil"/>
              <w:left w:val="nil"/>
              <w:bottom w:val="nil"/>
              <w:right w:val="nil"/>
            </w:tcBorders>
          </w:tcPr>
          <w:p w14:paraId="60F39A16"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(1.563)</w:t>
            </w:r>
          </w:p>
        </w:tc>
        <w:tc>
          <w:tcPr>
            <w:tcW w:w="1829" w:type="dxa"/>
            <w:tcBorders>
              <w:top w:val="nil"/>
              <w:left w:val="nil"/>
              <w:bottom w:val="nil"/>
              <w:right w:val="nil"/>
            </w:tcBorders>
          </w:tcPr>
          <w:p w14:paraId="7C6B22B1"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(1.567)</w:t>
            </w:r>
          </w:p>
        </w:tc>
        <w:tc>
          <w:tcPr>
            <w:tcW w:w="1829" w:type="dxa"/>
            <w:tcBorders>
              <w:top w:val="nil"/>
              <w:left w:val="nil"/>
              <w:bottom w:val="nil"/>
              <w:right w:val="nil"/>
            </w:tcBorders>
          </w:tcPr>
          <w:p w14:paraId="351EE54D"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(1.559)</w:t>
            </w:r>
          </w:p>
        </w:tc>
      </w:tr>
      <w:tr w:rsidR="00360661" w:rsidRPr="00A13378" w14:paraId="63BA1C14" w14:textId="77777777" w:rsidTr="00703708">
        <w:trPr>
          <w:trHeight w:val="329"/>
          <w:jc w:val="center"/>
        </w:trPr>
        <w:tc>
          <w:tcPr>
            <w:tcW w:w="1563" w:type="dxa"/>
            <w:tcBorders>
              <w:top w:val="nil"/>
              <w:left w:val="nil"/>
              <w:bottom w:val="nil"/>
              <w:right w:val="nil"/>
            </w:tcBorders>
          </w:tcPr>
          <w:p w14:paraId="6DAE6808" w14:textId="77777777" w:rsidR="00360661" w:rsidRPr="00A13378" w:rsidRDefault="00360661" w:rsidP="00360661">
            <w:pPr>
              <w:autoSpaceDE w:val="0"/>
              <w:autoSpaceDN w:val="0"/>
              <w:adjustRightInd w:val="0"/>
              <w:spacing w:line="240" w:lineRule="auto"/>
              <w:jc w:val="left"/>
              <w:rPr>
                <w:rFonts w:eastAsiaTheme="minorEastAsia"/>
                <w:kern w:val="0"/>
                <w:sz w:val="21"/>
                <w:szCs w:val="21"/>
              </w:rPr>
            </w:pPr>
            <w:r w:rsidRPr="00A13378">
              <w:rPr>
                <w:rFonts w:eastAsiaTheme="minorEastAsia"/>
                <w:kern w:val="0"/>
                <w:sz w:val="21"/>
                <w:szCs w:val="21"/>
              </w:rPr>
              <w:t>4.ind</w:t>
            </w:r>
          </w:p>
        </w:tc>
        <w:tc>
          <w:tcPr>
            <w:tcW w:w="1829" w:type="dxa"/>
            <w:tcBorders>
              <w:top w:val="nil"/>
              <w:left w:val="nil"/>
              <w:bottom w:val="nil"/>
              <w:right w:val="nil"/>
            </w:tcBorders>
          </w:tcPr>
          <w:p w14:paraId="56D9DD23"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-2.238</w:t>
            </w:r>
          </w:p>
        </w:tc>
        <w:tc>
          <w:tcPr>
            <w:tcW w:w="1829" w:type="dxa"/>
            <w:tcBorders>
              <w:top w:val="nil"/>
              <w:left w:val="nil"/>
              <w:bottom w:val="nil"/>
              <w:right w:val="nil"/>
            </w:tcBorders>
          </w:tcPr>
          <w:p w14:paraId="7F0566A5"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-2.199</w:t>
            </w:r>
          </w:p>
        </w:tc>
        <w:tc>
          <w:tcPr>
            <w:tcW w:w="1829" w:type="dxa"/>
            <w:tcBorders>
              <w:top w:val="nil"/>
              <w:left w:val="nil"/>
              <w:bottom w:val="nil"/>
              <w:right w:val="nil"/>
            </w:tcBorders>
          </w:tcPr>
          <w:p w14:paraId="0D3FCD78"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-2.428</w:t>
            </w:r>
          </w:p>
        </w:tc>
      </w:tr>
      <w:tr w:rsidR="00360661" w:rsidRPr="00A13378" w14:paraId="62B8DE87" w14:textId="77777777" w:rsidTr="00703708">
        <w:trPr>
          <w:trHeight w:val="347"/>
          <w:jc w:val="center"/>
        </w:trPr>
        <w:tc>
          <w:tcPr>
            <w:tcW w:w="1563" w:type="dxa"/>
            <w:tcBorders>
              <w:top w:val="nil"/>
              <w:left w:val="nil"/>
              <w:bottom w:val="nil"/>
              <w:right w:val="nil"/>
            </w:tcBorders>
          </w:tcPr>
          <w:p w14:paraId="75D420E6" w14:textId="77777777" w:rsidR="00360661" w:rsidRPr="00A13378" w:rsidRDefault="00360661" w:rsidP="00360661">
            <w:pPr>
              <w:autoSpaceDE w:val="0"/>
              <w:autoSpaceDN w:val="0"/>
              <w:adjustRightInd w:val="0"/>
              <w:spacing w:line="240" w:lineRule="auto"/>
              <w:jc w:val="left"/>
              <w:rPr>
                <w:rFonts w:eastAsiaTheme="minorEastAsia"/>
                <w:kern w:val="0"/>
                <w:sz w:val="21"/>
                <w:szCs w:val="21"/>
              </w:rPr>
            </w:pPr>
          </w:p>
        </w:tc>
        <w:tc>
          <w:tcPr>
            <w:tcW w:w="1829" w:type="dxa"/>
            <w:tcBorders>
              <w:top w:val="nil"/>
              <w:left w:val="nil"/>
              <w:bottom w:val="nil"/>
              <w:right w:val="nil"/>
            </w:tcBorders>
          </w:tcPr>
          <w:p w14:paraId="65FF1E80"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(2.913)</w:t>
            </w:r>
          </w:p>
        </w:tc>
        <w:tc>
          <w:tcPr>
            <w:tcW w:w="1829" w:type="dxa"/>
            <w:tcBorders>
              <w:top w:val="nil"/>
              <w:left w:val="nil"/>
              <w:bottom w:val="nil"/>
              <w:right w:val="nil"/>
            </w:tcBorders>
          </w:tcPr>
          <w:p w14:paraId="0741F396"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(2.919)</w:t>
            </w:r>
          </w:p>
        </w:tc>
        <w:tc>
          <w:tcPr>
            <w:tcW w:w="1829" w:type="dxa"/>
            <w:tcBorders>
              <w:top w:val="nil"/>
              <w:left w:val="nil"/>
              <w:bottom w:val="nil"/>
              <w:right w:val="nil"/>
            </w:tcBorders>
          </w:tcPr>
          <w:p w14:paraId="082A883A"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(2.889)</w:t>
            </w:r>
          </w:p>
        </w:tc>
      </w:tr>
      <w:tr w:rsidR="00360661" w:rsidRPr="00A13378" w14:paraId="6BAEF329" w14:textId="77777777" w:rsidTr="00703708">
        <w:trPr>
          <w:trHeight w:val="329"/>
          <w:jc w:val="center"/>
        </w:trPr>
        <w:tc>
          <w:tcPr>
            <w:tcW w:w="1563" w:type="dxa"/>
            <w:tcBorders>
              <w:top w:val="nil"/>
              <w:left w:val="nil"/>
              <w:bottom w:val="nil"/>
              <w:right w:val="nil"/>
            </w:tcBorders>
          </w:tcPr>
          <w:p w14:paraId="693DC97E" w14:textId="77777777" w:rsidR="00360661" w:rsidRPr="00A13378" w:rsidRDefault="00360661" w:rsidP="00360661">
            <w:pPr>
              <w:autoSpaceDE w:val="0"/>
              <w:autoSpaceDN w:val="0"/>
              <w:adjustRightInd w:val="0"/>
              <w:spacing w:line="240" w:lineRule="auto"/>
              <w:jc w:val="left"/>
              <w:rPr>
                <w:rFonts w:eastAsiaTheme="minorEastAsia"/>
                <w:kern w:val="0"/>
                <w:sz w:val="21"/>
                <w:szCs w:val="21"/>
              </w:rPr>
            </w:pPr>
            <w:r w:rsidRPr="00A13378">
              <w:rPr>
                <w:rFonts w:eastAsiaTheme="minorEastAsia"/>
                <w:kern w:val="0"/>
                <w:sz w:val="21"/>
                <w:szCs w:val="21"/>
              </w:rPr>
              <w:t>5.ind</w:t>
            </w:r>
          </w:p>
        </w:tc>
        <w:tc>
          <w:tcPr>
            <w:tcW w:w="1829" w:type="dxa"/>
            <w:tcBorders>
              <w:top w:val="nil"/>
              <w:left w:val="nil"/>
              <w:bottom w:val="nil"/>
              <w:right w:val="nil"/>
            </w:tcBorders>
          </w:tcPr>
          <w:p w14:paraId="0267C88F"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4.320</w:t>
            </w:r>
            <w:r w:rsidRPr="00A13378">
              <w:rPr>
                <w:rFonts w:eastAsiaTheme="minorEastAsia"/>
                <w:kern w:val="0"/>
                <w:sz w:val="21"/>
                <w:szCs w:val="21"/>
                <w:vertAlign w:val="superscript"/>
              </w:rPr>
              <w:t>***</w:t>
            </w:r>
          </w:p>
        </w:tc>
        <w:tc>
          <w:tcPr>
            <w:tcW w:w="1829" w:type="dxa"/>
            <w:tcBorders>
              <w:top w:val="nil"/>
              <w:left w:val="nil"/>
              <w:bottom w:val="nil"/>
              <w:right w:val="nil"/>
            </w:tcBorders>
          </w:tcPr>
          <w:p w14:paraId="6285CAFF"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4.317</w:t>
            </w:r>
            <w:r w:rsidRPr="00A13378">
              <w:rPr>
                <w:rFonts w:eastAsiaTheme="minorEastAsia"/>
                <w:kern w:val="0"/>
                <w:sz w:val="21"/>
                <w:szCs w:val="21"/>
                <w:vertAlign w:val="superscript"/>
              </w:rPr>
              <w:t>***</w:t>
            </w:r>
          </w:p>
        </w:tc>
        <w:tc>
          <w:tcPr>
            <w:tcW w:w="1829" w:type="dxa"/>
            <w:tcBorders>
              <w:top w:val="nil"/>
              <w:left w:val="nil"/>
              <w:bottom w:val="nil"/>
              <w:right w:val="nil"/>
            </w:tcBorders>
          </w:tcPr>
          <w:p w14:paraId="41C9898E"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4.188</w:t>
            </w:r>
            <w:r w:rsidRPr="00A13378">
              <w:rPr>
                <w:rFonts w:eastAsiaTheme="minorEastAsia"/>
                <w:kern w:val="0"/>
                <w:sz w:val="21"/>
                <w:szCs w:val="21"/>
                <w:vertAlign w:val="superscript"/>
              </w:rPr>
              <w:t>***</w:t>
            </w:r>
          </w:p>
        </w:tc>
      </w:tr>
      <w:tr w:rsidR="00360661" w:rsidRPr="00A13378" w14:paraId="5E7DC202" w14:textId="77777777" w:rsidTr="00703708">
        <w:trPr>
          <w:trHeight w:val="347"/>
          <w:jc w:val="center"/>
        </w:trPr>
        <w:tc>
          <w:tcPr>
            <w:tcW w:w="1563" w:type="dxa"/>
            <w:tcBorders>
              <w:top w:val="nil"/>
              <w:left w:val="nil"/>
              <w:bottom w:val="nil"/>
              <w:right w:val="nil"/>
            </w:tcBorders>
          </w:tcPr>
          <w:p w14:paraId="31B35F49" w14:textId="77777777" w:rsidR="00360661" w:rsidRPr="00A13378" w:rsidRDefault="00360661" w:rsidP="00360661">
            <w:pPr>
              <w:autoSpaceDE w:val="0"/>
              <w:autoSpaceDN w:val="0"/>
              <w:adjustRightInd w:val="0"/>
              <w:spacing w:line="240" w:lineRule="auto"/>
              <w:jc w:val="left"/>
              <w:rPr>
                <w:rFonts w:eastAsiaTheme="minorEastAsia"/>
                <w:kern w:val="0"/>
                <w:sz w:val="21"/>
                <w:szCs w:val="21"/>
              </w:rPr>
            </w:pPr>
          </w:p>
        </w:tc>
        <w:tc>
          <w:tcPr>
            <w:tcW w:w="1829" w:type="dxa"/>
            <w:tcBorders>
              <w:top w:val="nil"/>
              <w:left w:val="nil"/>
              <w:bottom w:val="nil"/>
              <w:right w:val="nil"/>
            </w:tcBorders>
          </w:tcPr>
          <w:p w14:paraId="495B42DE"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(0.914)</w:t>
            </w:r>
          </w:p>
        </w:tc>
        <w:tc>
          <w:tcPr>
            <w:tcW w:w="1829" w:type="dxa"/>
            <w:tcBorders>
              <w:top w:val="nil"/>
              <w:left w:val="nil"/>
              <w:bottom w:val="nil"/>
              <w:right w:val="nil"/>
            </w:tcBorders>
          </w:tcPr>
          <w:p w14:paraId="4D212633"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(0.917)</w:t>
            </w:r>
          </w:p>
        </w:tc>
        <w:tc>
          <w:tcPr>
            <w:tcW w:w="1829" w:type="dxa"/>
            <w:tcBorders>
              <w:top w:val="nil"/>
              <w:left w:val="nil"/>
              <w:bottom w:val="nil"/>
              <w:right w:val="nil"/>
            </w:tcBorders>
          </w:tcPr>
          <w:p w14:paraId="0BC34D6B"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(0.908)</w:t>
            </w:r>
          </w:p>
        </w:tc>
      </w:tr>
      <w:tr w:rsidR="00360661" w:rsidRPr="00A13378" w14:paraId="4FEA5F96" w14:textId="77777777" w:rsidTr="00703708">
        <w:trPr>
          <w:trHeight w:val="329"/>
          <w:jc w:val="center"/>
        </w:trPr>
        <w:tc>
          <w:tcPr>
            <w:tcW w:w="1563" w:type="dxa"/>
            <w:tcBorders>
              <w:top w:val="nil"/>
              <w:left w:val="nil"/>
              <w:bottom w:val="nil"/>
              <w:right w:val="nil"/>
            </w:tcBorders>
          </w:tcPr>
          <w:p w14:paraId="1988B327" w14:textId="77777777" w:rsidR="00360661" w:rsidRPr="00A13378" w:rsidRDefault="00360661" w:rsidP="00360661">
            <w:pPr>
              <w:autoSpaceDE w:val="0"/>
              <w:autoSpaceDN w:val="0"/>
              <w:adjustRightInd w:val="0"/>
              <w:spacing w:line="240" w:lineRule="auto"/>
              <w:jc w:val="left"/>
              <w:rPr>
                <w:rFonts w:eastAsiaTheme="minorEastAsia"/>
                <w:kern w:val="0"/>
                <w:sz w:val="21"/>
                <w:szCs w:val="21"/>
              </w:rPr>
            </w:pPr>
            <w:r w:rsidRPr="00A13378">
              <w:rPr>
                <w:rFonts w:eastAsiaTheme="minorEastAsia"/>
                <w:kern w:val="0"/>
                <w:sz w:val="21"/>
                <w:szCs w:val="21"/>
              </w:rPr>
              <w:t>6.ind</w:t>
            </w:r>
          </w:p>
        </w:tc>
        <w:tc>
          <w:tcPr>
            <w:tcW w:w="1829" w:type="dxa"/>
            <w:tcBorders>
              <w:top w:val="nil"/>
              <w:left w:val="nil"/>
              <w:bottom w:val="nil"/>
              <w:right w:val="nil"/>
            </w:tcBorders>
          </w:tcPr>
          <w:p w14:paraId="2C4D8C47"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-4.776</w:t>
            </w:r>
            <w:r w:rsidRPr="00A13378">
              <w:rPr>
                <w:rFonts w:eastAsiaTheme="minorEastAsia"/>
                <w:kern w:val="0"/>
                <w:sz w:val="21"/>
                <w:szCs w:val="21"/>
                <w:vertAlign w:val="superscript"/>
              </w:rPr>
              <w:t>**</w:t>
            </w:r>
          </w:p>
        </w:tc>
        <w:tc>
          <w:tcPr>
            <w:tcW w:w="1829" w:type="dxa"/>
            <w:tcBorders>
              <w:top w:val="nil"/>
              <w:left w:val="nil"/>
              <w:bottom w:val="nil"/>
              <w:right w:val="nil"/>
            </w:tcBorders>
          </w:tcPr>
          <w:p w14:paraId="360B409B"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-4.746</w:t>
            </w:r>
            <w:r w:rsidRPr="00A13378">
              <w:rPr>
                <w:rFonts w:eastAsiaTheme="minorEastAsia"/>
                <w:kern w:val="0"/>
                <w:sz w:val="21"/>
                <w:szCs w:val="21"/>
                <w:vertAlign w:val="superscript"/>
              </w:rPr>
              <w:t>**</w:t>
            </w:r>
          </w:p>
        </w:tc>
        <w:tc>
          <w:tcPr>
            <w:tcW w:w="1829" w:type="dxa"/>
            <w:tcBorders>
              <w:top w:val="nil"/>
              <w:left w:val="nil"/>
              <w:bottom w:val="nil"/>
              <w:right w:val="nil"/>
            </w:tcBorders>
          </w:tcPr>
          <w:p w14:paraId="68BA58B7"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-5.149</w:t>
            </w:r>
            <w:r w:rsidRPr="00A13378">
              <w:rPr>
                <w:rFonts w:eastAsiaTheme="minorEastAsia"/>
                <w:kern w:val="0"/>
                <w:sz w:val="21"/>
                <w:szCs w:val="21"/>
                <w:vertAlign w:val="superscript"/>
              </w:rPr>
              <w:t>***</w:t>
            </w:r>
          </w:p>
        </w:tc>
      </w:tr>
      <w:tr w:rsidR="00360661" w:rsidRPr="00A13378" w14:paraId="0C5A5346" w14:textId="77777777" w:rsidTr="00703708">
        <w:trPr>
          <w:trHeight w:val="347"/>
          <w:jc w:val="center"/>
        </w:trPr>
        <w:tc>
          <w:tcPr>
            <w:tcW w:w="1563" w:type="dxa"/>
            <w:tcBorders>
              <w:top w:val="nil"/>
              <w:left w:val="nil"/>
              <w:bottom w:val="nil"/>
              <w:right w:val="nil"/>
            </w:tcBorders>
          </w:tcPr>
          <w:p w14:paraId="6D61E80A" w14:textId="77777777" w:rsidR="00360661" w:rsidRPr="00A13378" w:rsidRDefault="00360661" w:rsidP="00360661">
            <w:pPr>
              <w:autoSpaceDE w:val="0"/>
              <w:autoSpaceDN w:val="0"/>
              <w:adjustRightInd w:val="0"/>
              <w:spacing w:line="240" w:lineRule="auto"/>
              <w:jc w:val="left"/>
              <w:rPr>
                <w:rFonts w:eastAsiaTheme="minorEastAsia"/>
                <w:kern w:val="0"/>
                <w:sz w:val="21"/>
                <w:szCs w:val="21"/>
              </w:rPr>
            </w:pPr>
          </w:p>
        </w:tc>
        <w:tc>
          <w:tcPr>
            <w:tcW w:w="1829" w:type="dxa"/>
            <w:tcBorders>
              <w:top w:val="nil"/>
              <w:left w:val="nil"/>
              <w:bottom w:val="nil"/>
              <w:right w:val="nil"/>
            </w:tcBorders>
          </w:tcPr>
          <w:p w14:paraId="600FACB6"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(1.864)</w:t>
            </w:r>
          </w:p>
        </w:tc>
        <w:tc>
          <w:tcPr>
            <w:tcW w:w="1829" w:type="dxa"/>
            <w:tcBorders>
              <w:top w:val="nil"/>
              <w:left w:val="nil"/>
              <w:bottom w:val="nil"/>
              <w:right w:val="nil"/>
            </w:tcBorders>
          </w:tcPr>
          <w:p w14:paraId="54619D4E"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(1.868)</w:t>
            </w:r>
          </w:p>
        </w:tc>
        <w:tc>
          <w:tcPr>
            <w:tcW w:w="1829" w:type="dxa"/>
            <w:tcBorders>
              <w:top w:val="nil"/>
              <w:left w:val="nil"/>
              <w:bottom w:val="nil"/>
              <w:right w:val="nil"/>
            </w:tcBorders>
          </w:tcPr>
          <w:p w14:paraId="3FDC9559"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(1.853)</w:t>
            </w:r>
          </w:p>
        </w:tc>
      </w:tr>
      <w:tr w:rsidR="00360661" w:rsidRPr="00A13378" w14:paraId="65D4A35D" w14:textId="77777777" w:rsidTr="00703708">
        <w:trPr>
          <w:trHeight w:val="329"/>
          <w:jc w:val="center"/>
        </w:trPr>
        <w:tc>
          <w:tcPr>
            <w:tcW w:w="1563" w:type="dxa"/>
            <w:tcBorders>
              <w:top w:val="nil"/>
              <w:left w:val="nil"/>
              <w:bottom w:val="nil"/>
              <w:right w:val="nil"/>
            </w:tcBorders>
          </w:tcPr>
          <w:p w14:paraId="0039530A" w14:textId="77777777" w:rsidR="00360661" w:rsidRPr="00A13378" w:rsidRDefault="00360661" w:rsidP="00360661">
            <w:pPr>
              <w:autoSpaceDE w:val="0"/>
              <w:autoSpaceDN w:val="0"/>
              <w:adjustRightInd w:val="0"/>
              <w:spacing w:line="240" w:lineRule="auto"/>
              <w:jc w:val="left"/>
              <w:rPr>
                <w:rFonts w:eastAsiaTheme="minorEastAsia"/>
                <w:kern w:val="0"/>
                <w:sz w:val="21"/>
                <w:szCs w:val="21"/>
              </w:rPr>
            </w:pPr>
            <w:r w:rsidRPr="00A13378">
              <w:rPr>
                <w:rFonts w:eastAsiaTheme="minorEastAsia"/>
                <w:kern w:val="0"/>
                <w:sz w:val="21"/>
                <w:szCs w:val="21"/>
              </w:rPr>
              <w:t>Delta</w:t>
            </w:r>
          </w:p>
        </w:tc>
        <w:tc>
          <w:tcPr>
            <w:tcW w:w="1829" w:type="dxa"/>
            <w:tcBorders>
              <w:top w:val="nil"/>
              <w:left w:val="nil"/>
              <w:bottom w:val="nil"/>
              <w:right w:val="nil"/>
            </w:tcBorders>
          </w:tcPr>
          <w:p w14:paraId="3233595C"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p>
        </w:tc>
        <w:tc>
          <w:tcPr>
            <w:tcW w:w="1829" w:type="dxa"/>
            <w:tcBorders>
              <w:top w:val="nil"/>
              <w:left w:val="nil"/>
              <w:bottom w:val="nil"/>
              <w:right w:val="nil"/>
            </w:tcBorders>
          </w:tcPr>
          <w:p w14:paraId="76F7F723"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0.165</w:t>
            </w:r>
            <w:r w:rsidRPr="00A13378">
              <w:rPr>
                <w:rFonts w:eastAsiaTheme="minorEastAsia"/>
                <w:kern w:val="0"/>
                <w:sz w:val="21"/>
                <w:szCs w:val="21"/>
                <w:vertAlign w:val="superscript"/>
              </w:rPr>
              <w:t>**</w:t>
            </w:r>
          </w:p>
        </w:tc>
        <w:tc>
          <w:tcPr>
            <w:tcW w:w="1829" w:type="dxa"/>
            <w:tcBorders>
              <w:top w:val="nil"/>
              <w:left w:val="nil"/>
              <w:bottom w:val="nil"/>
              <w:right w:val="nil"/>
            </w:tcBorders>
          </w:tcPr>
          <w:p w14:paraId="21D0E457"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-1.787</w:t>
            </w:r>
            <w:r w:rsidRPr="00A13378">
              <w:rPr>
                <w:rFonts w:eastAsiaTheme="minorEastAsia"/>
                <w:kern w:val="0"/>
                <w:sz w:val="21"/>
                <w:szCs w:val="21"/>
                <w:vertAlign w:val="superscript"/>
              </w:rPr>
              <w:t>**</w:t>
            </w:r>
          </w:p>
        </w:tc>
      </w:tr>
      <w:tr w:rsidR="00360661" w:rsidRPr="00A13378" w14:paraId="306F769E" w14:textId="77777777" w:rsidTr="00703708">
        <w:trPr>
          <w:trHeight w:val="347"/>
          <w:jc w:val="center"/>
        </w:trPr>
        <w:tc>
          <w:tcPr>
            <w:tcW w:w="1563" w:type="dxa"/>
            <w:tcBorders>
              <w:top w:val="nil"/>
              <w:left w:val="nil"/>
              <w:bottom w:val="nil"/>
              <w:right w:val="nil"/>
            </w:tcBorders>
          </w:tcPr>
          <w:p w14:paraId="298C04BF" w14:textId="77777777" w:rsidR="00360661" w:rsidRPr="00A13378" w:rsidRDefault="00360661" w:rsidP="00360661">
            <w:pPr>
              <w:autoSpaceDE w:val="0"/>
              <w:autoSpaceDN w:val="0"/>
              <w:adjustRightInd w:val="0"/>
              <w:spacing w:line="240" w:lineRule="auto"/>
              <w:jc w:val="left"/>
              <w:rPr>
                <w:rFonts w:eastAsiaTheme="minorEastAsia"/>
                <w:kern w:val="0"/>
                <w:sz w:val="21"/>
                <w:szCs w:val="21"/>
              </w:rPr>
            </w:pPr>
          </w:p>
        </w:tc>
        <w:tc>
          <w:tcPr>
            <w:tcW w:w="1829" w:type="dxa"/>
            <w:tcBorders>
              <w:top w:val="nil"/>
              <w:left w:val="nil"/>
              <w:bottom w:val="nil"/>
              <w:right w:val="nil"/>
            </w:tcBorders>
          </w:tcPr>
          <w:p w14:paraId="7B9EE4AE"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p>
        </w:tc>
        <w:tc>
          <w:tcPr>
            <w:tcW w:w="1829" w:type="dxa"/>
            <w:tcBorders>
              <w:top w:val="nil"/>
              <w:left w:val="nil"/>
              <w:bottom w:val="nil"/>
              <w:right w:val="nil"/>
            </w:tcBorders>
          </w:tcPr>
          <w:p w14:paraId="19B7EA7D"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(0.081)</w:t>
            </w:r>
          </w:p>
        </w:tc>
        <w:tc>
          <w:tcPr>
            <w:tcW w:w="1829" w:type="dxa"/>
            <w:tcBorders>
              <w:top w:val="nil"/>
              <w:left w:val="nil"/>
              <w:bottom w:val="nil"/>
              <w:right w:val="nil"/>
            </w:tcBorders>
          </w:tcPr>
          <w:p w14:paraId="3FAB79E1"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(0.701)</w:t>
            </w:r>
          </w:p>
        </w:tc>
      </w:tr>
      <w:tr w:rsidR="00360661" w:rsidRPr="00A13378" w14:paraId="6AF290F2" w14:textId="77777777" w:rsidTr="00703708">
        <w:trPr>
          <w:trHeight w:val="329"/>
          <w:jc w:val="center"/>
        </w:trPr>
        <w:tc>
          <w:tcPr>
            <w:tcW w:w="1563" w:type="dxa"/>
            <w:tcBorders>
              <w:top w:val="nil"/>
              <w:left w:val="nil"/>
              <w:right w:val="nil"/>
            </w:tcBorders>
          </w:tcPr>
          <w:p w14:paraId="3F2668FC" w14:textId="77777777" w:rsidR="00360661" w:rsidRPr="00A13378" w:rsidRDefault="00360661" w:rsidP="00360661">
            <w:pPr>
              <w:autoSpaceDE w:val="0"/>
              <w:autoSpaceDN w:val="0"/>
              <w:adjustRightInd w:val="0"/>
              <w:spacing w:line="240" w:lineRule="auto"/>
              <w:jc w:val="left"/>
              <w:rPr>
                <w:rFonts w:eastAsiaTheme="minorEastAsia"/>
                <w:kern w:val="0"/>
                <w:sz w:val="21"/>
                <w:szCs w:val="21"/>
              </w:rPr>
            </w:pPr>
            <w:r w:rsidRPr="00A13378">
              <w:rPr>
                <w:rFonts w:eastAsiaTheme="minorEastAsia"/>
                <w:kern w:val="0"/>
                <w:sz w:val="21"/>
                <w:szCs w:val="21"/>
              </w:rPr>
              <w:t>_cons</w:t>
            </w:r>
          </w:p>
        </w:tc>
        <w:tc>
          <w:tcPr>
            <w:tcW w:w="1829" w:type="dxa"/>
            <w:tcBorders>
              <w:top w:val="nil"/>
              <w:left w:val="nil"/>
              <w:right w:val="nil"/>
            </w:tcBorders>
          </w:tcPr>
          <w:p w14:paraId="3F96605E"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12.004</w:t>
            </w:r>
            <w:r w:rsidRPr="00A13378">
              <w:rPr>
                <w:rFonts w:eastAsiaTheme="minorEastAsia"/>
                <w:kern w:val="0"/>
                <w:sz w:val="21"/>
                <w:szCs w:val="21"/>
                <w:vertAlign w:val="superscript"/>
              </w:rPr>
              <w:t>***</w:t>
            </w:r>
          </w:p>
        </w:tc>
        <w:tc>
          <w:tcPr>
            <w:tcW w:w="1829" w:type="dxa"/>
            <w:tcBorders>
              <w:top w:val="nil"/>
              <w:left w:val="nil"/>
              <w:right w:val="nil"/>
            </w:tcBorders>
          </w:tcPr>
          <w:p w14:paraId="06FBC14E"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12.116</w:t>
            </w:r>
            <w:r w:rsidRPr="00A13378">
              <w:rPr>
                <w:rFonts w:eastAsiaTheme="minorEastAsia"/>
                <w:kern w:val="0"/>
                <w:sz w:val="21"/>
                <w:szCs w:val="21"/>
                <w:vertAlign w:val="superscript"/>
              </w:rPr>
              <w:t>***</w:t>
            </w:r>
          </w:p>
        </w:tc>
        <w:tc>
          <w:tcPr>
            <w:tcW w:w="1829" w:type="dxa"/>
            <w:tcBorders>
              <w:top w:val="nil"/>
              <w:left w:val="nil"/>
              <w:right w:val="nil"/>
            </w:tcBorders>
          </w:tcPr>
          <w:p w14:paraId="033387EF"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12.280</w:t>
            </w:r>
            <w:r w:rsidRPr="00A13378">
              <w:rPr>
                <w:rFonts w:eastAsiaTheme="minorEastAsia"/>
                <w:kern w:val="0"/>
                <w:sz w:val="21"/>
                <w:szCs w:val="21"/>
                <w:vertAlign w:val="superscript"/>
              </w:rPr>
              <w:t>***</w:t>
            </w:r>
          </w:p>
        </w:tc>
      </w:tr>
      <w:tr w:rsidR="00360661" w:rsidRPr="00A13378" w14:paraId="135DD3BA" w14:textId="77777777" w:rsidTr="00703708">
        <w:trPr>
          <w:trHeight w:val="347"/>
          <w:jc w:val="center"/>
        </w:trPr>
        <w:tc>
          <w:tcPr>
            <w:tcW w:w="1563" w:type="dxa"/>
            <w:tcBorders>
              <w:top w:val="nil"/>
              <w:left w:val="nil"/>
              <w:right w:val="nil"/>
            </w:tcBorders>
          </w:tcPr>
          <w:p w14:paraId="76AF8BCC" w14:textId="77777777" w:rsidR="00360661" w:rsidRPr="00A13378" w:rsidRDefault="00360661" w:rsidP="00360661">
            <w:pPr>
              <w:autoSpaceDE w:val="0"/>
              <w:autoSpaceDN w:val="0"/>
              <w:adjustRightInd w:val="0"/>
              <w:spacing w:line="240" w:lineRule="auto"/>
              <w:jc w:val="left"/>
              <w:rPr>
                <w:rFonts w:eastAsiaTheme="minorEastAsia"/>
                <w:kern w:val="0"/>
                <w:sz w:val="21"/>
                <w:szCs w:val="21"/>
              </w:rPr>
            </w:pPr>
          </w:p>
        </w:tc>
        <w:tc>
          <w:tcPr>
            <w:tcW w:w="1829" w:type="dxa"/>
            <w:tcBorders>
              <w:top w:val="nil"/>
              <w:left w:val="nil"/>
              <w:right w:val="nil"/>
            </w:tcBorders>
          </w:tcPr>
          <w:p w14:paraId="47931A01"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(1.315)</w:t>
            </w:r>
          </w:p>
        </w:tc>
        <w:tc>
          <w:tcPr>
            <w:tcW w:w="1829" w:type="dxa"/>
            <w:tcBorders>
              <w:top w:val="nil"/>
              <w:left w:val="nil"/>
              <w:right w:val="nil"/>
            </w:tcBorders>
          </w:tcPr>
          <w:p w14:paraId="71596CCE"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(1.321)</w:t>
            </w:r>
          </w:p>
        </w:tc>
        <w:tc>
          <w:tcPr>
            <w:tcW w:w="1829" w:type="dxa"/>
            <w:tcBorders>
              <w:top w:val="nil"/>
              <w:left w:val="nil"/>
              <w:right w:val="nil"/>
            </w:tcBorders>
          </w:tcPr>
          <w:p w14:paraId="0EB00FE1"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(1.308)</w:t>
            </w:r>
          </w:p>
        </w:tc>
      </w:tr>
      <w:tr w:rsidR="00360661" w:rsidRPr="00A13378" w14:paraId="22E87B19" w14:textId="77777777" w:rsidTr="00703708">
        <w:trPr>
          <w:trHeight w:val="329"/>
          <w:jc w:val="center"/>
        </w:trPr>
        <w:tc>
          <w:tcPr>
            <w:tcW w:w="1563" w:type="dxa"/>
            <w:tcBorders>
              <w:left w:val="nil"/>
              <w:bottom w:val="nil"/>
              <w:right w:val="nil"/>
            </w:tcBorders>
          </w:tcPr>
          <w:p w14:paraId="119047C3" w14:textId="77777777" w:rsidR="00360661" w:rsidRPr="00A13378" w:rsidRDefault="00360661" w:rsidP="00360661">
            <w:pPr>
              <w:autoSpaceDE w:val="0"/>
              <w:autoSpaceDN w:val="0"/>
              <w:adjustRightInd w:val="0"/>
              <w:spacing w:line="240" w:lineRule="auto"/>
              <w:jc w:val="left"/>
              <w:rPr>
                <w:rFonts w:eastAsiaTheme="minorEastAsia"/>
                <w:kern w:val="0"/>
                <w:sz w:val="21"/>
                <w:szCs w:val="21"/>
              </w:rPr>
            </w:pPr>
            <w:r w:rsidRPr="00A13378">
              <w:rPr>
                <w:rFonts w:eastAsiaTheme="minorEastAsia"/>
                <w:kern w:val="0"/>
                <w:sz w:val="21"/>
                <w:szCs w:val="21"/>
              </w:rPr>
              <w:t>N</w:t>
            </w:r>
          </w:p>
        </w:tc>
        <w:tc>
          <w:tcPr>
            <w:tcW w:w="1829" w:type="dxa"/>
            <w:tcBorders>
              <w:left w:val="nil"/>
              <w:bottom w:val="nil"/>
              <w:right w:val="nil"/>
            </w:tcBorders>
          </w:tcPr>
          <w:p w14:paraId="671DB85D"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318.000</w:t>
            </w:r>
          </w:p>
        </w:tc>
        <w:tc>
          <w:tcPr>
            <w:tcW w:w="1829" w:type="dxa"/>
            <w:tcBorders>
              <w:left w:val="nil"/>
              <w:bottom w:val="nil"/>
              <w:right w:val="nil"/>
            </w:tcBorders>
          </w:tcPr>
          <w:p w14:paraId="7A36AE49"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318.000</w:t>
            </w:r>
          </w:p>
        </w:tc>
        <w:tc>
          <w:tcPr>
            <w:tcW w:w="1829" w:type="dxa"/>
            <w:tcBorders>
              <w:left w:val="nil"/>
              <w:bottom w:val="nil"/>
              <w:right w:val="nil"/>
            </w:tcBorders>
          </w:tcPr>
          <w:p w14:paraId="1EC912F1"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318.000</w:t>
            </w:r>
          </w:p>
        </w:tc>
      </w:tr>
      <w:tr w:rsidR="00360661" w:rsidRPr="00A13378" w14:paraId="020B3A72" w14:textId="77777777" w:rsidTr="00703708">
        <w:trPr>
          <w:trHeight w:val="347"/>
          <w:jc w:val="center"/>
        </w:trPr>
        <w:tc>
          <w:tcPr>
            <w:tcW w:w="1563" w:type="dxa"/>
            <w:tcBorders>
              <w:top w:val="nil"/>
              <w:left w:val="nil"/>
              <w:right w:val="nil"/>
            </w:tcBorders>
          </w:tcPr>
          <w:p w14:paraId="4BC735DD" w14:textId="77777777" w:rsidR="00360661" w:rsidRPr="00A13378" w:rsidRDefault="00360661" w:rsidP="00360661">
            <w:pPr>
              <w:autoSpaceDE w:val="0"/>
              <w:autoSpaceDN w:val="0"/>
              <w:adjustRightInd w:val="0"/>
              <w:spacing w:line="240" w:lineRule="auto"/>
              <w:jc w:val="left"/>
              <w:rPr>
                <w:rFonts w:eastAsiaTheme="minorEastAsia"/>
                <w:kern w:val="0"/>
                <w:sz w:val="21"/>
                <w:szCs w:val="21"/>
              </w:rPr>
            </w:pPr>
            <w:r w:rsidRPr="00A13378">
              <w:rPr>
                <w:rFonts w:eastAsiaTheme="minorEastAsia"/>
                <w:kern w:val="0"/>
                <w:sz w:val="21"/>
                <w:szCs w:val="21"/>
              </w:rPr>
              <w:t>r2</w:t>
            </w:r>
          </w:p>
        </w:tc>
        <w:tc>
          <w:tcPr>
            <w:tcW w:w="1829" w:type="dxa"/>
            <w:tcBorders>
              <w:top w:val="nil"/>
              <w:left w:val="nil"/>
              <w:right w:val="nil"/>
            </w:tcBorders>
          </w:tcPr>
          <w:p w14:paraId="346A3993"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0.228</w:t>
            </w:r>
          </w:p>
        </w:tc>
        <w:tc>
          <w:tcPr>
            <w:tcW w:w="1829" w:type="dxa"/>
            <w:tcBorders>
              <w:top w:val="nil"/>
              <w:left w:val="nil"/>
              <w:right w:val="nil"/>
            </w:tcBorders>
          </w:tcPr>
          <w:p w14:paraId="6A2F9185"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0.225</w:t>
            </w:r>
          </w:p>
        </w:tc>
        <w:tc>
          <w:tcPr>
            <w:tcW w:w="1829" w:type="dxa"/>
            <w:tcBorders>
              <w:top w:val="nil"/>
              <w:left w:val="nil"/>
              <w:right w:val="nil"/>
            </w:tcBorders>
          </w:tcPr>
          <w:p w14:paraId="3DEE8258"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0.244</w:t>
            </w:r>
          </w:p>
        </w:tc>
      </w:tr>
      <w:tr w:rsidR="00360661" w:rsidRPr="00A13378" w14:paraId="0401438C" w14:textId="77777777" w:rsidTr="00703708">
        <w:trPr>
          <w:trHeight w:val="329"/>
          <w:jc w:val="center"/>
        </w:trPr>
        <w:tc>
          <w:tcPr>
            <w:tcW w:w="1563" w:type="dxa"/>
            <w:tcBorders>
              <w:top w:val="nil"/>
              <w:left w:val="nil"/>
              <w:bottom w:val="single" w:sz="12" w:space="0" w:color="auto"/>
              <w:right w:val="nil"/>
            </w:tcBorders>
          </w:tcPr>
          <w:p w14:paraId="03CDDE0A" w14:textId="77777777" w:rsidR="00360661" w:rsidRPr="00A13378" w:rsidRDefault="00360661" w:rsidP="00360661">
            <w:pPr>
              <w:autoSpaceDE w:val="0"/>
              <w:autoSpaceDN w:val="0"/>
              <w:adjustRightInd w:val="0"/>
              <w:spacing w:line="240" w:lineRule="auto"/>
              <w:jc w:val="left"/>
              <w:rPr>
                <w:rFonts w:eastAsiaTheme="minorEastAsia"/>
                <w:kern w:val="0"/>
                <w:sz w:val="21"/>
                <w:szCs w:val="21"/>
              </w:rPr>
            </w:pPr>
            <w:r w:rsidRPr="00A13378">
              <w:rPr>
                <w:rFonts w:eastAsiaTheme="minorEastAsia"/>
                <w:kern w:val="0"/>
                <w:sz w:val="21"/>
                <w:szCs w:val="21"/>
              </w:rPr>
              <w:t>r2_a</w:t>
            </w:r>
          </w:p>
        </w:tc>
        <w:tc>
          <w:tcPr>
            <w:tcW w:w="1829" w:type="dxa"/>
            <w:tcBorders>
              <w:top w:val="nil"/>
              <w:left w:val="nil"/>
              <w:bottom w:val="single" w:sz="12" w:space="0" w:color="auto"/>
              <w:right w:val="nil"/>
            </w:tcBorders>
          </w:tcPr>
          <w:p w14:paraId="0BCBE913"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0.211</w:t>
            </w:r>
          </w:p>
        </w:tc>
        <w:tc>
          <w:tcPr>
            <w:tcW w:w="1829" w:type="dxa"/>
            <w:tcBorders>
              <w:top w:val="nil"/>
              <w:left w:val="nil"/>
              <w:bottom w:val="single" w:sz="12" w:space="0" w:color="auto"/>
              <w:right w:val="nil"/>
            </w:tcBorders>
          </w:tcPr>
          <w:p w14:paraId="28B9344B"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0.208</w:t>
            </w:r>
          </w:p>
        </w:tc>
        <w:tc>
          <w:tcPr>
            <w:tcW w:w="1829" w:type="dxa"/>
            <w:tcBorders>
              <w:top w:val="nil"/>
              <w:left w:val="nil"/>
              <w:bottom w:val="single" w:sz="12" w:space="0" w:color="auto"/>
              <w:right w:val="nil"/>
            </w:tcBorders>
          </w:tcPr>
          <w:p w14:paraId="6417E6E1" w14:textId="77777777" w:rsidR="00360661" w:rsidRPr="00A13378" w:rsidRDefault="00360661" w:rsidP="00360661">
            <w:pPr>
              <w:autoSpaceDE w:val="0"/>
              <w:autoSpaceDN w:val="0"/>
              <w:adjustRightInd w:val="0"/>
              <w:spacing w:line="240" w:lineRule="auto"/>
              <w:jc w:val="center"/>
              <w:rPr>
                <w:rFonts w:eastAsiaTheme="minorEastAsia"/>
                <w:kern w:val="0"/>
                <w:sz w:val="21"/>
                <w:szCs w:val="21"/>
              </w:rPr>
            </w:pPr>
            <w:r w:rsidRPr="00A13378">
              <w:rPr>
                <w:rFonts w:eastAsiaTheme="minorEastAsia"/>
                <w:kern w:val="0"/>
                <w:sz w:val="21"/>
                <w:szCs w:val="21"/>
              </w:rPr>
              <w:t>0.225</w:t>
            </w:r>
          </w:p>
        </w:tc>
      </w:tr>
    </w:tbl>
    <w:p w14:paraId="06792799" w14:textId="371D1D90" w:rsidR="00360661" w:rsidRPr="00A13378" w:rsidRDefault="00360661" w:rsidP="004D2CE9">
      <w:pPr>
        <w:autoSpaceDE w:val="0"/>
        <w:autoSpaceDN w:val="0"/>
        <w:adjustRightInd w:val="0"/>
        <w:spacing w:line="240" w:lineRule="auto"/>
        <w:ind w:firstLineChars="500" w:firstLine="1050"/>
        <w:jc w:val="left"/>
        <w:rPr>
          <w:rFonts w:eastAsiaTheme="minorEastAsia"/>
          <w:kern w:val="0"/>
          <w:sz w:val="21"/>
          <w:szCs w:val="21"/>
        </w:rPr>
      </w:pPr>
      <w:r w:rsidRPr="00A13378">
        <w:rPr>
          <w:rFonts w:eastAsiaTheme="minorEastAsia" w:hint="eastAsia"/>
          <w:kern w:val="0"/>
          <w:sz w:val="21"/>
          <w:szCs w:val="21"/>
        </w:rPr>
        <w:t>注：</w:t>
      </w:r>
      <w:r w:rsidRPr="00A13378">
        <w:rPr>
          <w:rFonts w:eastAsiaTheme="minorEastAsia"/>
          <w:kern w:val="0"/>
          <w:sz w:val="21"/>
          <w:szCs w:val="21"/>
          <w:vertAlign w:val="superscript"/>
        </w:rPr>
        <w:t>*</w:t>
      </w:r>
      <w:r w:rsidRPr="00A13378">
        <w:rPr>
          <w:rFonts w:eastAsiaTheme="minorEastAsia"/>
          <w:kern w:val="0"/>
          <w:sz w:val="21"/>
          <w:szCs w:val="21"/>
        </w:rPr>
        <w:t xml:space="preserve"> </w:t>
      </w:r>
      <w:r w:rsidRPr="00A13378">
        <w:rPr>
          <w:rFonts w:eastAsiaTheme="minorEastAsia"/>
          <w:i/>
          <w:iCs/>
          <w:kern w:val="0"/>
          <w:sz w:val="21"/>
          <w:szCs w:val="21"/>
        </w:rPr>
        <w:t>p</w:t>
      </w:r>
      <w:r w:rsidRPr="00A13378">
        <w:rPr>
          <w:rFonts w:eastAsiaTheme="minorEastAsia"/>
          <w:kern w:val="0"/>
          <w:sz w:val="21"/>
          <w:szCs w:val="21"/>
        </w:rPr>
        <w:t xml:space="preserve"> &lt; 0.1, </w:t>
      </w:r>
      <w:r w:rsidRPr="00A13378">
        <w:rPr>
          <w:rFonts w:eastAsiaTheme="minorEastAsia"/>
          <w:kern w:val="0"/>
          <w:sz w:val="21"/>
          <w:szCs w:val="21"/>
          <w:vertAlign w:val="superscript"/>
        </w:rPr>
        <w:t>**</w:t>
      </w:r>
      <w:r w:rsidRPr="00A13378">
        <w:rPr>
          <w:rFonts w:eastAsiaTheme="minorEastAsia"/>
          <w:kern w:val="0"/>
          <w:sz w:val="21"/>
          <w:szCs w:val="21"/>
        </w:rPr>
        <w:t xml:space="preserve"> </w:t>
      </w:r>
      <w:r w:rsidRPr="00A13378">
        <w:rPr>
          <w:rFonts w:eastAsiaTheme="minorEastAsia"/>
          <w:i/>
          <w:iCs/>
          <w:kern w:val="0"/>
          <w:sz w:val="21"/>
          <w:szCs w:val="21"/>
        </w:rPr>
        <w:t>p</w:t>
      </w:r>
      <w:r w:rsidRPr="00A13378">
        <w:rPr>
          <w:rFonts w:eastAsiaTheme="minorEastAsia"/>
          <w:kern w:val="0"/>
          <w:sz w:val="21"/>
          <w:szCs w:val="21"/>
        </w:rPr>
        <w:t xml:space="preserve"> &lt; 0.05, </w:t>
      </w:r>
      <w:r w:rsidRPr="00A13378">
        <w:rPr>
          <w:rFonts w:eastAsiaTheme="minorEastAsia"/>
          <w:kern w:val="0"/>
          <w:sz w:val="21"/>
          <w:szCs w:val="21"/>
          <w:vertAlign w:val="superscript"/>
        </w:rPr>
        <w:t>***</w:t>
      </w:r>
      <w:r w:rsidRPr="00A13378">
        <w:rPr>
          <w:rFonts w:eastAsiaTheme="minorEastAsia"/>
          <w:kern w:val="0"/>
          <w:sz w:val="21"/>
          <w:szCs w:val="21"/>
        </w:rPr>
        <w:t xml:space="preserve"> </w:t>
      </w:r>
      <w:r w:rsidRPr="00A13378">
        <w:rPr>
          <w:rFonts w:eastAsiaTheme="minorEastAsia"/>
          <w:i/>
          <w:iCs/>
          <w:kern w:val="0"/>
          <w:sz w:val="21"/>
          <w:szCs w:val="21"/>
        </w:rPr>
        <w:t>p</w:t>
      </w:r>
      <w:r w:rsidRPr="00A13378">
        <w:rPr>
          <w:rFonts w:eastAsiaTheme="minorEastAsia"/>
          <w:kern w:val="0"/>
          <w:sz w:val="21"/>
          <w:szCs w:val="21"/>
        </w:rPr>
        <w:t xml:space="preserve"> &lt; 0.01</w:t>
      </w:r>
    </w:p>
    <w:p w14:paraId="7304004A" w14:textId="77777777" w:rsidR="0026782C" w:rsidRPr="00360661" w:rsidRDefault="0026782C" w:rsidP="00360661">
      <w:pPr>
        <w:autoSpaceDE w:val="0"/>
        <w:autoSpaceDN w:val="0"/>
        <w:adjustRightInd w:val="0"/>
        <w:spacing w:line="240" w:lineRule="auto"/>
        <w:jc w:val="left"/>
        <w:rPr>
          <w:rFonts w:eastAsiaTheme="minorEastAsia"/>
          <w:kern w:val="0"/>
          <w:sz w:val="20"/>
        </w:rPr>
      </w:pPr>
    </w:p>
    <w:p w14:paraId="25B91B49" w14:textId="432B9791" w:rsidR="00737A7A" w:rsidRDefault="0026782C" w:rsidP="0026782C">
      <w:pPr>
        <w:pStyle w:val="3"/>
      </w:pPr>
      <w:bookmarkStart w:id="102" w:name="_Toc103038542"/>
      <w:bookmarkStart w:id="103" w:name="_Toc103093668"/>
      <w:bookmarkStart w:id="104" w:name="_Toc103345048"/>
      <w:bookmarkStart w:id="105" w:name="_Toc103549486"/>
      <w:r>
        <w:rPr>
          <w:rFonts w:hint="eastAsia"/>
        </w:rPr>
        <w:t>4</w:t>
      </w:r>
      <w:r>
        <w:t xml:space="preserve">.2.2 </w:t>
      </w:r>
      <w:r>
        <w:rPr>
          <w:rFonts w:hint="eastAsia"/>
        </w:rPr>
        <w:t>稳健性检验</w:t>
      </w:r>
      <w:bookmarkEnd w:id="102"/>
      <w:bookmarkEnd w:id="103"/>
      <w:bookmarkEnd w:id="104"/>
      <w:bookmarkEnd w:id="105"/>
    </w:p>
    <w:p w14:paraId="414533D8" w14:textId="22E3B48A" w:rsidR="00E925BF" w:rsidRPr="00E925BF" w:rsidRDefault="00E925BF" w:rsidP="009A2758">
      <w:pPr>
        <w:ind w:firstLineChars="200" w:firstLine="480"/>
      </w:pPr>
      <w:bookmarkStart w:id="106" w:name="_Hlk103090976"/>
      <w:r>
        <w:rPr>
          <w:rFonts w:hint="eastAsia"/>
        </w:rPr>
        <w:t>表</w:t>
      </w:r>
      <w:r>
        <w:t>4-</w:t>
      </w:r>
      <w:r w:rsidR="00B45778">
        <w:t>3</w:t>
      </w:r>
      <w:r>
        <w:rPr>
          <w:rFonts w:hint="eastAsia"/>
        </w:rPr>
        <w:t>的</w:t>
      </w:r>
      <w:r>
        <w:rPr>
          <w:rFonts w:hint="eastAsia"/>
        </w:rPr>
        <w:t>(</w:t>
      </w:r>
      <w:r>
        <w:t>1)</w:t>
      </w:r>
      <w:r>
        <w:rPr>
          <w:rFonts w:hint="eastAsia"/>
        </w:rPr>
        <w:t>和</w:t>
      </w:r>
      <w:r>
        <w:rPr>
          <w:rFonts w:hint="eastAsia"/>
        </w:rPr>
        <w:t>(</w:t>
      </w:r>
      <w:r>
        <w:t>2)</w:t>
      </w:r>
      <w:proofErr w:type="gramStart"/>
      <w:r>
        <w:rPr>
          <w:rFonts w:hint="eastAsia"/>
        </w:rPr>
        <w:t>列展示</w:t>
      </w:r>
      <w:proofErr w:type="gramEnd"/>
      <w:r>
        <w:rPr>
          <w:rFonts w:hint="eastAsia"/>
        </w:rPr>
        <w:t>了控制变量中规模代表选择营业收入和总资产的回归对比，我们发现因变量与其他控制变量系数及显著情况基本一致</w:t>
      </w:r>
      <w:bookmarkStart w:id="107" w:name="_Hlk101895866"/>
      <w:r>
        <w:rPr>
          <w:rFonts w:hint="eastAsia"/>
        </w:rPr>
        <w:t>，</w:t>
      </w:r>
      <w:bookmarkEnd w:id="107"/>
      <w:r w:rsidRPr="006220DD">
        <w:rPr>
          <w:rFonts w:hint="eastAsia"/>
        </w:rPr>
        <w:t>说</w:t>
      </w:r>
      <w:proofErr w:type="gramStart"/>
      <w:r w:rsidRPr="006220DD">
        <w:rPr>
          <w:rFonts w:hint="eastAsia"/>
        </w:rPr>
        <w:t>明前</w:t>
      </w:r>
      <w:proofErr w:type="gramEnd"/>
      <w:r w:rsidRPr="006220DD">
        <w:rPr>
          <w:rFonts w:hint="eastAsia"/>
        </w:rPr>
        <w:t>文</w:t>
      </w:r>
      <w:r>
        <w:rPr>
          <w:rFonts w:hint="eastAsia"/>
        </w:rPr>
        <w:t>使用总资产作为企业规模的代表控制变量是合理的，且验证了企业规模与</w:t>
      </w:r>
      <w:r>
        <w:rPr>
          <w:rFonts w:hint="eastAsia"/>
        </w:rPr>
        <w:t>ESG</w:t>
      </w:r>
      <w:r>
        <w:rPr>
          <w:rFonts w:hint="eastAsia"/>
        </w:rPr>
        <w:t>之间的正相关关系。</w:t>
      </w:r>
    </w:p>
    <w:p w14:paraId="3EA6D8EE" w14:textId="5DB0F3EC" w:rsidR="003C6C2B" w:rsidRDefault="00E925BF" w:rsidP="003C6C2B">
      <w:pPr>
        <w:ind w:firstLineChars="200" w:firstLine="480"/>
      </w:pPr>
      <w:r>
        <w:rPr>
          <w:rFonts w:hint="eastAsia"/>
        </w:rPr>
        <w:t>本文使用的彭博数据库</w:t>
      </w:r>
      <w:r>
        <w:rPr>
          <w:rFonts w:hint="eastAsia"/>
        </w:rPr>
        <w:t>ESG</w:t>
      </w:r>
      <w:r>
        <w:rPr>
          <w:rFonts w:hint="eastAsia"/>
        </w:rPr>
        <w:t>评分由</w:t>
      </w:r>
      <w:r>
        <w:rPr>
          <w:rFonts w:hint="eastAsia"/>
        </w:rPr>
        <w:t>E</w:t>
      </w:r>
      <w:r>
        <w:rPr>
          <w:rFonts w:hint="eastAsia"/>
        </w:rPr>
        <w:t>（环境）、</w:t>
      </w:r>
      <w:r>
        <w:rPr>
          <w:rFonts w:hint="eastAsia"/>
        </w:rPr>
        <w:t>S</w:t>
      </w:r>
      <w:r>
        <w:rPr>
          <w:rFonts w:hint="eastAsia"/>
        </w:rPr>
        <w:t>（社会责任）和</w:t>
      </w:r>
      <w:r>
        <w:rPr>
          <w:rFonts w:hint="eastAsia"/>
        </w:rPr>
        <w:t>G</w:t>
      </w:r>
      <w:r>
        <w:rPr>
          <w:rFonts w:hint="eastAsia"/>
        </w:rPr>
        <w:t>（公司治</w:t>
      </w:r>
      <w:r>
        <w:rPr>
          <w:rFonts w:hint="eastAsia"/>
        </w:rPr>
        <w:lastRenderedPageBreak/>
        <w:t>理）评分加权而成，表</w:t>
      </w:r>
      <w:r>
        <w:t>4-</w:t>
      </w:r>
      <w:r w:rsidR="00B45778">
        <w:t>3</w:t>
      </w:r>
      <w:r w:rsidR="00A13378">
        <w:rPr>
          <w:rFonts w:hint="eastAsia"/>
        </w:rPr>
        <w:t>的</w:t>
      </w:r>
      <w:r w:rsidR="00A13378">
        <w:rPr>
          <w:rFonts w:hint="eastAsia"/>
        </w:rPr>
        <w:t>(</w:t>
      </w:r>
      <w:r w:rsidR="00A13378">
        <w:t>3)</w:t>
      </w:r>
      <w:r w:rsidR="009A2758">
        <w:rPr>
          <w:rFonts w:hint="eastAsia"/>
        </w:rPr>
        <w:t>、</w:t>
      </w:r>
      <w:r w:rsidR="00A13378">
        <w:rPr>
          <w:rFonts w:hint="eastAsia"/>
        </w:rPr>
        <w:t>(</w:t>
      </w:r>
      <w:r w:rsidR="00A13378">
        <w:t>4)</w:t>
      </w:r>
      <w:r w:rsidR="009A2758">
        <w:rPr>
          <w:rFonts w:hint="eastAsia"/>
        </w:rPr>
        <w:t>、</w:t>
      </w:r>
      <w:r w:rsidR="00A13378">
        <w:rPr>
          <w:rFonts w:hint="eastAsia"/>
        </w:rPr>
        <w:t>(</w:t>
      </w:r>
      <w:r w:rsidR="00A13378">
        <w:t>5)</w:t>
      </w:r>
      <w:proofErr w:type="gramStart"/>
      <w:r w:rsidR="00A13378">
        <w:rPr>
          <w:rFonts w:hint="eastAsia"/>
        </w:rPr>
        <w:t>列</w:t>
      </w:r>
      <w:r>
        <w:rPr>
          <w:rFonts w:hint="eastAsia"/>
        </w:rPr>
        <w:t>展示</w:t>
      </w:r>
      <w:proofErr w:type="gramEnd"/>
      <w:r>
        <w:rPr>
          <w:rFonts w:hint="eastAsia"/>
        </w:rPr>
        <w:t>了</w:t>
      </w:r>
      <w:r>
        <w:rPr>
          <w:rFonts w:hint="eastAsia"/>
        </w:rPr>
        <w:t>ESG</w:t>
      </w:r>
      <w:r>
        <w:rPr>
          <w:rFonts w:hint="eastAsia"/>
        </w:rPr>
        <w:t>的三个不同组成部分分别与</w:t>
      </w:r>
      <w:r w:rsidR="00A13378">
        <w:rPr>
          <w:rFonts w:hint="eastAsia"/>
        </w:rPr>
        <w:t>上述</w:t>
      </w:r>
      <w:r>
        <w:rPr>
          <w:rFonts w:hint="eastAsia"/>
        </w:rPr>
        <w:t>自变量和控制变量的回归结果，可以看出解释变量</w:t>
      </w:r>
      <w:r>
        <w:rPr>
          <w:rFonts w:hint="eastAsia"/>
        </w:rPr>
        <w:t>Vega</w:t>
      </w:r>
      <w:r>
        <w:rPr>
          <w:rFonts w:hint="eastAsia"/>
        </w:rPr>
        <w:t>、</w:t>
      </w:r>
      <w:r>
        <w:rPr>
          <w:rFonts w:hint="eastAsia"/>
        </w:rPr>
        <w:t>Delta</w:t>
      </w:r>
      <w:r>
        <w:rPr>
          <w:rFonts w:hint="eastAsia"/>
        </w:rPr>
        <w:t>分别与</w:t>
      </w:r>
      <w:r>
        <w:rPr>
          <w:rFonts w:hint="eastAsia"/>
        </w:rPr>
        <w:t>E</w:t>
      </w:r>
      <w:r>
        <w:rPr>
          <w:rFonts w:hint="eastAsia"/>
        </w:rPr>
        <w:t>、</w:t>
      </w:r>
      <w:r>
        <w:rPr>
          <w:rFonts w:hint="eastAsia"/>
        </w:rPr>
        <w:t>S</w:t>
      </w:r>
      <w:r>
        <w:rPr>
          <w:rFonts w:hint="eastAsia"/>
        </w:rPr>
        <w:t>和</w:t>
      </w:r>
      <w:r>
        <w:rPr>
          <w:rFonts w:hint="eastAsia"/>
        </w:rPr>
        <w:t>G</w:t>
      </w:r>
      <w:r>
        <w:rPr>
          <w:rFonts w:hint="eastAsia"/>
        </w:rPr>
        <w:t>的系数及显著水平基本一致，且与上文总体</w:t>
      </w:r>
      <w:r>
        <w:rPr>
          <w:rFonts w:hint="eastAsia"/>
        </w:rPr>
        <w:t>ESG</w:t>
      </w:r>
      <w:r>
        <w:rPr>
          <w:rFonts w:hint="eastAsia"/>
        </w:rPr>
        <w:t>结果也基本一致。说明</w:t>
      </w:r>
      <w:r>
        <w:rPr>
          <w:rFonts w:hint="eastAsia"/>
        </w:rPr>
        <w:t>ESG</w:t>
      </w:r>
      <w:r>
        <w:rPr>
          <w:rFonts w:hint="eastAsia"/>
        </w:rPr>
        <w:t>三个组成部分都分别被高管薪酬敏感性影响，也说明上文研究是十分合理的，而且这个结果也启发我们可以分别向高管薪酬敏感性与</w:t>
      </w:r>
      <w:r>
        <w:rPr>
          <w:rFonts w:hint="eastAsia"/>
        </w:rPr>
        <w:t>ESG</w:t>
      </w:r>
      <w:r>
        <w:rPr>
          <w:rFonts w:hint="eastAsia"/>
        </w:rPr>
        <w:t>组成部分的进行后续的进一步详细研究。这个检验也表明</w:t>
      </w:r>
      <w:r>
        <w:rPr>
          <w:rFonts w:hint="eastAsia"/>
        </w:rPr>
        <w:t>ESG</w:t>
      </w:r>
      <w:r>
        <w:rPr>
          <w:rFonts w:hint="eastAsia"/>
        </w:rPr>
        <w:t>三个组成被影响的程度可能是</w:t>
      </w:r>
      <w:r>
        <w:rPr>
          <w:rFonts w:hint="eastAsia"/>
        </w:rPr>
        <w:t>E</w:t>
      </w:r>
      <w:r>
        <w:rPr>
          <w:rFonts w:hint="eastAsia"/>
        </w:rPr>
        <w:t>（环境）</w:t>
      </w:r>
      <w:r>
        <w:rPr>
          <w:rFonts w:hint="eastAsia"/>
        </w:rPr>
        <w:t>&gt;</w:t>
      </w:r>
      <w:r>
        <w:t>S</w:t>
      </w:r>
      <w:r>
        <w:rPr>
          <w:rFonts w:hint="eastAsia"/>
        </w:rPr>
        <w:t>（社会责任）</w:t>
      </w:r>
      <w:r>
        <w:t>&gt;G</w:t>
      </w:r>
      <w:r>
        <w:rPr>
          <w:rFonts w:hint="eastAsia"/>
        </w:rPr>
        <w:t>（公司治理）。</w:t>
      </w:r>
    </w:p>
    <w:bookmarkEnd w:id="106"/>
    <w:p w14:paraId="3F71BAB9" w14:textId="77777777" w:rsidR="003C6C2B" w:rsidRDefault="003C6C2B" w:rsidP="009F3EAD">
      <w:pPr>
        <w:spacing w:line="300" w:lineRule="exact"/>
        <w:jc w:val="center"/>
        <w:rPr>
          <w:rFonts w:ascii="黑体" w:eastAsia="黑体" w:hAnsi="宋体"/>
        </w:rPr>
      </w:pPr>
    </w:p>
    <w:p w14:paraId="7A62646C" w14:textId="372271BA" w:rsidR="00E925BF" w:rsidRDefault="00A13378" w:rsidP="009F3EAD">
      <w:pPr>
        <w:spacing w:line="300" w:lineRule="exact"/>
        <w:jc w:val="center"/>
        <w:rPr>
          <w:rFonts w:ascii="黑体" w:eastAsia="黑体" w:hAnsi="宋体"/>
        </w:rPr>
      </w:pPr>
      <w:r w:rsidRPr="00677FE2">
        <w:rPr>
          <w:rFonts w:ascii="黑体" w:eastAsia="黑体" w:hAnsi="宋体" w:hint="eastAsia"/>
        </w:rPr>
        <w:t>表</w:t>
      </w:r>
      <w:r>
        <w:rPr>
          <w:rFonts w:eastAsia="黑体"/>
        </w:rPr>
        <w:t>4</w:t>
      </w:r>
      <w:r w:rsidRPr="00AB6ADE">
        <w:rPr>
          <w:rFonts w:eastAsia="黑体" w:hint="eastAsia"/>
        </w:rPr>
        <w:t>-</w:t>
      </w:r>
      <w:r w:rsidR="00B45778">
        <w:rPr>
          <w:rFonts w:eastAsia="黑体"/>
        </w:rPr>
        <w:t>3</w:t>
      </w:r>
      <w:r>
        <w:rPr>
          <w:rFonts w:ascii="黑体" w:eastAsia="黑体" w:hAnsi="宋体" w:hint="eastAsia"/>
        </w:rPr>
        <w:t xml:space="preserve"> 行业固定效应</w:t>
      </w:r>
      <w:r w:rsidR="00B45778">
        <w:rPr>
          <w:rFonts w:ascii="黑体" w:eastAsia="黑体" w:hAnsi="宋体" w:hint="eastAsia"/>
        </w:rPr>
        <w:t>的稳健性检验结果</w:t>
      </w:r>
    </w:p>
    <w:p w14:paraId="07488684" w14:textId="77777777" w:rsidR="00A13378" w:rsidRPr="00E925BF" w:rsidRDefault="00A13378" w:rsidP="00A13378">
      <w:pPr>
        <w:spacing w:line="300" w:lineRule="exact"/>
      </w:pPr>
    </w:p>
    <w:tbl>
      <w:tblPr>
        <w:tblW w:w="8577" w:type="dxa"/>
        <w:jc w:val="center"/>
        <w:tblLayout w:type="fixed"/>
        <w:tblLook w:val="0000" w:firstRow="0" w:lastRow="0" w:firstColumn="0" w:lastColumn="0" w:noHBand="0" w:noVBand="0"/>
      </w:tblPr>
      <w:tblGrid>
        <w:gridCol w:w="878"/>
        <w:gridCol w:w="1839"/>
        <w:gridCol w:w="1465"/>
        <w:gridCol w:w="1465"/>
        <w:gridCol w:w="1465"/>
        <w:gridCol w:w="1465"/>
      </w:tblGrid>
      <w:tr w:rsidR="001E4613" w14:paraId="40EF63F8" w14:textId="77777777" w:rsidTr="009F3EAD">
        <w:trPr>
          <w:trHeight w:val="481"/>
          <w:jc w:val="center"/>
        </w:trPr>
        <w:tc>
          <w:tcPr>
            <w:tcW w:w="878" w:type="dxa"/>
            <w:tcBorders>
              <w:top w:val="single" w:sz="12" w:space="0" w:color="auto"/>
              <w:left w:val="nil"/>
              <w:bottom w:val="nil"/>
              <w:right w:val="nil"/>
            </w:tcBorders>
          </w:tcPr>
          <w:p w14:paraId="73FD4B4A" w14:textId="77777777" w:rsidR="001E4613" w:rsidRPr="00A13378" w:rsidRDefault="001E4613" w:rsidP="009D2907">
            <w:pPr>
              <w:autoSpaceDE w:val="0"/>
              <w:autoSpaceDN w:val="0"/>
              <w:adjustRightInd w:val="0"/>
              <w:spacing w:line="300" w:lineRule="exact"/>
              <w:jc w:val="left"/>
              <w:rPr>
                <w:kern w:val="0"/>
                <w:sz w:val="21"/>
                <w:szCs w:val="21"/>
              </w:rPr>
            </w:pPr>
          </w:p>
        </w:tc>
        <w:tc>
          <w:tcPr>
            <w:tcW w:w="1839" w:type="dxa"/>
            <w:tcBorders>
              <w:top w:val="single" w:sz="12" w:space="0" w:color="auto"/>
              <w:left w:val="nil"/>
              <w:bottom w:val="nil"/>
              <w:right w:val="nil"/>
            </w:tcBorders>
          </w:tcPr>
          <w:p w14:paraId="573E4E97" w14:textId="77777777" w:rsidR="001E4613" w:rsidRPr="00A13378" w:rsidRDefault="001E4613" w:rsidP="009D2907">
            <w:pPr>
              <w:autoSpaceDE w:val="0"/>
              <w:autoSpaceDN w:val="0"/>
              <w:adjustRightInd w:val="0"/>
              <w:spacing w:line="300" w:lineRule="exact"/>
              <w:jc w:val="center"/>
              <w:rPr>
                <w:kern w:val="0"/>
                <w:sz w:val="21"/>
                <w:szCs w:val="21"/>
              </w:rPr>
            </w:pPr>
            <w:r w:rsidRPr="00A13378">
              <w:rPr>
                <w:kern w:val="0"/>
                <w:sz w:val="21"/>
                <w:szCs w:val="21"/>
              </w:rPr>
              <w:t>(1)</w:t>
            </w:r>
          </w:p>
        </w:tc>
        <w:tc>
          <w:tcPr>
            <w:tcW w:w="1465" w:type="dxa"/>
            <w:tcBorders>
              <w:top w:val="single" w:sz="12" w:space="0" w:color="auto"/>
              <w:left w:val="nil"/>
              <w:bottom w:val="nil"/>
              <w:right w:val="nil"/>
            </w:tcBorders>
          </w:tcPr>
          <w:p w14:paraId="0C59E8AD" w14:textId="77777777" w:rsidR="001E4613" w:rsidRPr="00A13378" w:rsidRDefault="001E4613" w:rsidP="009D2907">
            <w:pPr>
              <w:autoSpaceDE w:val="0"/>
              <w:autoSpaceDN w:val="0"/>
              <w:adjustRightInd w:val="0"/>
              <w:spacing w:line="300" w:lineRule="exact"/>
              <w:jc w:val="center"/>
              <w:rPr>
                <w:kern w:val="0"/>
                <w:sz w:val="21"/>
                <w:szCs w:val="21"/>
              </w:rPr>
            </w:pPr>
            <w:r w:rsidRPr="00A13378">
              <w:rPr>
                <w:kern w:val="0"/>
                <w:sz w:val="21"/>
                <w:szCs w:val="21"/>
              </w:rPr>
              <w:t>(2)</w:t>
            </w:r>
          </w:p>
        </w:tc>
        <w:tc>
          <w:tcPr>
            <w:tcW w:w="1465" w:type="dxa"/>
            <w:tcBorders>
              <w:top w:val="single" w:sz="12" w:space="0" w:color="auto"/>
              <w:left w:val="nil"/>
              <w:bottom w:val="nil"/>
              <w:right w:val="nil"/>
            </w:tcBorders>
          </w:tcPr>
          <w:p w14:paraId="703FE4F3" w14:textId="1770408A" w:rsidR="001E4613" w:rsidRPr="00A13378" w:rsidRDefault="001E4613" w:rsidP="009D2907">
            <w:pPr>
              <w:autoSpaceDE w:val="0"/>
              <w:autoSpaceDN w:val="0"/>
              <w:adjustRightInd w:val="0"/>
              <w:spacing w:line="300" w:lineRule="exact"/>
              <w:jc w:val="center"/>
              <w:rPr>
                <w:kern w:val="0"/>
                <w:sz w:val="21"/>
                <w:szCs w:val="21"/>
              </w:rPr>
            </w:pPr>
            <w:r w:rsidRPr="00A13378">
              <w:rPr>
                <w:rFonts w:eastAsia="等线"/>
                <w:kern w:val="0"/>
                <w:sz w:val="21"/>
                <w:szCs w:val="21"/>
              </w:rPr>
              <w:t>(</w:t>
            </w:r>
            <w:r w:rsidR="00D145E5">
              <w:rPr>
                <w:rFonts w:eastAsia="等线"/>
                <w:kern w:val="0"/>
                <w:sz w:val="21"/>
                <w:szCs w:val="21"/>
              </w:rPr>
              <w:t>3</w:t>
            </w:r>
            <w:r w:rsidRPr="00A13378">
              <w:rPr>
                <w:rFonts w:eastAsia="等线"/>
                <w:kern w:val="0"/>
                <w:sz w:val="21"/>
                <w:szCs w:val="21"/>
              </w:rPr>
              <w:t>)</w:t>
            </w:r>
          </w:p>
        </w:tc>
        <w:tc>
          <w:tcPr>
            <w:tcW w:w="1465" w:type="dxa"/>
            <w:tcBorders>
              <w:top w:val="single" w:sz="12" w:space="0" w:color="auto"/>
              <w:left w:val="nil"/>
              <w:bottom w:val="nil"/>
              <w:right w:val="nil"/>
            </w:tcBorders>
          </w:tcPr>
          <w:p w14:paraId="5E3F2FA4" w14:textId="702C796E" w:rsidR="001E4613" w:rsidRPr="00A13378" w:rsidRDefault="001E4613" w:rsidP="009D2907">
            <w:pPr>
              <w:autoSpaceDE w:val="0"/>
              <w:autoSpaceDN w:val="0"/>
              <w:adjustRightInd w:val="0"/>
              <w:spacing w:line="300" w:lineRule="exact"/>
              <w:jc w:val="center"/>
              <w:rPr>
                <w:kern w:val="0"/>
                <w:sz w:val="21"/>
                <w:szCs w:val="21"/>
              </w:rPr>
            </w:pPr>
            <w:r w:rsidRPr="00A13378">
              <w:rPr>
                <w:rFonts w:eastAsia="等线"/>
                <w:kern w:val="0"/>
                <w:sz w:val="21"/>
                <w:szCs w:val="21"/>
              </w:rPr>
              <w:t>(</w:t>
            </w:r>
            <w:r w:rsidR="00D145E5">
              <w:rPr>
                <w:rFonts w:eastAsia="等线"/>
                <w:kern w:val="0"/>
                <w:sz w:val="21"/>
                <w:szCs w:val="21"/>
              </w:rPr>
              <w:t>4</w:t>
            </w:r>
            <w:r w:rsidRPr="00A13378">
              <w:rPr>
                <w:rFonts w:eastAsia="等线"/>
                <w:kern w:val="0"/>
                <w:sz w:val="21"/>
                <w:szCs w:val="21"/>
              </w:rPr>
              <w:t>)</w:t>
            </w:r>
          </w:p>
        </w:tc>
        <w:tc>
          <w:tcPr>
            <w:tcW w:w="1465" w:type="dxa"/>
            <w:tcBorders>
              <w:top w:val="single" w:sz="12" w:space="0" w:color="auto"/>
              <w:left w:val="nil"/>
              <w:bottom w:val="nil"/>
              <w:right w:val="nil"/>
            </w:tcBorders>
          </w:tcPr>
          <w:p w14:paraId="3913A00A" w14:textId="00CDD3E9" w:rsidR="001E4613" w:rsidRPr="00A13378" w:rsidRDefault="001E4613" w:rsidP="009D2907">
            <w:pPr>
              <w:autoSpaceDE w:val="0"/>
              <w:autoSpaceDN w:val="0"/>
              <w:adjustRightInd w:val="0"/>
              <w:spacing w:line="300" w:lineRule="exact"/>
              <w:jc w:val="center"/>
              <w:rPr>
                <w:kern w:val="0"/>
                <w:sz w:val="21"/>
                <w:szCs w:val="21"/>
              </w:rPr>
            </w:pPr>
            <w:r w:rsidRPr="00A13378">
              <w:rPr>
                <w:rFonts w:eastAsia="等线"/>
                <w:kern w:val="0"/>
                <w:sz w:val="21"/>
                <w:szCs w:val="21"/>
              </w:rPr>
              <w:t>(</w:t>
            </w:r>
            <w:r w:rsidR="00D145E5">
              <w:rPr>
                <w:rFonts w:eastAsia="等线"/>
                <w:kern w:val="0"/>
                <w:sz w:val="21"/>
                <w:szCs w:val="21"/>
              </w:rPr>
              <w:t>5</w:t>
            </w:r>
            <w:r w:rsidRPr="00A13378">
              <w:rPr>
                <w:rFonts w:eastAsia="等线"/>
                <w:kern w:val="0"/>
                <w:sz w:val="21"/>
                <w:szCs w:val="21"/>
              </w:rPr>
              <w:t>)</w:t>
            </w:r>
          </w:p>
        </w:tc>
      </w:tr>
      <w:tr w:rsidR="001E4613" w:rsidRPr="005F0A3E" w14:paraId="0E4AEEAF" w14:textId="77777777" w:rsidTr="009F3EAD">
        <w:trPr>
          <w:trHeight w:val="481"/>
          <w:jc w:val="center"/>
        </w:trPr>
        <w:tc>
          <w:tcPr>
            <w:tcW w:w="878" w:type="dxa"/>
            <w:tcBorders>
              <w:top w:val="nil"/>
              <w:left w:val="nil"/>
              <w:bottom w:val="single" w:sz="4" w:space="0" w:color="auto"/>
              <w:right w:val="nil"/>
            </w:tcBorders>
          </w:tcPr>
          <w:p w14:paraId="3ADAEDBF" w14:textId="77777777" w:rsidR="001E4613" w:rsidRPr="00A13378" w:rsidRDefault="001E4613" w:rsidP="009D2907">
            <w:pPr>
              <w:autoSpaceDE w:val="0"/>
              <w:autoSpaceDN w:val="0"/>
              <w:adjustRightInd w:val="0"/>
              <w:spacing w:line="300" w:lineRule="exact"/>
              <w:jc w:val="left"/>
              <w:rPr>
                <w:kern w:val="0"/>
                <w:sz w:val="21"/>
                <w:szCs w:val="21"/>
              </w:rPr>
            </w:pPr>
          </w:p>
        </w:tc>
        <w:tc>
          <w:tcPr>
            <w:tcW w:w="1839" w:type="dxa"/>
            <w:tcBorders>
              <w:top w:val="nil"/>
              <w:left w:val="nil"/>
              <w:bottom w:val="single" w:sz="4" w:space="0" w:color="auto"/>
              <w:right w:val="nil"/>
            </w:tcBorders>
          </w:tcPr>
          <w:p w14:paraId="7BDF8B41" w14:textId="77777777" w:rsidR="001E4613" w:rsidRPr="00A13378" w:rsidRDefault="001E4613" w:rsidP="009D2907">
            <w:pPr>
              <w:autoSpaceDE w:val="0"/>
              <w:autoSpaceDN w:val="0"/>
              <w:adjustRightInd w:val="0"/>
              <w:spacing w:line="300" w:lineRule="exact"/>
              <w:jc w:val="center"/>
              <w:rPr>
                <w:kern w:val="0"/>
                <w:sz w:val="21"/>
                <w:szCs w:val="21"/>
              </w:rPr>
            </w:pPr>
            <w:r w:rsidRPr="00A13378">
              <w:rPr>
                <w:kern w:val="0"/>
                <w:sz w:val="21"/>
                <w:szCs w:val="21"/>
              </w:rPr>
              <w:t>ESG</w:t>
            </w:r>
          </w:p>
        </w:tc>
        <w:tc>
          <w:tcPr>
            <w:tcW w:w="1465" w:type="dxa"/>
            <w:tcBorders>
              <w:top w:val="nil"/>
              <w:left w:val="nil"/>
              <w:bottom w:val="single" w:sz="4" w:space="0" w:color="auto"/>
              <w:right w:val="nil"/>
            </w:tcBorders>
          </w:tcPr>
          <w:p w14:paraId="49EE38C5" w14:textId="77777777" w:rsidR="001E4613" w:rsidRPr="00A13378" w:rsidRDefault="001E4613" w:rsidP="009D2907">
            <w:pPr>
              <w:autoSpaceDE w:val="0"/>
              <w:autoSpaceDN w:val="0"/>
              <w:adjustRightInd w:val="0"/>
              <w:spacing w:line="300" w:lineRule="exact"/>
              <w:jc w:val="center"/>
              <w:rPr>
                <w:kern w:val="0"/>
                <w:sz w:val="21"/>
                <w:szCs w:val="21"/>
              </w:rPr>
            </w:pPr>
            <w:r w:rsidRPr="00A13378">
              <w:rPr>
                <w:kern w:val="0"/>
                <w:sz w:val="21"/>
                <w:szCs w:val="21"/>
              </w:rPr>
              <w:t>ESG</w:t>
            </w:r>
          </w:p>
        </w:tc>
        <w:tc>
          <w:tcPr>
            <w:tcW w:w="1465" w:type="dxa"/>
            <w:tcBorders>
              <w:top w:val="nil"/>
              <w:left w:val="nil"/>
              <w:bottom w:val="single" w:sz="4" w:space="0" w:color="auto"/>
              <w:right w:val="nil"/>
            </w:tcBorders>
          </w:tcPr>
          <w:p w14:paraId="5304B6A8" w14:textId="77777777" w:rsidR="001E4613" w:rsidRPr="00A13378" w:rsidRDefault="001E4613" w:rsidP="009D2907">
            <w:pPr>
              <w:autoSpaceDE w:val="0"/>
              <w:autoSpaceDN w:val="0"/>
              <w:adjustRightInd w:val="0"/>
              <w:spacing w:line="300" w:lineRule="exact"/>
              <w:jc w:val="center"/>
              <w:rPr>
                <w:kern w:val="0"/>
                <w:sz w:val="21"/>
                <w:szCs w:val="21"/>
              </w:rPr>
            </w:pPr>
            <w:r w:rsidRPr="00A13378">
              <w:rPr>
                <w:rFonts w:eastAsia="等线"/>
                <w:kern w:val="0"/>
                <w:sz w:val="21"/>
                <w:szCs w:val="21"/>
              </w:rPr>
              <w:t>E</w:t>
            </w:r>
          </w:p>
        </w:tc>
        <w:tc>
          <w:tcPr>
            <w:tcW w:w="1465" w:type="dxa"/>
            <w:tcBorders>
              <w:top w:val="nil"/>
              <w:left w:val="nil"/>
              <w:bottom w:val="single" w:sz="4" w:space="0" w:color="auto"/>
              <w:right w:val="nil"/>
            </w:tcBorders>
          </w:tcPr>
          <w:p w14:paraId="76E023BE" w14:textId="77777777" w:rsidR="001E4613" w:rsidRPr="00A13378" w:rsidRDefault="001E4613" w:rsidP="009D2907">
            <w:pPr>
              <w:autoSpaceDE w:val="0"/>
              <w:autoSpaceDN w:val="0"/>
              <w:adjustRightInd w:val="0"/>
              <w:spacing w:line="300" w:lineRule="exact"/>
              <w:jc w:val="center"/>
              <w:rPr>
                <w:kern w:val="0"/>
                <w:sz w:val="21"/>
                <w:szCs w:val="21"/>
              </w:rPr>
            </w:pPr>
            <w:r w:rsidRPr="00A13378">
              <w:rPr>
                <w:rFonts w:eastAsia="等线"/>
                <w:kern w:val="0"/>
                <w:sz w:val="21"/>
                <w:szCs w:val="21"/>
              </w:rPr>
              <w:t>S</w:t>
            </w:r>
          </w:p>
        </w:tc>
        <w:tc>
          <w:tcPr>
            <w:tcW w:w="1465" w:type="dxa"/>
            <w:tcBorders>
              <w:top w:val="nil"/>
              <w:left w:val="nil"/>
              <w:bottom w:val="single" w:sz="4" w:space="0" w:color="auto"/>
              <w:right w:val="nil"/>
            </w:tcBorders>
          </w:tcPr>
          <w:p w14:paraId="0FC832A0" w14:textId="77777777" w:rsidR="001E4613" w:rsidRPr="00A13378" w:rsidRDefault="001E4613" w:rsidP="009D2907">
            <w:pPr>
              <w:autoSpaceDE w:val="0"/>
              <w:autoSpaceDN w:val="0"/>
              <w:adjustRightInd w:val="0"/>
              <w:spacing w:line="300" w:lineRule="exact"/>
              <w:jc w:val="center"/>
              <w:rPr>
                <w:kern w:val="0"/>
                <w:sz w:val="21"/>
                <w:szCs w:val="21"/>
              </w:rPr>
            </w:pPr>
            <w:r w:rsidRPr="00A13378">
              <w:rPr>
                <w:rFonts w:eastAsia="等线"/>
                <w:kern w:val="0"/>
                <w:sz w:val="21"/>
                <w:szCs w:val="21"/>
              </w:rPr>
              <w:t>G</w:t>
            </w:r>
          </w:p>
        </w:tc>
      </w:tr>
      <w:tr w:rsidR="001E4613" w:rsidRPr="005F0A3E" w14:paraId="6B1946B9" w14:textId="77777777" w:rsidTr="009F3EAD">
        <w:trPr>
          <w:trHeight w:val="481"/>
          <w:jc w:val="center"/>
        </w:trPr>
        <w:tc>
          <w:tcPr>
            <w:tcW w:w="878" w:type="dxa"/>
            <w:tcBorders>
              <w:top w:val="single" w:sz="4" w:space="0" w:color="auto"/>
              <w:left w:val="nil"/>
              <w:bottom w:val="nil"/>
              <w:right w:val="nil"/>
            </w:tcBorders>
          </w:tcPr>
          <w:p w14:paraId="6BB358C8" w14:textId="77777777" w:rsidR="001E4613" w:rsidRPr="00A13378" w:rsidRDefault="001E4613" w:rsidP="009D2907">
            <w:pPr>
              <w:autoSpaceDE w:val="0"/>
              <w:autoSpaceDN w:val="0"/>
              <w:adjustRightInd w:val="0"/>
              <w:spacing w:line="300" w:lineRule="exact"/>
              <w:jc w:val="left"/>
              <w:rPr>
                <w:kern w:val="0"/>
                <w:sz w:val="21"/>
                <w:szCs w:val="21"/>
              </w:rPr>
            </w:pPr>
            <w:r w:rsidRPr="00A13378">
              <w:rPr>
                <w:kern w:val="0"/>
                <w:sz w:val="21"/>
                <w:szCs w:val="21"/>
              </w:rPr>
              <w:t>Vega</w:t>
            </w:r>
          </w:p>
        </w:tc>
        <w:tc>
          <w:tcPr>
            <w:tcW w:w="1839" w:type="dxa"/>
            <w:tcBorders>
              <w:top w:val="single" w:sz="4" w:space="0" w:color="auto"/>
              <w:left w:val="nil"/>
              <w:bottom w:val="nil"/>
              <w:right w:val="nil"/>
            </w:tcBorders>
          </w:tcPr>
          <w:p w14:paraId="5A61ED1C" w14:textId="77777777" w:rsidR="001E4613" w:rsidRPr="00A13378" w:rsidRDefault="001E4613" w:rsidP="009D2907">
            <w:pPr>
              <w:autoSpaceDE w:val="0"/>
              <w:autoSpaceDN w:val="0"/>
              <w:adjustRightInd w:val="0"/>
              <w:spacing w:line="300" w:lineRule="exact"/>
              <w:jc w:val="center"/>
              <w:rPr>
                <w:kern w:val="0"/>
                <w:sz w:val="21"/>
                <w:szCs w:val="21"/>
              </w:rPr>
            </w:pPr>
            <w:r w:rsidRPr="00A13378">
              <w:rPr>
                <w:kern w:val="0"/>
                <w:sz w:val="21"/>
                <w:szCs w:val="21"/>
              </w:rPr>
              <w:t>2.015</w:t>
            </w:r>
            <w:r w:rsidRPr="00A13378">
              <w:rPr>
                <w:kern w:val="0"/>
                <w:sz w:val="21"/>
                <w:szCs w:val="21"/>
                <w:vertAlign w:val="superscript"/>
              </w:rPr>
              <w:t>***</w:t>
            </w:r>
          </w:p>
        </w:tc>
        <w:tc>
          <w:tcPr>
            <w:tcW w:w="1465" w:type="dxa"/>
            <w:tcBorders>
              <w:top w:val="single" w:sz="4" w:space="0" w:color="auto"/>
              <w:left w:val="nil"/>
              <w:bottom w:val="nil"/>
              <w:right w:val="nil"/>
            </w:tcBorders>
          </w:tcPr>
          <w:p w14:paraId="79D24022" w14:textId="77777777" w:rsidR="001E4613" w:rsidRPr="00A13378" w:rsidRDefault="001E4613" w:rsidP="009D2907">
            <w:pPr>
              <w:autoSpaceDE w:val="0"/>
              <w:autoSpaceDN w:val="0"/>
              <w:adjustRightInd w:val="0"/>
              <w:spacing w:line="300" w:lineRule="exact"/>
              <w:jc w:val="center"/>
              <w:rPr>
                <w:kern w:val="0"/>
                <w:sz w:val="21"/>
                <w:szCs w:val="21"/>
              </w:rPr>
            </w:pPr>
            <w:r w:rsidRPr="00A13378">
              <w:rPr>
                <w:kern w:val="0"/>
                <w:sz w:val="21"/>
                <w:szCs w:val="21"/>
              </w:rPr>
              <w:t>2.017</w:t>
            </w:r>
            <w:r w:rsidRPr="00A13378">
              <w:rPr>
                <w:kern w:val="0"/>
                <w:sz w:val="21"/>
                <w:szCs w:val="21"/>
                <w:vertAlign w:val="superscript"/>
              </w:rPr>
              <w:t>***</w:t>
            </w:r>
          </w:p>
        </w:tc>
        <w:tc>
          <w:tcPr>
            <w:tcW w:w="1465" w:type="dxa"/>
            <w:tcBorders>
              <w:top w:val="single" w:sz="4" w:space="0" w:color="auto"/>
              <w:left w:val="nil"/>
              <w:bottom w:val="nil"/>
              <w:right w:val="nil"/>
            </w:tcBorders>
          </w:tcPr>
          <w:p w14:paraId="11F346F3" w14:textId="77777777" w:rsidR="001E4613" w:rsidRPr="00A13378" w:rsidRDefault="001E4613" w:rsidP="009D2907">
            <w:pPr>
              <w:autoSpaceDE w:val="0"/>
              <w:autoSpaceDN w:val="0"/>
              <w:adjustRightInd w:val="0"/>
              <w:spacing w:line="300" w:lineRule="exact"/>
              <w:jc w:val="center"/>
              <w:rPr>
                <w:kern w:val="0"/>
                <w:sz w:val="21"/>
                <w:szCs w:val="21"/>
              </w:rPr>
            </w:pPr>
            <w:r w:rsidRPr="00A13378">
              <w:rPr>
                <w:rFonts w:eastAsia="等线"/>
                <w:kern w:val="0"/>
                <w:sz w:val="21"/>
                <w:szCs w:val="21"/>
              </w:rPr>
              <w:t>2.242</w:t>
            </w:r>
            <w:r w:rsidRPr="00A13378">
              <w:rPr>
                <w:rFonts w:eastAsia="等线"/>
                <w:kern w:val="0"/>
                <w:sz w:val="21"/>
                <w:szCs w:val="21"/>
                <w:vertAlign w:val="superscript"/>
              </w:rPr>
              <w:t>***</w:t>
            </w:r>
          </w:p>
        </w:tc>
        <w:tc>
          <w:tcPr>
            <w:tcW w:w="1465" w:type="dxa"/>
            <w:tcBorders>
              <w:top w:val="single" w:sz="4" w:space="0" w:color="auto"/>
              <w:left w:val="nil"/>
              <w:bottom w:val="nil"/>
              <w:right w:val="nil"/>
            </w:tcBorders>
          </w:tcPr>
          <w:p w14:paraId="3CF58FA6" w14:textId="77777777" w:rsidR="001E4613" w:rsidRPr="00A13378" w:rsidRDefault="001E4613" w:rsidP="009D2907">
            <w:pPr>
              <w:autoSpaceDE w:val="0"/>
              <w:autoSpaceDN w:val="0"/>
              <w:adjustRightInd w:val="0"/>
              <w:spacing w:line="300" w:lineRule="exact"/>
              <w:jc w:val="center"/>
              <w:rPr>
                <w:kern w:val="0"/>
                <w:sz w:val="21"/>
                <w:szCs w:val="21"/>
              </w:rPr>
            </w:pPr>
            <w:r w:rsidRPr="00A13378">
              <w:rPr>
                <w:rFonts w:eastAsia="等线"/>
                <w:kern w:val="0"/>
                <w:sz w:val="21"/>
                <w:szCs w:val="21"/>
              </w:rPr>
              <w:t>1.877</w:t>
            </w:r>
            <w:r w:rsidRPr="00A13378">
              <w:rPr>
                <w:rFonts w:eastAsia="等线"/>
                <w:kern w:val="0"/>
                <w:sz w:val="21"/>
                <w:szCs w:val="21"/>
                <w:vertAlign w:val="superscript"/>
              </w:rPr>
              <w:t>*</w:t>
            </w:r>
          </w:p>
        </w:tc>
        <w:tc>
          <w:tcPr>
            <w:tcW w:w="1465" w:type="dxa"/>
            <w:tcBorders>
              <w:top w:val="single" w:sz="4" w:space="0" w:color="auto"/>
              <w:left w:val="nil"/>
              <w:bottom w:val="nil"/>
              <w:right w:val="nil"/>
            </w:tcBorders>
          </w:tcPr>
          <w:p w14:paraId="3394B610" w14:textId="77777777" w:rsidR="001E4613" w:rsidRPr="00A13378" w:rsidRDefault="001E4613" w:rsidP="009D2907">
            <w:pPr>
              <w:autoSpaceDE w:val="0"/>
              <w:autoSpaceDN w:val="0"/>
              <w:adjustRightInd w:val="0"/>
              <w:spacing w:line="300" w:lineRule="exact"/>
              <w:jc w:val="center"/>
              <w:rPr>
                <w:kern w:val="0"/>
                <w:sz w:val="21"/>
                <w:szCs w:val="21"/>
              </w:rPr>
            </w:pPr>
            <w:r w:rsidRPr="00A13378">
              <w:rPr>
                <w:rFonts w:eastAsia="等线"/>
                <w:kern w:val="0"/>
                <w:sz w:val="21"/>
                <w:szCs w:val="21"/>
              </w:rPr>
              <w:t>1.223</w:t>
            </w:r>
            <w:r w:rsidRPr="00A13378">
              <w:rPr>
                <w:rFonts w:eastAsia="等线"/>
                <w:kern w:val="0"/>
                <w:sz w:val="21"/>
                <w:szCs w:val="21"/>
                <w:vertAlign w:val="superscript"/>
              </w:rPr>
              <w:t>**</w:t>
            </w:r>
          </w:p>
        </w:tc>
      </w:tr>
      <w:tr w:rsidR="001E4613" w:rsidRPr="005F0A3E" w14:paraId="5747530A" w14:textId="77777777" w:rsidTr="009F3EAD">
        <w:trPr>
          <w:trHeight w:val="481"/>
          <w:jc w:val="center"/>
        </w:trPr>
        <w:tc>
          <w:tcPr>
            <w:tcW w:w="878" w:type="dxa"/>
            <w:tcBorders>
              <w:top w:val="nil"/>
              <w:left w:val="nil"/>
              <w:bottom w:val="nil"/>
              <w:right w:val="nil"/>
            </w:tcBorders>
          </w:tcPr>
          <w:p w14:paraId="43BB08EA" w14:textId="77777777" w:rsidR="001E4613" w:rsidRPr="00A13378" w:rsidRDefault="001E4613" w:rsidP="009D2907">
            <w:pPr>
              <w:autoSpaceDE w:val="0"/>
              <w:autoSpaceDN w:val="0"/>
              <w:adjustRightInd w:val="0"/>
              <w:spacing w:line="300" w:lineRule="exact"/>
              <w:jc w:val="left"/>
              <w:rPr>
                <w:kern w:val="0"/>
                <w:sz w:val="21"/>
                <w:szCs w:val="21"/>
              </w:rPr>
            </w:pPr>
          </w:p>
        </w:tc>
        <w:tc>
          <w:tcPr>
            <w:tcW w:w="1839" w:type="dxa"/>
            <w:tcBorders>
              <w:top w:val="nil"/>
              <w:left w:val="nil"/>
              <w:bottom w:val="nil"/>
              <w:right w:val="nil"/>
            </w:tcBorders>
          </w:tcPr>
          <w:p w14:paraId="7951CD73" w14:textId="77777777" w:rsidR="001E4613" w:rsidRPr="00A13378" w:rsidRDefault="001E4613" w:rsidP="009D2907">
            <w:pPr>
              <w:autoSpaceDE w:val="0"/>
              <w:autoSpaceDN w:val="0"/>
              <w:adjustRightInd w:val="0"/>
              <w:spacing w:line="300" w:lineRule="exact"/>
              <w:jc w:val="center"/>
              <w:rPr>
                <w:kern w:val="0"/>
                <w:sz w:val="21"/>
                <w:szCs w:val="21"/>
              </w:rPr>
            </w:pPr>
            <w:r w:rsidRPr="00A13378">
              <w:rPr>
                <w:kern w:val="0"/>
                <w:sz w:val="21"/>
                <w:szCs w:val="21"/>
              </w:rPr>
              <w:t>(0.702)</w:t>
            </w:r>
          </w:p>
        </w:tc>
        <w:tc>
          <w:tcPr>
            <w:tcW w:w="1465" w:type="dxa"/>
            <w:tcBorders>
              <w:top w:val="nil"/>
              <w:left w:val="nil"/>
              <w:bottom w:val="nil"/>
              <w:right w:val="nil"/>
            </w:tcBorders>
          </w:tcPr>
          <w:p w14:paraId="5243A9D1" w14:textId="77777777" w:rsidR="001E4613" w:rsidRPr="00A13378" w:rsidRDefault="001E4613" w:rsidP="009D2907">
            <w:pPr>
              <w:autoSpaceDE w:val="0"/>
              <w:autoSpaceDN w:val="0"/>
              <w:adjustRightInd w:val="0"/>
              <w:spacing w:line="300" w:lineRule="exact"/>
              <w:jc w:val="center"/>
              <w:rPr>
                <w:kern w:val="0"/>
                <w:sz w:val="21"/>
                <w:szCs w:val="21"/>
              </w:rPr>
            </w:pPr>
            <w:r w:rsidRPr="00A13378">
              <w:rPr>
                <w:kern w:val="0"/>
                <w:sz w:val="21"/>
                <w:szCs w:val="21"/>
              </w:rPr>
              <w:t>(0.720)</w:t>
            </w:r>
          </w:p>
        </w:tc>
        <w:tc>
          <w:tcPr>
            <w:tcW w:w="1465" w:type="dxa"/>
            <w:tcBorders>
              <w:top w:val="nil"/>
              <w:left w:val="nil"/>
              <w:bottom w:val="nil"/>
              <w:right w:val="nil"/>
            </w:tcBorders>
          </w:tcPr>
          <w:p w14:paraId="08D68647" w14:textId="77777777" w:rsidR="001E4613" w:rsidRPr="00A13378" w:rsidRDefault="001E4613" w:rsidP="009D2907">
            <w:pPr>
              <w:autoSpaceDE w:val="0"/>
              <w:autoSpaceDN w:val="0"/>
              <w:adjustRightInd w:val="0"/>
              <w:spacing w:line="300" w:lineRule="exact"/>
              <w:jc w:val="center"/>
              <w:rPr>
                <w:kern w:val="0"/>
                <w:sz w:val="21"/>
                <w:szCs w:val="21"/>
              </w:rPr>
            </w:pPr>
            <w:r w:rsidRPr="00A13378">
              <w:rPr>
                <w:rFonts w:eastAsia="等线"/>
                <w:kern w:val="0"/>
                <w:sz w:val="21"/>
                <w:szCs w:val="21"/>
              </w:rPr>
              <w:t>(0.848)</w:t>
            </w:r>
          </w:p>
        </w:tc>
        <w:tc>
          <w:tcPr>
            <w:tcW w:w="1465" w:type="dxa"/>
            <w:tcBorders>
              <w:top w:val="nil"/>
              <w:left w:val="nil"/>
              <w:bottom w:val="nil"/>
              <w:right w:val="nil"/>
            </w:tcBorders>
          </w:tcPr>
          <w:p w14:paraId="28EA12FB" w14:textId="77777777" w:rsidR="001E4613" w:rsidRPr="00A13378" w:rsidRDefault="001E4613" w:rsidP="009D2907">
            <w:pPr>
              <w:autoSpaceDE w:val="0"/>
              <w:autoSpaceDN w:val="0"/>
              <w:adjustRightInd w:val="0"/>
              <w:spacing w:line="300" w:lineRule="exact"/>
              <w:jc w:val="center"/>
              <w:rPr>
                <w:kern w:val="0"/>
                <w:sz w:val="21"/>
                <w:szCs w:val="21"/>
              </w:rPr>
            </w:pPr>
            <w:r w:rsidRPr="00A13378">
              <w:rPr>
                <w:rFonts w:eastAsia="等线"/>
                <w:kern w:val="0"/>
                <w:sz w:val="21"/>
                <w:szCs w:val="21"/>
              </w:rPr>
              <w:t>(1.023)</w:t>
            </w:r>
          </w:p>
        </w:tc>
        <w:tc>
          <w:tcPr>
            <w:tcW w:w="1465" w:type="dxa"/>
            <w:tcBorders>
              <w:top w:val="nil"/>
              <w:left w:val="nil"/>
              <w:bottom w:val="nil"/>
              <w:right w:val="nil"/>
            </w:tcBorders>
          </w:tcPr>
          <w:p w14:paraId="36E70213" w14:textId="77777777" w:rsidR="001E4613" w:rsidRPr="00A13378" w:rsidRDefault="001E4613" w:rsidP="009D2907">
            <w:pPr>
              <w:autoSpaceDE w:val="0"/>
              <w:autoSpaceDN w:val="0"/>
              <w:adjustRightInd w:val="0"/>
              <w:spacing w:line="300" w:lineRule="exact"/>
              <w:jc w:val="center"/>
              <w:rPr>
                <w:kern w:val="0"/>
                <w:sz w:val="21"/>
                <w:szCs w:val="21"/>
              </w:rPr>
            </w:pPr>
            <w:r w:rsidRPr="00A13378">
              <w:rPr>
                <w:rFonts w:eastAsia="等线"/>
                <w:kern w:val="0"/>
                <w:sz w:val="21"/>
                <w:szCs w:val="21"/>
              </w:rPr>
              <w:t>(0.603)</w:t>
            </w:r>
          </w:p>
        </w:tc>
      </w:tr>
      <w:tr w:rsidR="001E4613" w:rsidRPr="005F0A3E" w14:paraId="485A0A5E" w14:textId="77777777" w:rsidTr="009F3EAD">
        <w:trPr>
          <w:trHeight w:val="481"/>
          <w:jc w:val="center"/>
        </w:trPr>
        <w:tc>
          <w:tcPr>
            <w:tcW w:w="878" w:type="dxa"/>
            <w:tcBorders>
              <w:top w:val="nil"/>
              <w:left w:val="nil"/>
              <w:bottom w:val="nil"/>
              <w:right w:val="nil"/>
            </w:tcBorders>
          </w:tcPr>
          <w:p w14:paraId="6649930D" w14:textId="77777777" w:rsidR="001E4613" w:rsidRPr="00A13378" w:rsidRDefault="001E4613" w:rsidP="009D2907">
            <w:pPr>
              <w:autoSpaceDE w:val="0"/>
              <w:autoSpaceDN w:val="0"/>
              <w:adjustRightInd w:val="0"/>
              <w:spacing w:line="300" w:lineRule="exact"/>
              <w:jc w:val="left"/>
              <w:rPr>
                <w:kern w:val="0"/>
                <w:sz w:val="21"/>
                <w:szCs w:val="21"/>
              </w:rPr>
            </w:pPr>
            <w:r w:rsidRPr="00A13378">
              <w:rPr>
                <w:kern w:val="0"/>
                <w:sz w:val="21"/>
                <w:szCs w:val="21"/>
              </w:rPr>
              <w:t>Delta</w:t>
            </w:r>
          </w:p>
        </w:tc>
        <w:tc>
          <w:tcPr>
            <w:tcW w:w="1839" w:type="dxa"/>
            <w:tcBorders>
              <w:top w:val="nil"/>
              <w:left w:val="nil"/>
              <w:bottom w:val="nil"/>
              <w:right w:val="nil"/>
            </w:tcBorders>
          </w:tcPr>
          <w:p w14:paraId="2F9B538F" w14:textId="77777777" w:rsidR="001E4613" w:rsidRPr="00A13378" w:rsidRDefault="001E4613" w:rsidP="009D2907">
            <w:pPr>
              <w:autoSpaceDE w:val="0"/>
              <w:autoSpaceDN w:val="0"/>
              <w:adjustRightInd w:val="0"/>
              <w:spacing w:line="300" w:lineRule="exact"/>
              <w:jc w:val="center"/>
              <w:rPr>
                <w:kern w:val="0"/>
                <w:sz w:val="21"/>
                <w:szCs w:val="21"/>
              </w:rPr>
            </w:pPr>
            <w:r w:rsidRPr="00A13378">
              <w:rPr>
                <w:kern w:val="0"/>
                <w:sz w:val="21"/>
                <w:szCs w:val="21"/>
              </w:rPr>
              <w:t>-1.790</w:t>
            </w:r>
            <w:r w:rsidRPr="00A13378">
              <w:rPr>
                <w:kern w:val="0"/>
                <w:sz w:val="21"/>
                <w:szCs w:val="21"/>
                <w:vertAlign w:val="superscript"/>
              </w:rPr>
              <w:t>***</w:t>
            </w:r>
          </w:p>
        </w:tc>
        <w:tc>
          <w:tcPr>
            <w:tcW w:w="1465" w:type="dxa"/>
            <w:tcBorders>
              <w:top w:val="nil"/>
              <w:left w:val="nil"/>
              <w:bottom w:val="nil"/>
              <w:right w:val="nil"/>
            </w:tcBorders>
          </w:tcPr>
          <w:p w14:paraId="74E155C2" w14:textId="77777777" w:rsidR="001E4613" w:rsidRPr="00A13378" w:rsidRDefault="001E4613" w:rsidP="009D2907">
            <w:pPr>
              <w:autoSpaceDE w:val="0"/>
              <w:autoSpaceDN w:val="0"/>
              <w:adjustRightInd w:val="0"/>
              <w:spacing w:line="300" w:lineRule="exact"/>
              <w:jc w:val="center"/>
              <w:rPr>
                <w:kern w:val="0"/>
                <w:sz w:val="21"/>
                <w:szCs w:val="21"/>
              </w:rPr>
            </w:pPr>
            <w:r w:rsidRPr="00A13378">
              <w:rPr>
                <w:kern w:val="0"/>
                <w:sz w:val="21"/>
                <w:szCs w:val="21"/>
              </w:rPr>
              <w:t>-1.787</w:t>
            </w:r>
            <w:r w:rsidRPr="00A13378">
              <w:rPr>
                <w:kern w:val="0"/>
                <w:sz w:val="21"/>
                <w:szCs w:val="21"/>
                <w:vertAlign w:val="superscript"/>
              </w:rPr>
              <w:t>**</w:t>
            </w:r>
          </w:p>
        </w:tc>
        <w:tc>
          <w:tcPr>
            <w:tcW w:w="1465" w:type="dxa"/>
            <w:tcBorders>
              <w:top w:val="nil"/>
              <w:left w:val="nil"/>
              <w:bottom w:val="nil"/>
              <w:right w:val="nil"/>
            </w:tcBorders>
          </w:tcPr>
          <w:p w14:paraId="03A3F841" w14:textId="77777777" w:rsidR="001E4613" w:rsidRPr="00A13378" w:rsidRDefault="001E4613" w:rsidP="009D2907">
            <w:pPr>
              <w:autoSpaceDE w:val="0"/>
              <w:autoSpaceDN w:val="0"/>
              <w:adjustRightInd w:val="0"/>
              <w:spacing w:line="300" w:lineRule="exact"/>
              <w:jc w:val="center"/>
              <w:rPr>
                <w:kern w:val="0"/>
                <w:sz w:val="21"/>
                <w:szCs w:val="21"/>
              </w:rPr>
            </w:pPr>
            <w:r w:rsidRPr="00A13378">
              <w:rPr>
                <w:rFonts w:eastAsia="等线"/>
                <w:kern w:val="0"/>
                <w:sz w:val="21"/>
                <w:szCs w:val="21"/>
              </w:rPr>
              <w:t>-1.931</w:t>
            </w:r>
            <w:r w:rsidRPr="00A13378">
              <w:rPr>
                <w:rFonts w:eastAsia="等线"/>
                <w:kern w:val="0"/>
                <w:sz w:val="21"/>
                <w:szCs w:val="21"/>
                <w:vertAlign w:val="superscript"/>
              </w:rPr>
              <w:t>**</w:t>
            </w:r>
          </w:p>
        </w:tc>
        <w:tc>
          <w:tcPr>
            <w:tcW w:w="1465" w:type="dxa"/>
            <w:tcBorders>
              <w:top w:val="nil"/>
              <w:left w:val="nil"/>
              <w:bottom w:val="nil"/>
              <w:right w:val="nil"/>
            </w:tcBorders>
          </w:tcPr>
          <w:p w14:paraId="447783FE" w14:textId="77777777" w:rsidR="001E4613" w:rsidRPr="00A13378" w:rsidRDefault="001E4613" w:rsidP="009D2907">
            <w:pPr>
              <w:autoSpaceDE w:val="0"/>
              <w:autoSpaceDN w:val="0"/>
              <w:adjustRightInd w:val="0"/>
              <w:spacing w:line="300" w:lineRule="exact"/>
              <w:jc w:val="center"/>
              <w:rPr>
                <w:kern w:val="0"/>
                <w:sz w:val="21"/>
                <w:szCs w:val="21"/>
              </w:rPr>
            </w:pPr>
            <w:r w:rsidRPr="00A13378">
              <w:rPr>
                <w:rFonts w:eastAsia="等线"/>
                <w:kern w:val="0"/>
                <w:sz w:val="21"/>
                <w:szCs w:val="21"/>
              </w:rPr>
              <w:t>-1.647</w:t>
            </w:r>
            <w:r w:rsidRPr="00A13378">
              <w:rPr>
                <w:rFonts w:eastAsia="等线"/>
                <w:kern w:val="0"/>
                <w:sz w:val="21"/>
                <w:szCs w:val="21"/>
                <w:vertAlign w:val="superscript"/>
              </w:rPr>
              <w:t>*</w:t>
            </w:r>
          </w:p>
        </w:tc>
        <w:tc>
          <w:tcPr>
            <w:tcW w:w="1465" w:type="dxa"/>
            <w:tcBorders>
              <w:top w:val="nil"/>
              <w:left w:val="nil"/>
              <w:bottom w:val="nil"/>
              <w:right w:val="nil"/>
            </w:tcBorders>
          </w:tcPr>
          <w:p w14:paraId="380F91D3" w14:textId="77777777" w:rsidR="001E4613" w:rsidRPr="00A13378" w:rsidRDefault="001E4613" w:rsidP="009D2907">
            <w:pPr>
              <w:autoSpaceDE w:val="0"/>
              <w:autoSpaceDN w:val="0"/>
              <w:adjustRightInd w:val="0"/>
              <w:spacing w:line="300" w:lineRule="exact"/>
              <w:jc w:val="center"/>
              <w:rPr>
                <w:kern w:val="0"/>
                <w:sz w:val="21"/>
                <w:szCs w:val="21"/>
              </w:rPr>
            </w:pPr>
            <w:r w:rsidRPr="00A13378">
              <w:rPr>
                <w:rFonts w:eastAsia="等线"/>
                <w:kern w:val="0"/>
                <w:sz w:val="21"/>
                <w:szCs w:val="21"/>
              </w:rPr>
              <w:t>-1.100</w:t>
            </w:r>
            <w:r w:rsidRPr="00A13378">
              <w:rPr>
                <w:rFonts w:eastAsia="等线"/>
                <w:kern w:val="0"/>
                <w:sz w:val="21"/>
                <w:szCs w:val="21"/>
                <w:vertAlign w:val="superscript"/>
              </w:rPr>
              <w:t>*</w:t>
            </w:r>
          </w:p>
        </w:tc>
      </w:tr>
      <w:tr w:rsidR="001E4613" w:rsidRPr="005F0A3E" w14:paraId="63BC9C94" w14:textId="77777777" w:rsidTr="009F3EAD">
        <w:trPr>
          <w:trHeight w:val="481"/>
          <w:jc w:val="center"/>
        </w:trPr>
        <w:tc>
          <w:tcPr>
            <w:tcW w:w="878" w:type="dxa"/>
            <w:tcBorders>
              <w:top w:val="nil"/>
              <w:left w:val="nil"/>
              <w:bottom w:val="nil"/>
              <w:right w:val="nil"/>
            </w:tcBorders>
          </w:tcPr>
          <w:p w14:paraId="414C9343" w14:textId="77777777" w:rsidR="001E4613" w:rsidRPr="00A13378" w:rsidRDefault="001E4613" w:rsidP="009D2907">
            <w:pPr>
              <w:autoSpaceDE w:val="0"/>
              <w:autoSpaceDN w:val="0"/>
              <w:adjustRightInd w:val="0"/>
              <w:spacing w:line="300" w:lineRule="exact"/>
              <w:jc w:val="left"/>
              <w:rPr>
                <w:kern w:val="0"/>
                <w:sz w:val="21"/>
                <w:szCs w:val="21"/>
              </w:rPr>
            </w:pPr>
          </w:p>
        </w:tc>
        <w:tc>
          <w:tcPr>
            <w:tcW w:w="1839" w:type="dxa"/>
            <w:tcBorders>
              <w:top w:val="nil"/>
              <w:left w:val="nil"/>
              <w:bottom w:val="nil"/>
              <w:right w:val="nil"/>
            </w:tcBorders>
          </w:tcPr>
          <w:p w14:paraId="31BA4662" w14:textId="77777777" w:rsidR="001E4613" w:rsidRPr="00A13378" w:rsidRDefault="001E4613" w:rsidP="009D2907">
            <w:pPr>
              <w:autoSpaceDE w:val="0"/>
              <w:autoSpaceDN w:val="0"/>
              <w:adjustRightInd w:val="0"/>
              <w:spacing w:line="300" w:lineRule="exact"/>
              <w:jc w:val="center"/>
              <w:rPr>
                <w:kern w:val="0"/>
                <w:sz w:val="21"/>
                <w:szCs w:val="21"/>
              </w:rPr>
            </w:pPr>
            <w:r w:rsidRPr="00A13378">
              <w:rPr>
                <w:kern w:val="0"/>
                <w:sz w:val="21"/>
                <w:szCs w:val="21"/>
              </w:rPr>
              <w:t>(0.683)</w:t>
            </w:r>
          </w:p>
        </w:tc>
        <w:tc>
          <w:tcPr>
            <w:tcW w:w="1465" w:type="dxa"/>
            <w:tcBorders>
              <w:top w:val="nil"/>
              <w:left w:val="nil"/>
              <w:bottom w:val="nil"/>
              <w:right w:val="nil"/>
            </w:tcBorders>
          </w:tcPr>
          <w:p w14:paraId="522AFDA9" w14:textId="77777777" w:rsidR="001E4613" w:rsidRPr="00A13378" w:rsidRDefault="001E4613" w:rsidP="009D2907">
            <w:pPr>
              <w:autoSpaceDE w:val="0"/>
              <w:autoSpaceDN w:val="0"/>
              <w:adjustRightInd w:val="0"/>
              <w:spacing w:line="300" w:lineRule="exact"/>
              <w:jc w:val="center"/>
              <w:rPr>
                <w:kern w:val="0"/>
                <w:sz w:val="21"/>
                <w:szCs w:val="21"/>
              </w:rPr>
            </w:pPr>
            <w:r w:rsidRPr="00A13378">
              <w:rPr>
                <w:kern w:val="0"/>
                <w:sz w:val="21"/>
                <w:szCs w:val="21"/>
              </w:rPr>
              <w:t>(0.701)</w:t>
            </w:r>
          </w:p>
        </w:tc>
        <w:tc>
          <w:tcPr>
            <w:tcW w:w="1465" w:type="dxa"/>
            <w:tcBorders>
              <w:top w:val="nil"/>
              <w:left w:val="nil"/>
              <w:bottom w:val="nil"/>
              <w:right w:val="nil"/>
            </w:tcBorders>
          </w:tcPr>
          <w:p w14:paraId="565210FD" w14:textId="77777777" w:rsidR="001E4613" w:rsidRPr="00A13378" w:rsidRDefault="001E4613" w:rsidP="009D2907">
            <w:pPr>
              <w:autoSpaceDE w:val="0"/>
              <w:autoSpaceDN w:val="0"/>
              <w:adjustRightInd w:val="0"/>
              <w:spacing w:line="300" w:lineRule="exact"/>
              <w:jc w:val="center"/>
              <w:rPr>
                <w:kern w:val="0"/>
                <w:sz w:val="21"/>
                <w:szCs w:val="21"/>
              </w:rPr>
            </w:pPr>
            <w:r w:rsidRPr="00A13378">
              <w:rPr>
                <w:rFonts w:eastAsia="等线"/>
                <w:kern w:val="0"/>
                <w:sz w:val="21"/>
                <w:szCs w:val="21"/>
              </w:rPr>
              <w:t>(0.826)</w:t>
            </w:r>
          </w:p>
        </w:tc>
        <w:tc>
          <w:tcPr>
            <w:tcW w:w="1465" w:type="dxa"/>
            <w:tcBorders>
              <w:top w:val="nil"/>
              <w:left w:val="nil"/>
              <w:bottom w:val="nil"/>
              <w:right w:val="nil"/>
            </w:tcBorders>
          </w:tcPr>
          <w:p w14:paraId="25629686" w14:textId="77777777" w:rsidR="001E4613" w:rsidRPr="00A13378" w:rsidRDefault="001E4613" w:rsidP="009D2907">
            <w:pPr>
              <w:autoSpaceDE w:val="0"/>
              <w:autoSpaceDN w:val="0"/>
              <w:adjustRightInd w:val="0"/>
              <w:spacing w:line="300" w:lineRule="exact"/>
              <w:jc w:val="center"/>
              <w:rPr>
                <w:kern w:val="0"/>
                <w:sz w:val="21"/>
                <w:szCs w:val="21"/>
              </w:rPr>
            </w:pPr>
            <w:r w:rsidRPr="00A13378">
              <w:rPr>
                <w:rFonts w:eastAsia="等线"/>
                <w:kern w:val="0"/>
                <w:sz w:val="21"/>
                <w:szCs w:val="21"/>
              </w:rPr>
              <w:t>(0.997)</w:t>
            </w:r>
          </w:p>
        </w:tc>
        <w:tc>
          <w:tcPr>
            <w:tcW w:w="1465" w:type="dxa"/>
            <w:tcBorders>
              <w:top w:val="nil"/>
              <w:left w:val="nil"/>
              <w:bottom w:val="nil"/>
              <w:right w:val="nil"/>
            </w:tcBorders>
          </w:tcPr>
          <w:p w14:paraId="523559A3" w14:textId="77777777" w:rsidR="001E4613" w:rsidRPr="00A13378" w:rsidRDefault="001E4613" w:rsidP="009D2907">
            <w:pPr>
              <w:autoSpaceDE w:val="0"/>
              <w:autoSpaceDN w:val="0"/>
              <w:adjustRightInd w:val="0"/>
              <w:spacing w:line="300" w:lineRule="exact"/>
              <w:jc w:val="center"/>
              <w:rPr>
                <w:kern w:val="0"/>
                <w:sz w:val="21"/>
                <w:szCs w:val="21"/>
              </w:rPr>
            </w:pPr>
            <w:r w:rsidRPr="00A13378">
              <w:rPr>
                <w:rFonts w:eastAsia="等线"/>
                <w:kern w:val="0"/>
                <w:sz w:val="21"/>
                <w:szCs w:val="21"/>
              </w:rPr>
              <w:t>(0.587)</w:t>
            </w:r>
          </w:p>
        </w:tc>
      </w:tr>
      <w:tr w:rsidR="001E4613" w:rsidRPr="005F0A3E" w14:paraId="10BC92F9" w14:textId="77777777" w:rsidTr="009F3EAD">
        <w:trPr>
          <w:trHeight w:val="481"/>
          <w:jc w:val="center"/>
        </w:trPr>
        <w:tc>
          <w:tcPr>
            <w:tcW w:w="878" w:type="dxa"/>
            <w:tcBorders>
              <w:top w:val="nil"/>
              <w:left w:val="nil"/>
              <w:bottom w:val="nil"/>
              <w:right w:val="nil"/>
            </w:tcBorders>
          </w:tcPr>
          <w:p w14:paraId="55CFB5DA" w14:textId="77777777" w:rsidR="001E4613" w:rsidRPr="00A13378" w:rsidRDefault="001E4613" w:rsidP="009D2907">
            <w:pPr>
              <w:autoSpaceDE w:val="0"/>
              <w:autoSpaceDN w:val="0"/>
              <w:adjustRightInd w:val="0"/>
              <w:spacing w:line="300" w:lineRule="exact"/>
              <w:jc w:val="left"/>
              <w:rPr>
                <w:kern w:val="0"/>
                <w:sz w:val="21"/>
                <w:szCs w:val="21"/>
              </w:rPr>
            </w:pPr>
            <w:r w:rsidRPr="00A13378">
              <w:rPr>
                <w:kern w:val="0"/>
                <w:sz w:val="21"/>
                <w:szCs w:val="21"/>
              </w:rPr>
              <w:t>Sales</w:t>
            </w:r>
          </w:p>
        </w:tc>
        <w:tc>
          <w:tcPr>
            <w:tcW w:w="1839" w:type="dxa"/>
            <w:tcBorders>
              <w:top w:val="nil"/>
              <w:left w:val="nil"/>
              <w:bottom w:val="nil"/>
              <w:right w:val="nil"/>
            </w:tcBorders>
          </w:tcPr>
          <w:p w14:paraId="1C804F1A" w14:textId="77777777" w:rsidR="001E4613" w:rsidRPr="00A13378" w:rsidRDefault="001E4613" w:rsidP="009D2907">
            <w:pPr>
              <w:autoSpaceDE w:val="0"/>
              <w:autoSpaceDN w:val="0"/>
              <w:adjustRightInd w:val="0"/>
              <w:spacing w:line="300" w:lineRule="exact"/>
              <w:jc w:val="center"/>
              <w:rPr>
                <w:kern w:val="0"/>
                <w:sz w:val="21"/>
                <w:szCs w:val="21"/>
              </w:rPr>
            </w:pPr>
            <w:r w:rsidRPr="00A13378">
              <w:rPr>
                <w:kern w:val="0"/>
                <w:sz w:val="21"/>
                <w:szCs w:val="21"/>
              </w:rPr>
              <w:t>0.000</w:t>
            </w:r>
            <w:r w:rsidRPr="00A13378">
              <w:rPr>
                <w:kern w:val="0"/>
                <w:sz w:val="21"/>
                <w:szCs w:val="21"/>
                <w:vertAlign w:val="superscript"/>
              </w:rPr>
              <w:t>***</w:t>
            </w:r>
          </w:p>
        </w:tc>
        <w:tc>
          <w:tcPr>
            <w:tcW w:w="1465" w:type="dxa"/>
            <w:tcBorders>
              <w:top w:val="nil"/>
              <w:left w:val="nil"/>
              <w:bottom w:val="nil"/>
              <w:right w:val="nil"/>
            </w:tcBorders>
          </w:tcPr>
          <w:p w14:paraId="0167694C" w14:textId="77777777" w:rsidR="001E4613" w:rsidRPr="00A13378" w:rsidRDefault="001E4613" w:rsidP="009D2907">
            <w:pPr>
              <w:autoSpaceDE w:val="0"/>
              <w:autoSpaceDN w:val="0"/>
              <w:adjustRightInd w:val="0"/>
              <w:spacing w:line="300" w:lineRule="exact"/>
              <w:jc w:val="center"/>
              <w:rPr>
                <w:kern w:val="0"/>
                <w:sz w:val="21"/>
                <w:szCs w:val="21"/>
              </w:rPr>
            </w:pPr>
          </w:p>
        </w:tc>
        <w:tc>
          <w:tcPr>
            <w:tcW w:w="1465" w:type="dxa"/>
            <w:tcBorders>
              <w:top w:val="nil"/>
              <w:left w:val="nil"/>
              <w:bottom w:val="nil"/>
              <w:right w:val="nil"/>
            </w:tcBorders>
          </w:tcPr>
          <w:p w14:paraId="773F3BB5" w14:textId="77777777" w:rsidR="001E4613" w:rsidRPr="00A13378" w:rsidRDefault="001E4613" w:rsidP="009D2907">
            <w:pPr>
              <w:autoSpaceDE w:val="0"/>
              <w:autoSpaceDN w:val="0"/>
              <w:adjustRightInd w:val="0"/>
              <w:spacing w:line="300" w:lineRule="exact"/>
              <w:jc w:val="center"/>
              <w:rPr>
                <w:kern w:val="0"/>
                <w:sz w:val="21"/>
                <w:szCs w:val="21"/>
              </w:rPr>
            </w:pPr>
            <w:r w:rsidRPr="00A13378">
              <w:rPr>
                <w:rFonts w:eastAsia="等线"/>
                <w:kern w:val="0"/>
                <w:sz w:val="21"/>
                <w:szCs w:val="21"/>
              </w:rPr>
              <w:t>0.000</w:t>
            </w:r>
            <w:r w:rsidRPr="00A13378">
              <w:rPr>
                <w:rFonts w:eastAsia="等线"/>
                <w:kern w:val="0"/>
                <w:sz w:val="21"/>
                <w:szCs w:val="21"/>
                <w:vertAlign w:val="superscript"/>
              </w:rPr>
              <w:t>**</w:t>
            </w:r>
          </w:p>
        </w:tc>
        <w:tc>
          <w:tcPr>
            <w:tcW w:w="1465" w:type="dxa"/>
            <w:tcBorders>
              <w:top w:val="nil"/>
              <w:left w:val="nil"/>
              <w:bottom w:val="nil"/>
              <w:right w:val="nil"/>
            </w:tcBorders>
          </w:tcPr>
          <w:p w14:paraId="4FE28A50" w14:textId="77777777" w:rsidR="001E4613" w:rsidRPr="00A13378" w:rsidRDefault="001E4613" w:rsidP="009D2907">
            <w:pPr>
              <w:autoSpaceDE w:val="0"/>
              <w:autoSpaceDN w:val="0"/>
              <w:adjustRightInd w:val="0"/>
              <w:spacing w:line="300" w:lineRule="exact"/>
              <w:jc w:val="center"/>
              <w:rPr>
                <w:kern w:val="0"/>
                <w:sz w:val="21"/>
                <w:szCs w:val="21"/>
              </w:rPr>
            </w:pPr>
            <w:r w:rsidRPr="00A13378">
              <w:rPr>
                <w:rFonts w:eastAsia="等线"/>
                <w:kern w:val="0"/>
                <w:sz w:val="21"/>
                <w:szCs w:val="21"/>
              </w:rPr>
              <w:t>0.000</w:t>
            </w:r>
          </w:p>
        </w:tc>
        <w:tc>
          <w:tcPr>
            <w:tcW w:w="1465" w:type="dxa"/>
            <w:tcBorders>
              <w:top w:val="nil"/>
              <w:left w:val="nil"/>
              <w:bottom w:val="nil"/>
              <w:right w:val="nil"/>
            </w:tcBorders>
          </w:tcPr>
          <w:p w14:paraId="40E0F24F" w14:textId="77777777" w:rsidR="001E4613" w:rsidRPr="00A13378" w:rsidRDefault="001E4613" w:rsidP="009D2907">
            <w:pPr>
              <w:autoSpaceDE w:val="0"/>
              <w:autoSpaceDN w:val="0"/>
              <w:adjustRightInd w:val="0"/>
              <w:spacing w:line="300" w:lineRule="exact"/>
              <w:jc w:val="center"/>
              <w:rPr>
                <w:kern w:val="0"/>
                <w:sz w:val="21"/>
                <w:szCs w:val="21"/>
              </w:rPr>
            </w:pPr>
            <w:r w:rsidRPr="00A13378">
              <w:rPr>
                <w:rFonts w:eastAsia="等线"/>
                <w:kern w:val="0"/>
                <w:sz w:val="21"/>
                <w:szCs w:val="21"/>
              </w:rPr>
              <w:t>0.000</w:t>
            </w:r>
            <w:r w:rsidRPr="00A13378">
              <w:rPr>
                <w:rFonts w:eastAsia="等线"/>
                <w:kern w:val="0"/>
                <w:sz w:val="21"/>
                <w:szCs w:val="21"/>
                <w:vertAlign w:val="superscript"/>
              </w:rPr>
              <w:t>**</w:t>
            </w:r>
          </w:p>
        </w:tc>
      </w:tr>
      <w:tr w:rsidR="001E4613" w:rsidRPr="005F0A3E" w14:paraId="2EEA377E" w14:textId="77777777" w:rsidTr="009F3EAD">
        <w:trPr>
          <w:trHeight w:val="481"/>
          <w:jc w:val="center"/>
        </w:trPr>
        <w:tc>
          <w:tcPr>
            <w:tcW w:w="878" w:type="dxa"/>
            <w:tcBorders>
              <w:top w:val="nil"/>
              <w:left w:val="nil"/>
              <w:bottom w:val="nil"/>
              <w:right w:val="nil"/>
            </w:tcBorders>
          </w:tcPr>
          <w:p w14:paraId="2D5F1EDE" w14:textId="77777777" w:rsidR="001E4613" w:rsidRPr="00A13378" w:rsidRDefault="001E4613" w:rsidP="009D2907">
            <w:pPr>
              <w:autoSpaceDE w:val="0"/>
              <w:autoSpaceDN w:val="0"/>
              <w:adjustRightInd w:val="0"/>
              <w:spacing w:line="300" w:lineRule="exact"/>
              <w:jc w:val="left"/>
              <w:rPr>
                <w:kern w:val="0"/>
                <w:sz w:val="21"/>
                <w:szCs w:val="21"/>
              </w:rPr>
            </w:pPr>
          </w:p>
        </w:tc>
        <w:tc>
          <w:tcPr>
            <w:tcW w:w="1839" w:type="dxa"/>
            <w:tcBorders>
              <w:top w:val="nil"/>
              <w:left w:val="nil"/>
              <w:bottom w:val="nil"/>
              <w:right w:val="nil"/>
            </w:tcBorders>
          </w:tcPr>
          <w:p w14:paraId="352FFE45" w14:textId="77777777" w:rsidR="001E4613" w:rsidRPr="00A13378" w:rsidRDefault="001E4613" w:rsidP="009D2907">
            <w:pPr>
              <w:autoSpaceDE w:val="0"/>
              <w:autoSpaceDN w:val="0"/>
              <w:adjustRightInd w:val="0"/>
              <w:spacing w:line="300" w:lineRule="exact"/>
              <w:jc w:val="center"/>
              <w:rPr>
                <w:kern w:val="0"/>
                <w:sz w:val="21"/>
                <w:szCs w:val="21"/>
              </w:rPr>
            </w:pPr>
            <w:r w:rsidRPr="00A13378">
              <w:rPr>
                <w:kern w:val="0"/>
                <w:sz w:val="21"/>
                <w:szCs w:val="21"/>
              </w:rPr>
              <w:t>(0.000)</w:t>
            </w:r>
          </w:p>
        </w:tc>
        <w:tc>
          <w:tcPr>
            <w:tcW w:w="1465" w:type="dxa"/>
            <w:tcBorders>
              <w:top w:val="nil"/>
              <w:left w:val="nil"/>
              <w:bottom w:val="nil"/>
              <w:right w:val="nil"/>
            </w:tcBorders>
          </w:tcPr>
          <w:p w14:paraId="0D3A6BD2" w14:textId="77777777" w:rsidR="001E4613" w:rsidRPr="00A13378" w:rsidRDefault="001E4613" w:rsidP="009D2907">
            <w:pPr>
              <w:autoSpaceDE w:val="0"/>
              <w:autoSpaceDN w:val="0"/>
              <w:adjustRightInd w:val="0"/>
              <w:spacing w:line="300" w:lineRule="exact"/>
              <w:jc w:val="center"/>
              <w:rPr>
                <w:kern w:val="0"/>
                <w:sz w:val="21"/>
                <w:szCs w:val="21"/>
              </w:rPr>
            </w:pPr>
          </w:p>
        </w:tc>
        <w:tc>
          <w:tcPr>
            <w:tcW w:w="1465" w:type="dxa"/>
            <w:tcBorders>
              <w:top w:val="nil"/>
              <w:left w:val="nil"/>
              <w:bottom w:val="nil"/>
              <w:right w:val="nil"/>
            </w:tcBorders>
          </w:tcPr>
          <w:p w14:paraId="15470719" w14:textId="77777777" w:rsidR="001E4613" w:rsidRPr="00A13378" w:rsidRDefault="001E4613" w:rsidP="009D2907">
            <w:pPr>
              <w:autoSpaceDE w:val="0"/>
              <w:autoSpaceDN w:val="0"/>
              <w:adjustRightInd w:val="0"/>
              <w:spacing w:line="300" w:lineRule="exact"/>
              <w:jc w:val="center"/>
              <w:rPr>
                <w:kern w:val="0"/>
                <w:sz w:val="21"/>
                <w:szCs w:val="21"/>
              </w:rPr>
            </w:pPr>
            <w:r w:rsidRPr="00A13378">
              <w:rPr>
                <w:rFonts w:eastAsia="等线"/>
                <w:kern w:val="0"/>
                <w:sz w:val="21"/>
                <w:szCs w:val="21"/>
              </w:rPr>
              <w:t>(0.000)</w:t>
            </w:r>
          </w:p>
        </w:tc>
        <w:tc>
          <w:tcPr>
            <w:tcW w:w="1465" w:type="dxa"/>
            <w:tcBorders>
              <w:top w:val="nil"/>
              <w:left w:val="nil"/>
              <w:bottom w:val="nil"/>
              <w:right w:val="nil"/>
            </w:tcBorders>
          </w:tcPr>
          <w:p w14:paraId="60E7F936" w14:textId="77777777" w:rsidR="001E4613" w:rsidRPr="00A13378" w:rsidRDefault="001E4613" w:rsidP="009D2907">
            <w:pPr>
              <w:autoSpaceDE w:val="0"/>
              <w:autoSpaceDN w:val="0"/>
              <w:adjustRightInd w:val="0"/>
              <w:spacing w:line="300" w:lineRule="exact"/>
              <w:jc w:val="center"/>
              <w:rPr>
                <w:kern w:val="0"/>
                <w:sz w:val="21"/>
                <w:szCs w:val="21"/>
              </w:rPr>
            </w:pPr>
            <w:r w:rsidRPr="00A13378">
              <w:rPr>
                <w:rFonts w:eastAsia="等线"/>
                <w:kern w:val="0"/>
                <w:sz w:val="21"/>
                <w:szCs w:val="21"/>
              </w:rPr>
              <w:t>(0.000)</w:t>
            </w:r>
          </w:p>
        </w:tc>
        <w:tc>
          <w:tcPr>
            <w:tcW w:w="1465" w:type="dxa"/>
            <w:tcBorders>
              <w:top w:val="nil"/>
              <w:left w:val="nil"/>
              <w:bottom w:val="nil"/>
              <w:right w:val="nil"/>
            </w:tcBorders>
          </w:tcPr>
          <w:p w14:paraId="3E50701F" w14:textId="77777777" w:rsidR="001E4613" w:rsidRPr="00A13378" w:rsidRDefault="001E4613" w:rsidP="009D2907">
            <w:pPr>
              <w:autoSpaceDE w:val="0"/>
              <w:autoSpaceDN w:val="0"/>
              <w:adjustRightInd w:val="0"/>
              <w:spacing w:line="300" w:lineRule="exact"/>
              <w:jc w:val="center"/>
              <w:rPr>
                <w:kern w:val="0"/>
                <w:sz w:val="21"/>
                <w:szCs w:val="21"/>
              </w:rPr>
            </w:pPr>
            <w:r w:rsidRPr="00A13378">
              <w:rPr>
                <w:rFonts w:eastAsia="等线"/>
                <w:kern w:val="0"/>
                <w:sz w:val="21"/>
                <w:szCs w:val="21"/>
              </w:rPr>
              <w:t>(0.000)</w:t>
            </w:r>
          </w:p>
        </w:tc>
      </w:tr>
      <w:tr w:rsidR="001E4613" w:rsidRPr="00B755AD" w14:paraId="059077AC" w14:textId="77777777" w:rsidTr="009F3EAD">
        <w:trPr>
          <w:trHeight w:val="481"/>
          <w:jc w:val="center"/>
        </w:trPr>
        <w:tc>
          <w:tcPr>
            <w:tcW w:w="878" w:type="dxa"/>
            <w:tcBorders>
              <w:top w:val="nil"/>
              <w:left w:val="nil"/>
              <w:bottom w:val="nil"/>
              <w:right w:val="nil"/>
            </w:tcBorders>
          </w:tcPr>
          <w:p w14:paraId="6A5FBBA1" w14:textId="77777777" w:rsidR="001E4613" w:rsidRPr="00A13378" w:rsidRDefault="001E4613" w:rsidP="009D2907">
            <w:pPr>
              <w:autoSpaceDE w:val="0"/>
              <w:autoSpaceDN w:val="0"/>
              <w:adjustRightInd w:val="0"/>
              <w:spacing w:line="300" w:lineRule="exact"/>
              <w:jc w:val="left"/>
              <w:rPr>
                <w:kern w:val="0"/>
                <w:sz w:val="21"/>
                <w:szCs w:val="21"/>
              </w:rPr>
            </w:pPr>
            <w:r w:rsidRPr="00A13378">
              <w:rPr>
                <w:kern w:val="0"/>
                <w:sz w:val="21"/>
                <w:szCs w:val="21"/>
              </w:rPr>
              <w:t>Size</w:t>
            </w:r>
          </w:p>
        </w:tc>
        <w:tc>
          <w:tcPr>
            <w:tcW w:w="1839" w:type="dxa"/>
            <w:tcBorders>
              <w:top w:val="nil"/>
              <w:left w:val="nil"/>
              <w:bottom w:val="nil"/>
              <w:right w:val="nil"/>
            </w:tcBorders>
          </w:tcPr>
          <w:p w14:paraId="75AE0E0A" w14:textId="77777777" w:rsidR="001E4613" w:rsidRPr="00A13378" w:rsidRDefault="001E4613" w:rsidP="009D2907">
            <w:pPr>
              <w:autoSpaceDE w:val="0"/>
              <w:autoSpaceDN w:val="0"/>
              <w:adjustRightInd w:val="0"/>
              <w:spacing w:line="300" w:lineRule="exact"/>
              <w:jc w:val="center"/>
              <w:rPr>
                <w:kern w:val="0"/>
                <w:sz w:val="21"/>
                <w:szCs w:val="21"/>
              </w:rPr>
            </w:pPr>
          </w:p>
        </w:tc>
        <w:tc>
          <w:tcPr>
            <w:tcW w:w="1465" w:type="dxa"/>
            <w:tcBorders>
              <w:top w:val="nil"/>
              <w:left w:val="nil"/>
              <w:bottom w:val="nil"/>
              <w:right w:val="nil"/>
            </w:tcBorders>
          </w:tcPr>
          <w:p w14:paraId="315D8DD2" w14:textId="77777777" w:rsidR="001E4613" w:rsidRPr="00A13378" w:rsidRDefault="001E4613" w:rsidP="009D2907">
            <w:pPr>
              <w:autoSpaceDE w:val="0"/>
              <w:autoSpaceDN w:val="0"/>
              <w:adjustRightInd w:val="0"/>
              <w:spacing w:line="300" w:lineRule="exact"/>
              <w:jc w:val="center"/>
              <w:rPr>
                <w:kern w:val="0"/>
                <w:sz w:val="21"/>
                <w:szCs w:val="21"/>
              </w:rPr>
            </w:pPr>
            <w:r w:rsidRPr="00A13378">
              <w:rPr>
                <w:kern w:val="0"/>
                <w:sz w:val="21"/>
                <w:szCs w:val="21"/>
              </w:rPr>
              <w:t>0.000</w:t>
            </w:r>
            <w:r w:rsidRPr="00A13378">
              <w:rPr>
                <w:kern w:val="0"/>
                <w:sz w:val="21"/>
                <w:szCs w:val="21"/>
                <w:vertAlign w:val="superscript"/>
              </w:rPr>
              <w:t>**</w:t>
            </w:r>
          </w:p>
        </w:tc>
        <w:tc>
          <w:tcPr>
            <w:tcW w:w="1465" w:type="dxa"/>
            <w:tcBorders>
              <w:top w:val="nil"/>
              <w:left w:val="nil"/>
              <w:bottom w:val="nil"/>
              <w:right w:val="nil"/>
            </w:tcBorders>
          </w:tcPr>
          <w:p w14:paraId="6D167240" w14:textId="77777777" w:rsidR="001E4613" w:rsidRPr="00A13378" w:rsidRDefault="001E4613" w:rsidP="009D2907">
            <w:pPr>
              <w:autoSpaceDE w:val="0"/>
              <w:autoSpaceDN w:val="0"/>
              <w:adjustRightInd w:val="0"/>
              <w:spacing w:line="300" w:lineRule="exact"/>
              <w:jc w:val="center"/>
              <w:rPr>
                <w:rFonts w:eastAsia="等线"/>
                <w:kern w:val="0"/>
                <w:sz w:val="21"/>
                <w:szCs w:val="21"/>
              </w:rPr>
            </w:pPr>
            <w:r w:rsidRPr="00A13378">
              <w:rPr>
                <w:rFonts w:eastAsia="等线"/>
                <w:kern w:val="0"/>
                <w:sz w:val="21"/>
                <w:szCs w:val="21"/>
              </w:rPr>
              <w:t>0.000</w:t>
            </w:r>
            <w:r w:rsidRPr="00A13378">
              <w:rPr>
                <w:rFonts w:eastAsia="等线"/>
                <w:kern w:val="0"/>
                <w:sz w:val="21"/>
                <w:szCs w:val="21"/>
                <w:vertAlign w:val="superscript"/>
              </w:rPr>
              <w:t>**</w:t>
            </w:r>
          </w:p>
        </w:tc>
        <w:tc>
          <w:tcPr>
            <w:tcW w:w="1465" w:type="dxa"/>
            <w:tcBorders>
              <w:top w:val="nil"/>
              <w:left w:val="nil"/>
              <w:bottom w:val="nil"/>
              <w:right w:val="nil"/>
            </w:tcBorders>
          </w:tcPr>
          <w:p w14:paraId="1129ED99" w14:textId="77777777" w:rsidR="001E4613" w:rsidRPr="00A13378" w:rsidRDefault="001E4613" w:rsidP="009D2907">
            <w:pPr>
              <w:autoSpaceDE w:val="0"/>
              <w:autoSpaceDN w:val="0"/>
              <w:adjustRightInd w:val="0"/>
              <w:spacing w:line="300" w:lineRule="exact"/>
              <w:jc w:val="center"/>
              <w:rPr>
                <w:rFonts w:eastAsia="等线"/>
                <w:kern w:val="0"/>
                <w:sz w:val="21"/>
                <w:szCs w:val="21"/>
              </w:rPr>
            </w:pPr>
            <w:r w:rsidRPr="00A13378">
              <w:rPr>
                <w:rFonts w:eastAsia="等线"/>
                <w:kern w:val="0"/>
                <w:sz w:val="21"/>
                <w:szCs w:val="21"/>
              </w:rPr>
              <w:t>0.000</w:t>
            </w:r>
          </w:p>
        </w:tc>
        <w:tc>
          <w:tcPr>
            <w:tcW w:w="1465" w:type="dxa"/>
            <w:tcBorders>
              <w:top w:val="nil"/>
              <w:left w:val="nil"/>
              <w:bottom w:val="nil"/>
              <w:right w:val="nil"/>
            </w:tcBorders>
          </w:tcPr>
          <w:p w14:paraId="108CD33D" w14:textId="77777777" w:rsidR="001E4613" w:rsidRPr="00A13378" w:rsidRDefault="001E4613" w:rsidP="009D2907">
            <w:pPr>
              <w:autoSpaceDE w:val="0"/>
              <w:autoSpaceDN w:val="0"/>
              <w:adjustRightInd w:val="0"/>
              <w:spacing w:line="300" w:lineRule="exact"/>
              <w:jc w:val="center"/>
              <w:rPr>
                <w:rFonts w:eastAsia="等线"/>
                <w:kern w:val="0"/>
                <w:sz w:val="21"/>
                <w:szCs w:val="21"/>
              </w:rPr>
            </w:pPr>
            <w:r w:rsidRPr="00A13378">
              <w:rPr>
                <w:rFonts w:eastAsia="等线"/>
                <w:kern w:val="0"/>
                <w:sz w:val="21"/>
                <w:szCs w:val="21"/>
              </w:rPr>
              <w:t>0.000</w:t>
            </w:r>
            <w:r w:rsidRPr="00A13378">
              <w:rPr>
                <w:rFonts w:eastAsia="等线"/>
                <w:kern w:val="0"/>
                <w:sz w:val="21"/>
                <w:szCs w:val="21"/>
                <w:vertAlign w:val="superscript"/>
              </w:rPr>
              <w:t>**</w:t>
            </w:r>
          </w:p>
        </w:tc>
      </w:tr>
      <w:tr w:rsidR="001E4613" w:rsidRPr="00B755AD" w14:paraId="10F95C22" w14:textId="77777777" w:rsidTr="009F3EAD">
        <w:trPr>
          <w:trHeight w:val="481"/>
          <w:jc w:val="center"/>
        </w:trPr>
        <w:tc>
          <w:tcPr>
            <w:tcW w:w="878" w:type="dxa"/>
            <w:tcBorders>
              <w:top w:val="nil"/>
              <w:left w:val="nil"/>
              <w:bottom w:val="nil"/>
              <w:right w:val="nil"/>
            </w:tcBorders>
          </w:tcPr>
          <w:p w14:paraId="124BB0EB" w14:textId="77777777" w:rsidR="001E4613" w:rsidRPr="00A13378" w:rsidRDefault="001E4613" w:rsidP="009D2907">
            <w:pPr>
              <w:autoSpaceDE w:val="0"/>
              <w:autoSpaceDN w:val="0"/>
              <w:adjustRightInd w:val="0"/>
              <w:spacing w:line="300" w:lineRule="exact"/>
              <w:jc w:val="left"/>
              <w:rPr>
                <w:kern w:val="0"/>
                <w:sz w:val="21"/>
                <w:szCs w:val="21"/>
              </w:rPr>
            </w:pPr>
          </w:p>
        </w:tc>
        <w:tc>
          <w:tcPr>
            <w:tcW w:w="1839" w:type="dxa"/>
            <w:tcBorders>
              <w:top w:val="nil"/>
              <w:left w:val="nil"/>
              <w:bottom w:val="nil"/>
              <w:right w:val="nil"/>
            </w:tcBorders>
          </w:tcPr>
          <w:p w14:paraId="7CCEDA05" w14:textId="77777777" w:rsidR="001E4613" w:rsidRPr="00A13378" w:rsidRDefault="001E4613" w:rsidP="009D2907">
            <w:pPr>
              <w:autoSpaceDE w:val="0"/>
              <w:autoSpaceDN w:val="0"/>
              <w:adjustRightInd w:val="0"/>
              <w:spacing w:line="300" w:lineRule="exact"/>
              <w:jc w:val="center"/>
              <w:rPr>
                <w:kern w:val="0"/>
                <w:sz w:val="21"/>
                <w:szCs w:val="21"/>
              </w:rPr>
            </w:pPr>
          </w:p>
        </w:tc>
        <w:tc>
          <w:tcPr>
            <w:tcW w:w="1465" w:type="dxa"/>
            <w:tcBorders>
              <w:top w:val="nil"/>
              <w:left w:val="nil"/>
              <w:bottom w:val="nil"/>
              <w:right w:val="nil"/>
            </w:tcBorders>
          </w:tcPr>
          <w:p w14:paraId="268EE9EE" w14:textId="77777777" w:rsidR="001E4613" w:rsidRPr="00A13378" w:rsidRDefault="001E4613" w:rsidP="009D2907">
            <w:pPr>
              <w:autoSpaceDE w:val="0"/>
              <w:autoSpaceDN w:val="0"/>
              <w:adjustRightInd w:val="0"/>
              <w:spacing w:line="300" w:lineRule="exact"/>
              <w:jc w:val="center"/>
              <w:rPr>
                <w:kern w:val="0"/>
                <w:sz w:val="21"/>
                <w:szCs w:val="21"/>
              </w:rPr>
            </w:pPr>
            <w:r w:rsidRPr="00A13378">
              <w:rPr>
                <w:kern w:val="0"/>
                <w:sz w:val="21"/>
                <w:szCs w:val="21"/>
              </w:rPr>
              <w:t>(0.000)</w:t>
            </w:r>
          </w:p>
        </w:tc>
        <w:tc>
          <w:tcPr>
            <w:tcW w:w="1465" w:type="dxa"/>
            <w:tcBorders>
              <w:top w:val="nil"/>
              <w:left w:val="nil"/>
              <w:bottom w:val="nil"/>
              <w:right w:val="nil"/>
            </w:tcBorders>
          </w:tcPr>
          <w:p w14:paraId="53B10988" w14:textId="77777777" w:rsidR="001E4613" w:rsidRPr="00A13378" w:rsidRDefault="001E4613" w:rsidP="009D2907">
            <w:pPr>
              <w:autoSpaceDE w:val="0"/>
              <w:autoSpaceDN w:val="0"/>
              <w:adjustRightInd w:val="0"/>
              <w:spacing w:line="300" w:lineRule="exact"/>
              <w:jc w:val="center"/>
              <w:rPr>
                <w:rFonts w:eastAsia="等线"/>
                <w:kern w:val="0"/>
                <w:sz w:val="21"/>
                <w:szCs w:val="21"/>
              </w:rPr>
            </w:pPr>
            <w:r w:rsidRPr="00A13378">
              <w:rPr>
                <w:rFonts w:eastAsia="等线"/>
                <w:kern w:val="0"/>
                <w:sz w:val="21"/>
                <w:szCs w:val="21"/>
              </w:rPr>
              <w:t>(0.000)</w:t>
            </w:r>
          </w:p>
        </w:tc>
        <w:tc>
          <w:tcPr>
            <w:tcW w:w="1465" w:type="dxa"/>
            <w:tcBorders>
              <w:top w:val="nil"/>
              <w:left w:val="nil"/>
              <w:bottom w:val="nil"/>
              <w:right w:val="nil"/>
            </w:tcBorders>
          </w:tcPr>
          <w:p w14:paraId="49C7777A" w14:textId="77777777" w:rsidR="001E4613" w:rsidRPr="00A13378" w:rsidRDefault="001E4613" w:rsidP="009D2907">
            <w:pPr>
              <w:autoSpaceDE w:val="0"/>
              <w:autoSpaceDN w:val="0"/>
              <w:adjustRightInd w:val="0"/>
              <w:spacing w:line="300" w:lineRule="exact"/>
              <w:jc w:val="center"/>
              <w:rPr>
                <w:rFonts w:eastAsia="等线"/>
                <w:kern w:val="0"/>
                <w:sz w:val="21"/>
                <w:szCs w:val="21"/>
              </w:rPr>
            </w:pPr>
            <w:r w:rsidRPr="00A13378">
              <w:rPr>
                <w:rFonts w:eastAsia="等线"/>
                <w:kern w:val="0"/>
                <w:sz w:val="21"/>
                <w:szCs w:val="21"/>
              </w:rPr>
              <w:t>(0.000)</w:t>
            </w:r>
          </w:p>
        </w:tc>
        <w:tc>
          <w:tcPr>
            <w:tcW w:w="1465" w:type="dxa"/>
            <w:tcBorders>
              <w:top w:val="nil"/>
              <w:left w:val="nil"/>
              <w:bottom w:val="nil"/>
              <w:right w:val="nil"/>
            </w:tcBorders>
          </w:tcPr>
          <w:p w14:paraId="043F71B2" w14:textId="77777777" w:rsidR="001E4613" w:rsidRPr="00A13378" w:rsidRDefault="001E4613" w:rsidP="009D2907">
            <w:pPr>
              <w:autoSpaceDE w:val="0"/>
              <w:autoSpaceDN w:val="0"/>
              <w:adjustRightInd w:val="0"/>
              <w:spacing w:line="300" w:lineRule="exact"/>
              <w:jc w:val="center"/>
              <w:rPr>
                <w:rFonts w:eastAsia="等线"/>
                <w:kern w:val="0"/>
                <w:sz w:val="21"/>
                <w:szCs w:val="21"/>
              </w:rPr>
            </w:pPr>
            <w:r w:rsidRPr="00A13378">
              <w:rPr>
                <w:rFonts w:eastAsia="等线"/>
                <w:kern w:val="0"/>
                <w:sz w:val="21"/>
                <w:szCs w:val="21"/>
              </w:rPr>
              <w:t>(0.000)</w:t>
            </w:r>
          </w:p>
        </w:tc>
      </w:tr>
      <w:tr w:rsidR="001E4613" w:rsidRPr="005F0A3E" w14:paraId="7E2DE7D0" w14:textId="77777777" w:rsidTr="009F3EAD">
        <w:trPr>
          <w:trHeight w:val="481"/>
          <w:jc w:val="center"/>
        </w:trPr>
        <w:tc>
          <w:tcPr>
            <w:tcW w:w="878" w:type="dxa"/>
            <w:tcBorders>
              <w:top w:val="nil"/>
              <w:left w:val="nil"/>
              <w:bottom w:val="nil"/>
              <w:right w:val="nil"/>
            </w:tcBorders>
          </w:tcPr>
          <w:p w14:paraId="49504D1B" w14:textId="77777777" w:rsidR="001E4613" w:rsidRPr="00A13378" w:rsidRDefault="001E4613" w:rsidP="009D2907">
            <w:pPr>
              <w:autoSpaceDE w:val="0"/>
              <w:autoSpaceDN w:val="0"/>
              <w:adjustRightInd w:val="0"/>
              <w:spacing w:line="300" w:lineRule="exact"/>
              <w:jc w:val="left"/>
              <w:rPr>
                <w:kern w:val="0"/>
                <w:sz w:val="21"/>
                <w:szCs w:val="21"/>
              </w:rPr>
            </w:pPr>
            <w:r w:rsidRPr="00A13378">
              <w:rPr>
                <w:kern w:val="0"/>
                <w:sz w:val="21"/>
                <w:szCs w:val="21"/>
              </w:rPr>
              <w:t>DTA</w:t>
            </w:r>
          </w:p>
        </w:tc>
        <w:tc>
          <w:tcPr>
            <w:tcW w:w="1839" w:type="dxa"/>
            <w:tcBorders>
              <w:top w:val="nil"/>
              <w:left w:val="nil"/>
              <w:bottom w:val="nil"/>
              <w:right w:val="nil"/>
            </w:tcBorders>
          </w:tcPr>
          <w:p w14:paraId="28AAECF6" w14:textId="77777777" w:rsidR="001E4613" w:rsidRPr="00A13378" w:rsidRDefault="001E4613" w:rsidP="009D2907">
            <w:pPr>
              <w:autoSpaceDE w:val="0"/>
              <w:autoSpaceDN w:val="0"/>
              <w:adjustRightInd w:val="0"/>
              <w:spacing w:line="300" w:lineRule="exact"/>
              <w:jc w:val="center"/>
              <w:rPr>
                <w:kern w:val="0"/>
                <w:sz w:val="21"/>
                <w:szCs w:val="21"/>
              </w:rPr>
            </w:pPr>
            <w:r w:rsidRPr="00A13378">
              <w:rPr>
                <w:kern w:val="0"/>
                <w:sz w:val="21"/>
                <w:szCs w:val="21"/>
              </w:rPr>
              <w:t>12.377</w:t>
            </w:r>
            <w:r w:rsidRPr="00A13378">
              <w:rPr>
                <w:kern w:val="0"/>
                <w:sz w:val="21"/>
                <w:szCs w:val="21"/>
                <w:vertAlign w:val="superscript"/>
              </w:rPr>
              <w:t>***</w:t>
            </w:r>
          </w:p>
        </w:tc>
        <w:tc>
          <w:tcPr>
            <w:tcW w:w="1465" w:type="dxa"/>
            <w:tcBorders>
              <w:top w:val="nil"/>
              <w:left w:val="nil"/>
              <w:bottom w:val="nil"/>
              <w:right w:val="nil"/>
            </w:tcBorders>
          </w:tcPr>
          <w:p w14:paraId="40515F47" w14:textId="77777777" w:rsidR="001E4613" w:rsidRPr="00A13378" w:rsidRDefault="001E4613" w:rsidP="009D2907">
            <w:pPr>
              <w:autoSpaceDE w:val="0"/>
              <w:autoSpaceDN w:val="0"/>
              <w:adjustRightInd w:val="0"/>
              <w:spacing w:line="300" w:lineRule="exact"/>
              <w:jc w:val="center"/>
              <w:rPr>
                <w:kern w:val="0"/>
                <w:sz w:val="21"/>
                <w:szCs w:val="21"/>
              </w:rPr>
            </w:pPr>
            <w:r w:rsidRPr="00A13378">
              <w:rPr>
                <w:kern w:val="0"/>
                <w:sz w:val="21"/>
                <w:szCs w:val="21"/>
              </w:rPr>
              <w:t>14.094</w:t>
            </w:r>
            <w:r w:rsidRPr="00A13378">
              <w:rPr>
                <w:kern w:val="0"/>
                <w:sz w:val="21"/>
                <w:szCs w:val="21"/>
                <w:vertAlign w:val="superscript"/>
              </w:rPr>
              <w:t>***</w:t>
            </w:r>
          </w:p>
        </w:tc>
        <w:tc>
          <w:tcPr>
            <w:tcW w:w="1465" w:type="dxa"/>
            <w:tcBorders>
              <w:top w:val="nil"/>
              <w:left w:val="nil"/>
              <w:bottom w:val="nil"/>
              <w:right w:val="nil"/>
            </w:tcBorders>
          </w:tcPr>
          <w:p w14:paraId="0CC0EC54" w14:textId="77777777" w:rsidR="001E4613" w:rsidRPr="00A13378" w:rsidRDefault="001E4613" w:rsidP="009D2907">
            <w:pPr>
              <w:autoSpaceDE w:val="0"/>
              <w:autoSpaceDN w:val="0"/>
              <w:adjustRightInd w:val="0"/>
              <w:spacing w:line="300" w:lineRule="exact"/>
              <w:jc w:val="center"/>
              <w:rPr>
                <w:kern w:val="0"/>
                <w:sz w:val="21"/>
                <w:szCs w:val="21"/>
              </w:rPr>
            </w:pPr>
            <w:r w:rsidRPr="00A13378">
              <w:rPr>
                <w:rFonts w:eastAsia="等线"/>
                <w:kern w:val="0"/>
                <w:sz w:val="21"/>
                <w:szCs w:val="21"/>
              </w:rPr>
              <w:t>10.017</w:t>
            </w:r>
            <w:r w:rsidRPr="00A13378">
              <w:rPr>
                <w:rFonts w:eastAsia="等线"/>
                <w:kern w:val="0"/>
                <w:sz w:val="21"/>
                <w:szCs w:val="21"/>
                <w:vertAlign w:val="superscript"/>
              </w:rPr>
              <w:t>***</w:t>
            </w:r>
          </w:p>
        </w:tc>
        <w:tc>
          <w:tcPr>
            <w:tcW w:w="1465" w:type="dxa"/>
            <w:tcBorders>
              <w:top w:val="nil"/>
              <w:left w:val="nil"/>
              <w:bottom w:val="nil"/>
              <w:right w:val="nil"/>
            </w:tcBorders>
          </w:tcPr>
          <w:p w14:paraId="60371B92" w14:textId="77777777" w:rsidR="001E4613" w:rsidRPr="00A13378" w:rsidRDefault="001E4613" w:rsidP="009D2907">
            <w:pPr>
              <w:autoSpaceDE w:val="0"/>
              <w:autoSpaceDN w:val="0"/>
              <w:adjustRightInd w:val="0"/>
              <w:spacing w:line="300" w:lineRule="exact"/>
              <w:jc w:val="center"/>
              <w:rPr>
                <w:kern w:val="0"/>
                <w:sz w:val="21"/>
                <w:szCs w:val="21"/>
              </w:rPr>
            </w:pPr>
            <w:r w:rsidRPr="00A13378">
              <w:rPr>
                <w:rFonts w:eastAsia="等线"/>
                <w:kern w:val="0"/>
                <w:sz w:val="21"/>
                <w:szCs w:val="21"/>
              </w:rPr>
              <w:t>19.593</w:t>
            </w:r>
            <w:r w:rsidRPr="00A13378">
              <w:rPr>
                <w:rFonts w:eastAsia="等线"/>
                <w:kern w:val="0"/>
                <w:sz w:val="21"/>
                <w:szCs w:val="21"/>
                <w:vertAlign w:val="superscript"/>
              </w:rPr>
              <w:t>***</w:t>
            </w:r>
          </w:p>
        </w:tc>
        <w:tc>
          <w:tcPr>
            <w:tcW w:w="1465" w:type="dxa"/>
            <w:tcBorders>
              <w:top w:val="nil"/>
              <w:left w:val="nil"/>
              <w:bottom w:val="nil"/>
              <w:right w:val="nil"/>
            </w:tcBorders>
          </w:tcPr>
          <w:p w14:paraId="3D298DB3" w14:textId="77777777" w:rsidR="001E4613" w:rsidRPr="00A13378" w:rsidRDefault="001E4613" w:rsidP="009D2907">
            <w:pPr>
              <w:autoSpaceDE w:val="0"/>
              <w:autoSpaceDN w:val="0"/>
              <w:adjustRightInd w:val="0"/>
              <w:spacing w:line="300" w:lineRule="exact"/>
              <w:jc w:val="center"/>
              <w:rPr>
                <w:kern w:val="0"/>
                <w:sz w:val="21"/>
                <w:szCs w:val="21"/>
              </w:rPr>
            </w:pPr>
            <w:r w:rsidRPr="00A13378">
              <w:rPr>
                <w:rFonts w:eastAsia="等线"/>
                <w:kern w:val="0"/>
                <w:sz w:val="21"/>
                <w:szCs w:val="21"/>
              </w:rPr>
              <w:t>2.332</w:t>
            </w:r>
          </w:p>
        </w:tc>
      </w:tr>
      <w:tr w:rsidR="001E4613" w:rsidRPr="005F0A3E" w14:paraId="7A3B1A9D" w14:textId="77777777" w:rsidTr="009F3EAD">
        <w:trPr>
          <w:trHeight w:val="481"/>
          <w:jc w:val="center"/>
        </w:trPr>
        <w:tc>
          <w:tcPr>
            <w:tcW w:w="878" w:type="dxa"/>
            <w:tcBorders>
              <w:top w:val="nil"/>
              <w:left w:val="nil"/>
              <w:bottom w:val="nil"/>
              <w:right w:val="nil"/>
            </w:tcBorders>
          </w:tcPr>
          <w:p w14:paraId="422303F5" w14:textId="77777777" w:rsidR="001E4613" w:rsidRPr="00A13378" w:rsidRDefault="001E4613" w:rsidP="009D2907">
            <w:pPr>
              <w:autoSpaceDE w:val="0"/>
              <w:autoSpaceDN w:val="0"/>
              <w:adjustRightInd w:val="0"/>
              <w:spacing w:line="300" w:lineRule="exact"/>
              <w:jc w:val="left"/>
              <w:rPr>
                <w:kern w:val="0"/>
                <w:sz w:val="21"/>
                <w:szCs w:val="21"/>
              </w:rPr>
            </w:pPr>
          </w:p>
        </w:tc>
        <w:tc>
          <w:tcPr>
            <w:tcW w:w="1839" w:type="dxa"/>
            <w:tcBorders>
              <w:top w:val="nil"/>
              <w:left w:val="nil"/>
              <w:bottom w:val="nil"/>
              <w:right w:val="nil"/>
            </w:tcBorders>
          </w:tcPr>
          <w:p w14:paraId="545BAF56" w14:textId="77777777" w:rsidR="001E4613" w:rsidRPr="00A13378" w:rsidRDefault="001E4613" w:rsidP="009D2907">
            <w:pPr>
              <w:autoSpaceDE w:val="0"/>
              <w:autoSpaceDN w:val="0"/>
              <w:adjustRightInd w:val="0"/>
              <w:spacing w:line="300" w:lineRule="exact"/>
              <w:jc w:val="center"/>
              <w:rPr>
                <w:kern w:val="0"/>
                <w:sz w:val="21"/>
                <w:szCs w:val="21"/>
              </w:rPr>
            </w:pPr>
            <w:r w:rsidRPr="00A13378">
              <w:rPr>
                <w:kern w:val="0"/>
                <w:sz w:val="21"/>
                <w:szCs w:val="21"/>
              </w:rPr>
              <w:t>(2.390)</w:t>
            </w:r>
          </w:p>
        </w:tc>
        <w:tc>
          <w:tcPr>
            <w:tcW w:w="1465" w:type="dxa"/>
            <w:tcBorders>
              <w:top w:val="nil"/>
              <w:left w:val="nil"/>
              <w:bottom w:val="nil"/>
              <w:right w:val="nil"/>
            </w:tcBorders>
          </w:tcPr>
          <w:p w14:paraId="5C624E35" w14:textId="77777777" w:rsidR="001E4613" w:rsidRPr="00A13378" w:rsidRDefault="001E4613" w:rsidP="009D2907">
            <w:pPr>
              <w:autoSpaceDE w:val="0"/>
              <w:autoSpaceDN w:val="0"/>
              <w:adjustRightInd w:val="0"/>
              <w:spacing w:line="300" w:lineRule="exact"/>
              <w:jc w:val="center"/>
              <w:rPr>
                <w:kern w:val="0"/>
                <w:sz w:val="21"/>
                <w:szCs w:val="21"/>
              </w:rPr>
            </w:pPr>
            <w:r w:rsidRPr="00A13378">
              <w:rPr>
                <w:kern w:val="0"/>
                <w:sz w:val="21"/>
                <w:szCs w:val="21"/>
              </w:rPr>
              <w:t>(2.357)</w:t>
            </w:r>
          </w:p>
        </w:tc>
        <w:tc>
          <w:tcPr>
            <w:tcW w:w="1465" w:type="dxa"/>
            <w:tcBorders>
              <w:top w:val="nil"/>
              <w:left w:val="nil"/>
              <w:bottom w:val="nil"/>
              <w:right w:val="nil"/>
            </w:tcBorders>
          </w:tcPr>
          <w:p w14:paraId="425F2A89" w14:textId="77777777" w:rsidR="001E4613" w:rsidRPr="00A13378" w:rsidRDefault="001E4613" w:rsidP="009D2907">
            <w:pPr>
              <w:autoSpaceDE w:val="0"/>
              <w:autoSpaceDN w:val="0"/>
              <w:adjustRightInd w:val="0"/>
              <w:spacing w:line="300" w:lineRule="exact"/>
              <w:jc w:val="center"/>
              <w:rPr>
                <w:kern w:val="0"/>
                <w:sz w:val="21"/>
                <w:szCs w:val="21"/>
              </w:rPr>
            </w:pPr>
            <w:r w:rsidRPr="00A13378">
              <w:rPr>
                <w:rFonts w:eastAsia="等线"/>
                <w:kern w:val="0"/>
                <w:sz w:val="21"/>
                <w:szCs w:val="21"/>
              </w:rPr>
              <w:t>(2.776)</w:t>
            </w:r>
          </w:p>
        </w:tc>
        <w:tc>
          <w:tcPr>
            <w:tcW w:w="1465" w:type="dxa"/>
            <w:tcBorders>
              <w:top w:val="nil"/>
              <w:left w:val="nil"/>
              <w:bottom w:val="nil"/>
              <w:right w:val="nil"/>
            </w:tcBorders>
          </w:tcPr>
          <w:p w14:paraId="57EF9718" w14:textId="77777777" w:rsidR="001E4613" w:rsidRPr="00A13378" w:rsidRDefault="001E4613" w:rsidP="009D2907">
            <w:pPr>
              <w:autoSpaceDE w:val="0"/>
              <w:autoSpaceDN w:val="0"/>
              <w:adjustRightInd w:val="0"/>
              <w:spacing w:line="300" w:lineRule="exact"/>
              <w:jc w:val="center"/>
              <w:rPr>
                <w:kern w:val="0"/>
                <w:sz w:val="21"/>
                <w:szCs w:val="21"/>
              </w:rPr>
            </w:pPr>
            <w:r w:rsidRPr="00A13378">
              <w:rPr>
                <w:rFonts w:eastAsia="等线"/>
                <w:kern w:val="0"/>
                <w:sz w:val="21"/>
                <w:szCs w:val="21"/>
              </w:rPr>
              <w:t>(3.352)</w:t>
            </w:r>
          </w:p>
        </w:tc>
        <w:tc>
          <w:tcPr>
            <w:tcW w:w="1465" w:type="dxa"/>
            <w:tcBorders>
              <w:top w:val="nil"/>
              <w:left w:val="nil"/>
              <w:bottom w:val="nil"/>
              <w:right w:val="nil"/>
            </w:tcBorders>
          </w:tcPr>
          <w:p w14:paraId="1D845EF2" w14:textId="77777777" w:rsidR="001E4613" w:rsidRPr="00A13378" w:rsidRDefault="001E4613" w:rsidP="009D2907">
            <w:pPr>
              <w:autoSpaceDE w:val="0"/>
              <w:autoSpaceDN w:val="0"/>
              <w:adjustRightInd w:val="0"/>
              <w:spacing w:line="300" w:lineRule="exact"/>
              <w:jc w:val="center"/>
              <w:rPr>
                <w:kern w:val="0"/>
                <w:sz w:val="21"/>
                <w:szCs w:val="21"/>
              </w:rPr>
            </w:pPr>
            <w:r w:rsidRPr="00A13378">
              <w:rPr>
                <w:rFonts w:eastAsia="等线"/>
                <w:kern w:val="0"/>
                <w:sz w:val="21"/>
                <w:szCs w:val="21"/>
              </w:rPr>
              <w:t>(1.974)</w:t>
            </w:r>
          </w:p>
        </w:tc>
      </w:tr>
      <w:tr w:rsidR="00A13378" w:rsidRPr="005F0A3E" w14:paraId="6C10E193" w14:textId="77777777" w:rsidTr="009F3EAD">
        <w:trPr>
          <w:trHeight w:val="481"/>
          <w:jc w:val="center"/>
        </w:trPr>
        <w:tc>
          <w:tcPr>
            <w:tcW w:w="878" w:type="dxa"/>
            <w:tcBorders>
              <w:top w:val="nil"/>
              <w:left w:val="nil"/>
              <w:right w:val="nil"/>
            </w:tcBorders>
          </w:tcPr>
          <w:p w14:paraId="1FB67999" w14:textId="64A35BB1" w:rsidR="00A13378" w:rsidRPr="00A13378" w:rsidRDefault="00A13378" w:rsidP="009D2907">
            <w:pPr>
              <w:autoSpaceDE w:val="0"/>
              <w:autoSpaceDN w:val="0"/>
              <w:adjustRightInd w:val="0"/>
              <w:spacing w:line="300" w:lineRule="exact"/>
              <w:jc w:val="left"/>
              <w:rPr>
                <w:kern w:val="0"/>
                <w:sz w:val="21"/>
                <w:szCs w:val="21"/>
              </w:rPr>
            </w:pPr>
            <w:r w:rsidRPr="00A13378">
              <w:rPr>
                <w:kern w:val="0"/>
                <w:sz w:val="21"/>
                <w:szCs w:val="21"/>
              </w:rPr>
              <w:t>_cons</w:t>
            </w:r>
          </w:p>
        </w:tc>
        <w:tc>
          <w:tcPr>
            <w:tcW w:w="1839" w:type="dxa"/>
            <w:tcBorders>
              <w:top w:val="nil"/>
              <w:left w:val="nil"/>
              <w:right w:val="nil"/>
            </w:tcBorders>
          </w:tcPr>
          <w:p w14:paraId="3663A186" w14:textId="55171DFB" w:rsidR="00A13378" w:rsidRPr="00A13378" w:rsidRDefault="00A13378" w:rsidP="009D2907">
            <w:pPr>
              <w:autoSpaceDE w:val="0"/>
              <w:autoSpaceDN w:val="0"/>
              <w:adjustRightInd w:val="0"/>
              <w:spacing w:line="300" w:lineRule="exact"/>
              <w:jc w:val="center"/>
              <w:rPr>
                <w:kern w:val="0"/>
                <w:sz w:val="21"/>
                <w:szCs w:val="21"/>
              </w:rPr>
            </w:pPr>
            <w:r w:rsidRPr="00A13378">
              <w:rPr>
                <w:kern w:val="0"/>
                <w:sz w:val="21"/>
                <w:szCs w:val="21"/>
              </w:rPr>
              <w:t>12.933</w:t>
            </w:r>
            <w:r w:rsidRPr="00A13378">
              <w:rPr>
                <w:kern w:val="0"/>
                <w:sz w:val="21"/>
                <w:szCs w:val="21"/>
                <w:vertAlign w:val="superscript"/>
              </w:rPr>
              <w:t>***</w:t>
            </w:r>
          </w:p>
        </w:tc>
        <w:tc>
          <w:tcPr>
            <w:tcW w:w="1465" w:type="dxa"/>
            <w:tcBorders>
              <w:top w:val="nil"/>
              <w:left w:val="nil"/>
              <w:right w:val="nil"/>
            </w:tcBorders>
          </w:tcPr>
          <w:p w14:paraId="27385B56" w14:textId="7DD509C0" w:rsidR="00A13378" w:rsidRPr="00A13378" w:rsidRDefault="00A13378" w:rsidP="009D2907">
            <w:pPr>
              <w:autoSpaceDE w:val="0"/>
              <w:autoSpaceDN w:val="0"/>
              <w:adjustRightInd w:val="0"/>
              <w:spacing w:line="300" w:lineRule="exact"/>
              <w:jc w:val="center"/>
              <w:rPr>
                <w:kern w:val="0"/>
                <w:sz w:val="21"/>
                <w:szCs w:val="21"/>
              </w:rPr>
            </w:pPr>
            <w:r w:rsidRPr="00A13378">
              <w:rPr>
                <w:kern w:val="0"/>
                <w:sz w:val="21"/>
                <w:szCs w:val="21"/>
              </w:rPr>
              <w:t>12.280</w:t>
            </w:r>
            <w:r w:rsidRPr="00A13378">
              <w:rPr>
                <w:kern w:val="0"/>
                <w:sz w:val="21"/>
                <w:szCs w:val="21"/>
                <w:vertAlign w:val="superscript"/>
              </w:rPr>
              <w:t>***</w:t>
            </w:r>
          </w:p>
        </w:tc>
        <w:tc>
          <w:tcPr>
            <w:tcW w:w="1465" w:type="dxa"/>
            <w:tcBorders>
              <w:top w:val="nil"/>
              <w:left w:val="nil"/>
              <w:right w:val="nil"/>
            </w:tcBorders>
          </w:tcPr>
          <w:p w14:paraId="3814BAEC" w14:textId="7922F1C3" w:rsidR="00A13378" w:rsidRPr="00A13378" w:rsidRDefault="00A13378" w:rsidP="009D2907">
            <w:pPr>
              <w:autoSpaceDE w:val="0"/>
              <w:autoSpaceDN w:val="0"/>
              <w:adjustRightInd w:val="0"/>
              <w:spacing w:line="300" w:lineRule="exact"/>
              <w:jc w:val="center"/>
              <w:rPr>
                <w:kern w:val="0"/>
                <w:sz w:val="21"/>
                <w:szCs w:val="21"/>
              </w:rPr>
            </w:pPr>
            <w:r w:rsidRPr="00A13378">
              <w:rPr>
                <w:rFonts w:eastAsia="等线"/>
                <w:kern w:val="0"/>
                <w:sz w:val="21"/>
                <w:szCs w:val="21"/>
              </w:rPr>
              <w:t>1.163</w:t>
            </w:r>
          </w:p>
        </w:tc>
        <w:tc>
          <w:tcPr>
            <w:tcW w:w="1465" w:type="dxa"/>
            <w:tcBorders>
              <w:top w:val="nil"/>
              <w:left w:val="nil"/>
              <w:right w:val="nil"/>
            </w:tcBorders>
          </w:tcPr>
          <w:p w14:paraId="0E53D0EB" w14:textId="73827966" w:rsidR="00A13378" w:rsidRPr="00A13378" w:rsidRDefault="00A13378" w:rsidP="009D2907">
            <w:pPr>
              <w:autoSpaceDE w:val="0"/>
              <w:autoSpaceDN w:val="0"/>
              <w:adjustRightInd w:val="0"/>
              <w:spacing w:line="300" w:lineRule="exact"/>
              <w:jc w:val="center"/>
              <w:rPr>
                <w:kern w:val="0"/>
                <w:sz w:val="21"/>
                <w:szCs w:val="21"/>
              </w:rPr>
            </w:pPr>
            <w:r w:rsidRPr="00A13378">
              <w:rPr>
                <w:rFonts w:eastAsia="等线"/>
                <w:kern w:val="0"/>
                <w:sz w:val="21"/>
                <w:szCs w:val="21"/>
              </w:rPr>
              <w:t>15.856</w:t>
            </w:r>
            <w:r w:rsidRPr="00A13378">
              <w:rPr>
                <w:rFonts w:eastAsia="等线"/>
                <w:kern w:val="0"/>
                <w:sz w:val="21"/>
                <w:szCs w:val="21"/>
                <w:vertAlign w:val="superscript"/>
              </w:rPr>
              <w:t>***</w:t>
            </w:r>
          </w:p>
        </w:tc>
        <w:tc>
          <w:tcPr>
            <w:tcW w:w="1465" w:type="dxa"/>
            <w:tcBorders>
              <w:top w:val="nil"/>
              <w:left w:val="nil"/>
              <w:right w:val="nil"/>
            </w:tcBorders>
          </w:tcPr>
          <w:p w14:paraId="40829167" w14:textId="70167D08" w:rsidR="00A13378" w:rsidRPr="00A13378" w:rsidRDefault="00A13378" w:rsidP="009D2907">
            <w:pPr>
              <w:autoSpaceDE w:val="0"/>
              <w:autoSpaceDN w:val="0"/>
              <w:adjustRightInd w:val="0"/>
              <w:spacing w:line="300" w:lineRule="exact"/>
              <w:jc w:val="center"/>
              <w:rPr>
                <w:kern w:val="0"/>
                <w:sz w:val="21"/>
                <w:szCs w:val="21"/>
              </w:rPr>
            </w:pPr>
            <w:r w:rsidRPr="00A13378">
              <w:rPr>
                <w:rFonts w:eastAsia="等线"/>
                <w:kern w:val="0"/>
                <w:sz w:val="21"/>
                <w:szCs w:val="21"/>
              </w:rPr>
              <w:t>40.823</w:t>
            </w:r>
            <w:r w:rsidRPr="00A13378">
              <w:rPr>
                <w:rFonts w:eastAsia="等线"/>
                <w:kern w:val="0"/>
                <w:sz w:val="21"/>
                <w:szCs w:val="21"/>
                <w:vertAlign w:val="superscript"/>
              </w:rPr>
              <w:t>***</w:t>
            </w:r>
          </w:p>
        </w:tc>
      </w:tr>
      <w:tr w:rsidR="00A13378" w:rsidRPr="005F0A3E" w14:paraId="4A38D5EE" w14:textId="77777777" w:rsidTr="009F3EAD">
        <w:trPr>
          <w:trHeight w:val="481"/>
          <w:jc w:val="center"/>
        </w:trPr>
        <w:tc>
          <w:tcPr>
            <w:tcW w:w="878" w:type="dxa"/>
            <w:tcBorders>
              <w:top w:val="nil"/>
              <w:left w:val="nil"/>
              <w:right w:val="nil"/>
            </w:tcBorders>
          </w:tcPr>
          <w:p w14:paraId="5EAAB757" w14:textId="29C79A9D" w:rsidR="00A13378" w:rsidRPr="00A13378" w:rsidRDefault="00A13378" w:rsidP="009D2907">
            <w:pPr>
              <w:autoSpaceDE w:val="0"/>
              <w:autoSpaceDN w:val="0"/>
              <w:adjustRightInd w:val="0"/>
              <w:spacing w:line="300" w:lineRule="exact"/>
              <w:jc w:val="left"/>
              <w:rPr>
                <w:kern w:val="0"/>
                <w:sz w:val="21"/>
                <w:szCs w:val="21"/>
              </w:rPr>
            </w:pPr>
          </w:p>
        </w:tc>
        <w:tc>
          <w:tcPr>
            <w:tcW w:w="1839" w:type="dxa"/>
            <w:tcBorders>
              <w:top w:val="nil"/>
              <w:left w:val="nil"/>
              <w:right w:val="nil"/>
            </w:tcBorders>
          </w:tcPr>
          <w:p w14:paraId="56487705" w14:textId="693564EA" w:rsidR="00A13378" w:rsidRPr="00A13378" w:rsidRDefault="00A13378" w:rsidP="009D2907">
            <w:pPr>
              <w:autoSpaceDE w:val="0"/>
              <w:autoSpaceDN w:val="0"/>
              <w:adjustRightInd w:val="0"/>
              <w:spacing w:line="300" w:lineRule="exact"/>
              <w:jc w:val="center"/>
              <w:rPr>
                <w:kern w:val="0"/>
                <w:sz w:val="21"/>
                <w:szCs w:val="21"/>
              </w:rPr>
            </w:pPr>
            <w:r w:rsidRPr="00A13378">
              <w:rPr>
                <w:kern w:val="0"/>
                <w:sz w:val="21"/>
                <w:szCs w:val="21"/>
              </w:rPr>
              <w:t>(1.306)</w:t>
            </w:r>
          </w:p>
        </w:tc>
        <w:tc>
          <w:tcPr>
            <w:tcW w:w="1465" w:type="dxa"/>
            <w:tcBorders>
              <w:top w:val="nil"/>
              <w:left w:val="nil"/>
              <w:right w:val="nil"/>
            </w:tcBorders>
          </w:tcPr>
          <w:p w14:paraId="350AE2AB" w14:textId="3C558261" w:rsidR="00A13378" w:rsidRPr="00A13378" w:rsidRDefault="00A13378" w:rsidP="009D2907">
            <w:pPr>
              <w:autoSpaceDE w:val="0"/>
              <w:autoSpaceDN w:val="0"/>
              <w:adjustRightInd w:val="0"/>
              <w:spacing w:line="300" w:lineRule="exact"/>
              <w:jc w:val="center"/>
              <w:rPr>
                <w:kern w:val="0"/>
                <w:sz w:val="21"/>
                <w:szCs w:val="21"/>
              </w:rPr>
            </w:pPr>
            <w:r w:rsidRPr="00A13378">
              <w:rPr>
                <w:kern w:val="0"/>
                <w:sz w:val="21"/>
                <w:szCs w:val="21"/>
              </w:rPr>
              <w:t>(1.308)</w:t>
            </w:r>
          </w:p>
        </w:tc>
        <w:tc>
          <w:tcPr>
            <w:tcW w:w="1465" w:type="dxa"/>
            <w:tcBorders>
              <w:top w:val="nil"/>
              <w:left w:val="nil"/>
              <w:right w:val="nil"/>
            </w:tcBorders>
          </w:tcPr>
          <w:p w14:paraId="7DA68A84" w14:textId="047B46CD" w:rsidR="00A13378" w:rsidRPr="00A13378" w:rsidRDefault="00A13378" w:rsidP="009D2907">
            <w:pPr>
              <w:autoSpaceDE w:val="0"/>
              <w:autoSpaceDN w:val="0"/>
              <w:adjustRightInd w:val="0"/>
              <w:spacing w:line="300" w:lineRule="exact"/>
              <w:jc w:val="center"/>
              <w:rPr>
                <w:kern w:val="0"/>
                <w:sz w:val="21"/>
                <w:szCs w:val="21"/>
              </w:rPr>
            </w:pPr>
            <w:r w:rsidRPr="00A13378">
              <w:rPr>
                <w:rFonts w:eastAsia="等线"/>
                <w:kern w:val="0"/>
                <w:sz w:val="21"/>
                <w:szCs w:val="21"/>
              </w:rPr>
              <w:t>(1.540)</w:t>
            </w:r>
          </w:p>
        </w:tc>
        <w:tc>
          <w:tcPr>
            <w:tcW w:w="1465" w:type="dxa"/>
            <w:tcBorders>
              <w:top w:val="nil"/>
              <w:left w:val="nil"/>
              <w:right w:val="nil"/>
            </w:tcBorders>
          </w:tcPr>
          <w:p w14:paraId="791CE655" w14:textId="2DD54B00" w:rsidR="00A13378" w:rsidRPr="00A13378" w:rsidRDefault="00A13378" w:rsidP="009D2907">
            <w:pPr>
              <w:autoSpaceDE w:val="0"/>
              <w:autoSpaceDN w:val="0"/>
              <w:adjustRightInd w:val="0"/>
              <w:spacing w:line="300" w:lineRule="exact"/>
              <w:jc w:val="center"/>
              <w:rPr>
                <w:kern w:val="0"/>
                <w:sz w:val="21"/>
                <w:szCs w:val="21"/>
              </w:rPr>
            </w:pPr>
            <w:r w:rsidRPr="00A13378">
              <w:rPr>
                <w:rFonts w:eastAsia="等线"/>
                <w:kern w:val="0"/>
                <w:sz w:val="21"/>
                <w:szCs w:val="21"/>
              </w:rPr>
              <w:t>(1.859)</w:t>
            </w:r>
          </w:p>
        </w:tc>
        <w:tc>
          <w:tcPr>
            <w:tcW w:w="1465" w:type="dxa"/>
            <w:tcBorders>
              <w:top w:val="nil"/>
              <w:left w:val="nil"/>
              <w:right w:val="nil"/>
            </w:tcBorders>
          </w:tcPr>
          <w:p w14:paraId="64BD38CC" w14:textId="4129BEAC" w:rsidR="00A13378" w:rsidRPr="00A13378" w:rsidRDefault="00A13378" w:rsidP="009D2907">
            <w:pPr>
              <w:autoSpaceDE w:val="0"/>
              <w:autoSpaceDN w:val="0"/>
              <w:adjustRightInd w:val="0"/>
              <w:spacing w:line="300" w:lineRule="exact"/>
              <w:jc w:val="center"/>
              <w:rPr>
                <w:kern w:val="0"/>
                <w:sz w:val="21"/>
                <w:szCs w:val="21"/>
              </w:rPr>
            </w:pPr>
            <w:r w:rsidRPr="00A13378">
              <w:rPr>
                <w:rFonts w:eastAsia="等线"/>
                <w:kern w:val="0"/>
                <w:sz w:val="21"/>
                <w:szCs w:val="21"/>
              </w:rPr>
              <w:t>(1.095)</w:t>
            </w:r>
          </w:p>
        </w:tc>
      </w:tr>
      <w:tr w:rsidR="00A13378" w:rsidRPr="005F0A3E" w14:paraId="30DE49E9" w14:textId="77777777" w:rsidTr="009F3EAD">
        <w:trPr>
          <w:trHeight w:val="481"/>
          <w:jc w:val="center"/>
        </w:trPr>
        <w:tc>
          <w:tcPr>
            <w:tcW w:w="878" w:type="dxa"/>
            <w:tcBorders>
              <w:left w:val="nil"/>
              <w:bottom w:val="nil"/>
              <w:right w:val="nil"/>
            </w:tcBorders>
          </w:tcPr>
          <w:p w14:paraId="0173F3EA" w14:textId="7984B60E" w:rsidR="00A13378" w:rsidRPr="00A13378" w:rsidRDefault="00A13378" w:rsidP="009D2907">
            <w:pPr>
              <w:autoSpaceDE w:val="0"/>
              <w:autoSpaceDN w:val="0"/>
              <w:adjustRightInd w:val="0"/>
              <w:spacing w:line="300" w:lineRule="exact"/>
              <w:jc w:val="left"/>
              <w:rPr>
                <w:kern w:val="0"/>
                <w:sz w:val="21"/>
                <w:szCs w:val="21"/>
              </w:rPr>
            </w:pPr>
            <w:r w:rsidRPr="00A13378">
              <w:rPr>
                <w:kern w:val="0"/>
                <w:sz w:val="21"/>
                <w:szCs w:val="21"/>
              </w:rPr>
              <w:t>N</w:t>
            </w:r>
          </w:p>
        </w:tc>
        <w:tc>
          <w:tcPr>
            <w:tcW w:w="1839" w:type="dxa"/>
            <w:tcBorders>
              <w:left w:val="nil"/>
              <w:bottom w:val="nil"/>
              <w:right w:val="nil"/>
            </w:tcBorders>
          </w:tcPr>
          <w:p w14:paraId="5861136D" w14:textId="5A764814" w:rsidR="00A13378" w:rsidRPr="00A13378" w:rsidRDefault="00A13378" w:rsidP="009D2907">
            <w:pPr>
              <w:autoSpaceDE w:val="0"/>
              <w:autoSpaceDN w:val="0"/>
              <w:adjustRightInd w:val="0"/>
              <w:spacing w:line="300" w:lineRule="exact"/>
              <w:jc w:val="center"/>
              <w:rPr>
                <w:kern w:val="0"/>
                <w:sz w:val="21"/>
                <w:szCs w:val="21"/>
              </w:rPr>
            </w:pPr>
            <w:r w:rsidRPr="00A13378">
              <w:rPr>
                <w:kern w:val="0"/>
                <w:sz w:val="21"/>
                <w:szCs w:val="21"/>
              </w:rPr>
              <w:t>318.000</w:t>
            </w:r>
          </w:p>
        </w:tc>
        <w:tc>
          <w:tcPr>
            <w:tcW w:w="1465" w:type="dxa"/>
            <w:tcBorders>
              <w:left w:val="nil"/>
              <w:bottom w:val="nil"/>
              <w:right w:val="nil"/>
            </w:tcBorders>
          </w:tcPr>
          <w:p w14:paraId="1F331803" w14:textId="605F08D1" w:rsidR="00A13378" w:rsidRPr="00A13378" w:rsidRDefault="00A13378" w:rsidP="009D2907">
            <w:pPr>
              <w:autoSpaceDE w:val="0"/>
              <w:autoSpaceDN w:val="0"/>
              <w:adjustRightInd w:val="0"/>
              <w:spacing w:line="300" w:lineRule="exact"/>
              <w:jc w:val="center"/>
              <w:rPr>
                <w:kern w:val="0"/>
                <w:sz w:val="21"/>
                <w:szCs w:val="21"/>
              </w:rPr>
            </w:pPr>
            <w:r w:rsidRPr="00A13378">
              <w:rPr>
                <w:kern w:val="0"/>
                <w:sz w:val="21"/>
                <w:szCs w:val="21"/>
              </w:rPr>
              <w:t>318.000</w:t>
            </w:r>
          </w:p>
        </w:tc>
        <w:tc>
          <w:tcPr>
            <w:tcW w:w="1465" w:type="dxa"/>
            <w:tcBorders>
              <w:left w:val="nil"/>
              <w:bottom w:val="nil"/>
              <w:right w:val="nil"/>
            </w:tcBorders>
          </w:tcPr>
          <w:p w14:paraId="062D011D" w14:textId="585BA6FD" w:rsidR="00A13378" w:rsidRPr="00A13378" w:rsidRDefault="00A13378" w:rsidP="009D2907">
            <w:pPr>
              <w:autoSpaceDE w:val="0"/>
              <w:autoSpaceDN w:val="0"/>
              <w:adjustRightInd w:val="0"/>
              <w:spacing w:line="300" w:lineRule="exact"/>
              <w:jc w:val="center"/>
              <w:rPr>
                <w:kern w:val="0"/>
                <w:sz w:val="21"/>
                <w:szCs w:val="21"/>
              </w:rPr>
            </w:pPr>
            <w:r w:rsidRPr="00A13378">
              <w:rPr>
                <w:rFonts w:eastAsia="等线"/>
                <w:kern w:val="0"/>
                <w:sz w:val="21"/>
                <w:szCs w:val="21"/>
              </w:rPr>
              <w:t>318.000</w:t>
            </w:r>
          </w:p>
        </w:tc>
        <w:tc>
          <w:tcPr>
            <w:tcW w:w="1465" w:type="dxa"/>
            <w:tcBorders>
              <w:left w:val="nil"/>
              <w:bottom w:val="nil"/>
              <w:right w:val="nil"/>
            </w:tcBorders>
          </w:tcPr>
          <w:p w14:paraId="079056BB" w14:textId="6B432B12" w:rsidR="00A13378" w:rsidRPr="00A13378" w:rsidRDefault="00A13378" w:rsidP="009D2907">
            <w:pPr>
              <w:autoSpaceDE w:val="0"/>
              <w:autoSpaceDN w:val="0"/>
              <w:adjustRightInd w:val="0"/>
              <w:spacing w:line="300" w:lineRule="exact"/>
              <w:jc w:val="center"/>
              <w:rPr>
                <w:kern w:val="0"/>
                <w:sz w:val="21"/>
                <w:szCs w:val="21"/>
              </w:rPr>
            </w:pPr>
            <w:r w:rsidRPr="00A13378">
              <w:rPr>
                <w:rFonts w:eastAsia="等线"/>
                <w:kern w:val="0"/>
                <w:sz w:val="21"/>
                <w:szCs w:val="21"/>
              </w:rPr>
              <w:t>318.000</w:t>
            </w:r>
          </w:p>
        </w:tc>
        <w:tc>
          <w:tcPr>
            <w:tcW w:w="1465" w:type="dxa"/>
            <w:tcBorders>
              <w:left w:val="nil"/>
              <w:bottom w:val="nil"/>
              <w:right w:val="nil"/>
            </w:tcBorders>
          </w:tcPr>
          <w:p w14:paraId="475C0951" w14:textId="2762FC2B" w:rsidR="00A13378" w:rsidRPr="00A13378" w:rsidRDefault="00A13378" w:rsidP="009D2907">
            <w:pPr>
              <w:autoSpaceDE w:val="0"/>
              <w:autoSpaceDN w:val="0"/>
              <w:adjustRightInd w:val="0"/>
              <w:spacing w:line="300" w:lineRule="exact"/>
              <w:jc w:val="center"/>
              <w:rPr>
                <w:kern w:val="0"/>
                <w:sz w:val="21"/>
                <w:szCs w:val="21"/>
              </w:rPr>
            </w:pPr>
            <w:r w:rsidRPr="00A13378">
              <w:rPr>
                <w:rFonts w:eastAsia="等线"/>
                <w:kern w:val="0"/>
                <w:sz w:val="21"/>
                <w:szCs w:val="21"/>
              </w:rPr>
              <w:t>318.000</w:t>
            </w:r>
          </w:p>
        </w:tc>
      </w:tr>
      <w:tr w:rsidR="00A13378" w:rsidRPr="005F0A3E" w14:paraId="627DA9BF" w14:textId="77777777" w:rsidTr="009F3EAD">
        <w:trPr>
          <w:trHeight w:val="494"/>
          <w:jc w:val="center"/>
        </w:trPr>
        <w:tc>
          <w:tcPr>
            <w:tcW w:w="878" w:type="dxa"/>
            <w:tcBorders>
              <w:top w:val="nil"/>
              <w:left w:val="nil"/>
              <w:right w:val="nil"/>
            </w:tcBorders>
          </w:tcPr>
          <w:p w14:paraId="5AC62F2F" w14:textId="5201074F" w:rsidR="00A13378" w:rsidRPr="00A13378" w:rsidRDefault="00A13378" w:rsidP="009D2907">
            <w:pPr>
              <w:autoSpaceDE w:val="0"/>
              <w:autoSpaceDN w:val="0"/>
              <w:adjustRightInd w:val="0"/>
              <w:spacing w:line="300" w:lineRule="exact"/>
              <w:jc w:val="left"/>
              <w:rPr>
                <w:kern w:val="0"/>
                <w:sz w:val="21"/>
                <w:szCs w:val="21"/>
              </w:rPr>
            </w:pPr>
            <w:r w:rsidRPr="00A13378">
              <w:rPr>
                <w:kern w:val="0"/>
                <w:sz w:val="21"/>
                <w:szCs w:val="21"/>
              </w:rPr>
              <w:t>r2</w:t>
            </w:r>
          </w:p>
        </w:tc>
        <w:tc>
          <w:tcPr>
            <w:tcW w:w="1839" w:type="dxa"/>
            <w:tcBorders>
              <w:top w:val="nil"/>
              <w:left w:val="nil"/>
              <w:right w:val="nil"/>
            </w:tcBorders>
          </w:tcPr>
          <w:p w14:paraId="000CF91E" w14:textId="79D71E73" w:rsidR="00A13378" w:rsidRPr="00A13378" w:rsidRDefault="00A13378" w:rsidP="009D2907">
            <w:pPr>
              <w:autoSpaceDE w:val="0"/>
              <w:autoSpaceDN w:val="0"/>
              <w:adjustRightInd w:val="0"/>
              <w:spacing w:line="300" w:lineRule="exact"/>
              <w:jc w:val="center"/>
              <w:rPr>
                <w:kern w:val="0"/>
                <w:sz w:val="21"/>
                <w:szCs w:val="21"/>
              </w:rPr>
            </w:pPr>
            <w:r w:rsidRPr="00A13378">
              <w:rPr>
                <w:kern w:val="0"/>
                <w:sz w:val="21"/>
                <w:szCs w:val="21"/>
              </w:rPr>
              <w:t>0.266</w:t>
            </w:r>
          </w:p>
        </w:tc>
        <w:tc>
          <w:tcPr>
            <w:tcW w:w="1465" w:type="dxa"/>
            <w:tcBorders>
              <w:top w:val="nil"/>
              <w:left w:val="nil"/>
              <w:right w:val="nil"/>
            </w:tcBorders>
          </w:tcPr>
          <w:p w14:paraId="0CBD9B9D" w14:textId="4EE84CC3" w:rsidR="00A13378" w:rsidRPr="00A13378" w:rsidRDefault="00A13378" w:rsidP="009D2907">
            <w:pPr>
              <w:autoSpaceDE w:val="0"/>
              <w:autoSpaceDN w:val="0"/>
              <w:adjustRightInd w:val="0"/>
              <w:spacing w:line="300" w:lineRule="exact"/>
              <w:jc w:val="center"/>
              <w:rPr>
                <w:kern w:val="0"/>
                <w:sz w:val="21"/>
                <w:szCs w:val="21"/>
              </w:rPr>
            </w:pPr>
            <w:r w:rsidRPr="00A13378">
              <w:rPr>
                <w:kern w:val="0"/>
                <w:sz w:val="21"/>
                <w:szCs w:val="21"/>
              </w:rPr>
              <w:t>0.244</w:t>
            </w:r>
          </w:p>
        </w:tc>
        <w:tc>
          <w:tcPr>
            <w:tcW w:w="1465" w:type="dxa"/>
            <w:tcBorders>
              <w:top w:val="nil"/>
              <w:left w:val="nil"/>
              <w:right w:val="nil"/>
            </w:tcBorders>
          </w:tcPr>
          <w:p w14:paraId="610793DA" w14:textId="5F1CCC15" w:rsidR="00A13378" w:rsidRPr="00A13378" w:rsidRDefault="00A13378" w:rsidP="009D2907">
            <w:pPr>
              <w:autoSpaceDE w:val="0"/>
              <w:autoSpaceDN w:val="0"/>
              <w:adjustRightInd w:val="0"/>
              <w:spacing w:line="300" w:lineRule="exact"/>
              <w:jc w:val="center"/>
              <w:rPr>
                <w:kern w:val="0"/>
                <w:sz w:val="21"/>
                <w:szCs w:val="21"/>
              </w:rPr>
            </w:pPr>
            <w:r w:rsidRPr="00A13378">
              <w:rPr>
                <w:rFonts w:eastAsia="等线"/>
                <w:kern w:val="0"/>
                <w:sz w:val="21"/>
                <w:szCs w:val="21"/>
              </w:rPr>
              <w:t>0.228</w:t>
            </w:r>
          </w:p>
        </w:tc>
        <w:tc>
          <w:tcPr>
            <w:tcW w:w="1465" w:type="dxa"/>
            <w:tcBorders>
              <w:top w:val="nil"/>
              <w:left w:val="nil"/>
              <w:right w:val="nil"/>
            </w:tcBorders>
          </w:tcPr>
          <w:p w14:paraId="7ABFF411" w14:textId="7595EA07" w:rsidR="00A13378" w:rsidRPr="00A13378" w:rsidRDefault="00A13378" w:rsidP="009D2907">
            <w:pPr>
              <w:autoSpaceDE w:val="0"/>
              <w:autoSpaceDN w:val="0"/>
              <w:adjustRightInd w:val="0"/>
              <w:spacing w:line="300" w:lineRule="exact"/>
              <w:jc w:val="center"/>
              <w:rPr>
                <w:kern w:val="0"/>
                <w:sz w:val="21"/>
                <w:szCs w:val="21"/>
              </w:rPr>
            </w:pPr>
            <w:r w:rsidRPr="00A13378">
              <w:rPr>
                <w:rFonts w:eastAsia="等线"/>
                <w:kern w:val="0"/>
                <w:sz w:val="21"/>
                <w:szCs w:val="21"/>
              </w:rPr>
              <w:t>0.159</w:t>
            </w:r>
          </w:p>
        </w:tc>
        <w:tc>
          <w:tcPr>
            <w:tcW w:w="1465" w:type="dxa"/>
            <w:tcBorders>
              <w:top w:val="nil"/>
              <w:left w:val="nil"/>
              <w:right w:val="nil"/>
            </w:tcBorders>
          </w:tcPr>
          <w:p w14:paraId="3103310E" w14:textId="1A9C917B" w:rsidR="00A13378" w:rsidRPr="00A13378" w:rsidRDefault="00A13378" w:rsidP="009D2907">
            <w:pPr>
              <w:autoSpaceDE w:val="0"/>
              <w:autoSpaceDN w:val="0"/>
              <w:adjustRightInd w:val="0"/>
              <w:spacing w:line="300" w:lineRule="exact"/>
              <w:jc w:val="center"/>
              <w:rPr>
                <w:kern w:val="0"/>
                <w:sz w:val="21"/>
                <w:szCs w:val="21"/>
              </w:rPr>
            </w:pPr>
            <w:r w:rsidRPr="00A13378">
              <w:rPr>
                <w:rFonts w:eastAsia="等线"/>
                <w:kern w:val="0"/>
                <w:sz w:val="21"/>
                <w:szCs w:val="21"/>
              </w:rPr>
              <w:t>0.093</w:t>
            </w:r>
          </w:p>
        </w:tc>
      </w:tr>
      <w:tr w:rsidR="00A13378" w:rsidRPr="005F0A3E" w14:paraId="4C218780" w14:textId="77777777" w:rsidTr="009F3EAD">
        <w:trPr>
          <w:trHeight w:val="481"/>
          <w:jc w:val="center"/>
        </w:trPr>
        <w:tc>
          <w:tcPr>
            <w:tcW w:w="878" w:type="dxa"/>
            <w:tcBorders>
              <w:top w:val="nil"/>
              <w:left w:val="nil"/>
              <w:bottom w:val="single" w:sz="12" w:space="0" w:color="auto"/>
              <w:right w:val="nil"/>
            </w:tcBorders>
          </w:tcPr>
          <w:p w14:paraId="09E5DF0E" w14:textId="0385EC76" w:rsidR="00A13378" w:rsidRPr="00A13378" w:rsidRDefault="00A13378" w:rsidP="009D2907">
            <w:pPr>
              <w:autoSpaceDE w:val="0"/>
              <w:autoSpaceDN w:val="0"/>
              <w:adjustRightInd w:val="0"/>
              <w:spacing w:line="300" w:lineRule="exact"/>
              <w:jc w:val="left"/>
              <w:rPr>
                <w:kern w:val="0"/>
                <w:sz w:val="21"/>
                <w:szCs w:val="21"/>
              </w:rPr>
            </w:pPr>
            <w:r w:rsidRPr="00A13378">
              <w:rPr>
                <w:kern w:val="0"/>
                <w:sz w:val="21"/>
                <w:szCs w:val="21"/>
              </w:rPr>
              <w:t>r2_a</w:t>
            </w:r>
          </w:p>
        </w:tc>
        <w:tc>
          <w:tcPr>
            <w:tcW w:w="1839" w:type="dxa"/>
            <w:tcBorders>
              <w:top w:val="nil"/>
              <w:left w:val="nil"/>
              <w:bottom w:val="single" w:sz="12" w:space="0" w:color="auto"/>
              <w:right w:val="nil"/>
            </w:tcBorders>
          </w:tcPr>
          <w:p w14:paraId="52AAC752" w14:textId="2DF83451" w:rsidR="00A13378" w:rsidRPr="00A13378" w:rsidRDefault="00A13378" w:rsidP="009D2907">
            <w:pPr>
              <w:autoSpaceDE w:val="0"/>
              <w:autoSpaceDN w:val="0"/>
              <w:adjustRightInd w:val="0"/>
              <w:spacing w:line="300" w:lineRule="exact"/>
              <w:jc w:val="center"/>
              <w:rPr>
                <w:kern w:val="0"/>
                <w:sz w:val="21"/>
                <w:szCs w:val="21"/>
              </w:rPr>
            </w:pPr>
            <w:r w:rsidRPr="00A13378">
              <w:rPr>
                <w:kern w:val="0"/>
                <w:sz w:val="21"/>
                <w:szCs w:val="21"/>
              </w:rPr>
              <w:t>0.247</w:t>
            </w:r>
          </w:p>
        </w:tc>
        <w:tc>
          <w:tcPr>
            <w:tcW w:w="1465" w:type="dxa"/>
            <w:tcBorders>
              <w:top w:val="nil"/>
              <w:left w:val="nil"/>
              <w:bottom w:val="single" w:sz="12" w:space="0" w:color="auto"/>
              <w:right w:val="nil"/>
            </w:tcBorders>
          </w:tcPr>
          <w:p w14:paraId="7CAD6735" w14:textId="4834DF73" w:rsidR="00A13378" w:rsidRPr="00A13378" w:rsidRDefault="00A13378" w:rsidP="009D2907">
            <w:pPr>
              <w:autoSpaceDE w:val="0"/>
              <w:autoSpaceDN w:val="0"/>
              <w:adjustRightInd w:val="0"/>
              <w:spacing w:line="300" w:lineRule="exact"/>
              <w:jc w:val="center"/>
              <w:rPr>
                <w:kern w:val="0"/>
                <w:sz w:val="21"/>
                <w:szCs w:val="21"/>
              </w:rPr>
            </w:pPr>
            <w:r w:rsidRPr="00A13378">
              <w:rPr>
                <w:kern w:val="0"/>
                <w:sz w:val="21"/>
                <w:szCs w:val="21"/>
              </w:rPr>
              <w:t>0.225</w:t>
            </w:r>
          </w:p>
        </w:tc>
        <w:tc>
          <w:tcPr>
            <w:tcW w:w="1465" w:type="dxa"/>
            <w:tcBorders>
              <w:top w:val="nil"/>
              <w:left w:val="nil"/>
              <w:bottom w:val="single" w:sz="12" w:space="0" w:color="auto"/>
              <w:right w:val="nil"/>
            </w:tcBorders>
          </w:tcPr>
          <w:p w14:paraId="235D54F7" w14:textId="05340FA5" w:rsidR="00A13378" w:rsidRPr="00A13378" w:rsidRDefault="00A13378" w:rsidP="009D2907">
            <w:pPr>
              <w:autoSpaceDE w:val="0"/>
              <w:autoSpaceDN w:val="0"/>
              <w:adjustRightInd w:val="0"/>
              <w:spacing w:line="300" w:lineRule="exact"/>
              <w:jc w:val="center"/>
              <w:rPr>
                <w:kern w:val="0"/>
                <w:sz w:val="21"/>
                <w:szCs w:val="21"/>
              </w:rPr>
            </w:pPr>
            <w:r w:rsidRPr="00A13378">
              <w:rPr>
                <w:rFonts w:eastAsia="等线"/>
                <w:kern w:val="0"/>
                <w:sz w:val="21"/>
                <w:szCs w:val="21"/>
              </w:rPr>
              <w:t>0.208</w:t>
            </w:r>
          </w:p>
        </w:tc>
        <w:tc>
          <w:tcPr>
            <w:tcW w:w="1465" w:type="dxa"/>
            <w:tcBorders>
              <w:top w:val="nil"/>
              <w:left w:val="nil"/>
              <w:bottom w:val="single" w:sz="12" w:space="0" w:color="auto"/>
              <w:right w:val="nil"/>
            </w:tcBorders>
          </w:tcPr>
          <w:p w14:paraId="4E91532F" w14:textId="3E20A029" w:rsidR="00A13378" w:rsidRPr="00A13378" w:rsidRDefault="00A13378" w:rsidP="009D2907">
            <w:pPr>
              <w:autoSpaceDE w:val="0"/>
              <w:autoSpaceDN w:val="0"/>
              <w:adjustRightInd w:val="0"/>
              <w:spacing w:line="300" w:lineRule="exact"/>
              <w:jc w:val="center"/>
              <w:rPr>
                <w:kern w:val="0"/>
                <w:sz w:val="21"/>
                <w:szCs w:val="21"/>
              </w:rPr>
            </w:pPr>
            <w:r w:rsidRPr="00A13378">
              <w:rPr>
                <w:rFonts w:eastAsia="等线"/>
                <w:kern w:val="0"/>
                <w:sz w:val="21"/>
                <w:szCs w:val="21"/>
              </w:rPr>
              <w:t>0.138</w:t>
            </w:r>
          </w:p>
        </w:tc>
        <w:tc>
          <w:tcPr>
            <w:tcW w:w="1465" w:type="dxa"/>
            <w:tcBorders>
              <w:top w:val="nil"/>
              <w:left w:val="nil"/>
              <w:bottom w:val="single" w:sz="12" w:space="0" w:color="auto"/>
              <w:right w:val="nil"/>
            </w:tcBorders>
          </w:tcPr>
          <w:p w14:paraId="3831088B" w14:textId="00EE1F0F" w:rsidR="00A13378" w:rsidRPr="00A13378" w:rsidRDefault="00A13378" w:rsidP="009D2907">
            <w:pPr>
              <w:autoSpaceDE w:val="0"/>
              <w:autoSpaceDN w:val="0"/>
              <w:adjustRightInd w:val="0"/>
              <w:spacing w:line="300" w:lineRule="exact"/>
              <w:jc w:val="center"/>
              <w:rPr>
                <w:kern w:val="0"/>
                <w:sz w:val="21"/>
                <w:szCs w:val="21"/>
              </w:rPr>
            </w:pPr>
            <w:r w:rsidRPr="00A13378">
              <w:rPr>
                <w:rFonts w:eastAsia="等线"/>
                <w:kern w:val="0"/>
                <w:sz w:val="21"/>
                <w:szCs w:val="21"/>
              </w:rPr>
              <w:t>0.070</w:t>
            </w:r>
          </w:p>
        </w:tc>
      </w:tr>
    </w:tbl>
    <w:p w14:paraId="74714835" w14:textId="285B2A67" w:rsidR="001E34A0" w:rsidRPr="009D2907" w:rsidRDefault="00B45778" w:rsidP="009D2907">
      <w:pPr>
        <w:autoSpaceDE w:val="0"/>
        <w:autoSpaceDN w:val="0"/>
        <w:adjustRightInd w:val="0"/>
        <w:spacing w:line="240" w:lineRule="auto"/>
        <w:jc w:val="left"/>
        <w:rPr>
          <w:rFonts w:eastAsiaTheme="minorEastAsia"/>
          <w:kern w:val="0"/>
          <w:sz w:val="21"/>
          <w:szCs w:val="21"/>
        </w:rPr>
      </w:pPr>
      <w:r w:rsidRPr="00A13378">
        <w:rPr>
          <w:rFonts w:eastAsiaTheme="minorEastAsia" w:hint="eastAsia"/>
          <w:kern w:val="0"/>
          <w:sz w:val="21"/>
          <w:szCs w:val="21"/>
        </w:rPr>
        <w:t>注：</w:t>
      </w:r>
      <w:r w:rsidRPr="00A13378">
        <w:rPr>
          <w:rFonts w:eastAsiaTheme="minorEastAsia"/>
          <w:kern w:val="0"/>
          <w:sz w:val="21"/>
          <w:szCs w:val="21"/>
          <w:vertAlign w:val="superscript"/>
        </w:rPr>
        <w:t>*</w:t>
      </w:r>
      <w:r w:rsidRPr="00A13378">
        <w:rPr>
          <w:rFonts w:eastAsiaTheme="minorEastAsia"/>
          <w:kern w:val="0"/>
          <w:sz w:val="21"/>
          <w:szCs w:val="21"/>
        </w:rPr>
        <w:t xml:space="preserve"> </w:t>
      </w:r>
      <w:r w:rsidRPr="00A13378">
        <w:rPr>
          <w:rFonts w:eastAsiaTheme="minorEastAsia"/>
          <w:i/>
          <w:iCs/>
          <w:kern w:val="0"/>
          <w:sz w:val="21"/>
          <w:szCs w:val="21"/>
        </w:rPr>
        <w:t>p</w:t>
      </w:r>
      <w:r w:rsidRPr="00A13378">
        <w:rPr>
          <w:rFonts w:eastAsiaTheme="minorEastAsia"/>
          <w:kern w:val="0"/>
          <w:sz w:val="21"/>
          <w:szCs w:val="21"/>
        </w:rPr>
        <w:t xml:space="preserve"> &lt; 0.1, </w:t>
      </w:r>
      <w:r w:rsidRPr="00A13378">
        <w:rPr>
          <w:rFonts w:eastAsiaTheme="minorEastAsia"/>
          <w:kern w:val="0"/>
          <w:sz w:val="21"/>
          <w:szCs w:val="21"/>
          <w:vertAlign w:val="superscript"/>
        </w:rPr>
        <w:t>**</w:t>
      </w:r>
      <w:r w:rsidRPr="00A13378">
        <w:rPr>
          <w:rFonts w:eastAsiaTheme="minorEastAsia"/>
          <w:kern w:val="0"/>
          <w:sz w:val="21"/>
          <w:szCs w:val="21"/>
        </w:rPr>
        <w:t xml:space="preserve"> </w:t>
      </w:r>
      <w:r w:rsidRPr="00A13378">
        <w:rPr>
          <w:rFonts w:eastAsiaTheme="minorEastAsia"/>
          <w:i/>
          <w:iCs/>
          <w:kern w:val="0"/>
          <w:sz w:val="21"/>
          <w:szCs w:val="21"/>
        </w:rPr>
        <w:t>p</w:t>
      </w:r>
      <w:r w:rsidRPr="00A13378">
        <w:rPr>
          <w:rFonts w:eastAsiaTheme="minorEastAsia"/>
          <w:kern w:val="0"/>
          <w:sz w:val="21"/>
          <w:szCs w:val="21"/>
        </w:rPr>
        <w:t xml:space="preserve"> &lt; 0.05, </w:t>
      </w:r>
      <w:r w:rsidRPr="00A13378">
        <w:rPr>
          <w:rFonts w:eastAsiaTheme="minorEastAsia"/>
          <w:kern w:val="0"/>
          <w:sz w:val="21"/>
          <w:szCs w:val="21"/>
          <w:vertAlign w:val="superscript"/>
        </w:rPr>
        <w:t>***</w:t>
      </w:r>
      <w:r w:rsidRPr="00A13378">
        <w:rPr>
          <w:rFonts w:eastAsiaTheme="minorEastAsia"/>
          <w:kern w:val="0"/>
          <w:sz w:val="21"/>
          <w:szCs w:val="21"/>
        </w:rPr>
        <w:t xml:space="preserve"> </w:t>
      </w:r>
      <w:r w:rsidRPr="00A13378">
        <w:rPr>
          <w:rFonts w:eastAsiaTheme="minorEastAsia"/>
          <w:i/>
          <w:iCs/>
          <w:kern w:val="0"/>
          <w:sz w:val="21"/>
          <w:szCs w:val="21"/>
        </w:rPr>
        <w:t>p</w:t>
      </w:r>
      <w:r w:rsidRPr="00A13378">
        <w:rPr>
          <w:rFonts w:eastAsiaTheme="minorEastAsia"/>
          <w:kern w:val="0"/>
          <w:sz w:val="21"/>
          <w:szCs w:val="21"/>
        </w:rPr>
        <w:t xml:space="preserve"> &lt; 0.01</w:t>
      </w:r>
    </w:p>
    <w:p w14:paraId="4DA07994" w14:textId="3BCDECFD" w:rsidR="00B07956" w:rsidRDefault="00F5091E" w:rsidP="00F5091E">
      <w:pPr>
        <w:pStyle w:val="2"/>
        <w:spacing w:before="163" w:after="163"/>
      </w:pPr>
      <w:bookmarkStart w:id="108" w:name="_Toc104478876"/>
      <w:r w:rsidRPr="00A13378">
        <w:rPr>
          <w:rFonts w:cs="Times New Roman"/>
        </w:rPr>
        <w:lastRenderedPageBreak/>
        <w:t>4.3</w:t>
      </w:r>
      <w:r>
        <w:t xml:space="preserve"> </w:t>
      </w:r>
      <w:r>
        <w:rPr>
          <w:rFonts w:hint="eastAsia"/>
        </w:rPr>
        <w:t>研发费用作控制变量的</w:t>
      </w:r>
      <w:r w:rsidR="00350A74">
        <w:rPr>
          <w:rFonts w:hint="eastAsia"/>
        </w:rPr>
        <w:t>进一步研究</w:t>
      </w:r>
      <w:bookmarkEnd w:id="108"/>
    </w:p>
    <w:p w14:paraId="1F4DB75F" w14:textId="24422D42" w:rsidR="00F5091E" w:rsidRDefault="0026782C" w:rsidP="0026782C">
      <w:pPr>
        <w:pStyle w:val="3"/>
      </w:pPr>
      <w:bookmarkStart w:id="109" w:name="_Toc103038544"/>
      <w:bookmarkStart w:id="110" w:name="_Toc103093670"/>
      <w:bookmarkStart w:id="111" w:name="_Toc103345050"/>
      <w:r>
        <w:rPr>
          <w:rFonts w:hint="eastAsia"/>
        </w:rPr>
        <w:t>4</w:t>
      </w:r>
      <w:r>
        <w:t>.3.1</w:t>
      </w:r>
      <w:r w:rsidR="00A13378">
        <w:t xml:space="preserve"> </w:t>
      </w:r>
      <w:r>
        <w:rPr>
          <w:rFonts w:hint="eastAsia"/>
        </w:rPr>
        <w:t>回归结果分析</w:t>
      </w:r>
      <w:bookmarkEnd w:id="109"/>
      <w:bookmarkEnd w:id="110"/>
      <w:bookmarkEnd w:id="111"/>
    </w:p>
    <w:p w14:paraId="47A89DB5" w14:textId="7BCC7D7D" w:rsidR="00E925BF" w:rsidRDefault="00B45778" w:rsidP="00E925BF">
      <w:pPr>
        <w:ind w:firstLineChars="200" w:firstLine="480"/>
      </w:pPr>
      <w:r>
        <w:rPr>
          <w:rFonts w:hint="eastAsia"/>
        </w:rPr>
        <w:t>根据以往文献，有一种情况：</w:t>
      </w:r>
      <w:r w:rsidR="00E925BF" w:rsidRPr="000F770E">
        <w:rPr>
          <w:rFonts w:hint="eastAsia"/>
        </w:rPr>
        <w:t>按行业对企业进行分类</w:t>
      </w:r>
      <w:r>
        <w:rPr>
          <w:rFonts w:hint="eastAsia"/>
        </w:rPr>
        <w:t>，</w:t>
      </w:r>
      <w:r w:rsidR="00E925BF" w:rsidRPr="000F770E">
        <w:rPr>
          <w:rFonts w:hint="eastAsia"/>
        </w:rPr>
        <w:t>随着行业分类数量的减少，企业间的平均值会导致不太准确的推断。</w:t>
      </w:r>
      <w:r w:rsidR="00E925BF" w:rsidRPr="000F770E">
        <w:rPr>
          <w:rFonts w:hint="eastAsia"/>
        </w:rPr>
        <w:t>McWilliams</w:t>
      </w:r>
      <w:r w:rsidR="008058A0">
        <w:rPr>
          <w:rFonts w:hint="eastAsia"/>
        </w:rPr>
        <w:t>等</w:t>
      </w:r>
      <w:r w:rsidR="008058A0" w:rsidRPr="008058A0">
        <w:rPr>
          <w:vertAlign w:val="superscript"/>
        </w:rPr>
        <w:fldChar w:fldCharType="begin"/>
      </w:r>
      <w:r w:rsidR="008058A0" w:rsidRPr="008058A0">
        <w:rPr>
          <w:vertAlign w:val="superscript"/>
        </w:rPr>
        <w:instrText xml:space="preserve"> </w:instrText>
      </w:r>
      <w:r w:rsidR="008058A0" w:rsidRPr="008058A0">
        <w:rPr>
          <w:rFonts w:hint="eastAsia"/>
          <w:vertAlign w:val="superscript"/>
        </w:rPr>
        <w:instrText>REF _Ref104474760 \r \h</w:instrText>
      </w:r>
      <w:r w:rsidR="008058A0" w:rsidRPr="008058A0">
        <w:rPr>
          <w:vertAlign w:val="superscript"/>
        </w:rPr>
        <w:instrText xml:space="preserve"> </w:instrText>
      </w:r>
      <w:r w:rsidR="008058A0">
        <w:rPr>
          <w:vertAlign w:val="superscript"/>
        </w:rPr>
        <w:instrText xml:space="preserve"> \* MERGEFORMAT </w:instrText>
      </w:r>
      <w:r w:rsidR="008058A0" w:rsidRPr="008058A0">
        <w:rPr>
          <w:vertAlign w:val="superscript"/>
        </w:rPr>
      </w:r>
      <w:r w:rsidR="008058A0" w:rsidRPr="008058A0">
        <w:rPr>
          <w:vertAlign w:val="superscript"/>
        </w:rPr>
        <w:fldChar w:fldCharType="separate"/>
      </w:r>
      <w:r w:rsidR="00AA0519">
        <w:rPr>
          <w:vertAlign w:val="superscript"/>
        </w:rPr>
        <w:t>[31]</w:t>
      </w:r>
      <w:r w:rsidR="008058A0" w:rsidRPr="008058A0">
        <w:rPr>
          <w:vertAlign w:val="superscript"/>
        </w:rPr>
        <w:fldChar w:fldCharType="end"/>
      </w:r>
      <w:r w:rsidR="00E925BF" w:rsidRPr="000F770E">
        <w:rPr>
          <w:rFonts w:hint="eastAsia"/>
        </w:rPr>
        <w:t>指出，</w:t>
      </w:r>
      <w:r w:rsidR="00350A74">
        <w:rPr>
          <w:rFonts w:hint="eastAsia"/>
        </w:rPr>
        <w:t>在研究</w:t>
      </w:r>
      <w:r w:rsidR="00350A74">
        <w:rPr>
          <w:rFonts w:hint="eastAsia"/>
        </w:rPr>
        <w:t>ESG</w:t>
      </w:r>
      <w:r w:rsidR="00350A74">
        <w:rPr>
          <w:rFonts w:hint="eastAsia"/>
        </w:rPr>
        <w:t>相关问题中，</w:t>
      </w:r>
      <w:r w:rsidR="00E925BF" w:rsidRPr="000F770E">
        <w:rPr>
          <w:rFonts w:hint="eastAsia"/>
        </w:rPr>
        <w:t>一旦</w:t>
      </w:r>
      <w:r w:rsidR="00350A74">
        <w:rPr>
          <w:rFonts w:hint="eastAsia"/>
        </w:rPr>
        <w:t>控制了</w:t>
      </w:r>
      <w:r w:rsidR="00E925BF" w:rsidRPr="000F770E">
        <w:rPr>
          <w:rFonts w:hint="eastAsia"/>
        </w:rPr>
        <w:t>企业风险和规模，研发费用是行业（即企业类型）的有用替代品。</w:t>
      </w:r>
      <w:r w:rsidR="008058A0">
        <w:rPr>
          <w:rFonts w:hint="eastAsia"/>
        </w:rPr>
        <w:t>也就是说，在控制了企业风险和规模后，行业间的差别绝大部分由于研发费用不同产生的，所以使用</w:t>
      </w:r>
      <w:r w:rsidR="00E925BF" w:rsidRPr="000F770E">
        <w:rPr>
          <w:rFonts w:hint="eastAsia"/>
        </w:rPr>
        <w:t>这种方法可以避免</w:t>
      </w:r>
      <w:r w:rsidR="00350A74">
        <w:rPr>
          <w:rFonts w:hint="eastAsia"/>
        </w:rPr>
        <w:t>此类问题中由于</w:t>
      </w:r>
      <w:r w:rsidR="00E925BF" w:rsidRPr="000F770E">
        <w:rPr>
          <w:rFonts w:hint="eastAsia"/>
        </w:rPr>
        <w:t>行业分类造成的平均效应，从而</w:t>
      </w:r>
      <w:bookmarkStart w:id="112" w:name="_Hlk103091476"/>
      <w:r w:rsidR="00E925BF" w:rsidRPr="000F770E">
        <w:rPr>
          <w:rFonts w:hint="eastAsia"/>
        </w:rPr>
        <w:t>产生更强的相关性和</w:t>
      </w:r>
      <w:r w:rsidR="00E925BF">
        <w:rPr>
          <w:rFonts w:hint="eastAsia"/>
        </w:rPr>
        <w:t>更准确的行业分类</w:t>
      </w:r>
      <w:bookmarkEnd w:id="112"/>
      <w:r w:rsidR="00E925BF" w:rsidRPr="000F770E">
        <w:rPr>
          <w:rFonts w:hint="eastAsia"/>
        </w:rPr>
        <w:t>。因此，</w:t>
      </w:r>
      <w:r w:rsidR="000366B0">
        <w:rPr>
          <w:rFonts w:hint="eastAsia"/>
        </w:rPr>
        <w:t>模型</w:t>
      </w:r>
      <w:r w:rsidR="000366B0">
        <w:rPr>
          <w:rFonts w:hint="eastAsia"/>
        </w:rPr>
        <w:t>3-</w:t>
      </w:r>
      <w:r w:rsidR="008058A0">
        <w:t>2</w:t>
      </w:r>
      <w:r w:rsidR="000366B0">
        <w:rPr>
          <w:rFonts w:hint="eastAsia"/>
        </w:rPr>
        <w:t>的进一步研究</w:t>
      </w:r>
      <w:r w:rsidR="00E925BF" w:rsidRPr="000F770E">
        <w:rPr>
          <w:rFonts w:hint="eastAsia"/>
        </w:rPr>
        <w:t>使用</w:t>
      </w:r>
      <w:r w:rsidR="00E925BF">
        <w:rPr>
          <w:rFonts w:hint="eastAsia"/>
        </w:rPr>
        <w:t>RD</w:t>
      </w:r>
      <w:r w:rsidR="00E925BF">
        <w:rPr>
          <w:rFonts w:hint="eastAsia"/>
        </w:rPr>
        <w:t>（研发费用）作为控制变量</w:t>
      </w:r>
      <w:r w:rsidR="00350A74">
        <w:rPr>
          <w:rFonts w:hint="eastAsia"/>
        </w:rPr>
        <w:t>而</w:t>
      </w:r>
      <w:proofErr w:type="gramStart"/>
      <w:r w:rsidR="00350A74">
        <w:rPr>
          <w:rFonts w:hint="eastAsia"/>
        </w:rPr>
        <w:t>非</w:t>
      </w:r>
      <w:r w:rsidR="00E925BF">
        <w:rPr>
          <w:rFonts w:hint="eastAsia"/>
        </w:rPr>
        <w:t>行业</w:t>
      </w:r>
      <w:proofErr w:type="gramEnd"/>
      <w:r w:rsidR="00E925BF">
        <w:rPr>
          <w:rFonts w:hint="eastAsia"/>
        </w:rPr>
        <w:t>固定效应。从表</w:t>
      </w:r>
      <w:r w:rsidR="00E925BF">
        <w:t>4-4</w:t>
      </w:r>
      <w:r w:rsidR="00E925BF">
        <w:rPr>
          <w:rFonts w:hint="eastAsia"/>
        </w:rPr>
        <w:t>的</w:t>
      </w:r>
      <w:r w:rsidR="00E925BF">
        <w:rPr>
          <w:rFonts w:hint="eastAsia"/>
        </w:rPr>
        <w:t>(3)(4)</w:t>
      </w:r>
      <w:r w:rsidR="00E925BF">
        <w:rPr>
          <w:rFonts w:hint="eastAsia"/>
        </w:rPr>
        <w:t>列可以看出以</w:t>
      </w:r>
      <w:r w:rsidR="00E925BF">
        <w:rPr>
          <w:rFonts w:hint="eastAsia"/>
        </w:rPr>
        <w:t>RD</w:t>
      </w:r>
      <w:r w:rsidR="00E925BF">
        <w:rPr>
          <w:rFonts w:hint="eastAsia"/>
        </w:rPr>
        <w:t>（研发费用）区分不同行业下的回归</w:t>
      </w:r>
      <w:r w:rsidR="00E925BF" w:rsidRPr="0019600A">
        <w:rPr>
          <w:rFonts w:hint="eastAsia"/>
        </w:rPr>
        <w:t>结果</w:t>
      </w:r>
      <w:r w:rsidR="00E925BF">
        <w:rPr>
          <w:rFonts w:hint="eastAsia"/>
        </w:rPr>
        <w:t>，</w:t>
      </w:r>
      <w:r w:rsidR="00E925BF" w:rsidRPr="0019600A">
        <w:rPr>
          <w:rFonts w:hint="eastAsia"/>
        </w:rPr>
        <w:t>发现这种改变并没有影响主要变量的回归结果，</w:t>
      </w:r>
      <w:r w:rsidR="00E925BF" w:rsidRPr="0019600A">
        <w:rPr>
          <w:rFonts w:hint="eastAsia"/>
        </w:rPr>
        <w:t>Veg</w:t>
      </w:r>
      <w:r w:rsidR="00E925BF">
        <w:rPr>
          <w:rFonts w:hint="eastAsia"/>
        </w:rPr>
        <w:t>e</w:t>
      </w:r>
      <w:r w:rsidR="00E925BF" w:rsidRPr="0019600A">
        <w:rPr>
          <w:rFonts w:hint="eastAsia"/>
        </w:rPr>
        <w:t>的</w:t>
      </w:r>
      <w:r>
        <w:rPr>
          <w:rFonts w:hint="eastAsia"/>
        </w:rPr>
        <w:t>回归</w:t>
      </w:r>
      <w:r w:rsidR="00E925BF" w:rsidRPr="0019600A">
        <w:rPr>
          <w:rFonts w:hint="eastAsia"/>
        </w:rPr>
        <w:t>系数依然显著为正，</w:t>
      </w:r>
      <w:r w:rsidR="00E925BF">
        <w:rPr>
          <w:rFonts w:hint="eastAsia"/>
        </w:rPr>
        <w:t>而</w:t>
      </w:r>
      <w:r w:rsidR="00E925BF">
        <w:rPr>
          <w:rFonts w:hint="eastAsia"/>
        </w:rPr>
        <w:t>Delta</w:t>
      </w:r>
      <w:r w:rsidR="00E925BF">
        <w:rPr>
          <w:rFonts w:hint="eastAsia"/>
        </w:rPr>
        <w:t>的</w:t>
      </w:r>
      <w:r>
        <w:rPr>
          <w:rFonts w:hint="eastAsia"/>
        </w:rPr>
        <w:t>回归</w:t>
      </w:r>
      <w:r w:rsidR="00E925BF">
        <w:rPr>
          <w:rFonts w:hint="eastAsia"/>
        </w:rPr>
        <w:t>系数也依然显著为负，</w:t>
      </w:r>
      <w:r w:rsidR="00E925BF" w:rsidRPr="0019600A">
        <w:rPr>
          <w:rFonts w:hint="eastAsia"/>
        </w:rPr>
        <w:t>并且其他的控制变量的结果也与前文</w:t>
      </w:r>
      <w:r w:rsidR="00E925BF">
        <w:rPr>
          <w:rFonts w:hint="eastAsia"/>
        </w:rPr>
        <w:t>使用行业虚拟变量下的结果</w:t>
      </w:r>
      <w:r w:rsidR="00E925BF" w:rsidRPr="0019600A">
        <w:rPr>
          <w:rFonts w:hint="eastAsia"/>
        </w:rPr>
        <w:t>基本一致</w:t>
      </w:r>
      <w:r w:rsidR="0025449B">
        <w:rPr>
          <w:rFonts w:hint="eastAsia"/>
        </w:rPr>
        <w:t>，</w:t>
      </w:r>
      <w:r w:rsidR="0025449B" w:rsidRPr="0025449B">
        <w:rPr>
          <w:rFonts w:hint="eastAsia"/>
        </w:rPr>
        <w:t>因此</w:t>
      </w:r>
      <w:r w:rsidR="0025449B">
        <w:rPr>
          <w:rFonts w:hint="eastAsia"/>
        </w:rPr>
        <w:t>这种情况下</w:t>
      </w:r>
      <w:r w:rsidR="0025449B" w:rsidRPr="0025449B">
        <w:rPr>
          <w:rFonts w:hint="eastAsia"/>
        </w:rPr>
        <w:t>本研究的假设</w:t>
      </w:r>
      <w:r w:rsidR="0025449B" w:rsidRPr="0025449B">
        <w:rPr>
          <w:rFonts w:hint="eastAsia"/>
        </w:rPr>
        <w:t xml:space="preserve"> H1</w:t>
      </w:r>
      <w:r w:rsidR="0025449B" w:rsidRPr="0025449B">
        <w:rPr>
          <w:rFonts w:hint="eastAsia"/>
        </w:rPr>
        <w:t>和</w:t>
      </w:r>
      <w:r w:rsidR="0025449B" w:rsidRPr="0025449B">
        <w:rPr>
          <w:rFonts w:hint="eastAsia"/>
        </w:rPr>
        <w:t>H2</w:t>
      </w:r>
      <w:r w:rsidR="0025449B">
        <w:rPr>
          <w:rFonts w:hint="eastAsia"/>
        </w:rPr>
        <w:t>也</w:t>
      </w:r>
      <w:r w:rsidR="0025449B" w:rsidRPr="0025449B">
        <w:rPr>
          <w:rFonts w:hint="eastAsia"/>
        </w:rPr>
        <w:t>均成功通过检验。</w:t>
      </w:r>
      <w:r w:rsidR="00E925BF" w:rsidRPr="0019600A">
        <w:rPr>
          <w:rFonts w:hint="eastAsia"/>
        </w:rPr>
        <w:t>。</w:t>
      </w:r>
    </w:p>
    <w:p w14:paraId="14A461FF" w14:textId="0EBF4C44" w:rsidR="00B45778" w:rsidRDefault="0025449B" w:rsidP="00E925BF">
      <w:pPr>
        <w:ind w:firstLineChars="200" w:firstLine="480"/>
      </w:pPr>
      <w:r>
        <w:rPr>
          <w:rFonts w:hint="eastAsia"/>
        </w:rPr>
        <w:t>这样的解释变量回归结果与行业固定效应结果解释也一致：</w:t>
      </w:r>
      <w:r w:rsidRPr="0025449B">
        <w:rPr>
          <w:rFonts w:hint="eastAsia"/>
        </w:rPr>
        <w:t>高管们认为</w:t>
      </w:r>
      <w:r w:rsidRPr="0025449B">
        <w:rPr>
          <w:rFonts w:hint="eastAsia"/>
        </w:rPr>
        <w:t>ESG</w:t>
      </w:r>
      <w:r w:rsidRPr="0025449B">
        <w:rPr>
          <w:rFonts w:hint="eastAsia"/>
        </w:rPr>
        <w:t>相关投资对股价是有负面影响的，但他们认为</w:t>
      </w:r>
      <w:r w:rsidRPr="0025449B">
        <w:rPr>
          <w:rFonts w:hint="eastAsia"/>
        </w:rPr>
        <w:t>ESG</w:t>
      </w:r>
      <w:r w:rsidRPr="0025449B">
        <w:rPr>
          <w:rFonts w:hint="eastAsia"/>
        </w:rPr>
        <w:t>相关投资会增加股价波动性</w:t>
      </w:r>
      <w:r>
        <w:rPr>
          <w:rFonts w:hint="eastAsia"/>
        </w:rPr>
        <w:t>。</w:t>
      </w:r>
      <w:r w:rsidR="00B45778">
        <w:rPr>
          <w:rFonts w:hint="eastAsia"/>
        </w:rPr>
        <w:t>但是这种情况下有一结果是行业固定效应未能展现出的：</w:t>
      </w:r>
      <w:r w:rsidR="00B45778">
        <w:rPr>
          <w:rFonts w:hint="eastAsia"/>
        </w:rPr>
        <w:t>RD</w:t>
      </w:r>
      <w:r w:rsidR="00B45778">
        <w:rPr>
          <w:rFonts w:hint="eastAsia"/>
        </w:rPr>
        <w:t>（研发费用）的回归系数显著为正，这对本研究下自变量</w:t>
      </w:r>
      <w:r w:rsidR="00B45778">
        <w:rPr>
          <w:rFonts w:hint="eastAsia"/>
        </w:rPr>
        <w:t>Vega</w:t>
      </w:r>
      <w:r w:rsidR="00B45778">
        <w:rPr>
          <w:rFonts w:hint="eastAsia"/>
        </w:rPr>
        <w:t>和</w:t>
      </w:r>
      <w:r w:rsidR="00B45778">
        <w:rPr>
          <w:rFonts w:hint="eastAsia"/>
        </w:rPr>
        <w:t>Delta</w:t>
      </w:r>
      <w:r w:rsidR="00B45778">
        <w:rPr>
          <w:rFonts w:hint="eastAsia"/>
        </w:rPr>
        <w:t>的回归结果的机制分析有很大的启发。这说明</w:t>
      </w:r>
      <w:r w:rsidR="00B45778">
        <w:rPr>
          <w:rFonts w:hint="eastAsia"/>
        </w:rPr>
        <w:t>RD</w:t>
      </w:r>
      <w:r w:rsidR="00B45778">
        <w:rPr>
          <w:rFonts w:hint="eastAsia"/>
        </w:rPr>
        <w:t>（研发费用）越高的企业，他们的</w:t>
      </w:r>
      <w:r w:rsidR="00B45778">
        <w:rPr>
          <w:rFonts w:hint="eastAsia"/>
        </w:rPr>
        <w:t>ESG</w:t>
      </w:r>
      <w:r w:rsidR="00B45778">
        <w:rPr>
          <w:rFonts w:hint="eastAsia"/>
        </w:rPr>
        <w:t>表现就越好，而</w:t>
      </w:r>
      <w:r>
        <w:rPr>
          <w:rFonts w:hint="eastAsia"/>
        </w:rPr>
        <w:t>高管对</w:t>
      </w:r>
      <w:r w:rsidR="00B45778">
        <w:rPr>
          <w:rFonts w:hint="eastAsia"/>
        </w:rPr>
        <w:t>研发费用的大量投入也是一种风险承担的表现</w:t>
      </w:r>
      <w:r>
        <w:rPr>
          <w:rFonts w:hint="eastAsia"/>
        </w:rPr>
        <w:t>，这对上述高管风险承担效应对</w:t>
      </w:r>
      <w:r>
        <w:rPr>
          <w:rFonts w:hint="eastAsia"/>
        </w:rPr>
        <w:t>ESG</w:t>
      </w:r>
      <w:r>
        <w:rPr>
          <w:rFonts w:hint="eastAsia"/>
        </w:rPr>
        <w:t>的影响机制说明是一个重要的佐证。</w:t>
      </w:r>
    </w:p>
    <w:p w14:paraId="70B68993" w14:textId="77777777" w:rsidR="002B6021" w:rsidRDefault="002B6021" w:rsidP="002B6021">
      <w:pPr>
        <w:spacing w:line="300" w:lineRule="exact"/>
        <w:jc w:val="center"/>
        <w:rPr>
          <w:rFonts w:ascii="黑体" w:eastAsia="黑体" w:hAnsi="宋体"/>
        </w:rPr>
      </w:pPr>
      <w:r w:rsidRPr="00677FE2">
        <w:rPr>
          <w:rFonts w:ascii="黑体" w:eastAsia="黑体" w:hAnsi="宋体" w:hint="eastAsia"/>
        </w:rPr>
        <w:t>表</w:t>
      </w:r>
      <w:r>
        <w:rPr>
          <w:rFonts w:eastAsia="黑体"/>
        </w:rPr>
        <w:t>4</w:t>
      </w:r>
      <w:r w:rsidRPr="00AB6ADE">
        <w:rPr>
          <w:rFonts w:eastAsia="黑体" w:hint="eastAsia"/>
        </w:rPr>
        <w:t>-</w:t>
      </w:r>
      <w:r>
        <w:rPr>
          <w:rFonts w:eastAsia="黑体"/>
        </w:rPr>
        <w:t>4</w:t>
      </w:r>
      <w:r>
        <w:rPr>
          <w:rFonts w:ascii="黑体" w:eastAsia="黑体" w:hAnsi="宋体" w:hint="eastAsia"/>
        </w:rPr>
        <w:t xml:space="preserve"> </w:t>
      </w:r>
      <w:r w:rsidRPr="00B45778">
        <w:rPr>
          <w:rFonts w:ascii="黑体" w:eastAsia="黑体" w:hAnsi="宋体" w:hint="eastAsia"/>
        </w:rPr>
        <w:t>研发费用作控制变量</w:t>
      </w:r>
      <w:r>
        <w:rPr>
          <w:rFonts w:ascii="黑体" w:eastAsia="黑体" w:hAnsi="宋体" w:hint="eastAsia"/>
        </w:rPr>
        <w:t>的回归结果</w:t>
      </w:r>
    </w:p>
    <w:p w14:paraId="25C8C9FC" w14:textId="77777777" w:rsidR="002B6021" w:rsidRPr="00B45778" w:rsidRDefault="002B6021" w:rsidP="002B6021">
      <w:pPr>
        <w:spacing w:line="300" w:lineRule="exact"/>
      </w:pPr>
    </w:p>
    <w:tbl>
      <w:tblPr>
        <w:tblW w:w="0" w:type="auto"/>
        <w:jc w:val="center"/>
        <w:tblLayout w:type="fixed"/>
        <w:tblLook w:val="0000" w:firstRow="0" w:lastRow="0" w:firstColumn="0" w:lastColumn="0" w:noHBand="0" w:noVBand="0"/>
      </w:tblPr>
      <w:tblGrid>
        <w:gridCol w:w="1335"/>
        <w:gridCol w:w="1929"/>
        <w:gridCol w:w="2282"/>
        <w:gridCol w:w="1943"/>
      </w:tblGrid>
      <w:tr w:rsidR="002B6021" w14:paraId="54E20EC6" w14:textId="77777777" w:rsidTr="002B6021">
        <w:trPr>
          <w:trHeight w:val="529"/>
          <w:jc w:val="center"/>
        </w:trPr>
        <w:tc>
          <w:tcPr>
            <w:tcW w:w="1335" w:type="dxa"/>
            <w:tcBorders>
              <w:top w:val="single" w:sz="12" w:space="0" w:color="auto"/>
              <w:left w:val="nil"/>
              <w:bottom w:val="nil"/>
              <w:right w:val="nil"/>
            </w:tcBorders>
          </w:tcPr>
          <w:p w14:paraId="22F98C82" w14:textId="77777777" w:rsidR="002B6021" w:rsidRDefault="002B6021" w:rsidP="002B6021">
            <w:pPr>
              <w:autoSpaceDE w:val="0"/>
              <w:autoSpaceDN w:val="0"/>
              <w:adjustRightInd w:val="0"/>
              <w:jc w:val="left"/>
              <w:rPr>
                <w:kern w:val="0"/>
                <w:szCs w:val="24"/>
              </w:rPr>
            </w:pPr>
          </w:p>
        </w:tc>
        <w:tc>
          <w:tcPr>
            <w:tcW w:w="1929" w:type="dxa"/>
            <w:tcBorders>
              <w:top w:val="single" w:sz="12" w:space="0" w:color="auto"/>
              <w:left w:val="nil"/>
              <w:bottom w:val="nil"/>
              <w:right w:val="nil"/>
            </w:tcBorders>
          </w:tcPr>
          <w:p w14:paraId="5A902766" w14:textId="77777777" w:rsidR="002B6021" w:rsidRPr="005F208F" w:rsidRDefault="002B6021" w:rsidP="002B6021">
            <w:pPr>
              <w:autoSpaceDE w:val="0"/>
              <w:autoSpaceDN w:val="0"/>
              <w:adjustRightInd w:val="0"/>
              <w:jc w:val="center"/>
              <w:rPr>
                <w:kern w:val="0"/>
                <w:sz w:val="21"/>
                <w:szCs w:val="21"/>
              </w:rPr>
            </w:pPr>
            <w:r w:rsidRPr="005F208F">
              <w:rPr>
                <w:kern w:val="0"/>
                <w:sz w:val="21"/>
                <w:szCs w:val="21"/>
              </w:rPr>
              <w:t>(1)</w:t>
            </w:r>
          </w:p>
        </w:tc>
        <w:tc>
          <w:tcPr>
            <w:tcW w:w="2282" w:type="dxa"/>
            <w:tcBorders>
              <w:top w:val="single" w:sz="12" w:space="0" w:color="auto"/>
              <w:left w:val="nil"/>
              <w:bottom w:val="nil"/>
              <w:right w:val="nil"/>
            </w:tcBorders>
          </w:tcPr>
          <w:p w14:paraId="67445B87" w14:textId="77777777" w:rsidR="002B6021" w:rsidRPr="005F208F" w:rsidRDefault="002B6021" w:rsidP="002B6021">
            <w:pPr>
              <w:autoSpaceDE w:val="0"/>
              <w:autoSpaceDN w:val="0"/>
              <w:adjustRightInd w:val="0"/>
              <w:jc w:val="center"/>
              <w:rPr>
                <w:kern w:val="0"/>
                <w:sz w:val="21"/>
                <w:szCs w:val="21"/>
              </w:rPr>
            </w:pPr>
            <w:r w:rsidRPr="005F208F">
              <w:rPr>
                <w:kern w:val="0"/>
                <w:sz w:val="21"/>
                <w:szCs w:val="21"/>
              </w:rPr>
              <w:t>(2)</w:t>
            </w:r>
          </w:p>
        </w:tc>
        <w:tc>
          <w:tcPr>
            <w:tcW w:w="1943" w:type="dxa"/>
            <w:tcBorders>
              <w:top w:val="single" w:sz="12" w:space="0" w:color="auto"/>
              <w:left w:val="nil"/>
              <w:bottom w:val="nil"/>
              <w:right w:val="nil"/>
            </w:tcBorders>
          </w:tcPr>
          <w:p w14:paraId="44784453" w14:textId="77777777" w:rsidR="002B6021" w:rsidRPr="005F208F" w:rsidRDefault="002B6021" w:rsidP="002B6021">
            <w:pPr>
              <w:autoSpaceDE w:val="0"/>
              <w:autoSpaceDN w:val="0"/>
              <w:adjustRightInd w:val="0"/>
              <w:jc w:val="center"/>
              <w:rPr>
                <w:kern w:val="0"/>
                <w:sz w:val="21"/>
                <w:szCs w:val="21"/>
              </w:rPr>
            </w:pPr>
            <w:r w:rsidRPr="005F208F">
              <w:rPr>
                <w:kern w:val="0"/>
                <w:sz w:val="21"/>
                <w:szCs w:val="21"/>
              </w:rPr>
              <w:t>(3)</w:t>
            </w:r>
          </w:p>
        </w:tc>
      </w:tr>
      <w:tr w:rsidR="002B6021" w14:paraId="517F9616" w14:textId="77777777" w:rsidTr="002B6021">
        <w:trPr>
          <w:trHeight w:val="529"/>
          <w:jc w:val="center"/>
        </w:trPr>
        <w:tc>
          <w:tcPr>
            <w:tcW w:w="1335" w:type="dxa"/>
            <w:tcBorders>
              <w:top w:val="nil"/>
              <w:left w:val="nil"/>
              <w:bottom w:val="single" w:sz="4" w:space="0" w:color="auto"/>
              <w:right w:val="nil"/>
            </w:tcBorders>
          </w:tcPr>
          <w:p w14:paraId="7F5DADF9" w14:textId="77777777" w:rsidR="002B6021" w:rsidRDefault="002B6021" w:rsidP="002B6021">
            <w:pPr>
              <w:autoSpaceDE w:val="0"/>
              <w:autoSpaceDN w:val="0"/>
              <w:adjustRightInd w:val="0"/>
              <w:jc w:val="left"/>
              <w:rPr>
                <w:kern w:val="0"/>
                <w:szCs w:val="24"/>
              </w:rPr>
            </w:pPr>
          </w:p>
        </w:tc>
        <w:tc>
          <w:tcPr>
            <w:tcW w:w="1929" w:type="dxa"/>
            <w:tcBorders>
              <w:top w:val="nil"/>
              <w:left w:val="nil"/>
              <w:bottom w:val="single" w:sz="4" w:space="0" w:color="auto"/>
              <w:right w:val="nil"/>
            </w:tcBorders>
          </w:tcPr>
          <w:p w14:paraId="47E826D0" w14:textId="77777777" w:rsidR="002B6021" w:rsidRDefault="002B6021" w:rsidP="002B6021">
            <w:pPr>
              <w:autoSpaceDE w:val="0"/>
              <w:autoSpaceDN w:val="0"/>
              <w:adjustRightInd w:val="0"/>
              <w:jc w:val="center"/>
              <w:rPr>
                <w:kern w:val="0"/>
                <w:szCs w:val="24"/>
              </w:rPr>
            </w:pPr>
            <w:r>
              <w:rPr>
                <w:kern w:val="0"/>
                <w:szCs w:val="24"/>
              </w:rPr>
              <w:t>ESG</w:t>
            </w:r>
          </w:p>
        </w:tc>
        <w:tc>
          <w:tcPr>
            <w:tcW w:w="2282" w:type="dxa"/>
            <w:tcBorders>
              <w:top w:val="nil"/>
              <w:left w:val="nil"/>
              <w:bottom w:val="single" w:sz="4" w:space="0" w:color="auto"/>
              <w:right w:val="nil"/>
            </w:tcBorders>
          </w:tcPr>
          <w:p w14:paraId="3025CF0F" w14:textId="77777777" w:rsidR="002B6021" w:rsidRDefault="002B6021" w:rsidP="002B6021">
            <w:pPr>
              <w:autoSpaceDE w:val="0"/>
              <w:autoSpaceDN w:val="0"/>
              <w:adjustRightInd w:val="0"/>
              <w:jc w:val="center"/>
              <w:rPr>
                <w:kern w:val="0"/>
                <w:szCs w:val="24"/>
              </w:rPr>
            </w:pPr>
            <w:r>
              <w:rPr>
                <w:kern w:val="0"/>
                <w:szCs w:val="24"/>
              </w:rPr>
              <w:t>ESG</w:t>
            </w:r>
          </w:p>
        </w:tc>
        <w:tc>
          <w:tcPr>
            <w:tcW w:w="1943" w:type="dxa"/>
            <w:tcBorders>
              <w:top w:val="nil"/>
              <w:left w:val="nil"/>
              <w:bottom w:val="single" w:sz="4" w:space="0" w:color="auto"/>
              <w:right w:val="nil"/>
            </w:tcBorders>
          </w:tcPr>
          <w:p w14:paraId="35852F97" w14:textId="77777777" w:rsidR="002B6021" w:rsidRDefault="002B6021" w:rsidP="002B6021">
            <w:pPr>
              <w:autoSpaceDE w:val="0"/>
              <w:autoSpaceDN w:val="0"/>
              <w:adjustRightInd w:val="0"/>
              <w:jc w:val="center"/>
              <w:rPr>
                <w:kern w:val="0"/>
                <w:szCs w:val="24"/>
              </w:rPr>
            </w:pPr>
            <w:r>
              <w:rPr>
                <w:kern w:val="0"/>
                <w:szCs w:val="24"/>
              </w:rPr>
              <w:t>ESG</w:t>
            </w:r>
          </w:p>
        </w:tc>
      </w:tr>
      <w:tr w:rsidR="002B6021" w14:paraId="2A3A2051" w14:textId="77777777" w:rsidTr="002B6021">
        <w:trPr>
          <w:trHeight w:val="529"/>
          <w:jc w:val="center"/>
        </w:trPr>
        <w:tc>
          <w:tcPr>
            <w:tcW w:w="1335" w:type="dxa"/>
            <w:tcBorders>
              <w:top w:val="single" w:sz="4" w:space="0" w:color="auto"/>
              <w:left w:val="nil"/>
              <w:right w:val="nil"/>
            </w:tcBorders>
          </w:tcPr>
          <w:p w14:paraId="26ADA8DA" w14:textId="77777777" w:rsidR="002B6021" w:rsidRDefault="002B6021" w:rsidP="002B6021">
            <w:pPr>
              <w:autoSpaceDE w:val="0"/>
              <w:autoSpaceDN w:val="0"/>
              <w:adjustRightInd w:val="0"/>
              <w:jc w:val="left"/>
              <w:rPr>
                <w:kern w:val="0"/>
                <w:szCs w:val="24"/>
              </w:rPr>
            </w:pPr>
            <w:r>
              <w:rPr>
                <w:kern w:val="0"/>
                <w:szCs w:val="24"/>
              </w:rPr>
              <w:t>Vega</w:t>
            </w:r>
          </w:p>
        </w:tc>
        <w:tc>
          <w:tcPr>
            <w:tcW w:w="1929" w:type="dxa"/>
            <w:tcBorders>
              <w:top w:val="single" w:sz="4" w:space="0" w:color="auto"/>
              <w:left w:val="nil"/>
              <w:right w:val="nil"/>
            </w:tcBorders>
          </w:tcPr>
          <w:p w14:paraId="6F338B62" w14:textId="77777777" w:rsidR="002B6021" w:rsidRDefault="002B6021" w:rsidP="002B6021">
            <w:pPr>
              <w:autoSpaceDE w:val="0"/>
              <w:autoSpaceDN w:val="0"/>
              <w:adjustRightInd w:val="0"/>
              <w:jc w:val="center"/>
              <w:rPr>
                <w:kern w:val="0"/>
                <w:szCs w:val="24"/>
              </w:rPr>
            </w:pPr>
            <w:r>
              <w:rPr>
                <w:kern w:val="0"/>
                <w:szCs w:val="24"/>
              </w:rPr>
              <w:t>0.151</w:t>
            </w:r>
            <w:r>
              <w:rPr>
                <w:kern w:val="0"/>
                <w:szCs w:val="24"/>
                <w:vertAlign w:val="superscript"/>
              </w:rPr>
              <w:t>*</w:t>
            </w:r>
          </w:p>
        </w:tc>
        <w:tc>
          <w:tcPr>
            <w:tcW w:w="2282" w:type="dxa"/>
            <w:tcBorders>
              <w:top w:val="single" w:sz="4" w:space="0" w:color="auto"/>
              <w:left w:val="nil"/>
              <w:right w:val="nil"/>
            </w:tcBorders>
          </w:tcPr>
          <w:p w14:paraId="277726CA" w14:textId="77777777" w:rsidR="002B6021" w:rsidRDefault="002B6021" w:rsidP="002B6021">
            <w:pPr>
              <w:autoSpaceDE w:val="0"/>
              <w:autoSpaceDN w:val="0"/>
              <w:adjustRightInd w:val="0"/>
              <w:jc w:val="center"/>
              <w:rPr>
                <w:kern w:val="0"/>
                <w:szCs w:val="24"/>
              </w:rPr>
            </w:pPr>
          </w:p>
        </w:tc>
        <w:tc>
          <w:tcPr>
            <w:tcW w:w="1943" w:type="dxa"/>
            <w:tcBorders>
              <w:top w:val="single" w:sz="4" w:space="0" w:color="auto"/>
              <w:left w:val="nil"/>
              <w:right w:val="nil"/>
            </w:tcBorders>
          </w:tcPr>
          <w:p w14:paraId="2117D459" w14:textId="77777777" w:rsidR="002B6021" w:rsidRDefault="002B6021" w:rsidP="002B6021">
            <w:pPr>
              <w:autoSpaceDE w:val="0"/>
              <w:autoSpaceDN w:val="0"/>
              <w:adjustRightInd w:val="0"/>
              <w:jc w:val="center"/>
              <w:rPr>
                <w:kern w:val="0"/>
                <w:szCs w:val="24"/>
              </w:rPr>
            </w:pPr>
            <w:r>
              <w:rPr>
                <w:kern w:val="0"/>
                <w:szCs w:val="24"/>
              </w:rPr>
              <w:t>1.496</w:t>
            </w:r>
            <w:r>
              <w:rPr>
                <w:kern w:val="0"/>
                <w:szCs w:val="24"/>
                <w:vertAlign w:val="superscript"/>
              </w:rPr>
              <w:t>*</w:t>
            </w:r>
          </w:p>
        </w:tc>
      </w:tr>
      <w:tr w:rsidR="002B6021" w14:paraId="639B4F88" w14:textId="77777777" w:rsidTr="002B6021">
        <w:trPr>
          <w:trHeight w:val="529"/>
          <w:jc w:val="center"/>
        </w:trPr>
        <w:tc>
          <w:tcPr>
            <w:tcW w:w="1335" w:type="dxa"/>
            <w:tcBorders>
              <w:top w:val="nil"/>
              <w:left w:val="nil"/>
              <w:bottom w:val="single" w:sz="12" w:space="0" w:color="auto"/>
              <w:right w:val="nil"/>
            </w:tcBorders>
          </w:tcPr>
          <w:p w14:paraId="12F68FEE" w14:textId="77777777" w:rsidR="002B6021" w:rsidRDefault="002B6021" w:rsidP="002B6021">
            <w:pPr>
              <w:autoSpaceDE w:val="0"/>
              <w:autoSpaceDN w:val="0"/>
              <w:adjustRightInd w:val="0"/>
              <w:jc w:val="left"/>
              <w:rPr>
                <w:kern w:val="0"/>
                <w:szCs w:val="24"/>
              </w:rPr>
            </w:pPr>
          </w:p>
        </w:tc>
        <w:tc>
          <w:tcPr>
            <w:tcW w:w="1929" w:type="dxa"/>
            <w:tcBorders>
              <w:top w:val="nil"/>
              <w:left w:val="nil"/>
              <w:bottom w:val="single" w:sz="12" w:space="0" w:color="auto"/>
              <w:right w:val="nil"/>
            </w:tcBorders>
          </w:tcPr>
          <w:p w14:paraId="17FC6266" w14:textId="77777777" w:rsidR="002B6021" w:rsidRDefault="002B6021" w:rsidP="002B6021">
            <w:pPr>
              <w:autoSpaceDE w:val="0"/>
              <w:autoSpaceDN w:val="0"/>
              <w:adjustRightInd w:val="0"/>
              <w:jc w:val="center"/>
              <w:rPr>
                <w:kern w:val="0"/>
                <w:szCs w:val="24"/>
              </w:rPr>
            </w:pPr>
            <w:r>
              <w:rPr>
                <w:kern w:val="0"/>
                <w:szCs w:val="24"/>
              </w:rPr>
              <w:t>(0.088)</w:t>
            </w:r>
          </w:p>
        </w:tc>
        <w:tc>
          <w:tcPr>
            <w:tcW w:w="2282" w:type="dxa"/>
            <w:tcBorders>
              <w:top w:val="nil"/>
              <w:left w:val="nil"/>
              <w:bottom w:val="single" w:sz="12" w:space="0" w:color="auto"/>
              <w:right w:val="nil"/>
            </w:tcBorders>
          </w:tcPr>
          <w:p w14:paraId="48579ABA" w14:textId="77777777" w:rsidR="002B6021" w:rsidRDefault="002B6021" w:rsidP="002B6021">
            <w:pPr>
              <w:autoSpaceDE w:val="0"/>
              <w:autoSpaceDN w:val="0"/>
              <w:adjustRightInd w:val="0"/>
              <w:jc w:val="center"/>
              <w:rPr>
                <w:kern w:val="0"/>
                <w:szCs w:val="24"/>
              </w:rPr>
            </w:pPr>
          </w:p>
        </w:tc>
        <w:tc>
          <w:tcPr>
            <w:tcW w:w="1943" w:type="dxa"/>
            <w:tcBorders>
              <w:top w:val="nil"/>
              <w:left w:val="nil"/>
              <w:bottom w:val="single" w:sz="12" w:space="0" w:color="auto"/>
              <w:right w:val="nil"/>
            </w:tcBorders>
          </w:tcPr>
          <w:p w14:paraId="63D7A9D5" w14:textId="77777777" w:rsidR="002B6021" w:rsidRDefault="002B6021" w:rsidP="002B6021">
            <w:pPr>
              <w:autoSpaceDE w:val="0"/>
              <w:autoSpaceDN w:val="0"/>
              <w:adjustRightInd w:val="0"/>
              <w:jc w:val="center"/>
              <w:rPr>
                <w:kern w:val="0"/>
                <w:szCs w:val="24"/>
              </w:rPr>
            </w:pPr>
            <w:r>
              <w:rPr>
                <w:kern w:val="0"/>
                <w:szCs w:val="24"/>
              </w:rPr>
              <w:t>(0.762)</w:t>
            </w:r>
          </w:p>
        </w:tc>
      </w:tr>
    </w:tbl>
    <w:p w14:paraId="044AB842" w14:textId="3173B328" w:rsidR="00B45778" w:rsidRDefault="002B6021" w:rsidP="002B6021">
      <w:pPr>
        <w:spacing w:line="300" w:lineRule="exact"/>
        <w:jc w:val="center"/>
        <w:rPr>
          <w:rFonts w:ascii="黑体" w:eastAsia="黑体" w:hAnsi="宋体"/>
        </w:rPr>
      </w:pPr>
      <w:r>
        <w:rPr>
          <w:rFonts w:ascii="黑体" w:eastAsia="黑体" w:hAnsi="宋体" w:hint="eastAsia"/>
        </w:rPr>
        <w:lastRenderedPageBreak/>
        <w:t>（续）</w:t>
      </w:r>
      <w:r w:rsidR="00B45778" w:rsidRPr="00677FE2">
        <w:rPr>
          <w:rFonts w:ascii="黑体" w:eastAsia="黑体" w:hAnsi="宋体" w:hint="eastAsia"/>
        </w:rPr>
        <w:t>表</w:t>
      </w:r>
      <w:r w:rsidR="00B45778">
        <w:rPr>
          <w:rFonts w:eastAsia="黑体"/>
        </w:rPr>
        <w:t>4</w:t>
      </w:r>
      <w:r w:rsidR="00B45778" w:rsidRPr="00AB6ADE">
        <w:rPr>
          <w:rFonts w:eastAsia="黑体" w:hint="eastAsia"/>
        </w:rPr>
        <w:t>-</w:t>
      </w:r>
      <w:r w:rsidR="0025449B">
        <w:rPr>
          <w:rFonts w:eastAsia="黑体"/>
        </w:rPr>
        <w:t>4</w:t>
      </w:r>
      <w:r w:rsidR="00B45778">
        <w:rPr>
          <w:rFonts w:ascii="黑体" w:eastAsia="黑体" w:hAnsi="宋体" w:hint="eastAsia"/>
        </w:rPr>
        <w:t xml:space="preserve"> </w:t>
      </w:r>
      <w:r w:rsidR="00B45778" w:rsidRPr="00B45778">
        <w:rPr>
          <w:rFonts w:ascii="黑体" w:eastAsia="黑体" w:hAnsi="宋体" w:hint="eastAsia"/>
        </w:rPr>
        <w:t>研发费用作控制变量</w:t>
      </w:r>
      <w:r w:rsidR="00B45778">
        <w:rPr>
          <w:rFonts w:ascii="黑体" w:eastAsia="黑体" w:hAnsi="宋体" w:hint="eastAsia"/>
        </w:rPr>
        <w:t>的回归结果</w:t>
      </w:r>
    </w:p>
    <w:p w14:paraId="1DE1C6DC" w14:textId="77777777" w:rsidR="00F5091E" w:rsidRPr="00B45778" w:rsidRDefault="00F5091E" w:rsidP="00B45778">
      <w:pPr>
        <w:spacing w:line="300" w:lineRule="exact"/>
      </w:pPr>
    </w:p>
    <w:tbl>
      <w:tblPr>
        <w:tblW w:w="0" w:type="auto"/>
        <w:jc w:val="center"/>
        <w:tblLayout w:type="fixed"/>
        <w:tblLook w:val="0000" w:firstRow="0" w:lastRow="0" w:firstColumn="0" w:lastColumn="0" w:noHBand="0" w:noVBand="0"/>
      </w:tblPr>
      <w:tblGrid>
        <w:gridCol w:w="1335"/>
        <w:gridCol w:w="1929"/>
        <w:gridCol w:w="2282"/>
        <w:gridCol w:w="1943"/>
      </w:tblGrid>
      <w:tr w:rsidR="00F5091E" w14:paraId="1B9138FE" w14:textId="77777777" w:rsidTr="009F3EAD">
        <w:trPr>
          <w:trHeight w:val="529"/>
          <w:jc w:val="center"/>
        </w:trPr>
        <w:tc>
          <w:tcPr>
            <w:tcW w:w="1335" w:type="dxa"/>
            <w:tcBorders>
              <w:top w:val="single" w:sz="12" w:space="0" w:color="auto"/>
              <w:left w:val="nil"/>
              <w:bottom w:val="nil"/>
              <w:right w:val="nil"/>
            </w:tcBorders>
          </w:tcPr>
          <w:p w14:paraId="12B701FA" w14:textId="77777777" w:rsidR="00F5091E" w:rsidRDefault="00F5091E" w:rsidP="006A76E8">
            <w:pPr>
              <w:autoSpaceDE w:val="0"/>
              <w:autoSpaceDN w:val="0"/>
              <w:adjustRightInd w:val="0"/>
              <w:jc w:val="left"/>
              <w:rPr>
                <w:kern w:val="0"/>
                <w:szCs w:val="24"/>
              </w:rPr>
            </w:pPr>
          </w:p>
        </w:tc>
        <w:tc>
          <w:tcPr>
            <w:tcW w:w="1929" w:type="dxa"/>
            <w:tcBorders>
              <w:top w:val="single" w:sz="12" w:space="0" w:color="auto"/>
              <w:left w:val="nil"/>
              <w:bottom w:val="nil"/>
              <w:right w:val="nil"/>
            </w:tcBorders>
          </w:tcPr>
          <w:p w14:paraId="11D3965C" w14:textId="77777777" w:rsidR="00F5091E" w:rsidRPr="005F208F" w:rsidRDefault="00F5091E" w:rsidP="006A76E8">
            <w:pPr>
              <w:autoSpaceDE w:val="0"/>
              <w:autoSpaceDN w:val="0"/>
              <w:adjustRightInd w:val="0"/>
              <w:jc w:val="center"/>
              <w:rPr>
                <w:kern w:val="0"/>
                <w:sz w:val="21"/>
                <w:szCs w:val="21"/>
              </w:rPr>
            </w:pPr>
            <w:r w:rsidRPr="005F208F">
              <w:rPr>
                <w:kern w:val="0"/>
                <w:sz w:val="21"/>
                <w:szCs w:val="21"/>
              </w:rPr>
              <w:t>(1)</w:t>
            </w:r>
          </w:p>
        </w:tc>
        <w:tc>
          <w:tcPr>
            <w:tcW w:w="2282" w:type="dxa"/>
            <w:tcBorders>
              <w:top w:val="single" w:sz="12" w:space="0" w:color="auto"/>
              <w:left w:val="nil"/>
              <w:bottom w:val="nil"/>
              <w:right w:val="nil"/>
            </w:tcBorders>
          </w:tcPr>
          <w:p w14:paraId="7D3C0649" w14:textId="77777777" w:rsidR="00F5091E" w:rsidRPr="005F208F" w:rsidRDefault="00F5091E" w:rsidP="006A76E8">
            <w:pPr>
              <w:autoSpaceDE w:val="0"/>
              <w:autoSpaceDN w:val="0"/>
              <w:adjustRightInd w:val="0"/>
              <w:jc w:val="center"/>
              <w:rPr>
                <w:kern w:val="0"/>
                <w:sz w:val="21"/>
                <w:szCs w:val="21"/>
              </w:rPr>
            </w:pPr>
            <w:r w:rsidRPr="005F208F">
              <w:rPr>
                <w:kern w:val="0"/>
                <w:sz w:val="21"/>
                <w:szCs w:val="21"/>
              </w:rPr>
              <w:t>(2)</w:t>
            </w:r>
          </w:p>
        </w:tc>
        <w:tc>
          <w:tcPr>
            <w:tcW w:w="1943" w:type="dxa"/>
            <w:tcBorders>
              <w:top w:val="single" w:sz="12" w:space="0" w:color="auto"/>
              <w:left w:val="nil"/>
              <w:bottom w:val="nil"/>
              <w:right w:val="nil"/>
            </w:tcBorders>
          </w:tcPr>
          <w:p w14:paraId="02CA0793" w14:textId="77777777" w:rsidR="00F5091E" w:rsidRPr="005F208F" w:rsidRDefault="00F5091E" w:rsidP="006A76E8">
            <w:pPr>
              <w:autoSpaceDE w:val="0"/>
              <w:autoSpaceDN w:val="0"/>
              <w:adjustRightInd w:val="0"/>
              <w:jc w:val="center"/>
              <w:rPr>
                <w:kern w:val="0"/>
                <w:sz w:val="21"/>
                <w:szCs w:val="21"/>
              </w:rPr>
            </w:pPr>
            <w:r w:rsidRPr="005F208F">
              <w:rPr>
                <w:kern w:val="0"/>
                <w:sz w:val="21"/>
                <w:szCs w:val="21"/>
              </w:rPr>
              <w:t>(3)</w:t>
            </w:r>
          </w:p>
        </w:tc>
      </w:tr>
      <w:tr w:rsidR="00F5091E" w14:paraId="01E81CA7" w14:textId="77777777" w:rsidTr="009F3EAD">
        <w:trPr>
          <w:trHeight w:val="529"/>
          <w:jc w:val="center"/>
        </w:trPr>
        <w:tc>
          <w:tcPr>
            <w:tcW w:w="1335" w:type="dxa"/>
            <w:tcBorders>
              <w:top w:val="nil"/>
              <w:left w:val="nil"/>
              <w:bottom w:val="single" w:sz="4" w:space="0" w:color="auto"/>
              <w:right w:val="nil"/>
            </w:tcBorders>
          </w:tcPr>
          <w:p w14:paraId="2D4430A8" w14:textId="77777777" w:rsidR="00F5091E" w:rsidRDefault="00F5091E" w:rsidP="006A76E8">
            <w:pPr>
              <w:autoSpaceDE w:val="0"/>
              <w:autoSpaceDN w:val="0"/>
              <w:adjustRightInd w:val="0"/>
              <w:jc w:val="left"/>
              <w:rPr>
                <w:kern w:val="0"/>
                <w:szCs w:val="24"/>
              </w:rPr>
            </w:pPr>
          </w:p>
        </w:tc>
        <w:tc>
          <w:tcPr>
            <w:tcW w:w="1929" w:type="dxa"/>
            <w:tcBorders>
              <w:top w:val="nil"/>
              <w:left w:val="nil"/>
              <w:bottom w:val="single" w:sz="4" w:space="0" w:color="auto"/>
              <w:right w:val="nil"/>
            </w:tcBorders>
          </w:tcPr>
          <w:p w14:paraId="2C0B7958" w14:textId="77777777" w:rsidR="00F5091E" w:rsidRDefault="00F5091E" w:rsidP="006A76E8">
            <w:pPr>
              <w:autoSpaceDE w:val="0"/>
              <w:autoSpaceDN w:val="0"/>
              <w:adjustRightInd w:val="0"/>
              <w:jc w:val="center"/>
              <w:rPr>
                <w:kern w:val="0"/>
                <w:szCs w:val="24"/>
              </w:rPr>
            </w:pPr>
            <w:r>
              <w:rPr>
                <w:kern w:val="0"/>
                <w:szCs w:val="24"/>
              </w:rPr>
              <w:t>ESG</w:t>
            </w:r>
          </w:p>
        </w:tc>
        <w:tc>
          <w:tcPr>
            <w:tcW w:w="2282" w:type="dxa"/>
            <w:tcBorders>
              <w:top w:val="nil"/>
              <w:left w:val="nil"/>
              <w:bottom w:val="single" w:sz="4" w:space="0" w:color="auto"/>
              <w:right w:val="nil"/>
            </w:tcBorders>
          </w:tcPr>
          <w:p w14:paraId="4F3AF66A" w14:textId="77777777" w:rsidR="00F5091E" w:rsidRDefault="00F5091E" w:rsidP="006A76E8">
            <w:pPr>
              <w:autoSpaceDE w:val="0"/>
              <w:autoSpaceDN w:val="0"/>
              <w:adjustRightInd w:val="0"/>
              <w:jc w:val="center"/>
              <w:rPr>
                <w:kern w:val="0"/>
                <w:szCs w:val="24"/>
              </w:rPr>
            </w:pPr>
            <w:r>
              <w:rPr>
                <w:kern w:val="0"/>
                <w:szCs w:val="24"/>
              </w:rPr>
              <w:t>ESG</w:t>
            </w:r>
          </w:p>
        </w:tc>
        <w:tc>
          <w:tcPr>
            <w:tcW w:w="1943" w:type="dxa"/>
            <w:tcBorders>
              <w:top w:val="nil"/>
              <w:left w:val="nil"/>
              <w:bottom w:val="single" w:sz="4" w:space="0" w:color="auto"/>
              <w:right w:val="nil"/>
            </w:tcBorders>
          </w:tcPr>
          <w:p w14:paraId="240C2B5C" w14:textId="77777777" w:rsidR="00F5091E" w:rsidRDefault="00F5091E" w:rsidP="006A76E8">
            <w:pPr>
              <w:autoSpaceDE w:val="0"/>
              <w:autoSpaceDN w:val="0"/>
              <w:adjustRightInd w:val="0"/>
              <w:jc w:val="center"/>
              <w:rPr>
                <w:kern w:val="0"/>
                <w:szCs w:val="24"/>
              </w:rPr>
            </w:pPr>
            <w:r>
              <w:rPr>
                <w:kern w:val="0"/>
                <w:szCs w:val="24"/>
              </w:rPr>
              <w:t>ESG</w:t>
            </w:r>
          </w:p>
        </w:tc>
      </w:tr>
      <w:tr w:rsidR="00B45778" w14:paraId="1F3CB11C" w14:textId="77777777" w:rsidTr="009F3EAD">
        <w:trPr>
          <w:trHeight w:val="529"/>
          <w:jc w:val="center"/>
        </w:trPr>
        <w:tc>
          <w:tcPr>
            <w:tcW w:w="1335" w:type="dxa"/>
            <w:tcBorders>
              <w:top w:val="nil"/>
              <w:left w:val="nil"/>
              <w:bottom w:val="nil"/>
              <w:right w:val="nil"/>
            </w:tcBorders>
          </w:tcPr>
          <w:p w14:paraId="539A416F" w14:textId="688CF824" w:rsidR="00B45778" w:rsidRDefault="00B45778" w:rsidP="00B45778">
            <w:pPr>
              <w:autoSpaceDE w:val="0"/>
              <w:autoSpaceDN w:val="0"/>
              <w:adjustRightInd w:val="0"/>
              <w:jc w:val="left"/>
              <w:rPr>
                <w:kern w:val="0"/>
                <w:szCs w:val="24"/>
              </w:rPr>
            </w:pPr>
            <w:r>
              <w:rPr>
                <w:kern w:val="0"/>
                <w:szCs w:val="24"/>
              </w:rPr>
              <w:t>Delta</w:t>
            </w:r>
          </w:p>
        </w:tc>
        <w:tc>
          <w:tcPr>
            <w:tcW w:w="1929" w:type="dxa"/>
            <w:tcBorders>
              <w:top w:val="nil"/>
              <w:left w:val="nil"/>
              <w:bottom w:val="nil"/>
              <w:right w:val="nil"/>
            </w:tcBorders>
          </w:tcPr>
          <w:p w14:paraId="5FCD1617" w14:textId="77777777" w:rsidR="00B45778" w:rsidRDefault="00B45778" w:rsidP="00B45778">
            <w:pPr>
              <w:autoSpaceDE w:val="0"/>
              <w:autoSpaceDN w:val="0"/>
              <w:adjustRightInd w:val="0"/>
              <w:jc w:val="center"/>
              <w:rPr>
                <w:kern w:val="0"/>
                <w:szCs w:val="24"/>
              </w:rPr>
            </w:pPr>
          </w:p>
        </w:tc>
        <w:tc>
          <w:tcPr>
            <w:tcW w:w="2282" w:type="dxa"/>
            <w:tcBorders>
              <w:top w:val="nil"/>
              <w:left w:val="nil"/>
              <w:bottom w:val="nil"/>
              <w:right w:val="nil"/>
            </w:tcBorders>
          </w:tcPr>
          <w:p w14:paraId="59D5573B" w14:textId="03186C5A" w:rsidR="00B45778" w:rsidRDefault="00B45778" w:rsidP="00B45778">
            <w:pPr>
              <w:autoSpaceDE w:val="0"/>
              <w:autoSpaceDN w:val="0"/>
              <w:adjustRightInd w:val="0"/>
              <w:jc w:val="center"/>
              <w:rPr>
                <w:kern w:val="0"/>
                <w:szCs w:val="24"/>
              </w:rPr>
            </w:pPr>
            <w:r>
              <w:rPr>
                <w:kern w:val="0"/>
                <w:szCs w:val="24"/>
              </w:rPr>
              <w:t>0.128</w:t>
            </w:r>
          </w:p>
        </w:tc>
        <w:tc>
          <w:tcPr>
            <w:tcW w:w="1943" w:type="dxa"/>
            <w:tcBorders>
              <w:top w:val="nil"/>
              <w:left w:val="nil"/>
              <w:bottom w:val="nil"/>
              <w:right w:val="nil"/>
            </w:tcBorders>
          </w:tcPr>
          <w:p w14:paraId="68805B55" w14:textId="5B01620E" w:rsidR="00B45778" w:rsidRDefault="00B45778" w:rsidP="00B45778">
            <w:pPr>
              <w:autoSpaceDE w:val="0"/>
              <w:autoSpaceDN w:val="0"/>
              <w:adjustRightInd w:val="0"/>
              <w:jc w:val="center"/>
              <w:rPr>
                <w:kern w:val="0"/>
                <w:szCs w:val="24"/>
              </w:rPr>
            </w:pPr>
            <w:r>
              <w:rPr>
                <w:kern w:val="0"/>
                <w:szCs w:val="24"/>
              </w:rPr>
              <w:t>-1.318</w:t>
            </w:r>
            <w:r>
              <w:rPr>
                <w:kern w:val="0"/>
                <w:szCs w:val="24"/>
                <w:vertAlign w:val="superscript"/>
              </w:rPr>
              <w:t>*</w:t>
            </w:r>
          </w:p>
        </w:tc>
      </w:tr>
      <w:tr w:rsidR="00B45778" w14:paraId="4D63F4A9" w14:textId="77777777" w:rsidTr="009F3EAD">
        <w:trPr>
          <w:trHeight w:val="529"/>
          <w:jc w:val="center"/>
        </w:trPr>
        <w:tc>
          <w:tcPr>
            <w:tcW w:w="1335" w:type="dxa"/>
            <w:tcBorders>
              <w:top w:val="nil"/>
              <w:left w:val="nil"/>
              <w:bottom w:val="nil"/>
              <w:right w:val="nil"/>
            </w:tcBorders>
          </w:tcPr>
          <w:p w14:paraId="0CAAA5E9" w14:textId="77777777" w:rsidR="00B45778" w:rsidRDefault="00B45778" w:rsidP="00B45778">
            <w:pPr>
              <w:autoSpaceDE w:val="0"/>
              <w:autoSpaceDN w:val="0"/>
              <w:adjustRightInd w:val="0"/>
              <w:jc w:val="left"/>
              <w:rPr>
                <w:kern w:val="0"/>
                <w:szCs w:val="24"/>
              </w:rPr>
            </w:pPr>
          </w:p>
        </w:tc>
        <w:tc>
          <w:tcPr>
            <w:tcW w:w="1929" w:type="dxa"/>
            <w:tcBorders>
              <w:top w:val="nil"/>
              <w:left w:val="nil"/>
              <w:bottom w:val="nil"/>
              <w:right w:val="nil"/>
            </w:tcBorders>
          </w:tcPr>
          <w:p w14:paraId="09AB8B3A" w14:textId="77777777" w:rsidR="00B45778" w:rsidRDefault="00B45778" w:rsidP="00B45778">
            <w:pPr>
              <w:autoSpaceDE w:val="0"/>
              <w:autoSpaceDN w:val="0"/>
              <w:adjustRightInd w:val="0"/>
              <w:jc w:val="center"/>
              <w:rPr>
                <w:kern w:val="0"/>
                <w:szCs w:val="24"/>
              </w:rPr>
            </w:pPr>
          </w:p>
        </w:tc>
        <w:tc>
          <w:tcPr>
            <w:tcW w:w="2282" w:type="dxa"/>
            <w:tcBorders>
              <w:top w:val="nil"/>
              <w:left w:val="nil"/>
              <w:bottom w:val="nil"/>
              <w:right w:val="nil"/>
            </w:tcBorders>
          </w:tcPr>
          <w:p w14:paraId="1508F0A9" w14:textId="5F1B971E" w:rsidR="00B45778" w:rsidRDefault="00B45778" w:rsidP="00B45778">
            <w:pPr>
              <w:autoSpaceDE w:val="0"/>
              <w:autoSpaceDN w:val="0"/>
              <w:adjustRightInd w:val="0"/>
              <w:jc w:val="center"/>
              <w:rPr>
                <w:kern w:val="0"/>
                <w:szCs w:val="24"/>
              </w:rPr>
            </w:pPr>
            <w:r>
              <w:rPr>
                <w:kern w:val="0"/>
                <w:szCs w:val="24"/>
              </w:rPr>
              <w:t>(0.085)</w:t>
            </w:r>
          </w:p>
        </w:tc>
        <w:tc>
          <w:tcPr>
            <w:tcW w:w="1943" w:type="dxa"/>
            <w:tcBorders>
              <w:top w:val="nil"/>
              <w:left w:val="nil"/>
              <w:bottom w:val="nil"/>
              <w:right w:val="nil"/>
            </w:tcBorders>
          </w:tcPr>
          <w:p w14:paraId="13054CE7" w14:textId="4081372F" w:rsidR="00B45778" w:rsidRDefault="00B45778" w:rsidP="00B45778">
            <w:pPr>
              <w:autoSpaceDE w:val="0"/>
              <w:autoSpaceDN w:val="0"/>
              <w:adjustRightInd w:val="0"/>
              <w:jc w:val="center"/>
              <w:rPr>
                <w:kern w:val="0"/>
                <w:szCs w:val="24"/>
              </w:rPr>
            </w:pPr>
            <w:r>
              <w:rPr>
                <w:kern w:val="0"/>
                <w:szCs w:val="24"/>
              </w:rPr>
              <w:t>(0.742)</w:t>
            </w:r>
          </w:p>
        </w:tc>
      </w:tr>
      <w:tr w:rsidR="00B45778" w14:paraId="0A23902C" w14:textId="77777777" w:rsidTr="009F3EAD">
        <w:trPr>
          <w:trHeight w:val="547"/>
          <w:jc w:val="center"/>
        </w:trPr>
        <w:tc>
          <w:tcPr>
            <w:tcW w:w="1335" w:type="dxa"/>
            <w:tcBorders>
              <w:top w:val="nil"/>
              <w:left w:val="nil"/>
              <w:bottom w:val="nil"/>
              <w:right w:val="nil"/>
            </w:tcBorders>
          </w:tcPr>
          <w:p w14:paraId="63A21EE6" w14:textId="77777777" w:rsidR="00B45778" w:rsidRDefault="00B45778" w:rsidP="00B45778">
            <w:pPr>
              <w:autoSpaceDE w:val="0"/>
              <w:autoSpaceDN w:val="0"/>
              <w:adjustRightInd w:val="0"/>
              <w:jc w:val="left"/>
              <w:rPr>
                <w:kern w:val="0"/>
                <w:szCs w:val="24"/>
              </w:rPr>
            </w:pPr>
            <w:r>
              <w:rPr>
                <w:kern w:val="0"/>
                <w:szCs w:val="24"/>
              </w:rPr>
              <w:t>Size</w:t>
            </w:r>
          </w:p>
        </w:tc>
        <w:tc>
          <w:tcPr>
            <w:tcW w:w="1929" w:type="dxa"/>
            <w:tcBorders>
              <w:top w:val="nil"/>
              <w:left w:val="nil"/>
              <w:bottom w:val="nil"/>
              <w:right w:val="nil"/>
            </w:tcBorders>
          </w:tcPr>
          <w:p w14:paraId="5D8857C3" w14:textId="77777777" w:rsidR="00B45778" w:rsidRDefault="00B45778" w:rsidP="00B45778">
            <w:pPr>
              <w:autoSpaceDE w:val="0"/>
              <w:autoSpaceDN w:val="0"/>
              <w:adjustRightInd w:val="0"/>
              <w:jc w:val="center"/>
              <w:rPr>
                <w:kern w:val="0"/>
                <w:szCs w:val="24"/>
              </w:rPr>
            </w:pPr>
            <w:r>
              <w:rPr>
                <w:kern w:val="0"/>
                <w:szCs w:val="24"/>
              </w:rPr>
              <w:t>0.000</w:t>
            </w:r>
          </w:p>
        </w:tc>
        <w:tc>
          <w:tcPr>
            <w:tcW w:w="2282" w:type="dxa"/>
            <w:tcBorders>
              <w:top w:val="nil"/>
              <w:left w:val="nil"/>
              <w:bottom w:val="nil"/>
              <w:right w:val="nil"/>
            </w:tcBorders>
          </w:tcPr>
          <w:p w14:paraId="529BB77E" w14:textId="77777777" w:rsidR="00B45778" w:rsidRDefault="00B45778" w:rsidP="00B45778">
            <w:pPr>
              <w:autoSpaceDE w:val="0"/>
              <w:autoSpaceDN w:val="0"/>
              <w:adjustRightInd w:val="0"/>
              <w:jc w:val="center"/>
              <w:rPr>
                <w:kern w:val="0"/>
                <w:szCs w:val="24"/>
              </w:rPr>
            </w:pPr>
            <w:r>
              <w:rPr>
                <w:kern w:val="0"/>
                <w:szCs w:val="24"/>
              </w:rPr>
              <w:t>0.000</w:t>
            </w:r>
          </w:p>
        </w:tc>
        <w:tc>
          <w:tcPr>
            <w:tcW w:w="1943" w:type="dxa"/>
            <w:tcBorders>
              <w:top w:val="nil"/>
              <w:left w:val="nil"/>
              <w:bottom w:val="nil"/>
              <w:right w:val="nil"/>
            </w:tcBorders>
          </w:tcPr>
          <w:p w14:paraId="3ADB4CF1" w14:textId="77777777" w:rsidR="00B45778" w:rsidRDefault="00B45778" w:rsidP="00B45778">
            <w:pPr>
              <w:autoSpaceDE w:val="0"/>
              <w:autoSpaceDN w:val="0"/>
              <w:adjustRightInd w:val="0"/>
              <w:jc w:val="center"/>
              <w:rPr>
                <w:kern w:val="0"/>
                <w:szCs w:val="24"/>
              </w:rPr>
            </w:pPr>
            <w:r>
              <w:rPr>
                <w:kern w:val="0"/>
                <w:szCs w:val="24"/>
              </w:rPr>
              <w:t>0.000</w:t>
            </w:r>
          </w:p>
        </w:tc>
      </w:tr>
      <w:tr w:rsidR="00B45778" w14:paraId="49567B8D" w14:textId="77777777" w:rsidTr="009F3EAD">
        <w:trPr>
          <w:trHeight w:val="529"/>
          <w:jc w:val="center"/>
        </w:trPr>
        <w:tc>
          <w:tcPr>
            <w:tcW w:w="1335" w:type="dxa"/>
            <w:tcBorders>
              <w:top w:val="nil"/>
              <w:left w:val="nil"/>
              <w:bottom w:val="nil"/>
              <w:right w:val="nil"/>
            </w:tcBorders>
          </w:tcPr>
          <w:p w14:paraId="115E9A90" w14:textId="77777777" w:rsidR="00B45778" w:rsidRDefault="00B45778" w:rsidP="00B45778">
            <w:pPr>
              <w:autoSpaceDE w:val="0"/>
              <w:autoSpaceDN w:val="0"/>
              <w:adjustRightInd w:val="0"/>
              <w:jc w:val="left"/>
              <w:rPr>
                <w:kern w:val="0"/>
                <w:szCs w:val="24"/>
              </w:rPr>
            </w:pPr>
          </w:p>
        </w:tc>
        <w:tc>
          <w:tcPr>
            <w:tcW w:w="1929" w:type="dxa"/>
            <w:tcBorders>
              <w:top w:val="nil"/>
              <w:left w:val="nil"/>
              <w:bottom w:val="nil"/>
              <w:right w:val="nil"/>
            </w:tcBorders>
          </w:tcPr>
          <w:p w14:paraId="755C5117" w14:textId="77777777" w:rsidR="00B45778" w:rsidRDefault="00B45778" w:rsidP="00B45778">
            <w:pPr>
              <w:autoSpaceDE w:val="0"/>
              <w:autoSpaceDN w:val="0"/>
              <w:adjustRightInd w:val="0"/>
              <w:jc w:val="center"/>
              <w:rPr>
                <w:kern w:val="0"/>
                <w:szCs w:val="24"/>
              </w:rPr>
            </w:pPr>
            <w:r>
              <w:rPr>
                <w:kern w:val="0"/>
                <w:szCs w:val="24"/>
              </w:rPr>
              <w:t>(0.000)</w:t>
            </w:r>
          </w:p>
        </w:tc>
        <w:tc>
          <w:tcPr>
            <w:tcW w:w="2282" w:type="dxa"/>
            <w:tcBorders>
              <w:top w:val="nil"/>
              <w:left w:val="nil"/>
              <w:bottom w:val="nil"/>
              <w:right w:val="nil"/>
            </w:tcBorders>
          </w:tcPr>
          <w:p w14:paraId="719FC3D5" w14:textId="77777777" w:rsidR="00B45778" w:rsidRDefault="00B45778" w:rsidP="00B45778">
            <w:pPr>
              <w:autoSpaceDE w:val="0"/>
              <w:autoSpaceDN w:val="0"/>
              <w:adjustRightInd w:val="0"/>
              <w:jc w:val="center"/>
              <w:rPr>
                <w:kern w:val="0"/>
                <w:szCs w:val="24"/>
              </w:rPr>
            </w:pPr>
            <w:r>
              <w:rPr>
                <w:kern w:val="0"/>
                <w:szCs w:val="24"/>
              </w:rPr>
              <w:t>(0.000)</w:t>
            </w:r>
          </w:p>
        </w:tc>
        <w:tc>
          <w:tcPr>
            <w:tcW w:w="1943" w:type="dxa"/>
            <w:tcBorders>
              <w:top w:val="nil"/>
              <w:left w:val="nil"/>
              <w:bottom w:val="nil"/>
              <w:right w:val="nil"/>
            </w:tcBorders>
          </w:tcPr>
          <w:p w14:paraId="1928B28D" w14:textId="77777777" w:rsidR="00B45778" w:rsidRDefault="00B45778" w:rsidP="00B45778">
            <w:pPr>
              <w:autoSpaceDE w:val="0"/>
              <w:autoSpaceDN w:val="0"/>
              <w:adjustRightInd w:val="0"/>
              <w:jc w:val="center"/>
              <w:rPr>
                <w:kern w:val="0"/>
                <w:szCs w:val="24"/>
              </w:rPr>
            </w:pPr>
            <w:r>
              <w:rPr>
                <w:kern w:val="0"/>
                <w:szCs w:val="24"/>
              </w:rPr>
              <w:t>(0.000)</w:t>
            </w:r>
          </w:p>
        </w:tc>
      </w:tr>
      <w:tr w:rsidR="00B45778" w14:paraId="775DBAA5" w14:textId="77777777" w:rsidTr="009F3EAD">
        <w:trPr>
          <w:trHeight w:val="529"/>
          <w:jc w:val="center"/>
        </w:trPr>
        <w:tc>
          <w:tcPr>
            <w:tcW w:w="1335" w:type="dxa"/>
            <w:tcBorders>
              <w:top w:val="nil"/>
              <w:left w:val="nil"/>
              <w:bottom w:val="nil"/>
              <w:right w:val="nil"/>
            </w:tcBorders>
          </w:tcPr>
          <w:p w14:paraId="15CEB022" w14:textId="77777777" w:rsidR="00B45778" w:rsidRDefault="00B45778" w:rsidP="00B45778">
            <w:pPr>
              <w:autoSpaceDE w:val="0"/>
              <w:autoSpaceDN w:val="0"/>
              <w:adjustRightInd w:val="0"/>
              <w:jc w:val="left"/>
              <w:rPr>
                <w:kern w:val="0"/>
                <w:szCs w:val="24"/>
              </w:rPr>
            </w:pPr>
            <w:r>
              <w:rPr>
                <w:kern w:val="0"/>
                <w:szCs w:val="24"/>
              </w:rPr>
              <w:t>DTA</w:t>
            </w:r>
          </w:p>
        </w:tc>
        <w:tc>
          <w:tcPr>
            <w:tcW w:w="1929" w:type="dxa"/>
            <w:tcBorders>
              <w:top w:val="nil"/>
              <w:left w:val="nil"/>
              <w:bottom w:val="nil"/>
              <w:right w:val="nil"/>
            </w:tcBorders>
          </w:tcPr>
          <w:p w14:paraId="3547CF03" w14:textId="77777777" w:rsidR="00B45778" w:rsidRDefault="00B45778" w:rsidP="00B45778">
            <w:pPr>
              <w:autoSpaceDE w:val="0"/>
              <w:autoSpaceDN w:val="0"/>
              <w:adjustRightInd w:val="0"/>
              <w:jc w:val="center"/>
              <w:rPr>
                <w:kern w:val="0"/>
                <w:szCs w:val="24"/>
              </w:rPr>
            </w:pPr>
            <w:r>
              <w:rPr>
                <w:kern w:val="0"/>
                <w:szCs w:val="24"/>
              </w:rPr>
              <w:t>8.650</w:t>
            </w:r>
            <w:r>
              <w:rPr>
                <w:kern w:val="0"/>
                <w:szCs w:val="24"/>
                <w:vertAlign w:val="superscript"/>
              </w:rPr>
              <w:t>***</w:t>
            </w:r>
          </w:p>
        </w:tc>
        <w:tc>
          <w:tcPr>
            <w:tcW w:w="2282" w:type="dxa"/>
            <w:tcBorders>
              <w:top w:val="nil"/>
              <w:left w:val="nil"/>
              <w:bottom w:val="nil"/>
              <w:right w:val="nil"/>
            </w:tcBorders>
          </w:tcPr>
          <w:p w14:paraId="1EDD6495" w14:textId="77777777" w:rsidR="00B45778" w:rsidRDefault="00B45778" w:rsidP="00B45778">
            <w:pPr>
              <w:autoSpaceDE w:val="0"/>
              <w:autoSpaceDN w:val="0"/>
              <w:adjustRightInd w:val="0"/>
              <w:jc w:val="center"/>
              <w:rPr>
                <w:kern w:val="0"/>
                <w:szCs w:val="24"/>
              </w:rPr>
            </w:pPr>
            <w:r>
              <w:rPr>
                <w:kern w:val="0"/>
                <w:szCs w:val="24"/>
              </w:rPr>
              <w:t>8.658</w:t>
            </w:r>
            <w:r>
              <w:rPr>
                <w:kern w:val="0"/>
                <w:szCs w:val="24"/>
                <w:vertAlign w:val="superscript"/>
              </w:rPr>
              <w:t>***</w:t>
            </w:r>
          </w:p>
        </w:tc>
        <w:tc>
          <w:tcPr>
            <w:tcW w:w="1943" w:type="dxa"/>
            <w:tcBorders>
              <w:top w:val="nil"/>
              <w:left w:val="nil"/>
              <w:bottom w:val="nil"/>
              <w:right w:val="nil"/>
            </w:tcBorders>
          </w:tcPr>
          <w:p w14:paraId="2E686E57" w14:textId="77777777" w:rsidR="00B45778" w:rsidRDefault="00B45778" w:rsidP="00B45778">
            <w:pPr>
              <w:autoSpaceDE w:val="0"/>
              <w:autoSpaceDN w:val="0"/>
              <w:adjustRightInd w:val="0"/>
              <w:jc w:val="center"/>
              <w:rPr>
                <w:kern w:val="0"/>
                <w:szCs w:val="24"/>
              </w:rPr>
            </w:pPr>
            <w:r>
              <w:rPr>
                <w:kern w:val="0"/>
                <w:szCs w:val="24"/>
              </w:rPr>
              <w:t>8.146</w:t>
            </w:r>
            <w:r>
              <w:rPr>
                <w:kern w:val="0"/>
                <w:szCs w:val="24"/>
                <w:vertAlign w:val="superscript"/>
              </w:rPr>
              <w:t>***</w:t>
            </w:r>
          </w:p>
        </w:tc>
      </w:tr>
      <w:tr w:rsidR="00B45778" w14:paraId="4F88E133" w14:textId="77777777" w:rsidTr="009F3EAD">
        <w:trPr>
          <w:trHeight w:val="529"/>
          <w:jc w:val="center"/>
        </w:trPr>
        <w:tc>
          <w:tcPr>
            <w:tcW w:w="1335" w:type="dxa"/>
            <w:tcBorders>
              <w:top w:val="nil"/>
              <w:left w:val="nil"/>
              <w:bottom w:val="nil"/>
              <w:right w:val="nil"/>
            </w:tcBorders>
          </w:tcPr>
          <w:p w14:paraId="61CE513D" w14:textId="77777777" w:rsidR="00B45778" w:rsidRDefault="00B45778" w:rsidP="00B45778">
            <w:pPr>
              <w:autoSpaceDE w:val="0"/>
              <w:autoSpaceDN w:val="0"/>
              <w:adjustRightInd w:val="0"/>
              <w:jc w:val="left"/>
              <w:rPr>
                <w:kern w:val="0"/>
                <w:szCs w:val="24"/>
              </w:rPr>
            </w:pPr>
          </w:p>
        </w:tc>
        <w:tc>
          <w:tcPr>
            <w:tcW w:w="1929" w:type="dxa"/>
            <w:tcBorders>
              <w:top w:val="nil"/>
              <w:left w:val="nil"/>
              <w:bottom w:val="nil"/>
              <w:right w:val="nil"/>
            </w:tcBorders>
          </w:tcPr>
          <w:p w14:paraId="430F7065" w14:textId="77777777" w:rsidR="00B45778" w:rsidRDefault="00B45778" w:rsidP="00B45778">
            <w:pPr>
              <w:autoSpaceDE w:val="0"/>
              <w:autoSpaceDN w:val="0"/>
              <w:adjustRightInd w:val="0"/>
              <w:jc w:val="center"/>
              <w:rPr>
                <w:kern w:val="0"/>
                <w:szCs w:val="24"/>
              </w:rPr>
            </w:pPr>
            <w:r>
              <w:rPr>
                <w:kern w:val="0"/>
                <w:szCs w:val="24"/>
              </w:rPr>
              <w:t>(2.248)</w:t>
            </w:r>
          </w:p>
        </w:tc>
        <w:tc>
          <w:tcPr>
            <w:tcW w:w="2282" w:type="dxa"/>
            <w:tcBorders>
              <w:top w:val="nil"/>
              <w:left w:val="nil"/>
              <w:bottom w:val="nil"/>
              <w:right w:val="nil"/>
            </w:tcBorders>
          </w:tcPr>
          <w:p w14:paraId="4257A75C" w14:textId="77777777" w:rsidR="00B45778" w:rsidRDefault="00B45778" w:rsidP="00B45778">
            <w:pPr>
              <w:autoSpaceDE w:val="0"/>
              <w:autoSpaceDN w:val="0"/>
              <w:adjustRightInd w:val="0"/>
              <w:jc w:val="center"/>
              <w:rPr>
                <w:kern w:val="0"/>
                <w:szCs w:val="24"/>
              </w:rPr>
            </w:pPr>
            <w:r>
              <w:rPr>
                <w:kern w:val="0"/>
                <w:szCs w:val="24"/>
              </w:rPr>
              <w:t>(2.253)</w:t>
            </w:r>
          </w:p>
        </w:tc>
        <w:tc>
          <w:tcPr>
            <w:tcW w:w="1943" w:type="dxa"/>
            <w:tcBorders>
              <w:top w:val="nil"/>
              <w:left w:val="nil"/>
              <w:bottom w:val="nil"/>
              <w:right w:val="nil"/>
            </w:tcBorders>
          </w:tcPr>
          <w:p w14:paraId="37BC5801" w14:textId="77777777" w:rsidR="00B45778" w:rsidRDefault="00B45778" w:rsidP="00B45778">
            <w:pPr>
              <w:autoSpaceDE w:val="0"/>
              <w:autoSpaceDN w:val="0"/>
              <w:adjustRightInd w:val="0"/>
              <w:jc w:val="center"/>
              <w:rPr>
                <w:kern w:val="0"/>
                <w:szCs w:val="24"/>
              </w:rPr>
            </w:pPr>
            <w:r>
              <w:rPr>
                <w:kern w:val="0"/>
                <w:szCs w:val="24"/>
              </w:rPr>
              <w:t>(2.258)</w:t>
            </w:r>
          </w:p>
        </w:tc>
      </w:tr>
      <w:tr w:rsidR="00B45778" w14:paraId="2A25B0DF" w14:textId="77777777" w:rsidTr="009F3EAD">
        <w:trPr>
          <w:trHeight w:val="529"/>
          <w:jc w:val="center"/>
        </w:trPr>
        <w:tc>
          <w:tcPr>
            <w:tcW w:w="1335" w:type="dxa"/>
            <w:tcBorders>
              <w:top w:val="nil"/>
              <w:left w:val="nil"/>
              <w:bottom w:val="nil"/>
              <w:right w:val="nil"/>
            </w:tcBorders>
          </w:tcPr>
          <w:p w14:paraId="51343C44" w14:textId="77777777" w:rsidR="00B45778" w:rsidRDefault="00B45778" w:rsidP="00B45778">
            <w:pPr>
              <w:autoSpaceDE w:val="0"/>
              <w:autoSpaceDN w:val="0"/>
              <w:adjustRightInd w:val="0"/>
              <w:jc w:val="left"/>
              <w:rPr>
                <w:kern w:val="0"/>
                <w:szCs w:val="24"/>
              </w:rPr>
            </w:pPr>
            <w:r>
              <w:rPr>
                <w:kern w:val="0"/>
                <w:szCs w:val="24"/>
              </w:rPr>
              <w:t>RD</w:t>
            </w:r>
          </w:p>
        </w:tc>
        <w:tc>
          <w:tcPr>
            <w:tcW w:w="1929" w:type="dxa"/>
            <w:tcBorders>
              <w:top w:val="nil"/>
              <w:left w:val="nil"/>
              <w:bottom w:val="nil"/>
              <w:right w:val="nil"/>
            </w:tcBorders>
          </w:tcPr>
          <w:p w14:paraId="5BF8D544" w14:textId="77777777" w:rsidR="00B45778" w:rsidRDefault="00B45778" w:rsidP="00B45778">
            <w:pPr>
              <w:autoSpaceDE w:val="0"/>
              <w:autoSpaceDN w:val="0"/>
              <w:adjustRightInd w:val="0"/>
              <w:jc w:val="center"/>
              <w:rPr>
                <w:kern w:val="0"/>
                <w:szCs w:val="24"/>
              </w:rPr>
            </w:pPr>
            <w:r>
              <w:rPr>
                <w:kern w:val="0"/>
                <w:szCs w:val="24"/>
              </w:rPr>
              <w:t>0.000</w:t>
            </w:r>
            <w:r>
              <w:rPr>
                <w:kern w:val="0"/>
                <w:szCs w:val="24"/>
                <w:vertAlign w:val="superscript"/>
              </w:rPr>
              <w:t>***</w:t>
            </w:r>
          </w:p>
        </w:tc>
        <w:tc>
          <w:tcPr>
            <w:tcW w:w="2282" w:type="dxa"/>
            <w:tcBorders>
              <w:top w:val="nil"/>
              <w:left w:val="nil"/>
              <w:bottom w:val="nil"/>
              <w:right w:val="nil"/>
            </w:tcBorders>
          </w:tcPr>
          <w:p w14:paraId="741A865D" w14:textId="77777777" w:rsidR="00B45778" w:rsidRDefault="00B45778" w:rsidP="00B45778">
            <w:pPr>
              <w:autoSpaceDE w:val="0"/>
              <w:autoSpaceDN w:val="0"/>
              <w:adjustRightInd w:val="0"/>
              <w:jc w:val="center"/>
              <w:rPr>
                <w:kern w:val="0"/>
                <w:szCs w:val="24"/>
              </w:rPr>
            </w:pPr>
            <w:r>
              <w:rPr>
                <w:kern w:val="0"/>
                <w:szCs w:val="24"/>
              </w:rPr>
              <w:t>0.000</w:t>
            </w:r>
            <w:r>
              <w:rPr>
                <w:kern w:val="0"/>
                <w:szCs w:val="24"/>
                <w:vertAlign w:val="superscript"/>
              </w:rPr>
              <w:t>***</w:t>
            </w:r>
          </w:p>
        </w:tc>
        <w:tc>
          <w:tcPr>
            <w:tcW w:w="1943" w:type="dxa"/>
            <w:tcBorders>
              <w:top w:val="nil"/>
              <w:left w:val="nil"/>
              <w:bottom w:val="nil"/>
              <w:right w:val="nil"/>
            </w:tcBorders>
          </w:tcPr>
          <w:p w14:paraId="38A196DF" w14:textId="77777777" w:rsidR="00B45778" w:rsidRDefault="00B45778" w:rsidP="00B45778">
            <w:pPr>
              <w:autoSpaceDE w:val="0"/>
              <w:autoSpaceDN w:val="0"/>
              <w:adjustRightInd w:val="0"/>
              <w:jc w:val="center"/>
              <w:rPr>
                <w:kern w:val="0"/>
                <w:szCs w:val="24"/>
              </w:rPr>
            </w:pPr>
            <w:r>
              <w:rPr>
                <w:kern w:val="0"/>
                <w:szCs w:val="24"/>
              </w:rPr>
              <w:t>0.000</w:t>
            </w:r>
            <w:r>
              <w:rPr>
                <w:kern w:val="0"/>
                <w:szCs w:val="24"/>
                <w:vertAlign w:val="superscript"/>
              </w:rPr>
              <w:t>***</w:t>
            </w:r>
          </w:p>
        </w:tc>
      </w:tr>
      <w:tr w:rsidR="00B45778" w14:paraId="0B292F94" w14:textId="77777777" w:rsidTr="009F3EAD">
        <w:trPr>
          <w:trHeight w:val="547"/>
          <w:jc w:val="center"/>
        </w:trPr>
        <w:tc>
          <w:tcPr>
            <w:tcW w:w="1335" w:type="dxa"/>
            <w:tcBorders>
              <w:top w:val="nil"/>
              <w:left w:val="nil"/>
              <w:bottom w:val="nil"/>
              <w:right w:val="nil"/>
            </w:tcBorders>
          </w:tcPr>
          <w:p w14:paraId="02FF15E9" w14:textId="77777777" w:rsidR="00B45778" w:rsidRDefault="00B45778" w:rsidP="00B45778">
            <w:pPr>
              <w:autoSpaceDE w:val="0"/>
              <w:autoSpaceDN w:val="0"/>
              <w:adjustRightInd w:val="0"/>
              <w:jc w:val="left"/>
              <w:rPr>
                <w:kern w:val="0"/>
                <w:szCs w:val="24"/>
              </w:rPr>
            </w:pPr>
          </w:p>
        </w:tc>
        <w:tc>
          <w:tcPr>
            <w:tcW w:w="1929" w:type="dxa"/>
            <w:tcBorders>
              <w:top w:val="nil"/>
              <w:left w:val="nil"/>
              <w:bottom w:val="nil"/>
              <w:right w:val="nil"/>
            </w:tcBorders>
          </w:tcPr>
          <w:p w14:paraId="0EF83648" w14:textId="77777777" w:rsidR="00B45778" w:rsidRDefault="00B45778" w:rsidP="00B45778">
            <w:pPr>
              <w:autoSpaceDE w:val="0"/>
              <w:autoSpaceDN w:val="0"/>
              <w:adjustRightInd w:val="0"/>
              <w:jc w:val="center"/>
              <w:rPr>
                <w:kern w:val="0"/>
                <w:szCs w:val="24"/>
              </w:rPr>
            </w:pPr>
            <w:r>
              <w:rPr>
                <w:kern w:val="0"/>
                <w:szCs w:val="24"/>
              </w:rPr>
              <w:t>(0.000)</w:t>
            </w:r>
          </w:p>
        </w:tc>
        <w:tc>
          <w:tcPr>
            <w:tcW w:w="2282" w:type="dxa"/>
            <w:tcBorders>
              <w:top w:val="nil"/>
              <w:left w:val="nil"/>
              <w:bottom w:val="nil"/>
              <w:right w:val="nil"/>
            </w:tcBorders>
          </w:tcPr>
          <w:p w14:paraId="63472932" w14:textId="77777777" w:rsidR="00B45778" w:rsidRDefault="00B45778" w:rsidP="00B45778">
            <w:pPr>
              <w:autoSpaceDE w:val="0"/>
              <w:autoSpaceDN w:val="0"/>
              <w:adjustRightInd w:val="0"/>
              <w:jc w:val="center"/>
              <w:rPr>
                <w:kern w:val="0"/>
                <w:szCs w:val="24"/>
              </w:rPr>
            </w:pPr>
            <w:r>
              <w:rPr>
                <w:kern w:val="0"/>
                <w:szCs w:val="24"/>
              </w:rPr>
              <w:t>(0.000)</w:t>
            </w:r>
          </w:p>
        </w:tc>
        <w:tc>
          <w:tcPr>
            <w:tcW w:w="1943" w:type="dxa"/>
            <w:tcBorders>
              <w:top w:val="nil"/>
              <w:left w:val="nil"/>
              <w:bottom w:val="nil"/>
              <w:right w:val="nil"/>
            </w:tcBorders>
          </w:tcPr>
          <w:p w14:paraId="3C04471E" w14:textId="77777777" w:rsidR="00B45778" w:rsidRDefault="00B45778" w:rsidP="00B45778">
            <w:pPr>
              <w:autoSpaceDE w:val="0"/>
              <w:autoSpaceDN w:val="0"/>
              <w:adjustRightInd w:val="0"/>
              <w:jc w:val="center"/>
              <w:rPr>
                <w:kern w:val="0"/>
                <w:szCs w:val="24"/>
              </w:rPr>
            </w:pPr>
            <w:r>
              <w:rPr>
                <w:kern w:val="0"/>
                <w:szCs w:val="24"/>
              </w:rPr>
              <w:t>(0.000)</w:t>
            </w:r>
          </w:p>
        </w:tc>
      </w:tr>
      <w:tr w:rsidR="00B45778" w14:paraId="5F442231" w14:textId="77777777" w:rsidTr="009F3EAD">
        <w:trPr>
          <w:trHeight w:val="529"/>
          <w:jc w:val="center"/>
        </w:trPr>
        <w:tc>
          <w:tcPr>
            <w:tcW w:w="1335" w:type="dxa"/>
            <w:tcBorders>
              <w:top w:val="nil"/>
              <w:left w:val="nil"/>
              <w:right w:val="nil"/>
            </w:tcBorders>
          </w:tcPr>
          <w:p w14:paraId="461306E6" w14:textId="048306B4" w:rsidR="00B45778" w:rsidRDefault="00B45778" w:rsidP="00B45778">
            <w:pPr>
              <w:autoSpaceDE w:val="0"/>
              <w:autoSpaceDN w:val="0"/>
              <w:adjustRightInd w:val="0"/>
              <w:jc w:val="left"/>
              <w:rPr>
                <w:kern w:val="0"/>
                <w:szCs w:val="24"/>
              </w:rPr>
            </w:pPr>
            <w:r>
              <w:rPr>
                <w:kern w:val="0"/>
                <w:szCs w:val="24"/>
              </w:rPr>
              <w:t>_cons</w:t>
            </w:r>
          </w:p>
        </w:tc>
        <w:tc>
          <w:tcPr>
            <w:tcW w:w="1929" w:type="dxa"/>
            <w:tcBorders>
              <w:top w:val="nil"/>
              <w:left w:val="nil"/>
              <w:right w:val="nil"/>
            </w:tcBorders>
          </w:tcPr>
          <w:p w14:paraId="62FC7FFE" w14:textId="31A4CFA1" w:rsidR="00B45778" w:rsidRDefault="00B45778" w:rsidP="00B45778">
            <w:pPr>
              <w:autoSpaceDE w:val="0"/>
              <w:autoSpaceDN w:val="0"/>
              <w:adjustRightInd w:val="0"/>
              <w:jc w:val="center"/>
              <w:rPr>
                <w:kern w:val="0"/>
                <w:szCs w:val="24"/>
              </w:rPr>
            </w:pPr>
            <w:r>
              <w:rPr>
                <w:kern w:val="0"/>
                <w:szCs w:val="24"/>
              </w:rPr>
              <w:t>16.130</w:t>
            </w:r>
            <w:r>
              <w:rPr>
                <w:kern w:val="0"/>
                <w:szCs w:val="24"/>
                <w:vertAlign w:val="superscript"/>
              </w:rPr>
              <w:t>***</w:t>
            </w:r>
          </w:p>
        </w:tc>
        <w:tc>
          <w:tcPr>
            <w:tcW w:w="2282" w:type="dxa"/>
            <w:tcBorders>
              <w:top w:val="nil"/>
              <w:left w:val="nil"/>
              <w:right w:val="nil"/>
            </w:tcBorders>
          </w:tcPr>
          <w:p w14:paraId="0BC71655" w14:textId="1ABE1BB9" w:rsidR="00B45778" w:rsidRDefault="00B45778" w:rsidP="00B45778">
            <w:pPr>
              <w:autoSpaceDE w:val="0"/>
              <w:autoSpaceDN w:val="0"/>
              <w:adjustRightInd w:val="0"/>
              <w:jc w:val="center"/>
              <w:rPr>
                <w:kern w:val="0"/>
                <w:szCs w:val="24"/>
              </w:rPr>
            </w:pPr>
            <w:r>
              <w:rPr>
                <w:kern w:val="0"/>
                <w:szCs w:val="24"/>
              </w:rPr>
              <w:t>16.207</w:t>
            </w:r>
            <w:r>
              <w:rPr>
                <w:kern w:val="0"/>
                <w:szCs w:val="24"/>
                <w:vertAlign w:val="superscript"/>
              </w:rPr>
              <w:t>***</w:t>
            </w:r>
          </w:p>
        </w:tc>
        <w:tc>
          <w:tcPr>
            <w:tcW w:w="1943" w:type="dxa"/>
            <w:tcBorders>
              <w:top w:val="nil"/>
              <w:left w:val="nil"/>
              <w:right w:val="nil"/>
            </w:tcBorders>
          </w:tcPr>
          <w:p w14:paraId="6FB0734C" w14:textId="0A3A3F95" w:rsidR="00B45778" w:rsidRDefault="00B45778" w:rsidP="00B45778">
            <w:pPr>
              <w:autoSpaceDE w:val="0"/>
              <w:autoSpaceDN w:val="0"/>
              <w:adjustRightInd w:val="0"/>
              <w:jc w:val="center"/>
              <w:rPr>
                <w:kern w:val="0"/>
                <w:szCs w:val="24"/>
              </w:rPr>
            </w:pPr>
            <w:r>
              <w:rPr>
                <w:kern w:val="0"/>
                <w:szCs w:val="24"/>
              </w:rPr>
              <w:t>16.350</w:t>
            </w:r>
            <w:r>
              <w:rPr>
                <w:kern w:val="0"/>
                <w:szCs w:val="24"/>
                <w:vertAlign w:val="superscript"/>
              </w:rPr>
              <w:t>***</w:t>
            </w:r>
          </w:p>
        </w:tc>
      </w:tr>
      <w:tr w:rsidR="00B45778" w14:paraId="025B2934" w14:textId="77777777" w:rsidTr="009F3EAD">
        <w:trPr>
          <w:trHeight w:val="529"/>
          <w:jc w:val="center"/>
        </w:trPr>
        <w:tc>
          <w:tcPr>
            <w:tcW w:w="1335" w:type="dxa"/>
            <w:tcBorders>
              <w:top w:val="nil"/>
              <w:left w:val="nil"/>
              <w:right w:val="nil"/>
            </w:tcBorders>
          </w:tcPr>
          <w:p w14:paraId="53E0AE1B" w14:textId="77777777" w:rsidR="00B45778" w:rsidRDefault="00B45778" w:rsidP="00B45778">
            <w:pPr>
              <w:autoSpaceDE w:val="0"/>
              <w:autoSpaceDN w:val="0"/>
              <w:adjustRightInd w:val="0"/>
              <w:jc w:val="left"/>
              <w:rPr>
                <w:kern w:val="0"/>
                <w:szCs w:val="24"/>
              </w:rPr>
            </w:pPr>
          </w:p>
        </w:tc>
        <w:tc>
          <w:tcPr>
            <w:tcW w:w="1929" w:type="dxa"/>
            <w:tcBorders>
              <w:top w:val="nil"/>
              <w:left w:val="nil"/>
              <w:right w:val="nil"/>
            </w:tcBorders>
          </w:tcPr>
          <w:p w14:paraId="6D8428C2" w14:textId="77A5F385" w:rsidR="00B45778" w:rsidRDefault="00B45778" w:rsidP="00B45778">
            <w:pPr>
              <w:autoSpaceDE w:val="0"/>
              <w:autoSpaceDN w:val="0"/>
              <w:adjustRightInd w:val="0"/>
              <w:jc w:val="center"/>
              <w:rPr>
                <w:kern w:val="0"/>
                <w:szCs w:val="24"/>
              </w:rPr>
            </w:pPr>
            <w:r>
              <w:rPr>
                <w:kern w:val="0"/>
                <w:szCs w:val="24"/>
              </w:rPr>
              <w:t>(1.230)</w:t>
            </w:r>
          </w:p>
        </w:tc>
        <w:tc>
          <w:tcPr>
            <w:tcW w:w="2282" w:type="dxa"/>
            <w:tcBorders>
              <w:top w:val="nil"/>
              <w:left w:val="nil"/>
              <w:right w:val="nil"/>
            </w:tcBorders>
          </w:tcPr>
          <w:p w14:paraId="021C8A59" w14:textId="347C1E97" w:rsidR="00B45778" w:rsidRDefault="00B45778" w:rsidP="00B45778">
            <w:pPr>
              <w:autoSpaceDE w:val="0"/>
              <w:autoSpaceDN w:val="0"/>
              <w:adjustRightInd w:val="0"/>
              <w:jc w:val="center"/>
              <w:rPr>
                <w:kern w:val="0"/>
                <w:szCs w:val="24"/>
              </w:rPr>
            </w:pPr>
            <w:r>
              <w:rPr>
                <w:kern w:val="0"/>
                <w:szCs w:val="24"/>
              </w:rPr>
              <w:t>(1.236)</w:t>
            </w:r>
          </w:p>
        </w:tc>
        <w:tc>
          <w:tcPr>
            <w:tcW w:w="1943" w:type="dxa"/>
            <w:tcBorders>
              <w:top w:val="nil"/>
              <w:left w:val="nil"/>
              <w:right w:val="nil"/>
            </w:tcBorders>
          </w:tcPr>
          <w:p w14:paraId="1BF43327" w14:textId="18AE68A4" w:rsidR="00B45778" w:rsidRDefault="00B45778" w:rsidP="00B45778">
            <w:pPr>
              <w:autoSpaceDE w:val="0"/>
              <w:autoSpaceDN w:val="0"/>
              <w:adjustRightInd w:val="0"/>
              <w:jc w:val="center"/>
              <w:rPr>
                <w:kern w:val="0"/>
                <w:szCs w:val="24"/>
              </w:rPr>
            </w:pPr>
            <w:r>
              <w:rPr>
                <w:kern w:val="0"/>
                <w:szCs w:val="24"/>
              </w:rPr>
              <w:t>(1.232)</w:t>
            </w:r>
          </w:p>
        </w:tc>
      </w:tr>
      <w:tr w:rsidR="00B45778" w14:paraId="50135150" w14:textId="77777777" w:rsidTr="009F3EAD">
        <w:trPr>
          <w:trHeight w:val="529"/>
          <w:jc w:val="center"/>
        </w:trPr>
        <w:tc>
          <w:tcPr>
            <w:tcW w:w="1335" w:type="dxa"/>
            <w:tcBorders>
              <w:left w:val="nil"/>
              <w:bottom w:val="nil"/>
              <w:right w:val="nil"/>
            </w:tcBorders>
          </w:tcPr>
          <w:p w14:paraId="7E4865B0" w14:textId="3C17BB0B" w:rsidR="00B45778" w:rsidRDefault="00B45778" w:rsidP="00B45778">
            <w:pPr>
              <w:autoSpaceDE w:val="0"/>
              <w:autoSpaceDN w:val="0"/>
              <w:adjustRightInd w:val="0"/>
              <w:jc w:val="left"/>
              <w:rPr>
                <w:kern w:val="0"/>
                <w:szCs w:val="24"/>
              </w:rPr>
            </w:pPr>
            <w:r>
              <w:rPr>
                <w:kern w:val="0"/>
                <w:szCs w:val="24"/>
              </w:rPr>
              <w:t>N</w:t>
            </w:r>
          </w:p>
        </w:tc>
        <w:tc>
          <w:tcPr>
            <w:tcW w:w="1929" w:type="dxa"/>
            <w:tcBorders>
              <w:left w:val="nil"/>
              <w:bottom w:val="nil"/>
              <w:right w:val="nil"/>
            </w:tcBorders>
          </w:tcPr>
          <w:p w14:paraId="3A71FAD0" w14:textId="4D74EB00" w:rsidR="00B45778" w:rsidRDefault="00B45778" w:rsidP="00B45778">
            <w:pPr>
              <w:autoSpaceDE w:val="0"/>
              <w:autoSpaceDN w:val="0"/>
              <w:adjustRightInd w:val="0"/>
              <w:jc w:val="center"/>
              <w:rPr>
                <w:kern w:val="0"/>
                <w:szCs w:val="24"/>
              </w:rPr>
            </w:pPr>
            <w:r>
              <w:rPr>
                <w:kern w:val="0"/>
                <w:szCs w:val="24"/>
              </w:rPr>
              <w:t>318.000</w:t>
            </w:r>
          </w:p>
        </w:tc>
        <w:tc>
          <w:tcPr>
            <w:tcW w:w="2282" w:type="dxa"/>
            <w:tcBorders>
              <w:left w:val="nil"/>
              <w:bottom w:val="nil"/>
              <w:right w:val="nil"/>
            </w:tcBorders>
          </w:tcPr>
          <w:p w14:paraId="41AFE14B" w14:textId="51CEB9F2" w:rsidR="00B45778" w:rsidRDefault="00B45778" w:rsidP="00B45778">
            <w:pPr>
              <w:autoSpaceDE w:val="0"/>
              <w:autoSpaceDN w:val="0"/>
              <w:adjustRightInd w:val="0"/>
              <w:jc w:val="center"/>
              <w:rPr>
                <w:kern w:val="0"/>
                <w:szCs w:val="24"/>
              </w:rPr>
            </w:pPr>
            <w:r>
              <w:rPr>
                <w:kern w:val="0"/>
                <w:szCs w:val="24"/>
              </w:rPr>
              <w:t>318.000</w:t>
            </w:r>
          </w:p>
        </w:tc>
        <w:tc>
          <w:tcPr>
            <w:tcW w:w="1943" w:type="dxa"/>
            <w:tcBorders>
              <w:left w:val="nil"/>
              <w:bottom w:val="nil"/>
              <w:right w:val="nil"/>
            </w:tcBorders>
          </w:tcPr>
          <w:p w14:paraId="1362CB06" w14:textId="26A3CE41" w:rsidR="00B45778" w:rsidRDefault="00B45778" w:rsidP="00B45778">
            <w:pPr>
              <w:autoSpaceDE w:val="0"/>
              <w:autoSpaceDN w:val="0"/>
              <w:adjustRightInd w:val="0"/>
              <w:jc w:val="center"/>
              <w:rPr>
                <w:kern w:val="0"/>
                <w:szCs w:val="24"/>
              </w:rPr>
            </w:pPr>
            <w:r>
              <w:rPr>
                <w:kern w:val="0"/>
                <w:szCs w:val="24"/>
              </w:rPr>
              <w:t>318.000</w:t>
            </w:r>
          </w:p>
        </w:tc>
      </w:tr>
      <w:tr w:rsidR="00B45778" w14:paraId="676ACBB4" w14:textId="77777777" w:rsidTr="009F3EAD">
        <w:trPr>
          <w:trHeight w:val="529"/>
          <w:jc w:val="center"/>
        </w:trPr>
        <w:tc>
          <w:tcPr>
            <w:tcW w:w="1335" w:type="dxa"/>
            <w:tcBorders>
              <w:top w:val="nil"/>
              <w:left w:val="nil"/>
              <w:right w:val="nil"/>
            </w:tcBorders>
          </w:tcPr>
          <w:p w14:paraId="10234361" w14:textId="752C54E0" w:rsidR="00B45778" w:rsidRDefault="00B45778" w:rsidP="00B45778">
            <w:pPr>
              <w:autoSpaceDE w:val="0"/>
              <w:autoSpaceDN w:val="0"/>
              <w:adjustRightInd w:val="0"/>
              <w:jc w:val="left"/>
              <w:rPr>
                <w:kern w:val="0"/>
                <w:szCs w:val="24"/>
              </w:rPr>
            </w:pPr>
            <w:r>
              <w:rPr>
                <w:kern w:val="0"/>
                <w:szCs w:val="24"/>
              </w:rPr>
              <w:t>r2</w:t>
            </w:r>
          </w:p>
        </w:tc>
        <w:tc>
          <w:tcPr>
            <w:tcW w:w="1929" w:type="dxa"/>
            <w:tcBorders>
              <w:top w:val="nil"/>
              <w:left w:val="nil"/>
              <w:right w:val="nil"/>
            </w:tcBorders>
          </w:tcPr>
          <w:p w14:paraId="33DCA77F" w14:textId="494BED30" w:rsidR="00B45778" w:rsidRDefault="00B45778" w:rsidP="00B45778">
            <w:pPr>
              <w:autoSpaceDE w:val="0"/>
              <w:autoSpaceDN w:val="0"/>
              <w:adjustRightInd w:val="0"/>
              <w:jc w:val="center"/>
              <w:rPr>
                <w:kern w:val="0"/>
                <w:szCs w:val="24"/>
              </w:rPr>
            </w:pPr>
            <w:r>
              <w:rPr>
                <w:kern w:val="0"/>
                <w:szCs w:val="24"/>
              </w:rPr>
              <w:t>0.125</w:t>
            </w:r>
          </w:p>
        </w:tc>
        <w:tc>
          <w:tcPr>
            <w:tcW w:w="2282" w:type="dxa"/>
            <w:tcBorders>
              <w:top w:val="nil"/>
              <w:left w:val="nil"/>
              <w:right w:val="nil"/>
            </w:tcBorders>
          </w:tcPr>
          <w:p w14:paraId="33128303" w14:textId="56D9FD82" w:rsidR="00B45778" w:rsidRDefault="00B45778" w:rsidP="00B45778">
            <w:pPr>
              <w:autoSpaceDE w:val="0"/>
              <w:autoSpaceDN w:val="0"/>
              <w:adjustRightInd w:val="0"/>
              <w:jc w:val="center"/>
              <w:rPr>
                <w:kern w:val="0"/>
                <w:szCs w:val="24"/>
              </w:rPr>
            </w:pPr>
            <w:r>
              <w:rPr>
                <w:kern w:val="0"/>
                <w:szCs w:val="24"/>
              </w:rPr>
              <w:t>0.123</w:t>
            </w:r>
          </w:p>
        </w:tc>
        <w:tc>
          <w:tcPr>
            <w:tcW w:w="1943" w:type="dxa"/>
            <w:tcBorders>
              <w:top w:val="nil"/>
              <w:left w:val="nil"/>
              <w:right w:val="nil"/>
            </w:tcBorders>
          </w:tcPr>
          <w:p w14:paraId="6838D5B1" w14:textId="2A08E506" w:rsidR="00B45778" w:rsidRDefault="00B45778" w:rsidP="00B45778">
            <w:pPr>
              <w:autoSpaceDE w:val="0"/>
              <w:autoSpaceDN w:val="0"/>
              <w:adjustRightInd w:val="0"/>
              <w:jc w:val="center"/>
              <w:rPr>
                <w:kern w:val="0"/>
                <w:szCs w:val="24"/>
              </w:rPr>
            </w:pPr>
            <w:r>
              <w:rPr>
                <w:kern w:val="0"/>
                <w:szCs w:val="24"/>
              </w:rPr>
              <w:t>0.134</w:t>
            </w:r>
          </w:p>
        </w:tc>
      </w:tr>
      <w:tr w:rsidR="00B45778" w14:paraId="4BD20D24" w14:textId="77777777" w:rsidTr="009F3EAD">
        <w:trPr>
          <w:trHeight w:val="529"/>
          <w:jc w:val="center"/>
        </w:trPr>
        <w:tc>
          <w:tcPr>
            <w:tcW w:w="1335" w:type="dxa"/>
            <w:tcBorders>
              <w:top w:val="nil"/>
              <w:left w:val="nil"/>
              <w:bottom w:val="single" w:sz="12" w:space="0" w:color="auto"/>
              <w:right w:val="nil"/>
            </w:tcBorders>
          </w:tcPr>
          <w:p w14:paraId="0715A185" w14:textId="64997582" w:rsidR="00B45778" w:rsidRDefault="00B45778" w:rsidP="00B45778">
            <w:pPr>
              <w:autoSpaceDE w:val="0"/>
              <w:autoSpaceDN w:val="0"/>
              <w:adjustRightInd w:val="0"/>
              <w:jc w:val="left"/>
              <w:rPr>
                <w:kern w:val="0"/>
                <w:szCs w:val="24"/>
              </w:rPr>
            </w:pPr>
            <w:r>
              <w:rPr>
                <w:kern w:val="0"/>
                <w:szCs w:val="24"/>
              </w:rPr>
              <w:t>r2_a</w:t>
            </w:r>
          </w:p>
        </w:tc>
        <w:tc>
          <w:tcPr>
            <w:tcW w:w="1929" w:type="dxa"/>
            <w:tcBorders>
              <w:top w:val="nil"/>
              <w:left w:val="nil"/>
              <w:bottom w:val="single" w:sz="12" w:space="0" w:color="auto"/>
              <w:right w:val="nil"/>
            </w:tcBorders>
          </w:tcPr>
          <w:p w14:paraId="63E218B9" w14:textId="55EB149B" w:rsidR="00B45778" w:rsidRDefault="00B45778" w:rsidP="00B45778">
            <w:pPr>
              <w:autoSpaceDE w:val="0"/>
              <w:autoSpaceDN w:val="0"/>
              <w:adjustRightInd w:val="0"/>
              <w:jc w:val="center"/>
              <w:rPr>
                <w:kern w:val="0"/>
                <w:szCs w:val="24"/>
              </w:rPr>
            </w:pPr>
            <w:r>
              <w:rPr>
                <w:kern w:val="0"/>
                <w:szCs w:val="24"/>
              </w:rPr>
              <w:t>0.114</w:t>
            </w:r>
          </w:p>
        </w:tc>
        <w:tc>
          <w:tcPr>
            <w:tcW w:w="2282" w:type="dxa"/>
            <w:tcBorders>
              <w:top w:val="nil"/>
              <w:left w:val="nil"/>
              <w:bottom w:val="single" w:sz="12" w:space="0" w:color="auto"/>
              <w:right w:val="nil"/>
            </w:tcBorders>
          </w:tcPr>
          <w:p w14:paraId="73DB4DE4" w14:textId="4159FD07" w:rsidR="00B45778" w:rsidRDefault="00B45778" w:rsidP="00B45778">
            <w:pPr>
              <w:autoSpaceDE w:val="0"/>
              <w:autoSpaceDN w:val="0"/>
              <w:adjustRightInd w:val="0"/>
              <w:jc w:val="center"/>
              <w:rPr>
                <w:kern w:val="0"/>
                <w:szCs w:val="24"/>
              </w:rPr>
            </w:pPr>
            <w:r>
              <w:rPr>
                <w:kern w:val="0"/>
                <w:szCs w:val="24"/>
              </w:rPr>
              <w:t>0.112</w:t>
            </w:r>
          </w:p>
        </w:tc>
        <w:tc>
          <w:tcPr>
            <w:tcW w:w="1943" w:type="dxa"/>
            <w:tcBorders>
              <w:top w:val="nil"/>
              <w:left w:val="nil"/>
              <w:bottom w:val="single" w:sz="12" w:space="0" w:color="auto"/>
              <w:right w:val="nil"/>
            </w:tcBorders>
          </w:tcPr>
          <w:p w14:paraId="3F48181E" w14:textId="0354E1EA" w:rsidR="00B45778" w:rsidRDefault="00B45778" w:rsidP="00B45778">
            <w:pPr>
              <w:autoSpaceDE w:val="0"/>
              <w:autoSpaceDN w:val="0"/>
              <w:adjustRightInd w:val="0"/>
              <w:jc w:val="center"/>
              <w:rPr>
                <w:kern w:val="0"/>
                <w:szCs w:val="24"/>
              </w:rPr>
            </w:pPr>
            <w:r>
              <w:rPr>
                <w:kern w:val="0"/>
                <w:szCs w:val="24"/>
              </w:rPr>
              <w:t>0.120</w:t>
            </w:r>
          </w:p>
        </w:tc>
      </w:tr>
    </w:tbl>
    <w:p w14:paraId="01703705" w14:textId="554D6B0C" w:rsidR="00F5091E" w:rsidRDefault="0026782C" w:rsidP="004D2CE9">
      <w:pPr>
        <w:autoSpaceDE w:val="0"/>
        <w:autoSpaceDN w:val="0"/>
        <w:adjustRightInd w:val="0"/>
        <w:ind w:firstLineChars="200" w:firstLine="400"/>
        <w:jc w:val="left"/>
        <w:rPr>
          <w:kern w:val="0"/>
          <w:sz w:val="20"/>
        </w:rPr>
      </w:pPr>
      <w:r>
        <w:rPr>
          <w:rFonts w:hint="eastAsia"/>
          <w:kern w:val="0"/>
          <w:sz w:val="20"/>
        </w:rPr>
        <w:t>注：</w:t>
      </w:r>
      <w:r w:rsidR="00F5091E">
        <w:rPr>
          <w:kern w:val="0"/>
          <w:sz w:val="20"/>
          <w:vertAlign w:val="superscript"/>
        </w:rPr>
        <w:t>*</w:t>
      </w:r>
      <w:r w:rsidR="00F5091E">
        <w:rPr>
          <w:kern w:val="0"/>
          <w:sz w:val="20"/>
        </w:rPr>
        <w:t xml:space="preserve"> </w:t>
      </w:r>
      <w:r w:rsidR="00F5091E">
        <w:rPr>
          <w:i/>
          <w:iCs/>
          <w:kern w:val="0"/>
          <w:sz w:val="20"/>
        </w:rPr>
        <w:t>p</w:t>
      </w:r>
      <w:r w:rsidR="00F5091E">
        <w:rPr>
          <w:kern w:val="0"/>
          <w:sz w:val="20"/>
        </w:rPr>
        <w:t xml:space="preserve"> &lt; 0.1, </w:t>
      </w:r>
      <w:r w:rsidR="00F5091E">
        <w:rPr>
          <w:kern w:val="0"/>
          <w:sz w:val="20"/>
          <w:vertAlign w:val="superscript"/>
        </w:rPr>
        <w:t>**</w:t>
      </w:r>
      <w:r w:rsidR="00F5091E">
        <w:rPr>
          <w:kern w:val="0"/>
          <w:sz w:val="20"/>
        </w:rPr>
        <w:t xml:space="preserve"> </w:t>
      </w:r>
      <w:r w:rsidR="00F5091E">
        <w:rPr>
          <w:i/>
          <w:iCs/>
          <w:kern w:val="0"/>
          <w:sz w:val="20"/>
        </w:rPr>
        <w:t>p</w:t>
      </w:r>
      <w:r w:rsidR="00F5091E">
        <w:rPr>
          <w:kern w:val="0"/>
          <w:sz w:val="20"/>
        </w:rPr>
        <w:t xml:space="preserve"> &lt; 0.05, </w:t>
      </w:r>
      <w:r w:rsidR="00F5091E">
        <w:rPr>
          <w:kern w:val="0"/>
          <w:sz w:val="20"/>
          <w:vertAlign w:val="superscript"/>
        </w:rPr>
        <w:t>***</w:t>
      </w:r>
      <w:r w:rsidR="00F5091E">
        <w:rPr>
          <w:kern w:val="0"/>
          <w:sz w:val="20"/>
        </w:rPr>
        <w:t xml:space="preserve"> </w:t>
      </w:r>
      <w:r w:rsidR="00F5091E">
        <w:rPr>
          <w:i/>
          <w:iCs/>
          <w:kern w:val="0"/>
          <w:sz w:val="20"/>
        </w:rPr>
        <w:t>p</w:t>
      </w:r>
      <w:r w:rsidR="00F5091E">
        <w:rPr>
          <w:kern w:val="0"/>
          <w:sz w:val="20"/>
        </w:rPr>
        <w:t xml:space="preserve"> &lt; 0.01</w:t>
      </w:r>
    </w:p>
    <w:p w14:paraId="4B2983ED" w14:textId="58EE9BCD" w:rsidR="00F5091E" w:rsidRDefault="0026782C" w:rsidP="0026782C">
      <w:pPr>
        <w:pStyle w:val="3"/>
      </w:pPr>
      <w:bookmarkStart w:id="113" w:name="_Toc103038545"/>
      <w:bookmarkStart w:id="114" w:name="_Toc103093671"/>
      <w:bookmarkStart w:id="115" w:name="_Toc103345051"/>
      <w:r>
        <w:rPr>
          <w:rFonts w:hint="eastAsia"/>
        </w:rPr>
        <w:t>4</w:t>
      </w:r>
      <w:r>
        <w:t xml:space="preserve">.3.2 </w:t>
      </w:r>
      <w:r>
        <w:rPr>
          <w:rFonts w:hint="eastAsia"/>
        </w:rPr>
        <w:t>稳健性检验</w:t>
      </w:r>
      <w:bookmarkEnd w:id="113"/>
      <w:bookmarkEnd w:id="114"/>
      <w:bookmarkEnd w:id="115"/>
    </w:p>
    <w:p w14:paraId="54C68E5A" w14:textId="77777777" w:rsidR="0025449B" w:rsidRDefault="0025449B" w:rsidP="0025449B">
      <w:pPr>
        <w:ind w:firstLineChars="200" w:firstLine="480"/>
      </w:pPr>
      <w:r>
        <w:rPr>
          <w:rFonts w:hint="eastAsia"/>
        </w:rPr>
        <w:t>与上述研究相似，同样针对规模变量替换以及</w:t>
      </w:r>
      <w:r>
        <w:rPr>
          <w:rFonts w:hint="eastAsia"/>
        </w:rPr>
        <w:t>ESG</w:t>
      </w:r>
      <w:r>
        <w:rPr>
          <w:rFonts w:hint="eastAsia"/>
        </w:rPr>
        <w:t>组成部分进行相关的稳健性检验。</w:t>
      </w:r>
    </w:p>
    <w:p w14:paraId="03798095" w14:textId="21F732FF" w:rsidR="0025449B" w:rsidRDefault="0025449B" w:rsidP="0025449B">
      <w:pPr>
        <w:ind w:firstLineChars="200" w:firstLine="480"/>
      </w:pPr>
      <w:r>
        <w:rPr>
          <w:rFonts w:hint="eastAsia"/>
        </w:rPr>
        <w:t>表</w:t>
      </w:r>
      <w:r>
        <w:rPr>
          <w:rFonts w:hint="eastAsia"/>
        </w:rPr>
        <w:t>4-</w:t>
      </w:r>
      <w:r>
        <w:t>5</w:t>
      </w:r>
      <w:r>
        <w:rPr>
          <w:rFonts w:hint="eastAsia"/>
        </w:rPr>
        <w:t>的</w:t>
      </w:r>
      <w:r>
        <w:rPr>
          <w:rFonts w:hint="eastAsia"/>
        </w:rPr>
        <w:t>(1)</w:t>
      </w:r>
      <w:r>
        <w:rPr>
          <w:rFonts w:hint="eastAsia"/>
        </w:rPr>
        <w:t>和</w:t>
      </w:r>
      <w:r>
        <w:rPr>
          <w:rFonts w:hint="eastAsia"/>
        </w:rPr>
        <w:t>(2)</w:t>
      </w:r>
      <w:proofErr w:type="gramStart"/>
      <w:r>
        <w:rPr>
          <w:rFonts w:hint="eastAsia"/>
        </w:rPr>
        <w:t>列展示</w:t>
      </w:r>
      <w:proofErr w:type="gramEnd"/>
      <w:r>
        <w:rPr>
          <w:rFonts w:hint="eastAsia"/>
        </w:rPr>
        <w:t>了控制变量中规模代表选择营业收入和总资产的回归对比，我们发现因变量与其他控制变量系数及显著情况基本一致，说</w:t>
      </w:r>
      <w:proofErr w:type="gramStart"/>
      <w:r>
        <w:rPr>
          <w:rFonts w:hint="eastAsia"/>
        </w:rPr>
        <w:t>明前</w:t>
      </w:r>
      <w:proofErr w:type="gramEnd"/>
      <w:r>
        <w:rPr>
          <w:rFonts w:hint="eastAsia"/>
        </w:rPr>
        <w:t>文使用总资产作为企业规模的代表控制变量是合理的，且验证了企业规模与</w:t>
      </w:r>
      <w:r>
        <w:rPr>
          <w:rFonts w:hint="eastAsia"/>
        </w:rPr>
        <w:t>ESG</w:t>
      </w:r>
      <w:r>
        <w:rPr>
          <w:rFonts w:hint="eastAsia"/>
        </w:rPr>
        <w:t>之间的正相关关系。</w:t>
      </w:r>
    </w:p>
    <w:p w14:paraId="3F432795" w14:textId="31CD7A9D" w:rsidR="00EA58B0" w:rsidRDefault="0025449B" w:rsidP="002B6021">
      <w:pPr>
        <w:ind w:firstLineChars="200" w:firstLine="480"/>
      </w:pPr>
      <w:r>
        <w:rPr>
          <w:rFonts w:hint="eastAsia"/>
        </w:rPr>
        <w:lastRenderedPageBreak/>
        <w:t>本文使用的彭博数据库</w:t>
      </w:r>
      <w:r>
        <w:rPr>
          <w:rFonts w:hint="eastAsia"/>
        </w:rPr>
        <w:t>ESG</w:t>
      </w:r>
      <w:r>
        <w:rPr>
          <w:rFonts w:hint="eastAsia"/>
        </w:rPr>
        <w:t>评分由</w:t>
      </w:r>
      <w:r>
        <w:rPr>
          <w:rFonts w:hint="eastAsia"/>
        </w:rPr>
        <w:t>E</w:t>
      </w:r>
      <w:r>
        <w:rPr>
          <w:rFonts w:hint="eastAsia"/>
        </w:rPr>
        <w:t>（环境）、</w:t>
      </w:r>
      <w:r>
        <w:rPr>
          <w:rFonts w:hint="eastAsia"/>
        </w:rPr>
        <w:t>S</w:t>
      </w:r>
      <w:r>
        <w:rPr>
          <w:rFonts w:hint="eastAsia"/>
        </w:rPr>
        <w:t>（社会责任）和</w:t>
      </w:r>
      <w:r>
        <w:rPr>
          <w:rFonts w:hint="eastAsia"/>
        </w:rPr>
        <w:t>G</w:t>
      </w:r>
      <w:r>
        <w:rPr>
          <w:rFonts w:hint="eastAsia"/>
        </w:rPr>
        <w:t>（公司治理）评分加权而成，表</w:t>
      </w:r>
      <w:r>
        <w:rPr>
          <w:rFonts w:hint="eastAsia"/>
        </w:rPr>
        <w:t>4-</w:t>
      </w:r>
      <w:r>
        <w:t>5</w:t>
      </w:r>
      <w:r>
        <w:rPr>
          <w:rFonts w:hint="eastAsia"/>
        </w:rPr>
        <w:t>的</w:t>
      </w:r>
      <w:r>
        <w:rPr>
          <w:rFonts w:hint="eastAsia"/>
        </w:rPr>
        <w:t>(3)</w:t>
      </w:r>
      <w:r w:rsidR="009F3EAD">
        <w:rPr>
          <w:rFonts w:hint="eastAsia"/>
        </w:rPr>
        <w:t>、</w:t>
      </w:r>
      <w:r>
        <w:rPr>
          <w:rFonts w:hint="eastAsia"/>
        </w:rPr>
        <w:t>(4)</w:t>
      </w:r>
      <w:r w:rsidR="009F3EAD">
        <w:rPr>
          <w:rFonts w:hint="eastAsia"/>
        </w:rPr>
        <w:t>、</w:t>
      </w:r>
      <w:r>
        <w:rPr>
          <w:rFonts w:hint="eastAsia"/>
        </w:rPr>
        <w:t>(5)</w:t>
      </w:r>
      <w:proofErr w:type="gramStart"/>
      <w:r>
        <w:rPr>
          <w:rFonts w:hint="eastAsia"/>
        </w:rPr>
        <w:t>列展示</w:t>
      </w:r>
      <w:proofErr w:type="gramEnd"/>
      <w:r>
        <w:rPr>
          <w:rFonts w:hint="eastAsia"/>
        </w:rPr>
        <w:t>了</w:t>
      </w:r>
      <w:r>
        <w:rPr>
          <w:rFonts w:hint="eastAsia"/>
        </w:rPr>
        <w:t>ESG</w:t>
      </w:r>
      <w:r>
        <w:rPr>
          <w:rFonts w:hint="eastAsia"/>
        </w:rPr>
        <w:t>的三个不同组成部分分别与上述自变量和控制变量的回归结果，可以看出解释变量</w:t>
      </w:r>
      <w:r>
        <w:rPr>
          <w:rFonts w:hint="eastAsia"/>
        </w:rPr>
        <w:t>Vega</w:t>
      </w:r>
      <w:r>
        <w:rPr>
          <w:rFonts w:hint="eastAsia"/>
        </w:rPr>
        <w:t>、</w:t>
      </w:r>
      <w:r>
        <w:rPr>
          <w:rFonts w:hint="eastAsia"/>
        </w:rPr>
        <w:t>Delta</w:t>
      </w:r>
      <w:r>
        <w:rPr>
          <w:rFonts w:hint="eastAsia"/>
        </w:rPr>
        <w:t>分别与</w:t>
      </w:r>
      <w:r>
        <w:rPr>
          <w:rFonts w:hint="eastAsia"/>
        </w:rPr>
        <w:t>E</w:t>
      </w:r>
      <w:r>
        <w:rPr>
          <w:rFonts w:hint="eastAsia"/>
        </w:rPr>
        <w:t>和</w:t>
      </w:r>
      <w:r>
        <w:rPr>
          <w:rFonts w:hint="eastAsia"/>
        </w:rPr>
        <w:t>G</w:t>
      </w:r>
      <w:r>
        <w:rPr>
          <w:rFonts w:hint="eastAsia"/>
        </w:rPr>
        <w:t>的</w:t>
      </w:r>
      <w:r w:rsidR="00447037">
        <w:rPr>
          <w:rFonts w:hint="eastAsia"/>
        </w:rPr>
        <w:t>回归</w:t>
      </w:r>
      <w:r>
        <w:rPr>
          <w:rFonts w:hint="eastAsia"/>
        </w:rPr>
        <w:t>系数及显著水平基本一致，且与总</w:t>
      </w:r>
      <w:r>
        <w:rPr>
          <w:rFonts w:hint="eastAsia"/>
        </w:rPr>
        <w:t>ESG</w:t>
      </w:r>
      <w:r w:rsidR="00447037">
        <w:rPr>
          <w:rFonts w:hint="eastAsia"/>
        </w:rPr>
        <w:t>回归</w:t>
      </w:r>
      <w:r>
        <w:rPr>
          <w:rFonts w:hint="eastAsia"/>
        </w:rPr>
        <w:t>结果也基本一致。</w:t>
      </w:r>
      <w:r w:rsidR="00447037">
        <w:rPr>
          <w:rFonts w:hint="eastAsia"/>
        </w:rPr>
        <w:t>但在研发费用作行业控制变量的检验中，</w:t>
      </w:r>
      <w:r w:rsidR="00447037">
        <w:rPr>
          <w:rFonts w:hint="eastAsia"/>
        </w:rPr>
        <w:t>Vega</w:t>
      </w:r>
      <w:r w:rsidR="00447037">
        <w:rPr>
          <w:rFonts w:hint="eastAsia"/>
        </w:rPr>
        <w:t>与</w:t>
      </w:r>
      <w:r w:rsidR="00447037">
        <w:rPr>
          <w:rFonts w:hint="eastAsia"/>
        </w:rPr>
        <w:t>Delta</w:t>
      </w:r>
      <w:r w:rsidR="00447037">
        <w:rPr>
          <w:rFonts w:hint="eastAsia"/>
        </w:rPr>
        <w:t>对</w:t>
      </w:r>
      <w:r w:rsidR="00447037">
        <w:rPr>
          <w:rFonts w:hint="eastAsia"/>
        </w:rPr>
        <w:t>S</w:t>
      </w:r>
      <w:r w:rsidR="00447037">
        <w:rPr>
          <w:rFonts w:hint="eastAsia"/>
        </w:rPr>
        <w:t>（社会责任）的回归结果中</w:t>
      </w:r>
      <w:r w:rsidR="00447037">
        <w:rPr>
          <w:rFonts w:hint="eastAsia"/>
        </w:rPr>
        <w:t>P</w:t>
      </w:r>
      <w:r w:rsidR="00447037">
        <w:rPr>
          <w:rFonts w:hint="eastAsia"/>
        </w:rPr>
        <w:t>值为</w:t>
      </w:r>
      <w:r w:rsidR="00447037">
        <w:rPr>
          <w:rFonts w:hint="eastAsia"/>
        </w:rPr>
        <w:t>0</w:t>
      </w:r>
      <w:r w:rsidR="00447037">
        <w:t>.134</w:t>
      </w:r>
      <w:r w:rsidR="00447037">
        <w:rPr>
          <w:rFonts w:hint="eastAsia"/>
        </w:rPr>
        <w:t>，超过了</w:t>
      </w:r>
      <w:r w:rsidR="00447037">
        <w:rPr>
          <w:rFonts w:hint="eastAsia"/>
        </w:rPr>
        <w:t>0</w:t>
      </w:r>
      <w:r w:rsidR="00447037">
        <w:t>.1</w:t>
      </w:r>
      <w:r w:rsidR="00447037">
        <w:rPr>
          <w:rFonts w:hint="eastAsia"/>
        </w:rPr>
        <w:t>的显著性水平，这是与上面行业固定效应模型中</w:t>
      </w:r>
      <w:r w:rsidR="00447037">
        <w:rPr>
          <w:rFonts w:hint="eastAsia"/>
        </w:rPr>
        <w:t>ESG</w:t>
      </w:r>
      <w:r w:rsidR="00447037">
        <w:rPr>
          <w:rFonts w:hint="eastAsia"/>
        </w:rPr>
        <w:t>组成部分稳健性检验中最大的区别，这可能是这种模型下</w:t>
      </w:r>
      <w:r w:rsidR="00447037" w:rsidRPr="00447037">
        <w:rPr>
          <w:rFonts w:hint="eastAsia"/>
        </w:rPr>
        <w:t>产生</w:t>
      </w:r>
      <w:r w:rsidR="00447037">
        <w:rPr>
          <w:rFonts w:hint="eastAsia"/>
        </w:rPr>
        <w:t>了</w:t>
      </w:r>
      <w:r w:rsidR="00447037" w:rsidRPr="00447037">
        <w:rPr>
          <w:rFonts w:hint="eastAsia"/>
        </w:rPr>
        <w:t>更相关和更准确的行业分类</w:t>
      </w:r>
      <w:r w:rsidR="00447037">
        <w:rPr>
          <w:rFonts w:hint="eastAsia"/>
        </w:rPr>
        <w:t>导致的结果。但是总体来说，</w:t>
      </w:r>
      <w:r w:rsidR="00447037">
        <w:rPr>
          <w:rFonts w:hint="eastAsia"/>
        </w:rPr>
        <w:t xml:space="preserve"> </w:t>
      </w:r>
      <w:r>
        <w:rPr>
          <w:rFonts w:hint="eastAsia"/>
        </w:rPr>
        <w:t>ESG</w:t>
      </w:r>
      <w:r>
        <w:rPr>
          <w:rFonts w:hint="eastAsia"/>
        </w:rPr>
        <w:t>三个组成部分都分别被高管薪酬敏感性影响，也说明上文研究是十分合理的，而且这个结果也启发我们可以分别向高管薪酬敏感性与</w:t>
      </w:r>
      <w:r>
        <w:rPr>
          <w:rFonts w:hint="eastAsia"/>
        </w:rPr>
        <w:t>ESG</w:t>
      </w:r>
      <w:r>
        <w:rPr>
          <w:rFonts w:hint="eastAsia"/>
        </w:rPr>
        <w:t>组成部分的进行后续的进一步详细研究。这个检验也表明</w:t>
      </w:r>
      <w:r>
        <w:rPr>
          <w:rFonts w:hint="eastAsia"/>
        </w:rPr>
        <w:t>ESG</w:t>
      </w:r>
      <w:r>
        <w:rPr>
          <w:rFonts w:hint="eastAsia"/>
        </w:rPr>
        <w:t>三个组成被影响的程度可能是</w:t>
      </w:r>
      <w:r>
        <w:rPr>
          <w:rFonts w:hint="eastAsia"/>
        </w:rPr>
        <w:t>E</w:t>
      </w:r>
      <w:r>
        <w:rPr>
          <w:rFonts w:hint="eastAsia"/>
        </w:rPr>
        <w:t>（环境）</w:t>
      </w:r>
      <w:r>
        <w:rPr>
          <w:rFonts w:hint="eastAsia"/>
        </w:rPr>
        <w:t>&gt;S</w:t>
      </w:r>
      <w:r>
        <w:rPr>
          <w:rFonts w:hint="eastAsia"/>
        </w:rPr>
        <w:t>（社会责任）</w:t>
      </w:r>
      <w:r>
        <w:rPr>
          <w:rFonts w:hint="eastAsia"/>
        </w:rPr>
        <w:t>&gt;G</w:t>
      </w:r>
      <w:r>
        <w:rPr>
          <w:rFonts w:hint="eastAsia"/>
        </w:rPr>
        <w:t>（公司治理）。</w:t>
      </w:r>
    </w:p>
    <w:p w14:paraId="7C07915B" w14:textId="77777777" w:rsidR="002B6021" w:rsidRDefault="002B6021" w:rsidP="002B6021">
      <w:pPr>
        <w:spacing w:line="300" w:lineRule="exact"/>
        <w:jc w:val="center"/>
        <w:rPr>
          <w:rFonts w:ascii="黑体" w:eastAsia="黑体" w:hAnsi="宋体"/>
        </w:rPr>
      </w:pPr>
    </w:p>
    <w:p w14:paraId="6277A15C" w14:textId="44C2B0DB" w:rsidR="002B6021" w:rsidRDefault="002B6021" w:rsidP="002B6021">
      <w:pPr>
        <w:spacing w:line="300" w:lineRule="exact"/>
        <w:jc w:val="center"/>
        <w:rPr>
          <w:rFonts w:ascii="黑体" w:eastAsia="黑体" w:hAnsi="宋体"/>
        </w:rPr>
      </w:pPr>
      <w:r w:rsidRPr="00677FE2">
        <w:rPr>
          <w:rFonts w:ascii="黑体" w:eastAsia="黑体" w:hAnsi="宋体" w:hint="eastAsia"/>
        </w:rPr>
        <w:t>表</w:t>
      </w:r>
      <w:r>
        <w:rPr>
          <w:rFonts w:eastAsia="黑体"/>
        </w:rPr>
        <w:t>4</w:t>
      </w:r>
      <w:r w:rsidRPr="00AB6ADE">
        <w:rPr>
          <w:rFonts w:eastAsia="黑体" w:hint="eastAsia"/>
        </w:rPr>
        <w:t>-</w:t>
      </w:r>
      <w:r>
        <w:rPr>
          <w:rFonts w:eastAsia="黑体"/>
        </w:rPr>
        <w:t>5</w:t>
      </w:r>
      <w:r>
        <w:rPr>
          <w:rFonts w:ascii="黑体" w:eastAsia="黑体" w:hAnsi="宋体" w:hint="eastAsia"/>
        </w:rPr>
        <w:t xml:space="preserve"> </w:t>
      </w:r>
      <w:r w:rsidRPr="00B45778">
        <w:rPr>
          <w:rFonts w:ascii="黑体" w:eastAsia="黑体" w:hAnsi="宋体" w:hint="eastAsia"/>
        </w:rPr>
        <w:t>研发费用作控制变量</w:t>
      </w:r>
      <w:r>
        <w:rPr>
          <w:rFonts w:ascii="黑体" w:eastAsia="黑体" w:hAnsi="宋体" w:hint="eastAsia"/>
        </w:rPr>
        <w:t>的稳健性检验结果</w:t>
      </w:r>
    </w:p>
    <w:p w14:paraId="22763D69" w14:textId="77777777" w:rsidR="002B6021" w:rsidRPr="0025449B" w:rsidRDefault="002B6021" w:rsidP="002B6021">
      <w:pPr>
        <w:spacing w:line="300" w:lineRule="exact"/>
        <w:ind w:firstLineChars="200" w:firstLine="480"/>
      </w:pPr>
    </w:p>
    <w:tbl>
      <w:tblPr>
        <w:tblW w:w="8256" w:type="dxa"/>
        <w:jc w:val="center"/>
        <w:tblLayout w:type="fixed"/>
        <w:tblLook w:val="0000" w:firstRow="0" w:lastRow="0" w:firstColumn="0" w:lastColumn="0" w:noHBand="0" w:noVBand="0"/>
      </w:tblPr>
      <w:tblGrid>
        <w:gridCol w:w="1206"/>
        <w:gridCol w:w="1410"/>
        <w:gridCol w:w="1410"/>
        <w:gridCol w:w="1410"/>
        <w:gridCol w:w="1410"/>
        <w:gridCol w:w="1410"/>
      </w:tblGrid>
      <w:tr w:rsidR="002B6021" w:rsidRPr="0025449B" w14:paraId="0CE74324" w14:textId="77777777" w:rsidTr="002B6021">
        <w:trPr>
          <w:trHeight w:val="94"/>
          <w:jc w:val="center"/>
        </w:trPr>
        <w:tc>
          <w:tcPr>
            <w:tcW w:w="1206" w:type="dxa"/>
            <w:tcBorders>
              <w:top w:val="single" w:sz="12" w:space="0" w:color="auto"/>
              <w:left w:val="nil"/>
              <w:bottom w:val="nil"/>
              <w:right w:val="nil"/>
            </w:tcBorders>
          </w:tcPr>
          <w:p w14:paraId="2D1EA9B5" w14:textId="77777777" w:rsidR="002B6021" w:rsidRPr="0025449B" w:rsidRDefault="002B6021" w:rsidP="002B6021">
            <w:pPr>
              <w:autoSpaceDE w:val="0"/>
              <w:autoSpaceDN w:val="0"/>
              <w:adjustRightInd w:val="0"/>
              <w:jc w:val="left"/>
              <w:rPr>
                <w:kern w:val="0"/>
                <w:sz w:val="21"/>
                <w:szCs w:val="21"/>
              </w:rPr>
            </w:pPr>
          </w:p>
        </w:tc>
        <w:tc>
          <w:tcPr>
            <w:tcW w:w="1410" w:type="dxa"/>
            <w:tcBorders>
              <w:top w:val="single" w:sz="12" w:space="0" w:color="auto"/>
              <w:left w:val="nil"/>
              <w:bottom w:val="nil"/>
              <w:right w:val="nil"/>
            </w:tcBorders>
          </w:tcPr>
          <w:p w14:paraId="0C613FF3"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(1)</w:t>
            </w:r>
          </w:p>
        </w:tc>
        <w:tc>
          <w:tcPr>
            <w:tcW w:w="1410" w:type="dxa"/>
            <w:tcBorders>
              <w:top w:val="single" w:sz="12" w:space="0" w:color="auto"/>
              <w:left w:val="nil"/>
              <w:bottom w:val="nil"/>
              <w:right w:val="nil"/>
            </w:tcBorders>
          </w:tcPr>
          <w:p w14:paraId="09DF13CA"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(2)</w:t>
            </w:r>
          </w:p>
        </w:tc>
        <w:tc>
          <w:tcPr>
            <w:tcW w:w="1410" w:type="dxa"/>
            <w:tcBorders>
              <w:top w:val="single" w:sz="12" w:space="0" w:color="auto"/>
              <w:left w:val="nil"/>
              <w:bottom w:val="nil"/>
              <w:right w:val="nil"/>
            </w:tcBorders>
          </w:tcPr>
          <w:p w14:paraId="4E06DCF0"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(3)</w:t>
            </w:r>
          </w:p>
        </w:tc>
        <w:tc>
          <w:tcPr>
            <w:tcW w:w="1410" w:type="dxa"/>
            <w:tcBorders>
              <w:top w:val="single" w:sz="12" w:space="0" w:color="auto"/>
              <w:left w:val="nil"/>
              <w:bottom w:val="nil"/>
              <w:right w:val="nil"/>
            </w:tcBorders>
          </w:tcPr>
          <w:p w14:paraId="7856B1A2"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(4)</w:t>
            </w:r>
          </w:p>
        </w:tc>
        <w:tc>
          <w:tcPr>
            <w:tcW w:w="1410" w:type="dxa"/>
            <w:tcBorders>
              <w:top w:val="single" w:sz="12" w:space="0" w:color="auto"/>
              <w:left w:val="nil"/>
              <w:bottom w:val="nil"/>
              <w:right w:val="nil"/>
            </w:tcBorders>
          </w:tcPr>
          <w:p w14:paraId="30E99AE0"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(5)</w:t>
            </w:r>
          </w:p>
        </w:tc>
      </w:tr>
      <w:tr w:rsidR="002B6021" w:rsidRPr="0025449B" w14:paraId="2FDFBAAE" w14:textId="77777777" w:rsidTr="002B6021">
        <w:trPr>
          <w:trHeight w:val="97"/>
          <w:jc w:val="center"/>
        </w:trPr>
        <w:tc>
          <w:tcPr>
            <w:tcW w:w="1206" w:type="dxa"/>
            <w:tcBorders>
              <w:top w:val="nil"/>
              <w:left w:val="nil"/>
              <w:bottom w:val="single" w:sz="4" w:space="0" w:color="auto"/>
              <w:right w:val="nil"/>
            </w:tcBorders>
          </w:tcPr>
          <w:p w14:paraId="1F0785A9" w14:textId="77777777" w:rsidR="002B6021" w:rsidRPr="0025449B" w:rsidRDefault="002B6021" w:rsidP="002B6021">
            <w:pPr>
              <w:autoSpaceDE w:val="0"/>
              <w:autoSpaceDN w:val="0"/>
              <w:adjustRightInd w:val="0"/>
              <w:jc w:val="left"/>
              <w:rPr>
                <w:kern w:val="0"/>
                <w:sz w:val="21"/>
                <w:szCs w:val="21"/>
              </w:rPr>
            </w:pPr>
          </w:p>
        </w:tc>
        <w:tc>
          <w:tcPr>
            <w:tcW w:w="1410" w:type="dxa"/>
            <w:tcBorders>
              <w:top w:val="nil"/>
              <w:left w:val="nil"/>
              <w:bottom w:val="single" w:sz="4" w:space="0" w:color="auto"/>
              <w:right w:val="nil"/>
            </w:tcBorders>
          </w:tcPr>
          <w:p w14:paraId="7E9F661A"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ESG</w:t>
            </w:r>
          </w:p>
        </w:tc>
        <w:tc>
          <w:tcPr>
            <w:tcW w:w="1410" w:type="dxa"/>
            <w:tcBorders>
              <w:top w:val="nil"/>
              <w:left w:val="nil"/>
              <w:bottom w:val="single" w:sz="4" w:space="0" w:color="auto"/>
              <w:right w:val="nil"/>
            </w:tcBorders>
          </w:tcPr>
          <w:p w14:paraId="441CFF1D"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ESG</w:t>
            </w:r>
          </w:p>
        </w:tc>
        <w:tc>
          <w:tcPr>
            <w:tcW w:w="1410" w:type="dxa"/>
            <w:tcBorders>
              <w:top w:val="nil"/>
              <w:left w:val="nil"/>
              <w:bottom w:val="single" w:sz="4" w:space="0" w:color="auto"/>
              <w:right w:val="nil"/>
            </w:tcBorders>
          </w:tcPr>
          <w:p w14:paraId="2773C531"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E</w:t>
            </w:r>
          </w:p>
        </w:tc>
        <w:tc>
          <w:tcPr>
            <w:tcW w:w="1410" w:type="dxa"/>
            <w:tcBorders>
              <w:top w:val="nil"/>
              <w:left w:val="nil"/>
              <w:bottom w:val="single" w:sz="4" w:space="0" w:color="auto"/>
              <w:right w:val="nil"/>
            </w:tcBorders>
          </w:tcPr>
          <w:p w14:paraId="1F60B17C"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S</w:t>
            </w:r>
          </w:p>
        </w:tc>
        <w:tc>
          <w:tcPr>
            <w:tcW w:w="1410" w:type="dxa"/>
            <w:tcBorders>
              <w:top w:val="nil"/>
              <w:left w:val="nil"/>
              <w:bottom w:val="single" w:sz="4" w:space="0" w:color="auto"/>
              <w:right w:val="nil"/>
            </w:tcBorders>
          </w:tcPr>
          <w:p w14:paraId="5B859CDD"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G</w:t>
            </w:r>
          </w:p>
        </w:tc>
      </w:tr>
      <w:tr w:rsidR="002B6021" w:rsidRPr="0025449B" w14:paraId="3C5CD5E3" w14:textId="77777777" w:rsidTr="002B6021">
        <w:trPr>
          <w:trHeight w:val="94"/>
          <w:jc w:val="center"/>
        </w:trPr>
        <w:tc>
          <w:tcPr>
            <w:tcW w:w="1206" w:type="dxa"/>
            <w:tcBorders>
              <w:top w:val="single" w:sz="4" w:space="0" w:color="auto"/>
              <w:left w:val="nil"/>
              <w:bottom w:val="nil"/>
              <w:right w:val="nil"/>
            </w:tcBorders>
          </w:tcPr>
          <w:p w14:paraId="35096A5F" w14:textId="77777777" w:rsidR="002B6021" w:rsidRPr="0025449B" w:rsidRDefault="002B6021" w:rsidP="002B6021">
            <w:pPr>
              <w:autoSpaceDE w:val="0"/>
              <w:autoSpaceDN w:val="0"/>
              <w:adjustRightInd w:val="0"/>
              <w:jc w:val="left"/>
              <w:rPr>
                <w:kern w:val="0"/>
                <w:sz w:val="21"/>
                <w:szCs w:val="21"/>
              </w:rPr>
            </w:pPr>
            <w:r w:rsidRPr="0025449B">
              <w:rPr>
                <w:kern w:val="0"/>
                <w:sz w:val="21"/>
                <w:szCs w:val="21"/>
              </w:rPr>
              <w:t>Vega</w:t>
            </w:r>
          </w:p>
        </w:tc>
        <w:tc>
          <w:tcPr>
            <w:tcW w:w="1410" w:type="dxa"/>
            <w:tcBorders>
              <w:top w:val="single" w:sz="4" w:space="0" w:color="auto"/>
              <w:left w:val="nil"/>
              <w:bottom w:val="nil"/>
              <w:right w:val="nil"/>
            </w:tcBorders>
          </w:tcPr>
          <w:p w14:paraId="45428B17"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1.496</w:t>
            </w:r>
            <w:r w:rsidRPr="0025449B">
              <w:rPr>
                <w:kern w:val="0"/>
                <w:sz w:val="21"/>
                <w:szCs w:val="21"/>
                <w:vertAlign w:val="superscript"/>
              </w:rPr>
              <w:t>*</w:t>
            </w:r>
          </w:p>
        </w:tc>
        <w:tc>
          <w:tcPr>
            <w:tcW w:w="1410" w:type="dxa"/>
            <w:tcBorders>
              <w:top w:val="single" w:sz="4" w:space="0" w:color="auto"/>
              <w:left w:val="nil"/>
              <w:bottom w:val="nil"/>
              <w:right w:val="nil"/>
            </w:tcBorders>
          </w:tcPr>
          <w:p w14:paraId="24DEBD43"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1.531</w:t>
            </w:r>
            <w:r w:rsidRPr="0025449B">
              <w:rPr>
                <w:kern w:val="0"/>
                <w:sz w:val="21"/>
                <w:szCs w:val="21"/>
                <w:vertAlign w:val="superscript"/>
              </w:rPr>
              <w:t>**</w:t>
            </w:r>
          </w:p>
        </w:tc>
        <w:tc>
          <w:tcPr>
            <w:tcW w:w="1410" w:type="dxa"/>
            <w:tcBorders>
              <w:top w:val="single" w:sz="4" w:space="0" w:color="auto"/>
              <w:left w:val="nil"/>
              <w:bottom w:val="nil"/>
              <w:right w:val="nil"/>
            </w:tcBorders>
          </w:tcPr>
          <w:p w14:paraId="100F66E5"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1.694</w:t>
            </w:r>
            <w:r w:rsidRPr="0025449B">
              <w:rPr>
                <w:kern w:val="0"/>
                <w:sz w:val="21"/>
                <w:szCs w:val="21"/>
                <w:vertAlign w:val="superscript"/>
              </w:rPr>
              <w:t>*</w:t>
            </w:r>
          </w:p>
        </w:tc>
        <w:tc>
          <w:tcPr>
            <w:tcW w:w="1410" w:type="dxa"/>
            <w:tcBorders>
              <w:top w:val="single" w:sz="4" w:space="0" w:color="auto"/>
              <w:left w:val="nil"/>
              <w:bottom w:val="nil"/>
              <w:right w:val="nil"/>
            </w:tcBorders>
          </w:tcPr>
          <w:p w14:paraId="39EB1178"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1.216</w:t>
            </w:r>
          </w:p>
        </w:tc>
        <w:tc>
          <w:tcPr>
            <w:tcW w:w="1410" w:type="dxa"/>
            <w:tcBorders>
              <w:top w:val="single" w:sz="4" w:space="0" w:color="auto"/>
              <w:left w:val="nil"/>
              <w:bottom w:val="nil"/>
              <w:right w:val="nil"/>
            </w:tcBorders>
          </w:tcPr>
          <w:p w14:paraId="0A09FDDE"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1.205</w:t>
            </w:r>
            <w:r w:rsidRPr="0025449B">
              <w:rPr>
                <w:kern w:val="0"/>
                <w:sz w:val="21"/>
                <w:szCs w:val="21"/>
                <w:vertAlign w:val="superscript"/>
              </w:rPr>
              <w:t>**</w:t>
            </w:r>
          </w:p>
        </w:tc>
      </w:tr>
      <w:tr w:rsidR="002B6021" w:rsidRPr="0025449B" w14:paraId="2BD83291" w14:textId="77777777" w:rsidTr="002B6021">
        <w:trPr>
          <w:trHeight w:val="97"/>
          <w:jc w:val="center"/>
        </w:trPr>
        <w:tc>
          <w:tcPr>
            <w:tcW w:w="1206" w:type="dxa"/>
            <w:tcBorders>
              <w:top w:val="nil"/>
              <w:left w:val="nil"/>
              <w:bottom w:val="nil"/>
              <w:right w:val="nil"/>
            </w:tcBorders>
          </w:tcPr>
          <w:p w14:paraId="50862DB2" w14:textId="77777777" w:rsidR="002B6021" w:rsidRPr="0025449B" w:rsidRDefault="002B6021" w:rsidP="002B6021">
            <w:pPr>
              <w:autoSpaceDE w:val="0"/>
              <w:autoSpaceDN w:val="0"/>
              <w:adjustRightInd w:val="0"/>
              <w:jc w:val="left"/>
              <w:rPr>
                <w:kern w:val="0"/>
                <w:sz w:val="21"/>
                <w:szCs w:val="21"/>
              </w:rPr>
            </w:pPr>
          </w:p>
        </w:tc>
        <w:tc>
          <w:tcPr>
            <w:tcW w:w="1410" w:type="dxa"/>
            <w:tcBorders>
              <w:top w:val="nil"/>
              <w:left w:val="nil"/>
              <w:bottom w:val="nil"/>
              <w:right w:val="nil"/>
            </w:tcBorders>
          </w:tcPr>
          <w:p w14:paraId="4693E366"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(0.762)</w:t>
            </w:r>
          </w:p>
        </w:tc>
        <w:tc>
          <w:tcPr>
            <w:tcW w:w="1410" w:type="dxa"/>
            <w:tcBorders>
              <w:top w:val="nil"/>
              <w:left w:val="nil"/>
              <w:bottom w:val="nil"/>
              <w:right w:val="nil"/>
            </w:tcBorders>
          </w:tcPr>
          <w:p w14:paraId="3287A2D0"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(0.756)</w:t>
            </w:r>
          </w:p>
        </w:tc>
        <w:tc>
          <w:tcPr>
            <w:tcW w:w="1410" w:type="dxa"/>
            <w:tcBorders>
              <w:top w:val="nil"/>
              <w:left w:val="nil"/>
              <w:bottom w:val="nil"/>
              <w:right w:val="nil"/>
            </w:tcBorders>
          </w:tcPr>
          <w:p w14:paraId="187DC87A"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(0.900)</w:t>
            </w:r>
          </w:p>
        </w:tc>
        <w:tc>
          <w:tcPr>
            <w:tcW w:w="1410" w:type="dxa"/>
            <w:tcBorders>
              <w:top w:val="nil"/>
              <w:left w:val="nil"/>
              <w:bottom w:val="nil"/>
              <w:right w:val="nil"/>
            </w:tcBorders>
          </w:tcPr>
          <w:p w14:paraId="2C80ABAA"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(1.051)</w:t>
            </w:r>
          </w:p>
        </w:tc>
        <w:tc>
          <w:tcPr>
            <w:tcW w:w="1410" w:type="dxa"/>
            <w:tcBorders>
              <w:top w:val="nil"/>
              <w:left w:val="nil"/>
              <w:bottom w:val="nil"/>
              <w:right w:val="nil"/>
            </w:tcBorders>
          </w:tcPr>
          <w:p w14:paraId="5F466D33"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(0.600)</w:t>
            </w:r>
          </w:p>
        </w:tc>
      </w:tr>
      <w:tr w:rsidR="002B6021" w:rsidRPr="0025449B" w14:paraId="51669D68" w14:textId="77777777" w:rsidTr="002B6021">
        <w:trPr>
          <w:trHeight w:val="94"/>
          <w:jc w:val="center"/>
        </w:trPr>
        <w:tc>
          <w:tcPr>
            <w:tcW w:w="1206" w:type="dxa"/>
            <w:tcBorders>
              <w:top w:val="nil"/>
              <w:left w:val="nil"/>
              <w:bottom w:val="nil"/>
              <w:right w:val="nil"/>
            </w:tcBorders>
          </w:tcPr>
          <w:p w14:paraId="2018B3E1" w14:textId="77777777" w:rsidR="002B6021" w:rsidRPr="0025449B" w:rsidRDefault="002B6021" w:rsidP="002B6021">
            <w:pPr>
              <w:autoSpaceDE w:val="0"/>
              <w:autoSpaceDN w:val="0"/>
              <w:adjustRightInd w:val="0"/>
              <w:jc w:val="left"/>
              <w:rPr>
                <w:kern w:val="0"/>
                <w:sz w:val="21"/>
                <w:szCs w:val="21"/>
              </w:rPr>
            </w:pPr>
            <w:r w:rsidRPr="0025449B">
              <w:rPr>
                <w:kern w:val="0"/>
                <w:sz w:val="21"/>
                <w:szCs w:val="21"/>
              </w:rPr>
              <w:t>Delta</w:t>
            </w:r>
          </w:p>
        </w:tc>
        <w:tc>
          <w:tcPr>
            <w:tcW w:w="1410" w:type="dxa"/>
            <w:tcBorders>
              <w:top w:val="nil"/>
              <w:left w:val="nil"/>
              <w:bottom w:val="nil"/>
              <w:right w:val="nil"/>
            </w:tcBorders>
          </w:tcPr>
          <w:p w14:paraId="6EB971FD"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-1.318</w:t>
            </w:r>
            <w:r w:rsidRPr="0025449B">
              <w:rPr>
                <w:kern w:val="0"/>
                <w:sz w:val="21"/>
                <w:szCs w:val="21"/>
                <w:vertAlign w:val="superscript"/>
              </w:rPr>
              <w:t>*</w:t>
            </w:r>
          </w:p>
        </w:tc>
        <w:tc>
          <w:tcPr>
            <w:tcW w:w="1410" w:type="dxa"/>
            <w:tcBorders>
              <w:top w:val="nil"/>
              <w:left w:val="nil"/>
              <w:bottom w:val="nil"/>
              <w:right w:val="nil"/>
            </w:tcBorders>
          </w:tcPr>
          <w:p w14:paraId="5B56DA0A"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-1.351</w:t>
            </w:r>
            <w:r w:rsidRPr="0025449B">
              <w:rPr>
                <w:kern w:val="0"/>
                <w:sz w:val="21"/>
                <w:szCs w:val="21"/>
                <w:vertAlign w:val="superscript"/>
              </w:rPr>
              <w:t>*</w:t>
            </w:r>
          </w:p>
        </w:tc>
        <w:tc>
          <w:tcPr>
            <w:tcW w:w="1410" w:type="dxa"/>
            <w:tcBorders>
              <w:top w:val="nil"/>
              <w:left w:val="nil"/>
              <w:bottom w:val="nil"/>
              <w:right w:val="nil"/>
            </w:tcBorders>
          </w:tcPr>
          <w:p w14:paraId="2DF79776"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-1.451</w:t>
            </w:r>
            <w:r w:rsidRPr="0025449B">
              <w:rPr>
                <w:kern w:val="0"/>
                <w:sz w:val="21"/>
                <w:szCs w:val="21"/>
                <w:vertAlign w:val="superscript"/>
              </w:rPr>
              <w:t>*</w:t>
            </w:r>
          </w:p>
        </w:tc>
        <w:tc>
          <w:tcPr>
            <w:tcW w:w="1410" w:type="dxa"/>
            <w:tcBorders>
              <w:top w:val="nil"/>
              <w:left w:val="nil"/>
              <w:bottom w:val="nil"/>
              <w:right w:val="nil"/>
            </w:tcBorders>
          </w:tcPr>
          <w:p w14:paraId="0E7A5DF1"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-1.014</w:t>
            </w:r>
          </w:p>
        </w:tc>
        <w:tc>
          <w:tcPr>
            <w:tcW w:w="1410" w:type="dxa"/>
            <w:tcBorders>
              <w:top w:val="nil"/>
              <w:left w:val="nil"/>
              <w:bottom w:val="nil"/>
              <w:right w:val="nil"/>
            </w:tcBorders>
          </w:tcPr>
          <w:p w14:paraId="07729263"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-1.106</w:t>
            </w:r>
            <w:r w:rsidRPr="0025449B">
              <w:rPr>
                <w:kern w:val="0"/>
                <w:sz w:val="21"/>
                <w:szCs w:val="21"/>
                <w:vertAlign w:val="superscript"/>
              </w:rPr>
              <w:t>*</w:t>
            </w:r>
          </w:p>
        </w:tc>
      </w:tr>
      <w:tr w:rsidR="002B6021" w:rsidRPr="0025449B" w14:paraId="02CB4BA8" w14:textId="77777777" w:rsidTr="002B6021">
        <w:trPr>
          <w:trHeight w:val="97"/>
          <w:jc w:val="center"/>
        </w:trPr>
        <w:tc>
          <w:tcPr>
            <w:tcW w:w="1206" w:type="dxa"/>
            <w:tcBorders>
              <w:top w:val="nil"/>
              <w:left w:val="nil"/>
              <w:bottom w:val="nil"/>
              <w:right w:val="nil"/>
            </w:tcBorders>
          </w:tcPr>
          <w:p w14:paraId="68B17685" w14:textId="77777777" w:rsidR="002B6021" w:rsidRPr="0025449B" w:rsidRDefault="002B6021" w:rsidP="002B6021">
            <w:pPr>
              <w:autoSpaceDE w:val="0"/>
              <w:autoSpaceDN w:val="0"/>
              <w:adjustRightInd w:val="0"/>
              <w:jc w:val="left"/>
              <w:rPr>
                <w:kern w:val="0"/>
                <w:sz w:val="21"/>
                <w:szCs w:val="21"/>
              </w:rPr>
            </w:pPr>
          </w:p>
        </w:tc>
        <w:tc>
          <w:tcPr>
            <w:tcW w:w="1410" w:type="dxa"/>
            <w:tcBorders>
              <w:top w:val="nil"/>
              <w:left w:val="nil"/>
              <w:bottom w:val="nil"/>
              <w:right w:val="nil"/>
            </w:tcBorders>
          </w:tcPr>
          <w:p w14:paraId="7B1CC10D"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(0.742)</w:t>
            </w:r>
          </w:p>
        </w:tc>
        <w:tc>
          <w:tcPr>
            <w:tcW w:w="1410" w:type="dxa"/>
            <w:tcBorders>
              <w:top w:val="nil"/>
              <w:left w:val="nil"/>
              <w:bottom w:val="nil"/>
              <w:right w:val="nil"/>
            </w:tcBorders>
          </w:tcPr>
          <w:p w14:paraId="19270FC7"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(0.735)</w:t>
            </w:r>
          </w:p>
        </w:tc>
        <w:tc>
          <w:tcPr>
            <w:tcW w:w="1410" w:type="dxa"/>
            <w:tcBorders>
              <w:top w:val="nil"/>
              <w:left w:val="nil"/>
              <w:bottom w:val="nil"/>
              <w:right w:val="nil"/>
            </w:tcBorders>
          </w:tcPr>
          <w:p w14:paraId="0A95091B"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(0.876)</w:t>
            </w:r>
          </w:p>
        </w:tc>
        <w:tc>
          <w:tcPr>
            <w:tcW w:w="1410" w:type="dxa"/>
            <w:tcBorders>
              <w:top w:val="nil"/>
              <w:left w:val="nil"/>
              <w:bottom w:val="nil"/>
              <w:right w:val="nil"/>
            </w:tcBorders>
          </w:tcPr>
          <w:p w14:paraId="128B130C"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(1.023)</w:t>
            </w:r>
          </w:p>
        </w:tc>
        <w:tc>
          <w:tcPr>
            <w:tcW w:w="1410" w:type="dxa"/>
            <w:tcBorders>
              <w:top w:val="nil"/>
              <w:left w:val="nil"/>
              <w:bottom w:val="nil"/>
              <w:right w:val="nil"/>
            </w:tcBorders>
          </w:tcPr>
          <w:p w14:paraId="7C667CB6"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(0.584)</w:t>
            </w:r>
          </w:p>
        </w:tc>
      </w:tr>
      <w:tr w:rsidR="002B6021" w:rsidRPr="0025449B" w14:paraId="6E9DE490" w14:textId="77777777" w:rsidTr="002B6021">
        <w:trPr>
          <w:trHeight w:val="97"/>
          <w:jc w:val="center"/>
        </w:trPr>
        <w:tc>
          <w:tcPr>
            <w:tcW w:w="1206" w:type="dxa"/>
            <w:tcBorders>
              <w:top w:val="nil"/>
              <w:left w:val="nil"/>
              <w:bottom w:val="nil"/>
              <w:right w:val="nil"/>
            </w:tcBorders>
          </w:tcPr>
          <w:p w14:paraId="4C22111F" w14:textId="77777777" w:rsidR="002B6021" w:rsidRPr="0025449B" w:rsidRDefault="002B6021" w:rsidP="002B6021">
            <w:pPr>
              <w:autoSpaceDE w:val="0"/>
              <w:autoSpaceDN w:val="0"/>
              <w:adjustRightInd w:val="0"/>
              <w:jc w:val="left"/>
              <w:rPr>
                <w:kern w:val="0"/>
                <w:sz w:val="21"/>
                <w:szCs w:val="21"/>
              </w:rPr>
            </w:pPr>
            <w:r w:rsidRPr="0025449B">
              <w:rPr>
                <w:kern w:val="0"/>
                <w:sz w:val="21"/>
                <w:szCs w:val="21"/>
              </w:rPr>
              <w:t>Size</w:t>
            </w:r>
          </w:p>
        </w:tc>
        <w:tc>
          <w:tcPr>
            <w:tcW w:w="1410" w:type="dxa"/>
            <w:tcBorders>
              <w:top w:val="nil"/>
              <w:left w:val="nil"/>
              <w:bottom w:val="nil"/>
              <w:right w:val="nil"/>
            </w:tcBorders>
          </w:tcPr>
          <w:p w14:paraId="51F7A8BB"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0.000</w:t>
            </w:r>
          </w:p>
        </w:tc>
        <w:tc>
          <w:tcPr>
            <w:tcW w:w="1410" w:type="dxa"/>
            <w:tcBorders>
              <w:top w:val="nil"/>
              <w:left w:val="nil"/>
              <w:bottom w:val="nil"/>
              <w:right w:val="nil"/>
            </w:tcBorders>
          </w:tcPr>
          <w:p w14:paraId="2510EFF1" w14:textId="77777777" w:rsidR="002B6021" w:rsidRPr="0025449B" w:rsidRDefault="002B6021" w:rsidP="002B6021">
            <w:pPr>
              <w:autoSpaceDE w:val="0"/>
              <w:autoSpaceDN w:val="0"/>
              <w:adjustRightInd w:val="0"/>
              <w:jc w:val="center"/>
              <w:rPr>
                <w:kern w:val="0"/>
                <w:sz w:val="21"/>
                <w:szCs w:val="21"/>
              </w:rPr>
            </w:pPr>
          </w:p>
        </w:tc>
        <w:tc>
          <w:tcPr>
            <w:tcW w:w="1410" w:type="dxa"/>
            <w:tcBorders>
              <w:top w:val="nil"/>
              <w:left w:val="nil"/>
              <w:bottom w:val="nil"/>
              <w:right w:val="nil"/>
            </w:tcBorders>
          </w:tcPr>
          <w:p w14:paraId="15D1BA82"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0.000</w:t>
            </w:r>
          </w:p>
        </w:tc>
        <w:tc>
          <w:tcPr>
            <w:tcW w:w="1410" w:type="dxa"/>
            <w:tcBorders>
              <w:top w:val="nil"/>
              <w:left w:val="nil"/>
              <w:bottom w:val="nil"/>
              <w:right w:val="nil"/>
            </w:tcBorders>
          </w:tcPr>
          <w:p w14:paraId="29ECCB6B"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0.000</w:t>
            </w:r>
          </w:p>
        </w:tc>
        <w:tc>
          <w:tcPr>
            <w:tcW w:w="1410" w:type="dxa"/>
            <w:tcBorders>
              <w:top w:val="nil"/>
              <w:left w:val="nil"/>
              <w:bottom w:val="nil"/>
              <w:right w:val="nil"/>
            </w:tcBorders>
          </w:tcPr>
          <w:p w14:paraId="7C449891"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0.000</w:t>
            </w:r>
            <w:r w:rsidRPr="0025449B">
              <w:rPr>
                <w:kern w:val="0"/>
                <w:sz w:val="21"/>
                <w:szCs w:val="21"/>
                <w:vertAlign w:val="superscript"/>
              </w:rPr>
              <w:t>**</w:t>
            </w:r>
          </w:p>
        </w:tc>
      </w:tr>
      <w:tr w:rsidR="002B6021" w:rsidRPr="0025449B" w14:paraId="6C0CC787" w14:textId="77777777" w:rsidTr="002B6021">
        <w:trPr>
          <w:trHeight w:val="94"/>
          <w:jc w:val="center"/>
        </w:trPr>
        <w:tc>
          <w:tcPr>
            <w:tcW w:w="1206" w:type="dxa"/>
            <w:tcBorders>
              <w:top w:val="nil"/>
              <w:left w:val="nil"/>
              <w:bottom w:val="nil"/>
              <w:right w:val="nil"/>
            </w:tcBorders>
          </w:tcPr>
          <w:p w14:paraId="3A566C1D" w14:textId="77777777" w:rsidR="002B6021" w:rsidRPr="0025449B" w:rsidRDefault="002B6021" w:rsidP="002B6021">
            <w:pPr>
              <w:autoSpaceDE w:val="0"/>
              <w:autoSpaceDN w:val="0"/>
              <w:adjustRightInd w:val="0"/>
              <w:jc w:val="left"/>
              <w:rPr>
                <w:kern w:val="0"/>
                <w:sz w:val="21"/>
                <w:szCs w:val="21"/>
              </w:rPr>
            </w:pPr>
          </w:p>
        </w:tc>
        <w:tc>
          <w:tcPr>
            <w:tcW w:w="1410" w:type="dxa"/>
            <w:tcBorders>
              <w:top w:val="nil"/>
              <w:left w:val="nil"/>
              <w:bottom w:val="nil"/>
              <w:right w:val="nil"/>
            </w:tcBorders>
          </w:tcPr>
          <w:p w14:paraId="207E5B7F"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(0.000)</w:t>
            </w:r>
          </w:p>
        </w:tc>
        <w:tc>
          <w:tcPr>
            <w:tcW w:w="1410" w:type="dxa"/>
            <w:tcBorders>
              <w:top w:val="nil"/>
              <w:left w:val="nil"/>
              <w:bottom w:val="nil"/>
              <w:right w:val="nil"/>
            </w:tcBorders>
          </w:tcPr>
          <w:p w14:paraId="2A88CB23" w14:textId="77777777" w:rsidR="002B6021" w:rsidRPr="0025449B" w:rsidRDefault="002B6021" w:rsidP="002B6021">
            <w:pPr>
              <w:autoSpaceDE w:val="0"/>
              <w:autoSpaceDN w:val="0"/>
              <w:adjustRightInd w:val="0"/>
              <w:jc w:val="center"/>
              <w:rPr>
                <w:kern w:val="0"/>
                <w:sz w:val="21"/>
                <w:szCs w:val="21"/>
              </w:rPr>
            </w:pPr>
          </w:p>
        </w:tc>
        <w:tc>
          <w:tcPr>
            <w:tcW w:w="1410" w:type="dxa"/>
            <w:tcBorders>
              <w:top w:val="nil"/>
              <w:left w:val="nil"/>
              <w:bottom w:val="nil"/>
              <w:right w:val="nil"/>
            </w:tcBorders>
          </w:tcPr>
          <w:p w14:paraId="5CE5D9CD"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(0.000)</w:t>
            </w:r>
          </w:p>
        </w:tc>
        <w:tc>
          <w:tcPr>
            <w:tcW w:w="1410" w:type="dxa"/>
            <w:tcBorders>
              <w:top w:val="nil"/>
              <w:left w:val="nil"/>
              <w:bottom w:val="nil"/>
              <w:right w:val="nil"/>
            </w:tcBorders>
          </w:tcPr>
          <w:p w14:paraId="78E17060"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(0.000)</w:t>
            </w:r>
          </w:p>
        </w:tc>
        <w:tc>
          <w:tcPr>
            <w:tcW w:w="1410" w:type="dxa"/>
            <w:tcBorders>
              <w:top w:val="nil"/>
              <w:left w:val="nil"/>
              <w:bottom w:val="nil"/>
              <w:right w:val="nil"/>
            </w:tcBorders>
          </w:tcPr>
          <w:p w14:paraId="7BA10A15"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(0.000)</w:t>
            </w:r>
          </w:p>
        </w:tc>
      </w:tr>
      <w:tr w:rsidR="002B6021" w:rsidRPr="0025449B" w14:paraId="498B836B" w14:textId="77777777" w:rsidTr="002B6021">
        <w:trPr>
          <w:trHeight w:val="94"/>
          <w:jc w:val="center"/>
        </w:trPr>
        <w:tc>
          <w:tcPr>
            <w:tcW w:w="1206" w:type="dxa"/>
            <w:tcBorders>
              <w:top w:val="nil"/>
              <w:left w:val="nil"/>
              <w:bottom w:val="nil"/>
              <w:right w:val="nil"/>
            </w:tcBorders>
          </w:tcPr>
          <w:p w14:paraId="414F88A5" w14:textId="77777777" w:rsidR="002B6021" w:rsidRPr="0025449B" w:rsidRDefault="002B6021" w:rsidP="002B6021">
            <w:pPr>
              <w:autoSpaceDE w:val="0"/>
              <w:autoSpaceDN w:val="0"/>
              <w:adjustRightInd w:val="0"/>
              <w:jc w:val="left"/>
              <w:rPr>
                <w:kern w:val="0"/>
                <w:sz w:val="21"/>
                <w:szCs w:val="21"/>
              </w:rPr>
            </w:pPr>
            <w:r w:rsidRPr="0025449B">
              <w:rPr>
                <w:kern w:val="0"/>
                <w:sz w:val="21"/>
                <w:szCs w:val="21"/>
              </w:rPr>
              <w:t>Sales</w:t>
            </w:r>
          </w:p>
        </w:tc>
        <w:tc>
          <w:tcPr>
            <w:tcW w:w="1410" w:type="dxa"/>
            <w:tcBorders>
              <w:top w:val="nil"/>
              <w:left w:val="nil"/>
              <w:bottom w:val="nil"/>
              <w:right w:val="nil"/>
            </w:tcBorders>
          </w:tcPr>
          <w:p w14:paraId="2339EC7F" w14:textId="77777777" w:rsidR="002B6021" w:rsidRPr="0025449B" w:rsidRDefault="002B6021" w:rsidP="002B6021">
            <w:pPr>
              <w:autoSpaceDE w:val="0"/>
              <w:autoSpaceDN w:val="0"/>
              <w:adjustRightInd w:val="0"/>
              <w:jc w:val="center"/>
              <w:rPr>
                <w:kern w:val="0"/>
                <w:sz w:val="21"/>
                <w:szCs w:val="21"/>
              </w:rPr>
            </w:pPr>
          </w:p>
        </w:tc>
        <w:tc>
          <w:tcPr>
            <w:tcW w:w="1410" w:type="dxa"/>
            <w:tcBorders>
              <w:top w:val="nil"/>
              <w:left w:val="nil"/>
              <w:bottom w:val="nil"/>
              <w:right w:val="nil"/>
            </w:tcBorders>
          </w:tcPr>
          <w:p w14:paraId="003293B7"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0.000</w:t>
            </w:r>
          </w:p>
        </w:tc>
        <w:tc>
          <w:tcPr>
            <w:tcW w:w="1410" w:type="dxa"/>
            <w:tcBorders>
              <w:top w:val="nil"/>
              <w:left w:val="nil"/>
              <w:bottom w:val="nil"/>
              <w:right w:val="nil"/>
            </w:tcBorders>
          </w:tcPr>
          <w:p w14:paraId="2F598336" w14:textId="77777777" w:rsidR="002B6021" w:rsidRPr="0025449B" w:rsidRDefault="002B6021" w:rsidP="002B6021">
            <w:pPr>
              <w:autoSpaceDE w:val="0"/>
              <w:autoSpaceDN w:val="0"/>
              <w:adjustRightInd w:val="0"/>
              <w:jc w:val="center"/>
              <w:rPr>
                <w:kern w:val="0"/>
                <w:sz w:val="21"/>
                <w:szCs w:val="21"/>
              </w:rPr>
            </w:pPr>
          </w:p>
        </w:tc>
        <w:tc>
          <w:tcPr>
            <w:tcW w:w="1410" w:type="dxa"/>
            <w:tcBorders>
              <w:top w:val="nil"/>
              <w:left w:val="nil"/>
              <w:bottom w:val="nil"/>
              <w:right w:val="nil"/>
            </w:tcBorders>
          </w:tcPr>
          <w:p w14:paraId="180B7D25" w14:textId="77777777" w:rsidR="002B6021" w:rsidRPr="0025449B" w:rsidRDefault="002B6021" w:rsidP="002B6021">
            <w:pPr>
              <w:autoSpaceDE w:val="0"/>
              <w:autoSpaceDN w:val="0"/>
              <w:adjustRightInd w:val="0"/>
              <w:jc w:val="center"/>
              <w:rPr>
                <w:kern w:val="0"/>
                <w:sz w:val="21"/>
                <w:szCs w:val="21"/>
              </w:rPr>
            </w:pPr>
          </w:p>
        </w:tc>
        <w:tc>
          <w:tcPr>
            <w:tcW w:w="1410" w:type="dxa"/>
            <w:tcBorders>
              <w:top w:val="nil"/>
              <w:left w:val="nil"/>
              <w:bottom w:val="nil"/>
              <w:right w:val="nil"/>
            </w:tcBorders>
          </w:tcPr>
          <w:p w14:paraId="0BCCC418" w14:textId="77777777" w:rsidR="002B6021" w:rsidRPr="0025449B" w:rsidRDefault="002B6021" w:rsidP="002B6021">
            <w:pPr>
              <w:autoSpaceDE w:val="0"/>
              <w:autoSpaceDN w:val="0"/>
              <w:adjustRightInd w:val="0"/>
              <w:jc w:val="center"/>
              <w:rPr>
                <w:kern w:val="0"/>
                <w:sz w:val="21"/>
                <w:szCs w:val="21"/>
              </w:rPr>
            </w:pPr>
          </w:p>
        </w:tc>
      </w:tr>
      <w:tr w:rsidR="002B6021" w:rsidRPr="0025449B" w14:paraId="25932B34" w14:textId="77777777" w:rsidTr="002B6021">
        <w:trPr>
          <w:trHeight w:val="94"/>
          <w:jc w:val="center"/>
        </w:trPr>
        <w:tc>
          <w:tcPr>
            <w:tcW w:w="1206" w:type="dxa"/>
            <w:tcBorders>
              <w:top w:val="nil"/>
              <w:left w:val="nil"/>
              <w:bottom w:val="nil"/>
              <w:right w:val="nil"/>
            </w:tcBorders>
          </w:tcPr>
          <w:p w14:paraId="083D6A47" w14:textId="77777777" w:rsidR="002B6021" w:rsidRPr="0025449B" w:rsidRDefault="002B6021" w:rsidP="002B6021">
            <w:pPr>
              <w:autoSpaceDE w:val="0"/>
              <w:autoSpaceDN w:val="0"/>
              <w:adjustRightInd w:val="0"/>
              <w:jc w:val="left"/>
              <w:rPr>
                <w:kern w:val="0"/>
                <w:sz w:val="21"/>
                <w:szCs w:val="21"/>
              </w:rPr>
            </w:pPr>
          </w:p>
        </w:tc>
        <w:tc>
          <w:tcPr>
            <w:tcW w:w="1410" w:type="dxa"/>
            <w:tcBorders>
              <w:top w:val="nil"/>
              <w:left w:val="nil"/>
              <w:bottom w:val="nil"/>
              <w:right w:val="nil"/>
            </w:tcBorders>
          </w:tcPr>
          <w:p w14:paraId="3722E76E" w14:textId="77777777" w:rsidR="002B6021" w:rsidRPr="0025449B" w:rsidRDefault="002B6021" w:rsidP="002B6021">
            <w:pPr>
              <w:autoSpaceDE w:val="0"/>
              <w:autoSpaceDN w:val="0"/>
              <w:adjustRightInd w:val="0"/>
              <w:jc w:val="center"/>
              <w:rPr>
                <w:kern w:val="0"/>
                <w:sz w:val="21"/>
                <w:szCs w:val="21"/>
              </w:rPr>
            </w:pPr>
          </w:p>
        </w:tc>
        <w:tc>
          <w:tcPr>
            <w:tcW w:w="1410" w:type="dxa"/>
            <w:tcBorders>
              <w:top w:val="nil"/>
              <w:left w:val="nil"/>
              <w:bottom w:val="nil"/>
              <w:right w:val="nil"/>
            </w:tcBorders>
          </w:tcPr>
          <w:p w14:paraId="5115454C"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(0.000)</w:t>
            </w:r>
          </w:p>
        </w:tc>
        <w:tc>
          <w:tcPr>
            <w:tcW w:w="1410" w:type="dxa"/>
            <w:tcBorders>
              <w:top w:val="nil"/>
              <w:left w:val="nil"/>
              <w:bottom w:val="nil"/>
              <w:right w:val="nil"/>
            </w:tcBorders>
          </w:tcPr>
          <w:p w14:paraId="38104263" w14:textId="77777777" w:rsidR="002B6021" w:rsidRPr="0025449B" w:rsidRDefault="002B6021" w:rsidP="002B6021">
            <w:pPr>
              <w:autoSpaceDE w:val="0"/>
              <w:autoSpaceDN w:val="0"/>
              <w:adjustRightInd w:val="0"/>
              <w:jc w:val="center"/>
              <w:rPr>
                <w:kern w:val="0"/>
                <w:sz w:val="21"/>
                <w:szCs w:val="21"/>
              </w:rPr>
            </w:pPr>
          </w:p>
        </w:tc>
        <w:tc>
          <w:tcPr>
            <w:tcW w:w="1410" w:type="dxa"/>
            <w:tcBorders>
              <w:top w:val="nil"/>
              <w:left w:val="nil"/>
              <w:bottom w:val="nil"/>
              <w:right w:val="nil"/>
            </w:tcBorders>
          </w:tcPr>
          <w:p w14:paraId="62CF9845" w14:textId="77777777" w:rsidR="002B6021" w:rsidRPr="0025449B" w:rsidRDefault="002B6021" w:rsidP="002B6021">
            <w:pPr>
              <w:autoSpaceDE w:val="0"/>
              <w:autoSpaceDN w:val="0"/>
              <w:adjustRightInd w:val="0"/>
              <w:jc w:val="center"/>
              <w:rPr>
                <w:kern w:val="0"/>
                <w:sz w:val="21"/>
                <w:szCs w:val="21"/>
              </w:rPr>
            </w:pPr>
          </w:p>
        </w:tc>
        <w:tc>
          <w:tcPr>
            <w:tcW w:w="1410" w:type="dxa"/>
            <w:tcBorders>
              <w:top w:val="nil"/>
              <w:left w:val="nil"/>
              <w:bottom w:val="nil"/>
              <w:right w:val="nil"/>
            </w:tcBorders>
          </w:tcPr>
          <w:p w14:paraId="511173C5" w14:textId="77777777" w:rsidR="002B6021" w:rsidRPr="0025449B" w:rsidRDefault="002B6021" w:rsidP="002B6021">
            <w:pPr>
              <w:autoSpaceDE w:val="0"/>
              <w:autoSpaceDN w:val="0"/>
              <w:adjustRightInd w:val="0"/>
              <w:jc w:val="center"/>
              <w:rPr>
                <w:kern w:val="0"/>
                <w:sz w:val="21"/>
                <w:szCs w:val="21"/>
              </w:rPr>
            </w:pPr>
          </w:p>
        </w:tc>
      </w:tr>
      <w:tr w:rsidR="002B6021" w:rsidRPr="0025449B" w14:paraId="77CD66C1" w14:textId="77777777" w:rsidTr="002B6021">
        <w:trPr>
          <w:trHeight w:val="97"/>
          <w:jc w:val="center"/>
        </w:trPr>
        <w:tc>
          <w:tcPr>
            <w:tcW w:w="1206" w:type="dxa"/>
            <w:tcBorders>
              <w:top w:val="nil"/>
              <w:left w:val="nil"/>
              <w:bottom w:val="nil"/>
              <w:right w:val="nil"/>
            </w:tcBorders>
          </w:tcPr>
          <w:p w14:paraId="19ED2D2E" w14:textId="77777777" w:rsidR="002B6021" w:rsidRPr="0025449B" w:rsidRDefault="002B6021" w:rsidP="002B6021">
            <w:pPr>
              <w:autoSpaceDE w:val="0"/>
              <w:autoSpaceDN w:val="0"/>
              <w:adjustRightInd w:val="0"/>
              <w:jc w:val="left"/>
              <w:rPr>
                <w:kern w:val="0"/>
                <w:sz w:val="21"/>
                <w:szCs w:val="21"/>
              </w:rPr>
            </w:pPr>
            <w:r w:rsidRPr="0025449B">
              <w:rPr>
                <w:kern w:val="0"/>
                <w:sz w:val="21"/>
                <w:szCs w:val="21"/>
              </w:rPr>
              <w:t>DTA</w:t>
            </w:r>
          </w:p>
        </w:tc>
        <w:tc>
          <w:tcPr>
            <w:tcW w:w="1410" w:type="dxa"/>
            <w:tcBorders>
              <w:top w:val="nil"/>
              <w:left w:val="nil"/>
              <w:bottom w:val="nil"/>
              <w:right w:val="nil"/>
            </w:tcBorders>
          </w:tcPr>
          <w:p w14:paraId="3AEAF588"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8.146</w:t>
            </w:r>
            <w:r w:rsidRPr="0025449B">
              <w:rPr>
                <w:kern w:val="0"/>
                <w:sz w:val="21"/>
                <w:szCs w:val="21"/>
                <w:vertAlign w:val="superscript"/>
              </w:rPr>
              <w:t>***</w:t>
            </w:r>
          </w:p>
        </w:tc>
        <w:tc>
          <w:tcPr>
            <w:tcW w:w="1410" w:type="dxa"/>
            <w:tcBorders>
              <w:top w:val="nil"/>
              <w:left w:val="nil"/>
              <w:bottom w:val="nil"/>
              <w:right w:val="nil"/>
            </w:tcBorders>
          </w:tcPr>
          <w:p w14:paraId="62DA489B"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7.336</w:t>
            </w:r>
            <w:r w:rsidRPr="0025449B">
              <w:rPr>
                <w:kern w:val="0"/>
                <w:sz w:val="21"/>
                <w:szCs w:val="21"/>
                <w:vertAlign w:val="superscript"/>
              </w:rPr>
              <w:t>***</w:t>
            </w:r>
          </w:p>
        </w:tc>
        <w:tc>
          <w:tcPr>
            <w:tcW w:w="1410" w:type="dxa"/>
            <w:tcBorders>
              <w:top w:val="nil"/>
              <w:left w:val="nil"/>
              <w:bottom w:val="nil"/>
              <w:right w:val="nil"/>
            </w:tcBorders>
          </w:tcPr>
          <w:p w14:paraId="6B205938"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3.410</w:t>
            </w:r>
          </w:p>
        </w:tc>
        <w:tc>
          <w:tcPr>
            <w:tcW w:w="1410" w:type="dxa"/>
            <w:tcBorders>
              <w:top w:val="nil"/>
              <w:left w:val="nil"/>
              <w:bottom w:val="nil"/>
              <w:right w:val="nil"/>
            </w:tcBorders>
          </w:tcPr>
          <w:p w14:paraId="530B9D4C"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13.307</w:t>
            </w:r>
            <w:r w:rsidRPr="0025449B">
              <w:rPr>
                <w:kern w:val="0"/>
                <w:sz w:val="21"/>
                <w:szCs w:val="21"/>
                <w:vertAlign w:val="superscript"/>
              </w:rPr>
              <w:t>***</w:t>
            </w:r>
          </w:p>
        </w:tc>
        <w:tc>
          <w:tcPr>
            <w:tcW w:w="1410" w:type="dxa"/>
            <w:tcBorders>
              <w:top w:val="nil"/>
              <w:left w:val="nil"/>
              <w:bottom w:val="nil"/>
              <w:right w:val="nil"/>
            </w:tcBorders>
          </w:tcPr>
          <w:p w14:paraId="7F9E526F"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2.782</w:t>
            </w:r>
          </w:p>
        </w:tc>
      </w:tr>
      <w:tr w:rsidR="002B6021" w:rsidRPr="0025449B" w14:paraId="26391E19" w14:textId="77777777" w:rsidTr="002B6021">
        <w:trPr>
          <w:trHeight w:val="94"/>
          <w:jc w:val="center"/>
        </w:trPr>
        <w:tc>
          <w:tcPr>
            <w:tcW w:w="1206" w:type="dxa"/>
            <w:tcBorders>
              <w:top w:val="nil"/>
              <w:left w:val="nil"/>
              <w:bottom w:val="nil"/>
              <w:right w:val="nil"/>
            </w:tcBorders>
          </w:tcPr>
          <w:p w14:paraId="1DEBF2D3" w14:textId="77777777" w:rsidR="002B6021" w:rsidRPr="0025449B" w:rsidRDefault="002B6021" w:rsidP="002B6021">
            <w:pPr>
              <w:autoSpaceDE w:val="0"/>
              <w:autoSpaceDN w:val="0"/>
              <w:adjustRightInd w:val="0"/>
              <w:jc w:val="left"/>
              <w:rPr>
                <w:kern w:val="0"/>
                <w:sz w:val="21"/>
                <w:szCs w:val="21"/>
              </w:rPr>
            </w:pPr>
          </w:p>
        </w:tc>
        <w:tc>
          <w:tcPr>
            <w:tcW w:w="1410" w:type="dxa"/>
            <w:tcBorders>
              <w:top w:val="nil"/>
              <w:left w:val="nil"/>
              <w:bottom w:val="nil"/>
              <w:right w:val="nil"/>
            </w:tcBorders>
          </w:tcPr>
          <w:p w14:paraId="7FCF541A"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(2.258)</w:t>
            </w:r>
          </w:p>
        </w:tc>
        <w:tc>
          <w:tcPr>
            <w:tcW w:w="1410" w:type="dxa"/>
            <w:tcBorders>
              <w:top w:val="nil"/>
              <w:left w:val="nil"/>
              <w:bottom w:val="nil"/>
              <w:right w:val="nil"/>
            </w:tcBorders>
          </w:tcPr>
          <w:p w14:paraId="4FDA6646"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(2.341)</w:t>
            </w:r>
          </w:p>
        </w:tc>
        <w:tc>
          <w:tcPr>
            <w:tcW w:w="1410" w:type="dxa"/>
            <w:tcBorders>
              <w:top w:val="nil"/>
              <w:left w:val="nil"/>
              <w:bottom w:val="nil"/>
              <w:right w:val="nil"/>
            </w:tcBorders>
          </w:tcPr>
          <w:p w14:paraId="08927CF3"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(2.665)</w:t>
            </w:r>
          </w:p>
        </w:tc>
        <w:tc>
          <w:tcPr>
            <w:tcW w:w="1410" w:type="dxa"/>
            <w:tcBorders>
              <w:top w:val="nil"/>
              <w:left w:val="nil"/>
              <w:bottom w:val="nil"/>
              <w:right w:val="nil"/>
            </w:tcBorders>
          </w:tcPr>
          <w:p w14:paraId="76D030DE"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(3.114)</w:t>
            </w:r>
          </w:p>
        </w:tc>
        <w:tc>
          <w:tcPr>
            <w:tcW w:w="1410" w:type="dxa"/>
            <w:tcBorders>
              <w:top w:val="nil"/>
              <w:left w:val="nil"/>
              <w:bottom w:val="nil"/>
              <w:right w:val="nil"/>
            </w:tcBorders>
          </w:tcPr>
          <w:p w14:paraId="2BEFB680"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(1.777)</w:t>
            </w:r>
          </w:p>
        </w:tc>
      </w:tr>
      <w:tr w:rsidR="002B6021" w:rsidRPr="0025449B" w14:paraId="716C6F76" w14:textId="77777777" w:rsidTr="003C6C2B">
        <w:trPr>
          <w:trHeight w:val="97"/>
          <w:jc w:val="center"/>
        </w:trPr>
        <w:tc>
          <w:tcPr>
            <w:tcW w:w="1206" w:type="dxa"/>
            <w:tcBorders>
              <w:top w:val="nil"/>
              <w:left w:val="nil"/>
              <w:right w:val="nil"/>
            </w:tcBorders>
          </w:tcPr>
          <w:p w14:paraId="78447780" w14:textId="77777777" w:rsidR="002B6021" w:rsidRPr="0025449B" w:rsidRDefault="002B6021" w:rsidP="002B6021">
            <w:pPr>
              <w:autoSpaceDE w:val="0"/>
              <w:autoSpaceDN w:val="0"/>
              <w:adjustRightInd w:val="0"/>
              <w:jc w:val="left"/>
              <w:rPr>
                <w:kern w:val="0"/>
                <w:sz w:val="21"/>
                <w:szCs w:val="21"/>
              </w:rPr>
            </w:pPr>
            <w:r w:rsidRPr="0025449B">
              <w:rPr>
                <w:kern w:val="0"/>
                <w:sz w:val="21"/>
                <w:szCs w:val="21"/>
              </w:rPr>
              <w:t>RD</w:t>
            </w:r>
          </w:p>
        </w:tc>
        <w:tc>
          <w:tcPr>
            <w:tcW w:w="1410" w:type="dxa"/>
            <w:tcBorders>
              <w:top w:val="nil"/>
              <w:left w:val="nil"/>
              <w:right w:val="nil"/>
            </w:tcBorders>
          </w:tcPr>
          <w:p w14:paraId="75A96235"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0.000</w:t>
            </w:r>
            <w:r w:rsidRPr="0025449B">
              <w:rPr>
                <w:kern w:val="0"/>
                <w:sz w:val="21"/>
                <w:szCs w:val="21"/>
                <w:vertAlign w:val="superscript"/>
              </w:rPr>
              <w:t>***</w:t>
            </w:r>
          </w:p>
        </w:tc>
        <w:tc>
          <w:tcPr>
            <w:tcW w:w="1410" w:type="dxa"/>
            <w:tcBorders>
              <w:top w:val="nil"/>
              <w:left w:val="nil"/>
              <w:right w:val="nil"/>
            </w:tcBorders>
          </w:tcPr>
          <w:p w14:paraId="7E297D11"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0.000</w:t>
            </w:r>
            <w:r w:rsidRPr="0025449B">
              <w:rPr>
                <w:kern w:val="0"/>
                <w:sz w:val="21"/>
                <w:szCs w:val="21"/>
                <w:vertAlign w:val="superscript"/>
              </w:rPr>
              <w:t>***</w:t>
            </w:r>
          </w:p>
        </w:tc>
        <w:tc>
          <w:tcPr>
            <w:tcW w:w="1410" w:type="dxa"/>
            <w:tcBorders>
              <w:top w:val="nil"/>
              <w:left w:val="nil"/>
              <w:right w:val="nil"/>
            </w:tcBorders>
          </w:tcPr>
          <w:p w14:paraId="18AFF215"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0.000</w:t>
            </w:r>
            <w:r w:rsidRPr="0025449B">
              <w:rPr>
                <w:kern w:val="0"/>
                <w:sz w:val="21"/>
                <w:szCs w:val="21"/>
                <w:vertAlign w:val="superscript"/>
              </w:rPr>
              <w:t>***</w:t>
            </w:r>
          </w:p>
        </w:tc>
        <w:tc>
          <w:tcPr>
            <w:tcW w:w="1410" w:type="dxa"/>
            <w:tcBorders>
              <w:top w:val="nil"/>
              <w:left w:val="nil"/>
              <w:right w:val="nil"/>
            </w:tcBorders>
          </w:tcPr>
          <w:p w14:paraId="30E6E1AD"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0.000</w:t>
            </w:r>
            <w:r w:rsidRPr="0025449B">
              <w:rPr>
                <w:kern w:val="0"/>
                <w:sz w:val="21"/>
                <w:szCs w:val="21"/>
                <w:vertAlign w:val="superscript"/>
              </w:rPr>
              <w:t>*</w:t>
            </w:r>
          </w:p>
        </w:tc>
        <w:tc>
          <w:tcPr>
            <w:tcW w:w="1410" w:type="dxa"/>
            <w:tcBorders>
              <w:top w:val="nil"/>
              <w:left w:val="nil"/>
              <w:right w:val="nil"/>
            </w:tcBorders>
          </w:tcPr>
          <w:p w14:paraId="246C7FB8"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0.000</w:t>
            </w:r>
            <w:r w:rsidRPr="0025449B">
              <w:rPr>
                <w:kern w:val="0"/>
                <w:sz w:val="21"/>
                <w:szCs w:val="21"/>
                <w:vertAlign w:val="superscript"/>
              </w:rPr>
              <w:t>***</w:t>
            </w:r>
          </w:p>
        </w:tc>
      </w:tr>
      <w:tr w:rsidR="002B6021" w:rsidRPr="0025449B" w14:paraId="673C6CFE" w14:textId="77777777" w:rsidTr="003C6C2B">
        <w:trPr>
          <w:trHeight w:val="97"/>
          <w:jc w:val="center"/>
        </w:trPr>
        <w:tc>
          <w:tcPr>
            <w:tcW w:w="1206" w:type="dxa"/>
            <w:tcBorders>
              <w:top w:val="nil"/>
              <w:left w:val="nil"/>
              <w:bottom w:val="single" w:sz="12" w:space="0" w:color="auto"/>
              <w:right w:val="nil"/>
            </w:tcBorders>
          </w:tcPr>
          <w:p w14:paraId="67FCF5DB" w14:textId="77777777" w:rsidR="002B6021" w:rsidRPr="0025449B" w:rsidRDefault="002B6021" w:rsidP="002B6021">
            <w:pPr>
              <w:autoSpaceDE w:val="0"/>
              <w:autoSpaceDN w:val="0"/>
              <w:adjustRightInd w:val="0"/>
              <w:jc w:val="left"/>
              <w:rPr>
                <w:kern w:val="0"/>
                <w:sz w:val="21"/>
                <w:szCs w:val="21"/>
              </w:rPr>
            </w:pPr>
          </w:p>
        </w:tc>
        <w:tc>
          <w:tcPr>
            <w:tcW w:w="1410" w:type="dxa"/>
            <w:tcBorders>
              <w:top w:val="nil"/>
              <w:left w:val="nil"/>
              <w:bottom w:val="single" w:sz="12" w:space="0" w:color="auto"/>
              <w:right w:val="nil"/>
            </w:tcBorders>
          </w:tcPr>
          <w:p w14:paraId="6E70B34A"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(0.000)</w:t>
            </w:r>
          </w:p>
        </w:tc>
        <w:tc>
          <w:tcPr>
            <w:tcW w:w="1410" w:type="dxa"/>
            <w:tcBorders>
              <w:top w:val="nil"/>
              <w:left w:val="nil"/>
              <w:bottom w:val="single" w:sz="12" w:space="0" w:color="auto"/>
              <w:right w:val="nil"/>
            </w:tcBorders>
          </w:tcPr>
          <w:p w14:paraId="749B0AD3"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(0.000)</w:t>
            </w:r>
          </w:p>
        </w:tc>
        <w:tc>
          <w:tcPr>
            <w:tcW w:w="1410" w:type="dxa"/>
            <w:tcBorders>
              <w:top w:val="nil"/>
              <w:left w:val="nil"/>
              <w:bottom w:val="single" w:sz="12" w:space="0" w:color="auto"/>
              <w:right w:val="nil"/>
            </w:tcBorders>
          </w:tcPr>
          <w:p w14:paraId="7AFB450C"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(0.000)</w:t>
            </w:r>
          </w:p>
        </w:tc>
        <w:tc>
          <w:tcPr>
            <w:tcW w:w="1410" w:type="dxa"/>
            <w:tcBorders>
              <w:top w:val="nil"/>
              <w:left w:val="nil"/>
              <w:bottom w:val="single" w:sz="12" w:space="0" w:color="auto"/>
              <w:right w:val="nil"/>
            </w:tcBorders>
          </w:tcPr>
          <w:p w14:paraId="1494DC11"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(0.000)</w:t>
            </w:r>
          </w:p>
        </w:tc>
        <w:tc>
          <w:tcPr>
            <w:tcW w:w="1410" w:type="dxa"/>
            <w:tcBorders>
              <w:top w:val="nil"/>
              <w:left w:val="nil"/>
              <w:bottom w:val="single" w:sz="12" w:space="0" w:color="auto"/>
              <w:right w:val="nil"/>
            </w:tcBorders>
          </w:tcPr>
          <w:p w14:paraId="2DCB31A6"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(0.000)</w:t>
            </w:r>
          </w:p>
        </w:tc>
      </w:tr>
    </w:tbl>
    <w:p w14:paraId="234FCAF4" w14:textId="77777777" w:rsidR="003C6C2B" w:rsidRDefault="003C6C2B" w:rsidP="003C6C2B">
      <w:pPr>
        <w:spacing w:line="300" w:lineRule="exact"/>
        <w:jc w:val="center"/>
      </w:pPr>
    </w:p>
    <w:p w14:paraId="1BA937C3" w14:textId="16AB0DC1" w:rsidR="002B6021" w:rsidRPr="003C6C2B" w:rsidRDefault="003C6C2B" w:rsidP="003C6C2B">
      <w:pPr>
        <w:spacing w:line="300" w:lineRule="exact"/>
        <w:jc w:val="center"/>
      </w:pPr>
      <w:r>
        <w:rPr>
          <w:rFonts w:ascii="黑体" w:eastAsia="黑体" w:hAnsi="宋体" w:hint="eastAsia"/>
        </w:rPr>
        <w:lastRenderedPageBreak/>
        <w:t>（续）</w:t>
      </w:r>
      <w:r w:rsidR="002B6021" w:rsidRPr="00677FE2">
        <w:rPr>
          <w:rFonts w:ascii="黑体" w:eastAsia="黑体" w:hAnsi="宋体" w:hint="eastAsia"/>
        </w:rPr>
        <w:t>表</w:t>
      </w:r>
      <w:r w:rsidR="002B6021">
        <w:rPr>
          <w:rFonts w:eastAsia="黑体"/>
        </w:rPr>
        <w:t>4</w:t>
      </w:r>
      <w:r w:rsidR="002B6021" w:rsidRPr="00AB6ADE">
        <w:rPr>
          <w:rFonts w:eastAsia="黑体" w:hint="eastAsia"/>
        </w:rPr>
        <w:t>-</w:t>
      </w:r>
      <w:r w:rsidR="002B6021">
        <w:rPr>
          <w:rFonts w:eastAsia="黑体"/>
        </w:rPr>
        <w:t>5</w:t>
      </w:r>
      <w:r w:rsidR="002B6021">
        <w:rPr>
          <w:rFonts w:ascii="黑体" w:eastAsia="黑体" w:hAnsi="宋体" w:hint="eastAsia"/>
        </w:rPr>
        <w:t xml:space="preserve"> </w:t>
      </w:r>
      <w:r w:rsidR="002B6021" w:rsidRPr="00B45778">
        <w:rPr>
          <w:rFonts w:ascii="黑体" w:eastAsia="黑体" w:hAnsi="宋体" w:hint="eastAsia"/>
        </w:rPr>
        <w:t>研发费用作控制变量</w:t>
      </w:r>
      <w:r w:rsidR="002B6021">
        <w:rPr>
          <w:rFonts w:ascii="黑体" w:eastAsia="黑体" w:hAnsi="宋体" w:hint="eastAsia"/>
        </w:rPr>
        <w:t>的稳健性检验结果</w:t>
      </w:r>
    </w:p>
    <w:p w14:paraId="45CCF63A" w14:textId="77777777" w:rsidR="002B6021" w:rsidRPr="0025449B" w:rsidRDefault="002B6021" w:rsidP="002B6021">
      <w:pPr>
        <w:spacing w:line="300" w:lineRule="exact"/>
        <w:ind w:firstLineChars="200" w:firstLine="480"/>
      </w:pPr>
    </w:p>
    <w:tbl>
      <w:tblPr>
        <w:tblW w:w="8256" w:type="dxa"/>
        <w:jc w:val="center"/>
        <w:tblLayout w:type="fixed"/>
        <w:tblLook w:val="0000" w:firstRow="0" w:lastRow="0" w:firstColumn="0" w:lastColumn="0" w:noHBand="0" w:noVBand="0"/>
      </w:tblPr>
      <w:tblGrid>
        <w:gridCol w:w="1206"/>
        <w:gridCol w:w="1410"/>
        <w:gridCol w:w="1410"/>
        <w:gridCol w:w="1410"/>
        <w:gridCol w:w="1410"/>
        <w:gridCol w:w="1410"/>
      </w:tblGrid>
      <w:tr w:rsidR="002B6021" w:rsidRPr="0025449B" w14:paraId="49D091BF" w14:textId="77777777" w:rsidTr="003C6C2B">
        <w:trPr>
          <w:trHeight w:val="94"/>
          <w:jc w:val="center"/>
        </w:trPr>
        <w:tc>
          <w:tcPr>
            <w:tcW w:w="1206" w:type="dxa"/>
            <w:tcBorders>
              <w:top w:val="single" w:sz="12" w:space="0" w:color="auto"/>
              <w:left w:val="nil"/>
              <w:right w:val="nil"/>
            </w:tcBorders>
          </w:tcPr>
          <w:p w14:paraId="630EE65C" w14:textId="77777777" w:rsidR="002B6021" w:rsidRPr="0025449B" w:rsidRDefault="002B6021" w:rsidP="002B6021">
            <w:pPr>
              <w:autoSpaceDE w:val="0"/>
              <w:autoSpaceDN w:val="0"/>
              <w:adjustRightInd w:val="0"/>
              <w:jc w:val="left"/>
              <w:rPr>
                <w:kern w:val="0"/>
                <w:sz w:val="21"/>
                <w:szCs w:val="21"/>
              </w:rPr>
            </w:pPr>
          </w:p>
        </w:tc>
        <w:tc>
          <w:tcPr>
            <w:tcW w:w="1410" w:type="dxa"/>
            <w:tcBorders>
              <w:top w:val="single" w:sz="12" w:space="0" w:color="auto"/>
              <w:left w:val="nil"/>
              <w:right w:val="nil"/>
            </w:tcBorders>
          </w:tcPr>
          <w:p w14:paraId="4DA848B7"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(1)</w:t>
            </w:r>
          </w:p>
        </w:tc>
        <w:tc>
          <w:tcPr>
            <w:tcW w:w="1410" w:type="dxa"/>
            <w:tcBorders>
              <w:top w:val="single" w:sz="12" w:space="0" w:color="auto"/>
              <w:left w:val="nil"/>
              <w:right w:val="nil"/>
            </w:tcBorders>
          </w:tcPr>
          <w:p w14:paraId="4BFA6088"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(2)</w:t>
            </w:r>
          </w:p>
        </w:tc>
        <w:tc>
          <w:tcPr>
            <w:tcW w:w="1410" w:type="dxa"/>
            <w:tcBorders>
              <w:top w:val="single" w:sz="12" w:space="0" w:color="auto"/>
              <w:left w:val="nil"/>
              <w:right w:val="nil"/>
            </w:tcBorders>
          </w:tcPr>
          <w:p w14:paraId="5F562941"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(3)</w:t>
            </w:r>
          </w:p>
        </w:tc>
        <w:tc>
          <w:tcPr>
            <w:tcW w:w="1410" w:type="dxa"/>
            <w:tcBorders>
              <w:top w:val="single" w:sz="12" w:space="0" w:color="auto"/>
              <w:left w:val="nil"/>
              <w:right w:val="nil"/>
            </w:tcBorders>
          </w:tcPr>
          <w:p w14:paraId="07799961"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(4)</w:t>
            </w:r>
          </w:p>
        </w:tc>
        <w:tc>
          <w:tcPr>
            <w:tcW w:w="1410" w:type="dxa"/>
            <w:tcBorders>
              <w:top w:val="single" w:sz="12" w:space="0" w:color="auto"/>
              <w:left w:val="nil"/>
              <w:right w:val="nil"/>
            </w:tcBorders>
          </w:tcPr>
          <w:p w14:paraId="5EFDCDE4"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(5)</w:t>
            </w:r>
          </w:p>
        </w:tc>
      </w:tr>
      <w:tr w:rsidR="002B6021" w:rsidRPr="0025449B" w14:paraId="0BBB48E7" w14:textId="77777777" w:rsidTr="003C6C2B">
        <w:trPr>
          <w:trHeight w:val="97"/>
          <w:jc w:val="center"/>
        </w:trPr>
        <w:tc>
          <w:tcPr>
            <w:tcW w:w="1206" w:type="dxa"/>
            <w:tcBorders>
              <w:top w:val="nil"/>
              <w:left w:val="nil"/>
              <w:bottom w:val="single" w:sz="12" w:space="0" w:color="auto"/>
              <w:right w:val="nil"/>
            </w:tcBorders>
          </w:tcPr>
          <w:p w14:paraId="61743822" w14:textId="77777777" w:rsidR="002B6021" w:rsidRPr="0025449B" w:rsidRDefault="002B6021" w:rsidP="002B6021">
            <w:pPr>
              <w:autoSpaceDE w:val="0"/>
              <w:autoSpaceDN w:val="0"/>
              <w:adjustRightInd w:val="0"/>
              <w:jc w:val="left"/>
              <w:rPr>
                <w:kern w:val="0"/>
                <w:sz w:val="21"/>
                <w:szCs w:val="21"/>
              </w:rPr>
            </w:pPr>
          </w:p>
        </w:tc>
        <w:tc>
          <w:tcPr>
            <w:tcW w:w="1410" w:type="dxa"/>
            <w:tcBorders>
              <w:top w:val="nil"/>
              <w:left w:val="nil"/>
              <w:bottom w:val="single" w:sz="12" w:space="0" w:color="auto"/>
              <w:right w:val="nil"/>
            </w:tcBorders>
          </w:tcPr>
          <w:p w14:paraId="429A51D5"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ESG</w:t>
            </w:r>
          </w:p>
        </w:tc>
        <w:tc>
          <w:tcPr>
            <w:tcW w:w="1410" w:type="dxa"/>
            <w:tcBorders>
              <w:top w:val="nil"/>
              <w:left w:val="nil"/>
              <w:bottom w:val="single" w:sz="12" w:space="0" w:color="auto"/>
              <w:right w:val="nil"/>
            </w:tcBorders>
          </w:tcPr>
          <w:p w14:paraId="35423E48"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ESG</w:t>
            </w:r>
          </w:p>
        </w:tc>
        <w:tc>
          <w:tcPr>
            <w:tcW w:w="1410" w:type="dxa"/>
            <w:tcBorders>
              <w:top w:val="nil"/>
              <w:left w:val="nil"/>
              <w:bottom w:val="single" w:sz="12" w:space="0" w:color="auto"/>
              <w:right w:val="nil"/>
            </w:tcBorders>
          </w:tcPr>
          <w:p w14:paraId="495C2B32"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E</w:t>
            </w:r>
          </w:p>
        </w:tc>
        <w:tc>
          <w:tcPr>
            <w:tcW w:w="1410" w:type="dxa"/>
            <w:tcBorders>
              <w:top w:val="nil"/>
              <w:left w:val="nil"/>
              <w:bottom w:val="single" w:sz="12" w:space="0" w:color="auto"/>
              <w:right w:val="nil"/>
            </w:tcBorders>
          </w:tcPr>
          <w:p w14:paraId="6FF1EB3D"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S</w:t>
            </w:r>
          </w:p>
        </w:tc>
        <w:tc>
          <w:tcPr>
            <w:tcW w:w="1410" w:type="dxa"/>
            <w:tcBorders>
              <w:top w:val="nil"/>
              <w:left w:val="nil"/>
              <w:bottom w:val="single" w:sz="12" w:space="0" w:color="auto"/>
              <w:right w:val="nil"/>
            </w:tcBorders>
          </w:tcPr>
          <w:p w14:paraId="2EDA6757" w14:textId="77777777" w:rsidR="002B6021" w:rsidRPr="0025449B" w:rsidRDefault="002B6021" w:rsidP="002B6021">
            <w:pPr>
              <w:autoSpaceDE w:val="0"/>
              <w:autoSpaceDN w:val="0"/>
              <w:adjustRightInd w:val="0"/>
              <w:jc w:val="center"/>
              <w:rPr>
                <w:kern w:val="0"/>
                <w:sz w:val="21"/>
                <w:szCs w:val="21"/>
              </w:rPr>
            </w:pPr>
            <w:r w:rsidRPr="0025449B">
              <w:rPr>
                <w:kern w:val="0"/>
                <w:sz w:val="21"/>
                <w:szCs w:val="21"/>
              </w:rPr>
              <w:t>G</w:t>
            </w:r>
          </w:p>
        </w:tc>
      </w:tr>
      <w:tr w:rsidR="003C6C2B" w:rsidRPr="0025449B" w14:paraId="7208825F" w14:textId="77777777" w:rsidTr="003C6C2B">
        <w:trPr>
          <w:trHeight w:val="97"/>
          <w:jc w:val="center"/>
        </w:trPr>
        <w:tc>
          <w:tcPr>
            <w:tcW w:w="1206" w:type="dxa"/>
            <w:tcBorders>
              <w:top w:val="single" w:sz="12" w:space="0" w:color="auto"/>
              <w:left w:val="nil"/>
              <w:right w:val="nil"/>
            </w:tcBorders>
          </w:tcPr>
          <w:p w14:paraId="6CFDF76C" w14:textId="77777777" w:rsidR="003C6C2B" w:rsidRPr="0025449B" w:rsidRDefault="003C6C2B" w:rsidP="003C6C2B">
            <w:pPr>
              <w:autoSpaceDE w:val="0"/>
              <w:autoSpaceDN w:val="0"/>
              <w:adjustRightInd w:val="0"/>
              <w:jc w:val="left"/>
              <w:rPr>
                <w:kern w:val="0"/>
                <w:sz w:val="21"/>
                <w:szCs w:val="21"/>
              </w:rPr>
            </w:pPr>
            <w:r w:rsidRPr="0025449B">
              <w:rPr>
                <w:kern w:val="0"/>
                <w:sz w:val="21"/>
                <w:szCs w:val="21"/>
              </w:rPr>
              <w:t>_cons</w:t>
            </w:r>
          </w:p>
        </w:tc>
        <w:tc>
          <w:tcPr>
            <w:tcW w:w="1410" w:type="dxa"/>
            <w:tcBorders>
              <w:top w:val="single" w:sz="12" w:space="0" w:color="auto"/>
              <w:left w:val="nil"/>
              <w:right w:val="nil"/>
            </w:tcBorders>
          </w:tcPr>
          <w:p w14:paraId="6609D3A8" w14:textId="77777777" w:rsidR="003C6C2B" w:rsidRPr="0025449B" w:rsidRDefault="003C6C2B" w:rsidP="00784022">
            <w:pPr>
              <w:autoSpaceDE w:val="0"/>
              <w:autoSpaceDN w:val="0"/>
              <w:adjustRightInd w:val="0"/>
              <w:jc w:val="center"/>
              <w:rPr>
                <w:kern w:val="0"/>
                <w:sz w:val="21"/>
                <w:szCs w:val="21"/>
              </w:rPr>
            </w:pPr>
            <w:r w:rsidRPr="0025449B">
              <w:rPr>
                <w:kern w:val="0"/>
                <w:sz w:val="21"/>
                <w:szCs w:val="21"/>
              </w:rPr>
              <w:t>16.350</w:t>
            </w:r>
            <w:r w:rsidRPr="002B6021">
              <w:rPr>
                <w:kern w:val="0"/>
                <w:sz w:val="21"/>
                <w:szCs w:val="21"/>
              </w:rPr>
              <w:t>***</w:t>
            </w:r>
          </w:p>
        </w:tc>
        <w:tc>
          <w:tcPr>
            <w:tcW w:w="1410" w:type="dxa"/>
            <w:tcBorders>
              <w:top w:val="single" w:sz="12" w:space="0" w:color="auto"/>
              <w:left w:val="nil"/>
              <w:right w:val="nil"/>
            </w:tcBorders>
          </w:tcPr>
          <w:p w14:paraId="2209C3C0" w14:textId="77777777" w:rsidR="003C6C2B" w:rsidRPr="0025449B" w:rsidRDefault="003C6C2B" w:rsidP="00784022">
            <w:pPr>
              <w:autoSpaceDE w:val="0"/>
              <w:autoSpaceDN w:val="0"/>
              <w:adjustRightInd w:val="0"/>
              <w:jc w:val="center"/>
              <w:rPr>
                <w:kern w:val="0"/>
                <w:sz w:val="21"/>
                <w:szCs w:val="21"/>
              </w:rPr>
            </w:pPr>
            <w:r w:rsidRPr="0025449B">
              <w:rPr>
                <w:kern w:val="0"/>
                <w:sz w:val="21"/>
                <w:szCs w:val="21"/>
              </w:rPr>
              <w:t>16.565</w:t>
            </w:r>
            <w:r w:rsidRPr="002B6021">
              <w:rPr>
                <w:kern w:val="0"/>
                <w:sz w:val="21"/>
                <w:szCs w:val="21"/>
              </w:rPr>
              <w:t>***</w:t>
            </w:r>
          </w:p>
        </w:tc>
        <w:tc>
          <w:tcPr>
            <w:tcW w:w="1410" w:type="dxa"/>
            <w:tcBorders>
              <w:top w:val="single" w:sz="12" w:space="0" w:color="auto"/>
              <w:left w:val="nil"/>
              <w:right w:val="nil"/>
            </w:tcBorders>
          </w:tcPr>
          <w:p w14:paraId="6BA76FEB" w14:textId="77777777" w:rsidR="003C6C2B" w:rsidRPr="0025449B" w:rsidRDefault="003C6C2B" w:rsidP="00784022">
            <w:pPr>
              <w:autoSpaceDE w:val="0"/>
              <w:autoSpaceDN w:val="0"/>
              <w:adjustRightInd w:val="0"/>
              <w:jc w:val="center"/>
              <w:rPr>
                <w:kern w:val="0"/>
                <w:sz w:val="21"/>
                <w:szCs w:val="21"/>
              </w:rPr>
            </w:pPr>
            <w:r w:rsidRPr="0025449B">
              <w:rPr>
                <w:kern w:val="0"/>
                <w:sz w:val="21"/>
                <w:szCs w:val="21"/>
              </w:rPr>
              <w:t>6.674</w:t>
            </w:r>
            <w:r w:rsidRPr="002B6021">
              <w:rPr>
                <w:kern w:val="0"/>
                <w:sz w:val="21"/>
                <w:szCs w:val="21"/>
              </w:rPr>
              <w:t>***</w:t>
            </w:r>
          </w:p>
        </w:tc>
        <w:tc>
          <w:tcPr>
            <w:tcW w:w="1410" w:type="dxa"/>
            <w:tcBorders>
              <w:top w:val="single" w:sz="12" w:space="0" w:color="auto"/>
              <w:left w:val="nil"/>
              <w:right w:val="nil"/>
            </w:tcBorders>
          </w:tcPr>
          <w:p w14:paraId="117D7C0A" w14:textId="77777777" w:rsidR="003C6C2B" w:rsidRPr="0025449B" w:rsidRDefault="003C6C2B" w:rsidP="00784022">
            <w:pPr>
              <w:autoSpaceDE w:val="0"/>
              <w:autoSpaceDN w:val="0"/>
              <w:adjustRightInd w:val="0"/>
              <w:jc w:val="center"/>
              <w:rPr>
                <w:kern w:val="0"/>
                <w:sz w:val="21"/>
                <w:szCs w:val="21"/>
              </w:rPr>
            </w:pPr>
            <w:r w:rsidRPr="0025449B">
              <w:rPr>
                <w:kern w:val="0"/>
                <w:sz w:val="21"/>
                <w:szCs w:val="21"/>
              </w:rPr>
              <w:t>16.642</w:t>
            </w:r>
            <w:r w:rsidRPr="002B6021">
              <w:rPr>
                <w:kern w:val="0"/>
                <w:sz w:val="21"/>
                <w:szCs w:val="21"/>
              </w:rPr>
              <w:t>***</w:t>
            </w:r>
          </w:p>
        </w:tc>
        <w:tc>
          <w:tcPr>
            <w:tcW w:w="1410" w:type="dxa"/>
            <w:tcBorders>
              <w:top w:val="single" w:sz="12" w:space="0" w:color="auto"/>
              <w:left w:val="nil"/>
              <w:right w:val="nil"/>
            </w:tcBorders>
          </w:tcPr>
          <w:p w14:paraId="160C543E" w14:textId="77777777" w:rsidR="003C6C2B" w:rsidRPr="0025449B" w:rsidRDefault="003C6C2B" w:rsidP="00784022">
            <w:pPr>
              <w:autoSpaceDE w:val="0"/>
              <w:autoSpaceDN w:val="0"/>
              <w:adjustRightInd w:val="0"/>
              <w:jc w:val="center"/>
              <w:rPr>
                <w:kern w:val="0"/>
                <w:sz w:val="21"/>
                <w:szCs w:val="21"/>
              </w:rPr>
            </w:pPr>
            <w:r w:rsidRPr="0025449B">
              <w:rPr>
                <w:kern w:val="0"/>
                <w:sz w:val="21"/>
                <w:szCs w:val="21"/>
              </w:rPr>
              <w:t>41.647</w:t>
            </w:r>
            <w:r w:rsidRPr="002B6021">
              <w:rPr>
                <w:kern w:val="0"/>
                <w:sz w:val="21"/>
                <w:szCs w:val="21"/>
              </w:rPr>
              <w:t>***</w:t>
            </w:r>
          </w:p>
        </w:tc>
      </w:tr>
      <w:tr w:rsidR="003C6C2B" w:rsidRPr="0025449B" w14:paraId="02BEC4C5" w14:textId="77777777" w:rsidTr="003C6C2B">
        <w:trPr>
          <w:trHeight w:val="97"/>
          <w:jc w:val="center"/>
        </w:trPr>
        <w:tc>
          <w:tcPr>
            <w:tcW w:w="1206" w:type="dxa"/>
            <w:tcBorders>
              <w:top w:val="nil"/>
              <w:left w:val="nil"/>
              <w:right w:val="nil"/>
            </w:tcBorders>
          </w:tcPr>
          <w:p w14:paraId="4B7E6B06" w14:textId="77777777" w:rsidR="003C6C2B" w:rsidRPr="0025449B" w:rsidRDefault="003C6C2B" w:rsidP="003C6C2B">
            <w:pPr>
              <w:autoSpaceDE w:val="0"/>
              <w:autoSpaceDN w:val="0"/>
              <w:adjustRightInd w:val="0"/>
              <w:jc w:val="left"/>
              <w:rPr>
                <w:kern w:val="0"/>
                <w:sz w:val="21"/>
                <w:szCs w:val="21"/>
              </w:rPr>
            </w:pPr>
          </w:p>
        </w:tc>
        <w:tc>
          <w:tcPr>
            <w:tcW w:w="1410" w:type="dxa"/>
            <w:tcBorders>
              <w:top w:val="nil"/>
              <w:left w:val="nil"/>
              <w:right w:val="nil"/>
            </w:tcBorders>
          </w:tcPr>
          <w:p w14:paraId="4BDCB067" w14:textId="77777777" w:rsidR="003C6C2B" w:rsidRPr="0025449B" w:rsidRDefault="003C6C2B" w:rsidP="00784022">
            <w:pPr>
              <w:autoSpaceDE w:val="0"/>
              <w:autoSpaceDN w:val="0"/>
              <w:adjustRightInd w:val="0"/>
              <w:jc w:val="center"/>
              <w:rPr>
                <w:kern w:val="0"/>
                <w:sz w:val="21"/>
                <w:szCs w:val="21"/>
              </w:rPr>
            </w:pPr>
            <w:r w:rsidRPr="0025449B">
              <w:rPr>
                <w:kern w:val="0"/>
                <w:sz w:val="21"/>
                <w:szCs w:val="21"/>
              </w:rPr>
              <w:t>(1.232)</w:t>
            </w:r>
          </w:p>
        </w:tc>
        <w:tc>
          <w:tcPr>
            <w:tcW w:w="1410" w:type="dxa"/>
            <w:tcBorders>
              <w:top w:val="nil"/>
              <w:left w:val="nil"/>
              <w:right w:val="nil"/>
            </w:tcBorders>
          </w:tcPr>
          <w:p w14:paraId="6C68367B" w14:textId="77777777" w:rsidR="003C6C2B" w:rsidRPr="0025449B" w:rsidRDefault="003C6C2B" w:rsidP="00784022">
            <w:pPr>
              <w:autoSpaceDE w:val="0"/>
              <w:autoSpaceDN w:val="0"/>
              <w:adjustRightInd w:val="0"/>
              <w:jc w:val="center"/>
              <w:rPr>
                <w:kern w:val="0"/>
                <w:sz w:val="21"/>
                <w:szCs w:val="21"/>
              </w:rPr>
            </w:pPr>
            <w:r w:rsidRPr="0025449B">
              <w:rPr>
                <w:kern w:val="0"/>
                <w:sz w:val="21"/>
                <w:szCs w:val="21"/>
              </w:rPr>
              <w:t>(1.235)</w:t>
            </w:r>
          </w:p>
        </w:tc>
        <w:tc>
          <w:tcPr>
            <w:tcW w:w="1410" w:type="dxa"/>
            <w:tcBorders>
              <w:top w:val="nil"/>
              <w:left w:val="nil"/>
              <w:right w:val="nil"/>
            </w:tcBorders>
          </w:tcPr>
          <w:p w14:paraId="74FF0F6E" w14:textId="77777777" w:rsidR="003C6C2B" w:rsidRPr="0025449B" w:rsidRDefault="003C6C2B" w:rsidP="00784022">
            <w:pPr>
              <w:autoSpaceDE w:val="0"/>
              <w:autoSpaceDN w:val="0"/>
              <w:adjustRightInd w:val="0"/>
              <w:jc w:val="center"/>
              <w:rPr>
                <w:kern w:val="0"/>
                <w:sz w:val="21"/>
                <w:szCs w:val="21"/>
              </w:rPr>
            </w:pPr>
            <w:r w:rsidRPr="0025449B">
              <w:rPr>
                <w:kern w:val="0"/>
                <w:sz w:val="21"/>
                <w:szCs w:val="21"/>
              </w:rPr>
              <w:t>(1.454)</w:t>
            </w:r>
          </w:p>
        </w:tc>
        <w:tc>
          <w:tcPr>
            <w:tcW w:w="1410" w:type="dxa"/>
            <w:tcBorders>
              <w:top w:val="nil"/>
              <w:left w:val="nil"/>
              <w:right w:val="nil"/>
            </w:tcBorders>
          </w:tcPr>
          <w:p w14:paraId="77FFEDD0" w14:textId="77777777" w:rsidR="003C6C2B" w:rsidRPr="0025449B" w:rsidRDefault="003C6C2B" w:rsidP="00784022">
            <w:pPr>
              <w:autoSpaceDE w:val="0"/>
              <w:autoSpaceDN w:val="0"/>
              <w:adjustRightInd w:val="0"/>
              <w:jc w:val="center"/>
              <w:rPr>
                <w:kern w:val="0"/>
                <w:sz w:val="21"/>
                <w:szCs w:val="21"/>
              </w:rPr>
            </w:pPr>
            <w:r w:rsidRPr="0025449B">
              <w:rPr>
                <w:kern w:val="0"/>
                <w:sz w:val="21"/>
                <w:szCs w:val="21"/>
              </w:rPr>
              <w:t>(1.700)</w:t>
            </w:r>
          </w:p>
        </w:tc>
        <w:tc>
          <w:tcPr>
            <w:tcW w:w="1410" w:type="dxa"/>
            <w:tcBorders>
              <w:top w:val="nil"/>
              <w:left w:val="nil"/>
              <w:right w:val="nil"/>
            </w:tcBorders>
          </w:tcPr>
          <w:p w14:paraId="30533255" w14:textId="77777777" w:rsidR="003C6C2B" w:rsidRPr="0025449B" w:rsidRDefault="003C6C2B" w:rsidP="00784022">
            <w:pPr>
              <w:autoSpaceDE w:val="0"/>
              <w:autoSpaceDN w:val="0"/>
              <w:adjustRightInd w:val="0"/>
              <w:jc w:val="center"/>
              <w:rPr>
                <w:kern w:val="0"/>
                <w:sz w:val="21"/>
                <w:szCs w:val="21"/>
              </w:rPr>
            </w:pPr>
            <w:r w:rsidRPr="0025449B">
              <w:rPr>
                <w:kern w:val="0"/>
                <w:sz w:val="21"/>
                <w:szCs w:val="21"/>
              </w:rPr>
              <w:t>(0.970)</w:t>
            </w:r>
          </w:p>
        </w:tc>
      </w:tr>
      <w:tr w:rsidR="003C6C2B" w:rsidRPr="0025449B" w14:paraId="108BD4D6" w14:textId="77777777" w:rsidTr="003C6C2B">
        <w:trPr>
          <w:trHeight w:val="97"/>
          <w:jc w:val="center"/>
        </w:trPr>
        <w:tc>
          <w:tcPr>
            <w:tcW w:w="1206" w:type="dxa"/>
            <w:tcBorders>
              <w:top w:val="nil"/>
              <w:left w:val="nil"/>
              <w:right w:val="nil"/>
            </w:tcBorders>
          </w:tcPr>
          <w:p w14:paraId="6B8F5D88" w14:textId="77777777" w:rsidR="003C6C2B" w:rsidRPr="0025449B" w:rsidRDefault="003C6C2B" w:rsidP="00784022">
            <w:pPr>
              <w:autoSpaceDE w:val="0"/>
              <w:autoSpaceDN w:val="0"/>
              <w:adjustRightInd w:val="0"/>
              <w:jc w:val="left"/>
              <w:rPr>
                <w:kern w:val="0"/>
                <w:sz w:val="21"/>
                <w:szCs w:val="21"/>
              </w:rPr>
            </w:pPr>
            <w:r w:rsidRPr="0025449B">
              <w:rPr>
                <w:kern w:val="0"/>
                <w:sz w:val="21"/>
                <w:szCs w:val="21"/>
              </w:rPr>
              <w:t>N</w:t>
            </w:r>
          </w:p>
        </w:tc>
        <w:tc>
          <w:tcPr>
            <w:tcW w:w="1410" w:type="dxa"/>
            <w:tcBorders>
              <w:top w:val="nil"/>
              <w:left w:val="nil"/>
              <w:right w:val="nil"/>
            </w:tcBorders>
          </w:tcPr>
          <w:p w14:paraId="76040B70" w14:textId="77777777" w:rsidR="003C6C2B" w:rsidRPr="0025449B" w:rsidRDefault="003C6C2B" w:rsidP="00784022">
            <w:pPr>
              <w:autoSpaceDE w:val="0"/>
              <w:autoSpaceDN w:val="0"/>
              <w:adjustRightInd w:val="0"/>
              <w:jc w:val="center"/>
              <w:rPr>
                <w:kern w:val="0"/>
                <w:sz w:val="21"/>
                <w:szCs w:val="21"/>
              </w:rPr>
            </w:pPr>
            <w:r w:rsidRPr="0025449B">
              <w:rPr>
                <w:kern w:val="0"/>
                <w:sz w:val="21"/>
                <w:szCs w:val="21"/>
              </w:rPr>
              <w:t>318.000</w:t>
            </w:r>
          </w:p>
        </w:tc>
        <w:tc>
          <w:tcPr>
            <w:tcW w:w="1410" w:type="dxa"/>
            <w:tcBorders>
              <w:top w:val="nil"/>
              <w:left w:val="nil"/>
              <w:right w:val="nil"/>
            </w:tcBorders>
          </w:tcPr>
          <w:p w14:paraId="1437C126" w14:textId="77777777" w:rsidR="003C6C2B" w:rsidRPr="0025449B" w:rsidRDefault="003C6C2B" w:rsidP="00784022">
            <w:pPr>
              <w:autoSpaceDE w:val="0"/>
              <w:autoSpaceDN w:val="0"/>
              <w:adjustRightInd w:val="0"/>
              <w:jc w:val="center"/>
              <w:rPr>
                <w:kern w:val="0"/>
                <w:sz w:val="21"/>
                <w:szCs w:val="21"/>
              </w:rPr>
            </w:pPr>
            <w:r w:rsidRPr="0025449B">
              <w:rPr>
                <w:kern w:val="0"/>
                <w:sz w:val="21"/>
                <w:szCs w:val="21"/>
              </w:rPr>
              <w:t>318.000</w:t>
            </w:r>
          </w:p>
        </w:tc>
        <w:tc>
          <w:tcPr>
            <w:tcW w:w="1410" w:type="dxa"/>
            <w:tcBorders>
              <w:top w:val="nil"/>
              <w:left w:val="nil"/>
              <w:right w:val="nil"/>
            </w:tcBorders>
          </w:tcPr>
          <w:p w14:paraId="39F99337" w14:textId="77777777" w:rsidR="003C6C2B" w:rsidRPr="0025449B" w:rsidRDefault="003C6C2B" w:rsidP="00784022">
            <w:pPr>
              <w:autoSpaceDE w:val="0"/>
              <w:autoSpaceDN w:val="0"/>
              <w:adjustRightInd w:val="0"/>
              <w:jc w:val="center"/>
              <w:rPr>
                <w:kern w:val="0"/>
                <w:sz w:val="21"/>
                <w:szCs w:val="21"/>
              </w:rPr>
            </w:pPr>
            <w:r w:rsidRPr="0025449B">
              <w:rPr>
                <w:kern w:val="0"/>
                <w:sz w:val="21"/>
                <w:szCs w:val="21"/>
              </w:rPr>
              <w:t>318.000</w:t>
            </w:r>
          </w:p>
        </w:tc>
        <w:tc>
          <w:tcPr>
            <w:tcW w:w="1410" w:type="dxa"/>
            <w:tcBorders>
              <w:top w:val="nil"/>
              <w:left w:val="nil"/>
              <w:right w:val="nil"/>
            </w:tcBorders>
          </w:tcPr>
          <w:p w14:paraId="3691789A" w14:textId="77777777" w:rsidR="003C6C2B" w:rsidRPr="0025449B" w:rsidRDefault="003C6C2B" w:rsidP="00784022">
            <w:pPr>
              <w:autoSpaceDE w:val="0"/>
              <w:autoSpaceDN w:val="0"/>
              <w:adjustRightInd w:val="0"/>
              <w:jc w:val="center"/>
              <w:rPr>
                <w:kern w:val="0"/>
                <w:sz w:val="21"/>
                <w:szCs w:val="21"/>
              </w:rPr>
            </w:pPr>
            <w:r w:rsidRPr="0025449B">
              <w:rPr>
                <w:kern w:val="0"/>
                <w:sz w:val="21"/>
                <w:szCs w:val="21"/>
              </w:rPr>
              <w:t>318.000</w:t>
            </w:r>
          </w:p>
        </w:tc>
        <w:tc>
          <w:tcPr>
            <w:tcW w:w="1410" w:type="dxa"/>
            <w:tcBorders>
              <w:top w:val="nil"/>
              <w:left w:val="nil"/>
              <w:right w:val="nil"/>
            </w:tcBorders>
          </w:tcPr>
          <w:p w14:paraId="05CC7AB3" w14:textId="77777777" w:rsidR="003C6C2B" w:rsidRPr="0025449B" w:rsidRDefault="003C6C2B" w:rsidP="00784022">
            <w:pPr>
              <w:autoSpaceDE w:val="0"/>
              <w:autoSpaceDN w:val="0"/>
              <w:adjustRightInd w:val="0"/>
              <w:jc w:val="center"/>
              <w:rPr>
                <w:kern w:val="0"/>
                <w:sz w:val="21"/>
                <w:szCs w:val="21"/>
              </w:rPr>
            </w:pPr>
            <w:r w:rsidRPr="0025449B">
              <w:rPr>
                <w:kern w:val="0"/>
                <w:sz w:val="21"/>
                <w:szCs w:val="21"/>
              </w:rPr>
              <w:t>318.000</w:t>
            </w:r>
          </w:p>
        </w:tc>
      </w:tr>
      <w:tr w:rsidR="003C6C2B" w:rsidRPr="0025449B" w14:paraId="68B8A5C1" w14:textId="77777777" w:rsidTr="003C6C2B">
        <w:trPr>
          <w:trHeight w:val="97"/>
          <w:jc w:val="center"/>
        </w:trPr>
        <w:tc>
          <w:tcPr>
            <w:tcW w:w="1206" w:type="dxa"/>
            <w:tcBorders>
              <w:top w:val="nil"/>
              <w:left w:val="nil"/>
              <w:right w:val="nil"/>
            </w:tcBorders>
          </w:tcPr>
          <w:p w14:paraId="5F70C4DF" w14:textId="77777777" w:rsidR="003C6C2B" w:rsidRPr="0025449B" w:rsidRDefault="003C6C2B" w:rsidP="00784022">
            <w:pPr>
              <w:autoSpaceDE w:val="0"/>
              <w:autoSpaceDN w:val="0"/>
              <w:adjustRightInd w:val="0"/>
              <w:jc w:val="left"/>
              <w:rPr>
                <w:kern w:val="0"/>
                <w:sz w:val="21"/>
                <w:szCs w:val="21"/>
              </w:rPr>
            </w:pPr>
            <w:r w:rsidRPr="0025449B">
              <w:rPr>
                <w:kern w:val="0"/>
                <w:sz w:val="21"/>
                <w:szCs w:val="21"/>
              </w:rPr>
              <w:t>r2</w:t>
            </w:r>
          </w:p>
        </w:tc>
        <w:tc>
          <w:tcPr>
            <w:tcW w:w="1410" w:type="dxa"/>
            <w:tcBorders>
              <w:top w:val="nil"/>
              <w:left w:val="nil"/>
              <w:right w:val="nil"/>
            </w:tcBorders>
          </w:tcPr>
          <w:p w14:paraId="043D8285" w14:textId="77777777" w:rsidR="003C6C2B" w:rsidRPr="0025449B" w:rsidRDefault="003C6C2B" w:rsidP="00784022">
            <w:pPr>
              <w:autoSpaceDE w:val="0"/>
              <w:autoSpaceDN w:val="0"/>
              <w:adjustRightInd w:val="0"/>
              <w:jc w:val="center"/>
              <w:rPr>
                <w:kern w:val="0"/>
                <w:sz w:val="21"/>
                <w:szCs w:val="21"/>
              </w:rPr>
            </w:pPr>
            <w:r w:rsidRPr="0025449B">
              <w:rPr>
                <w:kern w:val="0"/>
                <w:sz w:val="21"/>
                <w:szCs w:val="21"/>
              </w:rPr>
              <w:t>0.134</w:t>
            </w:r>
          </w:p>
        </w:tc>
        <w:tc>
          <w:tcPr>
            <w:tcW w:w="1410" w:type="dxa"/>
            <w:tcBorders>
              <w:top w:val="nil"/>
              <w:left w:val="nil"/>
              <w:right w:val="nil"/>
            </w:tcBorders>
          </w:tcPr>
          <w:p w14:paraId="46C4E42F" w14:textId="77777777" w:rsidR="003C6C2B" w:rsidRPr="0025449B" w:rsidRDefault="003C6C2B" w:rsidP="00784022">
            <w:pPr>
              <w:autoSpaceDE w:val="0"/>
              <w:autoSpaceDN w:val="0"/>
              <w:adjustRightInd w:val="0"/>
              <w:jc w:val="center"/>
              <w:rPr>
                <w:kern w:val="0"/>
                <w:sz w:val="21"/>
                <w:szCs w:val="21"/>
              </w:rPr>
            </w:pPr>
            <w:r w:rsidRPr="0025449B">
              <w:rPr>
                <w:kern w:val="0"/>
                <w:sz w:val="21"/>
                <w:szCs w:val="21"/>
              </w:rPr>
              <w:t>0.137</w:t>
            </w:r>
          </w:p>
        </w:tc>
        <w:tc>
          <w:tcPr>
            <w:tcW w:w="1410" w:type="dxa"/>
            <w:tcBorders>
              <w:top w:val="nil"/>
              <w:left w:val="nil"/>
              <w:right w:val="nil"/>
            </w:tcBorders>
          </w:tcPr>
          <w:p w14:paraId="0A72BDF0" w14:textId="77777777" w:rsidR="003C6C2B" w:rsidRPr="0025449B" w:rsidRDefault="003C6C2B" w:rsidP="00784022">
            <w:pPr>
              <w:autoSpaceDE w:val="0"/>
              <w:autoSpaceDN w:val="0"/>
              <w:adjustRightInd w:val="0"/>
              <w:jc w:val="center"/>
              <w:rPr>
                <w:kern w:val="0"/>
                <w:sz w:val="21"/>
                <w:szCs w:val="21"/>
              </w:rPr>
            </w:pPr>
            <w:r w:rsidRPr="0025449B">
              <w:rPr>
                <w:kern w:val="0"/>
                <w:sz w:val="21"/>
                <w:szCs w:val="21"/>
              </w:rPr>
              <w:t>0.112</w:t>
            </w:r>
          </w:p>
        </w:tc>
        <w:tc>
          <w:tcPr>
            <w:tcW w:w="1410" w:type="dxa"/>
            <w:tcBorders>
              <w:top w:val="nil"/>
              <w:left w:val="nil"/>
              <w:right w:val="nil"/>
            </w:tcBorders>
          </w:tcPr>
          <w:p w14:paraId="6EED5203" w14:textId="77777777" w:rsidR="003C6C2B" w:rsidRPr="0025449B" w:rsidRDefault="003C6C2B" w:rsidP="00784022">
            <w:pPr>
              <w:autoSpaceDE w:val="0"/>
              <w:autoSpaceDN w:val="0"/>
              <w:adjustRightInd w:val="0"/>
              <w:jc w:val="center"/>
              <w:rPr>
                <w:kern w:val="0"/>
                <w:sz w:val="21"/>
                <w:szCs w:val="21"/>
              </w:rPr>
            </w:pPr>
            <w:r w:rsidRPr="0025449B">
              <w:rPr>
                <w:kern w:val="0"/>
                <w:sz w:val="21"/>
                <w:szCs w:val="21"/>
              </w:rPr>
              <w:t>0.094</w:t>
            </w:r>
          </w:p>
        </w:tc>
        <w:tc>
          <w:tcPr>
            <w:tcW w:w="1410" w:type="dxa"/>
            <w:tcBorders>
              <w:top w:val="nil"/>
              <w:left w:val="nil"/>
              <w:right w:val="nil"/>
            </w:tcBorders>
          </w:tcPr>
          <w:p w14:paraId="21703547" w14:textId="77777777" w:rsidR="003C6C2B" w:rsidRPr="0025449B" w:rsidRDefault="003C6C2B" w:rsidP="00784022">
            <w:pPr>
              <w:autoSpaceDE w:val="0"/>
              <w:autoSpaceDN w:val="0"/>
              <w:adjustRightInd w:val="0"/>
              <w:jc w:val="center"/>
              <w:rPr>
                <w:kern w:val="0"/>
                <w:sz w:val="21"/>
                <w:szCs w:val="21"/>
              </w:rPr>
            </w:pPr>
            <w:r w:rsidRPr="0025449B">
              <w:rPr>
                <w:kern w:val="0"/>
                <w:sz w:val="21"/>
                <w:szCs w:val="21"/>
              </w:rPr>
              <w:t>0.082</w:t>
            </w:r>
          </w:p>
        </w:tc>
      </w:tr>
      <w:tr w:rsidR="003C6C2B" w:rsidRPr="0025449B" w14:paraId="5E978C39" w14:textId="77777777" w:rsidTr="003C6C2B">
        <w:trPr>
          <w:trHeight w:val="97"/>
          <w:jc w:val="center"/>
        </w:trPr>
        <w:tc>
          <w:tcPr>
            <w:tcW w:w="1206" w:type="dxa"/>
            <w:tcBorders>
              <w:top w:val="nil"/>
              <w:left w:val="nil"/>
              <w:bottom w:val="single" w:sz="12" w:space="0" w:color="auto"/>
              <w:right w:val="nil"/>
            </w:tcBorders>
          </w:tcPr>
          <w:p w14:paraId="0EBBC977" w14:textId="77777777" w:rsidR="003C6C2B" w:rsidRPr="0025449B" w:rsidRDefault="003C6C2B" w:rsidP="00784022">
            <w:pPr>
              <w:autoSpaceDE w:val="0"/>
              <w:autoSpaceDN w:val="0"/>
              <w:adjustRightInd w:val="0"/>
              <w:jc w:val="left"/>
              <w:rPr>
                <w:kern w:val="0"/>
                <w:sz w:val="21"/>
                <w:szCs w:val="21"/>
              </w:rPr>
            </w:pPr>
            <w:r w:rsidRPr="0025449B">
              <w:rPr>
                <w:kern w:val="0"/>
                <w:sz w:val="21"/>
                <w:szCs w:val="21"/>
              </w:rPr>
              <w:t>r2_a</w:t>
            </w:r>
          </w:p>
        </w:tc>
        <w:tc>
          <w:tcPr>
            <w:tcW w:w="1410" w:type="dxa"/>
            <w:tcBorders>
              <w:top w:val="nil"/>
              <w:left w:val="nil"/>
              <w:bottom w:val="single" w:sz="12" w:space="0" w:color="auto"/>
              <w:right w:val="nil"/>
            </w:tcBorders>
          </w:tcPr>
          <w:p w14:paraId="552C805E" w14:textId="77777777" w:rsidR="003C6C2B" w:rsidRPr="0025449B" w:rsidRDefault="003C6C2B" w:rsidP="00784022">
            <w:pPr>
              <w:autoSpaceDE w:val="0"/>
              <w:autoSpaceDN w:val="0"/>
              <w:adjustRightInd w:val="0"/>
              <w:jc w:val="center"/>
              <w:rPr>
                <w:kern w:val="0"/>
                <w:sz w:val="21"/>
                <w:szCs w:val="21"/>
              </w:rPr>
            </w:pPr>
            <w:r w:rsidRPr="0025449B">
              <w:rPr>
                <w:kern w:val="0"/>
                <w:sz w:val="21"/>
                <w:szCs w:val="21"/>
              </w:rPr>
              <w:t>0.120</w:t>
            </w:r>
          </w:p>
        </w:tc>
        <w:tc>
          <w:tcPr>
            <w:tcW w:w="1410" w:type="dxa"/>
            <w:tcBorders>
              <w:top w:val="nil"/>
              <w:left w:val="nil"/>
              <w:bottom w:val="single" w:sz="12" w:space="0" w:color="auto"/>
              <w:right w:val="nil"/>
            </w:tcBorders>
          </w:tcPr>
          <w:p w14:paraId="27458173" w14:textId="77777777" w:rsidR="003C6C2B" w:rsidRPr="0025449B" w:rsidRDefault="003C6C2B" w:rsidP="00784022">
            <w:pPr>
              <w:autoSpaceDE w:val="0"/>
              <w:autoSpaceDN w:val="0"/>
              <w:adjustRightInd w:val="0"/>
              <w:jc w:val="center"/>
              <w:rPr>
                <w:kern w:val="0"/>
                <w:sz w:val="21"/>
                <w:szCs w:val="21"/>
              </w:rPr>
            </w:pPr>
            <w:r w:rsidRPr="0025449B">
              <w:rPr>
                <w:kern w:val="0"/>
                <w:sz w:val="21"/>
                <w:szCs w:val="21"/>
              </w:rPr>
              <w:t>0.124</w:t>
            </w:r>
          </w:p>
        </w:tc>
        <w:tc>
          <w:tcPr>
            <w:tcW w:w="1410" w:type="dxa"/>
            <w:tcBorders>
              <w:top w:val="nil"/>
              <w:left w:val="nil"/>
              <w:bottom w:val="single" w:sz="12" w:space="0" w:color="auto"/>
              <w:right w:val="nil"/>
            </w:tcBorders>
          </w:tcPr>
          <w:p w14:paraId="3083D073" w14:textId="77777777" w:rsidR="003C6C2B" w:rsidRPr="0025449B" w:rsidRDefault="003C6C2B" w:rsidP="00784022">
            <w:pPr>
              <w:autoSpaceDE w:val="0"/>
              <w:autoSpaceDN w:val="0"/>
              <w:adjustRightInd w:val="0"/>
              <w:jc w:val="center"/>
              <w:rPr>
                <w:kern w:val="0"/>
                <w:sz w:val="21"/>
                <w:szCs w:val="21"/>
              </w:rPr>
            </w:pPr>
            <w:r w:rsidRPr="0025449B">
              <w:rPr>
                <w:kern w:val="0"/>
                <w:sz w:val="21"/>
                <w:szCs w:val="21"/>
              </w:rPr>
              <w:t>0.098</w:t>
            </w:r>
          </w:p>
        </w:tc>
        <w:tc>
          <w:tcPr>
            <w:tcW w:w="1410" w:type="dxa"/>
            <w:tcBorders>
              <w:top w:val="nil"/>
              <w:left w:val="nil"/>
              <w:bottom w:val="single" w:sz="12" w:space="0" w:color="auto"/>
              <w:right w:val="nil"/>
            </w:tcBorders>
          </w:tcPr>
          <w:p w14:paraId="4BE0A40B" w14:textId="77777777" w:rsidR="003C6C2B" w:rsidRPr="0025449B" w:rsidRDefault="003C6C2B" w:rsidP="00784022">
            <w:pPr>
              <w:autoSpaceDE w:val="0"/>
              <w:autoSpaceDN w:val="0"/>
              <w:adjustRightInd w:val="0"/>
              <w:jc w:val="center"/>
              <w:rPr>
                <w:kern w:val="0"/>
                <w:sz w:val="21"/>
                <w:szCs w:val="21"/>
              </w:rPr>
            </w:pPr>
            <w:r w:rsidRPr="0025449B">
              <w:rPr>
                <w:kern w:val="0"/>
                <w:sz w:val="21"/>
                <w:szCs w:val="21"/>
              </w:rPr>
              <w:t>0.079</w:t>
            </w:r>
          </w:p>
        </w:tc>
        <w:tc>
          <w:tcPr>
            <w:tcW w:w="1410" w:type="dxa"/>
            <w:tcBorders>
              <w:top w:val="nil"/>
              <w:left w:val="nil"/>
              <w:bottom w:val="single" w:sz="12" w:space="0" w:color="auto"/>
              <w:right w:val="nil"/>
            </w:tcBorders>
          </w:tcPr>
          <w:p w14:paraId="040212CA" w14:textId="77777777" w:rsidR="003C6C2B" w:rsidRPr="0025449B" w:rsidRDefault="003C6C2B" w:rsidP="00784022">
            <w:pPr>
              <w:autoSpaceDE w:val="0"/>
              <w:autoSpaceDN w:val="0"/>
              <w:adjustRightInd w:val="0"/>
              <w:jc w:val="center"/>
              <w:rPr>
                <w:kern w:val="0"/>
                <w:sz w:val="21"/>
                <w:szCs w:val="21"/>
              </w:rPr>
            </w:pPr>
            <w:r w:rsidRPr="0025449B">
              <w:rPr>
                <w:kern w:val="0"/>
                <w:sz w:val="21"/>
                <w:szCs w:val="21"/>
              </w:rPr>
              <w:t>0.068</w:t>
            </w:r>
          </w:p>
        </w:tc>
      </w:tr>
    </w:tbl>
    <w:p w14:paraId="743D5C9D" w14:textId="3B3B5BA9" w:rsidR="0058675C" w:rsidRPr="003C6C2B" w:rsidRDefault="00447037" w:rsidP="003C6C2B">
      <w:pPr>
        <w:autoSpaceDE w:val="0"/>
        <w:autoSpaceDN w:val="0"/>
        <w:adjustRightInd w:val="0"/>
        <w:jc w:val="left"/>
        <w:rPr>
          <w:kern w:val="0"/>
          <w:sz w:val="21"/>
          <w:szCs w:val="21"/>
        </w:rPr>
      </w:pPr>
      <w:r>
        <w:rPr>
          <w:rFonts w:hint="eastAsia"/>
          <w:kern w:val="0"/>
          <w:sz w:val="21"/>
          <w:szCs w:val="21"/>
        </w:rPr>
        <w:t>注：</w:t>
      </w:r>
      <w:r w:rsidR="00B25C40" w:rsidRPr="0025449B">
        <w:rPr>
          <w:kern w:val="0"/>
          <w:sz w:val="21"/>
          <w:szCs w:val="21"/>
          <w:vertAlign w:val="superscript"/>
        </w:rPr>
        <w:t>*</w:t>
      </w:r>
      <w:r w:rsidR="00B25C40" w:rsidRPr="0025449B">
        <w:rPr>
          <w:kern w:val="0"/>
          <w:sz w:val="21"/>
          <w:szCs w:val="21"/>
        </w:rPr>
        <w:t xml:space="preserve"> </w:t>
      </w:r>
      <w:r w:rsidR="00B25C40" w:rsidRPr="0025449B">
        <w:rPr>
          <w:i/>
          <w:iCs/>
          <w:kern w:val="0"/>
          <w:sz w:val="21"/>
          <w:szCs w:val="21"/>
        </w:rPr>
        <w:t>p</w:t>
      </w:r>
      <w:r w:rsidR="00B25C40" w:rsidRPr="0025449B">
        <w:rPr>
          <w:kern w:val="0"/>
          <w:sz w:val="21"/>
          <w:szCs w:val="21"/>
        </w:rPr>
        <w:t xml:space="preserve"> &lt; 0.1, </w:t>
      </w:r>
      <w:r w:rsidR="00B25C40" w:rsidRPr="0025449B">
        <w:rPr>
          <w:kern w:val="0"/>
          <w:sz w:val="21"/>
          <w:szCs w:val="21"/>
          <w:vertAlign w:val="superscript"/>
        </w:rPr>
        <w:t>**</w:t>
      </w:r>
      <w:r w:rsidR="00B25C40" w:rsidRPr="0025449B">
        <w:rPr>
          <w:kern w:val="0"/>
          <w:sz w:val="21"/>
          <w:szCs w:val="21"/>
        </w:rPr>
        <w:t xml:space="preserve"> </w:t>
      </w:r>
      <w:r w:rsidR="00B25C40" w:rsidRPr="0025449B">
        <w:rPr>
          <w:i/>
          <w:iCs/>
          <w:kern w:val="0"/>
          <w:sz w:val="21"/>
          <w:szCs w:val="21"/>
        </w:rPr>
        <w:t>p</w:t>
      </w:r>
      <w:r w:rsidR="00B25C40" w:rsidRPr="0025449B">
        <w:rPr>
          <w:kern w:val="0"/>
          <w:sz w:val="21"/>
          <w:szCs w:val="21"/>
        </w:rPr>
        <w:t xml:space="preserve"> &lt; 0.05, </w:t>
      </w:r>
      <w:r w:rsidR="00B25C40" w:rsidRPr="0025449B">
        <w:rPr>
          <w:kern w:val="0"/>
          <w:sz w:val="21"/>
          <w:szCs w:val="21"/>
          <w:vertAlign w:val="superscript"/>
        </w:rPr>
        <w:t>***</w:t>
      </w:r>
      <w:r w:rsidR="00B25C40" w:rsidRPr="0025449B">
        <w:rPr>
          <w:kern w:val="0"/>
          <w:sz w:val="21"/>
          <w:szCs w:val="21"/>
        </w:rPr>
        <w:t xml:space="preserve"> </w:t>
      </w:r>
      <w:r w:rsidR="00B25C40" w:rsidRPr="0025449B">
        <w:rPr>
          <w:i/>
          <w:iCs/>
          <w:kern w:val="0"/>
          <w:sz w:val="21"/>
          <w:szCs w:val="21"/>
        </w:rPr>
        <w:t>p</w:t>
      </w:r>
      <w:r w:rsidR="00B25C40" w:rsidRPr="0025449B">
        <w:rPr>
          <w:kern w:val="0"/>
          <w:sz w:val="21"/>
          <w:szCs w:val="21"/>
        </w:rPr>
        <w:t xml:space="preserve"> &lt; 0.01</w:t>
      </w:r>
    </w:p>
    <w:p w14:paraId="0140BFEA" w14:textId="4357C01A" w:rsidR="00B07956" w:rsidRDefault="00FF517A" w:rsidP="00B07956">
      <w:pPr>
        <w:pStyle w:val="2"/>
        <w:spacing w:before="163" w:after="163"/>
      </w:pPr>
      <w:bookmarkStart w:id="116" w:name="_Toc104478877"/>
      <w:r>
        <w:rPr>
          <w:rFonts w:cs="Times New Roman"/>
        </w:rPr>
        <w:t>4</w:t>
      </w:r>
      <w:r w:rsidR="00B07956" w:rsidRPr="00855C85">
        <w:rPr>
          <w:rFonts w:cs="Times New Roman"/>
        </w:rPr>
        <w:t>.4</w:t>
      </w:r>
      <w:r w:rsidR="00CB2073">
        <w:rPr>
          <w:rFonts w:cs="Times New Roman"/>
        </w:rPr>
        <w:t xml:space="preserve"> </w:t>
      </w:r>
      <w:r w:rsidR="00E675BE">
        <w:rPr>
          <w:rFonts w:cs="Times New Roman" w:hint="eastAsia"/>
        </w:rPr>
        <w:t>内生性问题</w:t>
      </w:r>
      <w:bookmarkEnd w:id="116"/>
    </w:p>
    <w:p w14:paraId="56293FA7" w14:textId="17AF4A88" w:rsidR="00447037" w:rsidRDefault="00447037" w:rsidP="0058675C">
      <w:pPr>
        <w:ind w:firstLineChars="200" w:firstLine="480"/>
      </w:pPr>
      <w:r>
        <w:rPr>
          <w:rFonts w:hint="eastAsia"/>
        </w:rPr>
        <w:t>股权激励下高管的激励效应和风险承担效应对企业</w:t>
      </w:r>
      <w:r>
        <w:rPr>
          <w:rFonts w:hint="eastAsia"/>
        </w:rPr>
        <w:t>ESG</w:t>
      </w:r>
      <w:r>
        <w:rPr>
          <w:rFonts w:hint="eastAsia"/>
        </w:rPr>
        <w:t>评分的影响的研究不能忽视很重要的内生性问题</w:t>
      </w:r>
      <w:r w:rsidR="00B07956" w:rsidRPr="00656DBF">
        <w:rPr>
          <w:rFonts w:hint="eastAsia"/>
        </w:rPr>
        <w:t>，本文利用工具变量法进行</w:t>
      </w:r>
      <w:r w:rsidR="00D70BC4">
        <w:rPr>
          <w:rFonts w:hint="eastAsia"/>
        </w:rPr>
        <w:t>再次回归与前文进行对比</w:t>
      </w:r>
      <w:r w:rsidR="00B07956" w:rsidRPr="00656DBF">
        <w:rPr>
          <w:rFonts w:hint="eastAsia"/>
        </w:rPr>
        <w:t>。</w:t>
      </w:r>
      <w:r w:rsidR="00710D3A">
        <w:rPr>
          <w:rFonts w:hint="eastAsia"/>
        </w:rPr>
        <w:t>按照</w:t>
      </w:r>
      <w:r>
        <w:rPr>
          <w:rFonts w:hint="eastAsia"/>
        </w:rPr>
        <w:t>前文所述的文献中的</w:t>
      </w:r>
      <w:r w:rsidR="00B07956" w:rsidRPr="00656DBF">
        <w:rPr>
          <w:rFonts w:hint="eastAsia"/>
        </w:rPr>
        <w:t>Core</w:t>
      </w:r>
      <w:r w:rsidR="00A24F84">
        <w:rPr>
          <w:rFonts w:hint="eastAsia"/>
        </w:rPr>
        <w:t>等</w:t>
      </w:r>
      <w:r w:rsidR="00B00E92" w:rsidRPr="00B00E92">
        <w:rPr>
          <w:vertAlign w:val="superscript"/>
        </w:rPr>
        <w:fldChar w:fldCharType="begin"/>
      </w:r>
      <w:r w:rsidR="00B00E92" w:rsidRPr="00B00E92">
        <w:rPr>
          <w:vertAlign w:val="superscript"/>
        </w:rPr>
        <w:instrText xml:space="preserve"> </w:instrText>
      </w:r>
      <w:r w:rsidR="00B00E92" w:rsidRPr="00B00E92">
        <w:rPr>
          <w:rFonts w:hint="eastAsia"/>
          <w:vertAlign w:val="superscript"/>
        </w:rPr>
        <w:instrText>REF _Ref102397198 \r \h</w:instrText>
      </w:r>
      <w:r w:rsidR="00B00E92" w:rsidRPr="00B00E92">
        <w:rPr>
          <w:vertAlign w:val="superscript"/>
        </w:rPr>
        <w:instrText xml:space="preserve"> </w:instrText>
      </w:r>
      <w:r w:rsidR="00B00E92">
        <w:rPr>
          <w:vertAlign w:val="superscript"/>
        </w:rPr>
        <w:instrText xml:space="preserve"> \* MERGEFORMAT </w:instrText>
      </w:r>
      <w:r w:rsidR="00B00E92" w:rsidRPr="00B00E92">
        <w:rPr>
          <w:vertAlign w:val="superscript"/>
        </w:rPr>
      </w:r>
      <w:r w:rsidR="00B00E92" w:rsidRPr="00B00E92">
        <w:rPr>
          <w:vertAlign w:val="superscript"/>
        </w:rPr>
        <w:fldChar w:fldCharType="separate"/>
      </w:r>
      <w:r w:rsidR="00AA0519">
        <w:rPr>
          <w:vertAlign w:val="superscript"/>
        </w:rPr>
        <w:t>[19]</w:t>
      </w:r>
      <w:r w:rsidR="00B00E92" w:rsidRPr="00B00E92">
        <w:rPr>
          <w:vertAlign w:val="superscript"/>
        </w:rPr>
        <w:fldChar w:fldCharType="end"/>
      </w:r>
      <w:r>
        <w:rPr>
          <w:rFonts w:hint="eastAsia"/>
        </w:rPr>
        <w:t>理论</w:t>
      </w:r>
      <w:r w:rsidR="00B07956" w:rsidRPr="00656DBF">
        <w:rPr>
          <w:rFonts w:hint="eastAsia"/>
        </w:rPr>
        <w:t>，</w:t>
      </w:r>
      <w:r w:rsidR="00B07956" w:rsidRPr="00656DBF">
        <w:rPr>
          <w:rFonts w:hint="eastAsia"/>
        </w:rPr>
        <w:t>Vega</w:t>
      </w:r>
      <w:r w:rsidR="00B07956" w:rsidRPr="00656DBF">
        <w:rPr>
          <w:rFonts w:hint="eastAsia"/>
        </w:rPr>
        <w:t>的工具变量是同年度同行业其他</w:t>
      </w:r>
      <w:r w:rsidR="00710D3A">
        <w:rPr>
          <w:rFonts w:hint="eastAsia"/>
        </w:rPr>
        <w:t>公司</w:t>
      </w:r>
      <w:r w:rsidR="00B07956" w:rsidRPr="00656DBF">
        <w:rPr>
          <w:rFonts w:hint="eastAsia"/>
        </w:rPr>
        <w:t xml:space="preserve"> Vega </w:t>
      </w:r>
      <w:r w:rsidR="00B07956" w:rsidRPr="00656DBF">
        <w:rPr>
          <w:rFonts w:hint="eastAsia"/>
        </w:rPr>
        <w:t>的均值，</w:t>
      </w:r>
      <w:r w:rsidR="0021396F">
        <w:rPr>
          <w:rFonts w:hint="eastAsia"/>
        </w:rPr>
        <w:t>表</w:t>
      </w:r>
      <w:r w:rsidR="0021396F">
        <w:rPr>
          <w:rFonts w:hint="eastAsia"/>
        </w:rPr>
        <w:t>4</w:t>
      </w:r>
      <w:r w:rsidR="0021396F">
        <w:t>-</w:t>
      </w:r>
      <w:r>
        <w:t>6</w:t>
      </w:r>
      <w:r w:rsidR="0021396F">
        <w:rPr>
          <w:rFonts w:hint="eastAsia"/>
        </w:rPr>
        <w:t>的</w:t>
      </w:r>
      <w:r w:rsidR="00E675BE">
        <w:rPr>
          <w:rFonts w:hint="eastAsia"/>
        </w:rPr>
        <w:t>两种模型下的</w:t>
      </w:r>
      <w:r w:rsidR="0021396F">
        <w:rPr>
          <w:rFonts w:hint="eastAsia"/>
        </w:rPr>
        <w:t>工具变量检验</w:t>
      </w:r>
      <w:r w:rsidR="00D70BC4">
        <w:rPr>
          <w:rFonts w:hint="eastAsia"/>
        </w:rPr>
        <w:t>回归</w:t>
      </w:r>
      <w:r w:rsidR="0021396F">
        <w:rPr>
          <w:rFonts w:hint="eastAsia"/>
        </w:rPr>
        <w:t>下的</w:t>
      </w:r>
      <w:r w:rsidR="00D70BC4">
        <w:rPr>
          <w:rFonts w:hint="eastAsia"/>
        </w:rPr>
        <w:t>自变量、控制变量</w:t>
      </w:r>
      <w:r w:rsidR="00B07956" w:rsidRPr="00656DBF">
        <w:rPr>
          <w:rFonts w:hint="eastAsia"/>
        </w:rPr>
        <w:t>的回归</w:t>
      </w:r>
      <w:r w:rsidR="00D70BC4">
        <w:rPr>
          <w:rFonts w:hint="eastAsia"/>
        </w:rPr>
        <w:t>系数与显著水平</w:t>
      </w:r>
      <w:r w:rsidR="00710D3A">
        <w:rPr>
          <w:rFonts w:hint="eastAsia"/>
        </w:rPr>
        <w:t>依然</w:t>
      </w:r>
      <w:r w:rsidR="00D70BC4">
        <w:rPr>
          <w:rFonts w:hint="eastAsia"/>
        </w:rPr>
        <w:t>基本</w:t>
      </w:r>
      <w:r w:rsidR="00B07956" w:rsidRPr="00656DBF">
        <w:rPr>
          <w:rFonts w:hint="eastAsia"/>
        </w:rPr>
        <w:t>与前文一致</w:t>
      </w:r>
      <w:r w:rsidR="00896D17">
        <w:rPr>
          <w:rFonts w:hint="eastAsia"/>
        </w:rPr>
        <w:t>，</w:t>
      </w:r>
      <w:r w:rsidR="00D70BC4">
        <w:rPr>
          <w:rFonts w:hint="eastAsia"/>
        </w:rPr>
        <w:t>所以</w:t>
      </w:r>
      <w:r w:rsidR="00896D17">
        <w:rPr>
          <w:rFonts w:hint="eastAsia"/>
        </w:rPr>
        <w:t>基本可以</w:t>
      </w:r>
      <w:r>
        <w:rPr>
          <w:rFonts w:hint="eastAsia"/>
        </w:rPr>
        <w:t>排除</w:t>
      </w:r>
      <w:r w:rsidR="00896D17">
        <w:rPr>
          <w:rFonts w:hint="eastAsia"/>
        </w:rPr>
        <w:t>本研究中主要的内生性问题</w:t>
      </w:r>
      <w:r w:rsidR="0058675C">
        <w:rPr>
          <w:rFonts w:hint="eastAsia"/>
        </w:rPr>
        <w:t>。</w:t>
      </w:r>
    </w:p>
    <w:p w14:paraId="00DD6D96" w14:textId="77777777" w:rsidR="003C6C2B" w:rsidRDefault="003C6C2B" w:rsidP="003C6C2B">
      <w:pPr>
        <w:spacing w:line="300" w:lineRule="exact"/>
        <w:jc w:val="center"/>
      </w:pPr>
    </w:p>
    <w:p w14:paraId="3D224F56" w14:textId="72855A13" w:rsidR="003C6C2B" w:rsidRDefault="003C6C2B" w:rsidP="003C6C2B">
      <w:pPr>
        <w:spacing w:line="300" w:lineRule="exact"/>
        <w:jc w:val="center"/>
        <w:rPr>
          <w:rFonts w:ascii="黑体" w:eastAsia="黑体" w:hAnsi="宋体"/>
        </w:rPr>
      </w:pPr>
      <w:r w:rsidRPr="00677FE2">
        <w:rPr>
          <w:rFonts w:ascii="黑体" w:eastAsia="黑体" w:hAnsi="宋体" w:hint="eastAsia"/>
        </w:rPr>
        <w:t>表</w:t>
      </w:r>
      <w:r>
        <w:rPr>
          <w:rFonts w:eastAsia="黑体"/>
        </w:rPr>
        <w:t>4</w:t>
      </w:r>
      <w:r w:rsidRPr="00AB6ADE">
        <w:rPr>
          <w:rFonts w:eastAsia="黑体" w:hint="eastAsia"/>
        </w:rPr>
        <w:t>-</w:t>
      </w:r>
      <w:r>
        <w:rPr>
          <w:rFonts w:eastAsia="黑体"/>
        </w:rPr>
        <w:t>6</w:t>
      </w:r>
      <w:r>
        <w:rPr>
          <w:rFonts w:ascii="黑体" w:eastAsia="黑体" w:hAnsi="宋体" w:hint="eastAsia"/>
        </w:rPr>
        <w:t xml:space="preserve"> 工具变量法检验结果</w:t>
      </w:r>
    </w:p>
    <w:p w14:paraId="684A7087" w14:textId="77777777" w:rsidR="003C6C2B" w:rsidRPr="00331558" w:rsidRDefault="003C6C2B" w:rsidP="003C6C2B">
      <w:pPr>
        <w:spacing w:line="300" w:lineRule="exact"/>
        <w:jc w:val="center"/>
        <w:rPr>
          <w:rFonts w:ascii="黑体" w:eastAsia="黑体" w:hAnsi="宋体"/>
        </w:rPr>
      </w:pPr>
    </w:p>
    <w:tbl>
      <w:tblPr>
        <w:tblW w:w="6516" w:type="dxa"/>
        <w:jc w:val="center"/>
        <w:tblLayout w:type="fixed"/>
        <w:tblLook w:val="0000" w:firstRow="0" w:lastRow="0" w:firstColumn="0" w:lastColumn="0" w:noHBand="0" w:noVBand="0"/>
      </w:tblPr>
      <w:tblGrid>
        <w:gridCol w:w="1222"/>
        <w:gridCol w:w="2647"/>
        <w:gridCol w:w="2647"/>
      </w:tblGrid>
      <w:tr w:rsidR="003C6C2B" w:rsidRPr="00E675BE" w14:paraId="65174F0E" w14:textId="77777777" w:rsidTr="00950917">
        <w:trPr>
          <w:trHeight w:val="529"/>
          <w:jc w:val="center"/>
        </w:trPr>
        <w:tc>
          <w:tcPr>
            <w:tcW w:w="1222" w:type="dxa"/>
            <w:tcBorders>
              <w:top w:val="single" w:sz="12" w:space="0" w:color="auto"/>
              <w:left w:val="nil"/>
              <w:right w:val="nil"/>
            </w:tcBorders>
          </w:tcPr>
          <w:p w14:paraId="0ACBE687" w14:textId="77777777" w:rsidR="003C6C2B" w:rsidRPr="00E675BE" w:rsidRDefault="003C6C2B" w:rsidP="00950917">
            <w:pPr>
              <w:autoSpaceDE w:val="0"/>
              <w:autoSpaceDN w:val="0"/>
              <w:adjustRightInd w:val="0"/>
              <w:jc w:val="left"/>
              <w:rPr>
                <w:rFonts w:eastAsia="等线"/>
                <w:kern w:val="0"/>
                <w:sz w:val="21"/>
                <w:szCs w:val="21"/>
              </w:rPr>
            </w:pPr>
          </w:p>
        </w:tc>
        <w:tc>
          <w:tcPr>
            <w:tcW w:w="2647" w:type="dxa"/>
            <w:tcBorders>
              <w:top w:val="single" w:sz="12" w:space="0" w:color="auto"/>
              <w:left w:val="nil"/>
              <w:right w:val="nil"/>
            </w:tcBorders>
          </w:tcPr>
          <w:p w14:paraId="4B5789B5" w14:textId="77777777" w:rsidR="003C6C2B" w:rsidRPr="00E675BE" w:rsidRDefault="003C6C2B" w:rsidP="00950917">
            <w:pPr>
              <w:autoSpaceDE w:val="0"/>
              <w:autoSpaceDN w:val="0"/>
              <w:adjustRightInd w:val="0"/>
              <w:ind w:firstLineChars="400" w:firstLine="840"/>
              <w:rPr>
                <w:rFonts w:ascii="宋体" w:hAnsi="宋体"/>
                <w:kern w:val="0"/>
                <w:sz w:val="21"/>
                <w:szCs w:val="21"/>
              </w:rPr>
            </w:pPr>
            <w:r w:rsidRPr="00E675BE">
              <w:rPr>
                <w:rFonts w:ascii="宋体" w:hAnsi="宋体"/>
                <w:kern w:val="0"/>
                <w:sz w:val="21"/>
                <w:szCs w:val="21"/>
              </w:rPr>
              <w:t>模型</w:t>
            </w:r>
            <w:r w:rsidRPr="00E675BE">
              <w:rPr>
                <w:kern w:val="0"/>
                <w:sz w:val="21"/>
                <w:szCs w:val="21"/>
              </w:rPr>
              <w:t>3-1</w:t>
            </w:r>
          </w:p>
        </w:tc>
        <w:tc>
          <w:tcPr>
            <w:tcW w:w="2647" w:type="dxa"/>
            <w:tcBorders>
              <w:top w:val="single" w:sz="12" w:space="0" w:color="auto"/>
              <w:left w:val="nil"/>
              <w:right w:val="nil"/>
            </w:tcBorders>
          </w:tcPr>
          <w:p w14:paraId="784AB539" w14:textId="77777777" w:rsidR="003C6C2B" w:rsidRPr="00E675BE" w:rsidRDefault="003C6C2B" w:rsidP="00950917">
            <w:pPr>
              <w:autoSpaceDE w:val="0"/>
              <w:autoSpaceDN w:val="0"/>
              <w:adjustRightInd w:val="0"/>
              <w:ind w:firstLineChars="400" w:firstLine="840"/>
              <w:rPr>
                <w:rFonts w:ascii="宋体" w:hAnsi="宋体"/>
                <w:kern w:val="0"/>
                <w:sz w:val="21"/>
                <w:szCs w:val="21"/>
              </w:rPr>
            </w:pPr>
            <w:r w:rsidRPr="00E675BE">
              <w:rPr>
                <w:rFonts w:ascii="宋体" w:hAnsi="宋体"/>
                <w:kern w:val="0"/>
                <w:sz w:val="21"/>
                <w:szCs w:val="21"/>
              </w:rPr>
              <w:t>模型</w:t>
            </w:r>
            <w:r w:rsidRPr="00E675BE">
              <w:rPr>
                <w:kern w:val="0"/>
                <w:sz w:val="21"/>
                <w:szCs w:val="21"/>
              </w:rPr>
              <w:t>3-2</w:t>
            </w:r>
          </w:p>
        </w:tc>
      </w:tr>
      <w:tr w:rsidR="003C6C2B" w:rsidRPr="00E675BE" w14:paraId="6B33AC9E" w14:textId="77777777" w:rsidTr="00950917">
        <w:trPr>
          <w:trHeight w:val="529"/>
          <w:jc w:val="center"/>
        </w:trPr>
        <w:tc>
          <w:tcPr>
            <w:tcW w:w="1222" w:type="dxa"/>
            <w:tcBorders>
              <w:top w:val="nil"/>
              <w:left w:val="nil"/>
              <w:bottom w:val="single" w:sz="4" w:space="0" w:color="auto"/>
              <w:right w:val="nil"/>
            </w:tcBorders>
          </w:tcPr>
          <w:p w14:paraId="4A40B5F6" w14:textId="77777777" w:rsidR="003C6C2B" w:rsidRPr="00E675BE" w:rsidRDefault="003C6C2B" w:rsidP="00950917">
            <w:pPr>
              <w:autoSpaceDE w:val="0"/>
              <w:autoSpaceDN w:val="0"/>
              <w:adjustRightInd w:val="0"/>
              <w:jc w:val="left"/>
              <w:rPr>
                <w:rFonts w:eastAsia="等线"/>
                <w:kern w:val="0"/>
                <w:sz w:val="21"/>
                <w:szCs w:val="21"/>
              </w:rPr>
            </w:pPr>
          </w:p>
        </w:tc>
        <w:tc>
          <w:tcPr>
            <w:tcW w:w="2647" w:type="dxa"/>
            <w:tcBorders>
              <w:top w:val="nil"/>
              <w:left w:val="nil"/>
              <w:bottom w:val="single" w:sz="4" w:space="0" w:color="auto"/>
              <w:right w:val="nil"/>
            </w:tcBorders>
          </w:tcPr>
          <w:p w14:paraId="2F916B18" w14:textId="77777777" w:rsidR="003C6C2B" w:rsidRPr="00E675BE" w:rsidRDefault="003C6C2B" w:rsidP="00950917">
            <w:pPr>
              <w:autoSpaceDE w:val="0"/>
              <w:autoSpaceDN w:val="0"/>
              <w:adjustRightInd w:val="0"/>
              <w:jc w:val="center"/>
              <w:rPr>
                <w:rFonts w:eastAsia="等线"/>
                <w:kern w:val="0"/>
                <w:sz w:val="21"/>
                <w:szCs w:val="21"/>
              </w:rPr>
            </w:pPr>
            <w:r w:rsidRPr="00E675BE">
              <w:rPr>
                <w:kern w:val="0"/>
                <w:sz w:val="21"/>
                <w:szCs w:val="21"/>
              </w:rPr>
              <w:t>ESG</w:t>
            </w:r>
          </w:p>
        </w:tc>
        <w:tc>
          <w:tcPr>
            <w:tcW w:w="2647" w:type="dxa"/>
            <w:tcBorders>
              <w:top w:val="nil"/>
              <w:left w:val="nil"/>
              <w:bottom w:val="single" w:sz="4" w:space="0" w:color="auto"/>
              <w:right w:val="nil"/>
            </w:tcBorders>
          </w:tcPr>
          <w:p w14:paraId="78C6518E" w14:textId="77777777" w:rsidR="003C6C2B" w:rsidRPr="00E675BE" w:rsidRDefault="003C6C2B" w:rsidP="00950917">
            <w:pPr>
              <w:autoSpaceDE w:val="0"/>
              <w:autoSpaceDN w:val="0"/>
              <w:adjustRightInd w:val="0"/>
              <w:jc w:val="center"/>
              <w:rPr>
                <w:kern w:val="0"/>
                <w:sz w:val="21"/>
                <w:szCs w:val="21"/>
              </w:rPr>
            </w:pPr>
            <w:r w:rsidRPr="00E675BE">
              <w:rPr>
                <w:kern w:val="0"/>
                <w:sz w:val="21"/>
                <w:szCs w:val="21"/>
              </w:rPr>
              <w:t>ESG</w:t>
            </w:r>
          </w:p>
        </w:tc>
      </w:tr>
      <w:tr w:rsidR="003C6C2B" w:rsidRPr="00E675BE" w14:paraId="03EB84B1" w14:textId="77777777" w:rsidTr="00950917">
        <w:trPr>
          <w:trHeight w:val="529"/>
          <w:jc w:val="center"/>
        </w:trPr>
        <w:tc>
          <w:tcPr>
            <w:tcW w:w="1222" w:type="dxa"/>
            <w:tcBorders>
              <w:top w:val="single" w:sz="4" w:space="0" w:color="auto"/>
              <w:left w:val="nil"/>
              <w:bottom w:val="nil"/>
              <w:right w:val="nil"/>
            </w:tcBorders>
          </w:tcPr>
          <w:p w14:paraId="3872294D" w14:textId="77777777" w:rsidR="003C6C2B" w:rsidRPr="00E675BE" w:rsidRDefault="003C6C2B" w:rsidP="00950917">
            <w:pPr>
              <w:autoSpaceDE w:val="0"/>
              <w:autoSpaceDN w:val="0"/>
              <w:adjustRightInd w:val="0"/>
              <w:jc w:val="left"/>
              <w:rPr>
                <w:rFonts w:eastAsia="等线"/>
                <w:kern w:val="0"/>
                <w:sz w:val="21"/>
                <w:szCs w:val="21"/>
              </w:rPr>
            </w:pPr>
            <w:r w:rsidRPr="00E675BE">
              <w:rPr>
                <w:rFonts w:eastAsia="等线"/>
                <w:kern w:val="0"/>
                <w:sz w:val="21"/>
                <w:szCs w:val="21"/>
              </w:rPr>
              <w:t>Vega</w:t>
            </w:r>
          </w:p>
        </w:tc>
        <w:tc>
          <w:tcPr>
            <w:tcW w:w="2647" w:type="dxa"/>
            <w:tcBorders>
              <w:top w:val="single" w:sz="4" w:space="0" w:color="auto"/>
              <w:left w:val="nil"/>
              <w:bottom w:val="nil"/>
              <w:right w:val="nil"/>
            </w:tcBorders>
          </w:tcPr>
          <w:p w14:paraId="0EA74B36" w14:textId="77777777" w:rsidR="003C6C2B" w:rsidRPr="00E675BE" w:rsidRDefault="003C6C2B" w:rsidP="00950917">
            <w:pPr>
              <w:autoSpaceDE w:val="0"/>
              <w:autoSpaceDN w:val="0"/>
              <w:adjustRightInd w:val="0"/>
              <w:jc w:val="center"/>
              <w:rPr>
                <w:rFonts w:eastAsia="等线"/>
                <w:kern w:val="0"/>
                <w:sz w:val="21"/>
                <w:szCs w:val="21"/>
              </w:rPr>
            </w:pPr>
            <w:r w:rsidRPr="00E675BE">
              <w:rPr>
                <w:kern w:val="0"/>
                <w:sz w:val="21"/>
                <w:szCs w:val="21"/>
              </w:rPr>
              <w:t>7.830</w:t>
            </w:r>
            <w:r w:rsidRPr="00E675BE">
              <w:rPr>
                <w:kern w:val="0"/>
                <w:sz w:val="21"/>
                <w:szCs w:val="21"/>
                <w:vertAlign w:val="superscript"/>
              </w:rPr>
              <w:t>***</w:t>
            </w:r>
          </w:p>
        </w:tc>
        <w:tc>
          <w:tcPr>
            <w:tcW w:w="2647" w:type="dxa"/>
            <w:tcBorders>
              <w:top w:val="single" w:sz="4" w:space="0" w:color="auto"/>
              <w:left w:val="nil"/>
              <w:bottom w:val="nil"/>
              <w:right w:val="nil"/>
            </w:tcBorders>
          </w:tcPr>
          <w:p w14:paraId="42FD2119" w14:textId="77777777" w:rsidR="003C6C2B" w:rsidRPr="00E675BE" w:rsidRDefault="003C6C2B" w:rsidP="00950917">
            <w:pPr>
              <w:autoSpaceDE w:val="0"/>
              <w:autoSpaceDN w:val="0"/>
              <w:adjustRightInd w:val="0"/>
              <w:jc w:val="center"/>
              <w:rPr>
                <w:kern w:val="0"/>
                <w:sz w:val="21"/>
                <w:szCs w:val="21"/>
              </w:rPr>
            </w:pPr>
            <w:r w:rsidRPr="00E675BE">
              <w:rPr>
                <w:kern w:val="0"/>
                <w:sz w:val="21"/>
                <w:szCs w:val="21"/>
              </w:rPr>
              <w:t>6.225</w:t>
            </w:r>
            <w:r w:rsidRPr="00E675BE">
              <w:rPr>
                <w:kern w:val="0"/>
                <w:sz w:val="21"/>
                <w:szCs w:val="21"/>
                <w:vertAlign w:val="superscript"/>
              </w:rPr>
              <w:t>***</w:t>
            </w:r>
          </w:p>
        </w:tc>
      </w:tr>
      <w:tr w:rsidR="003C6C2B" w:rsidRPr="00E675BE" w14:paraId="7BFD095E" w14:textId="77777777" w:rsidTr="00950917">
        <w:trPr>
          <w:trHeight w:val="529"/>
          <w:jc w:val="center"/>
        </w:trPr>
        <w:tc>
          <w:tcPr>
            <w:tcW w:w="1222" w:type="dxa"/>
            <w:tcBorders>
              <w:top w:val="nil"/>
              <w:left w:val="nil"/>
              <w:bottom w:val="nil"/>
              <w:right w:val="nil"/>
            </w:tcBorders>
          </w:tcPr>
          <w:p w14:paraId="7D4E2E26" w14:textId="77777777" w:rsidR="003C6C2B" w:rsidRPr="00E675BE" w:rsidRDefault="003C6C2B" w:rsidP="00950917">
            <w:pPr>
              <w:autoSpaceDE w:val="0"/>
              <w:autoSpaceDN w:val="0"/>
              <w:adjustRightInd w:val="0"/>
              <w:jc w:val="left"/>
              <w:rPr>
                <w:rFonts w:eastAsia="等线"/>
                <w:kern w:val="0"/>
                <w:sz w:val="21"/>
                <w:szCs w:val="21"/>
              </w:rPr>
            </w:pPr>
          </w:p>
        </w:tc>
        <w:tc>
          <w:tcPr>
            <w:tcW w:w="2647" w:type="dxa"/>
            <w:tcBorders>
              <w:top w:val="nil"/>
              <w:left w:val="nil"/>
              <w:bottom w:val="nil"/>
              <w:right w:val="nil"/>
            </w:tcBorders>
          </w:tcPr>
          <w:p w14:paraId="3B4D5C52" w14:textId="77777777" w:rsidR="003C6C2B" w:rsidRPr="00E675BE" w:rsidRDefault="003C6C2B" w:rsidP="00950917">
            <w:pPr>
              <w:autoSpaceDE w:val="0"/>
              <w:autoSpaceDN w:val="0"/>
              <w:adjustRightInd w:val="0"/>
              <w:jc w:val="center"/>
              <w:rPr>
                <w:rFonts w:eastAsia="等线"/>
                <w:kern w:val="0"/>
                <w:sz w:val="21"/>
                <w:szCs w:val="21"/>
              </w:rPr>
            </w:pPr>
            <w:r w:rsidRPr="00E675BE">
              <w:rPr>
                <w:kern w:val="0"/>
                <w:sz w:val="21"/>
                <w:szCs w:val="21"/>
              </w:rPr>
              <w:t>(2.020)</w:t>
            </w:r>
          </w:p>
        </w:tc>
        <w:tc>
          <w:tcPr>
            <w:tcW w:w="2647" w:type="dxa"/>
            <w:tcBorders>
              <w:top w:val="nil"/>
              <w:left w:val="nil"/>
              <w:bottom w:val="nil"/>
              <w:right w:val="nil"/>
            </w:tcBorders>
          </w:tcPr>
          <w:p w14:paraId="21DB7AA6" w14:textId="77777777" w:rsidR="003C6C2B" w:rsidRPr="00E675BE" w:rsidRDefault="003C6C2B" w:rsidP="00950917">
            <w:pPr>
              <w:autoSpaceDE w:val="0"/>
              <w:autoSpaceDN w:val="0"/>
              <w:adjustRightInd w:val="0"/>
              <w:jc w:val="center"/>
              <w:rPr>
                <w:kern w:val="0"/>
                <w:sz w:val="21"/>
                <w:szCs w:val="21"/>
              </w:rPr>
            </w:pPr>
            <w:r w:rsidRPr="00E675BE">
              <w:rPr>
                <w:kern w:val="0"/>
                <w:sz w:val="21"/>
                <w:szCs w:val="21"/>
              </w:rPr>
              <w:t>(1.888)</w:t>
            </w:r>
          </w:p>
        </w:tc>
      </w:tr>
      <w:tr w:rsidR="003C6C2B" w:rsidRPr="00E675BE" w14:paraId="31F56525" w14:textId="77777777" w:rsidTr="003C6C2B">
        <w:trPr>
          <w:trHeight w:val="529"/>
          <w:jc w:val="center"/>
        </w:trPr>
        <w:tc>
          <w:tcPr>
            <w:tcW w:w="1222" w:type="dxa"/>
            <w:tcBorders>
              <w:top w:val="nil"/>
              <w:left w:val="nil"/>
              <w:right w:val="nil"/>
            </w:tcBorders>
          </w:tcPr>
          <w:p w14:paraId="355D5DE6" w14:textId="77777777" w:rsidR="003C6C2B" w:rsidRPr="00E675BE" w:rsidRDefault="003C6C2B" w:rsidP="00950917">
            <w:pPr>
              <w:autoSpaceDE w:val="0"/>
              <w:autoSpaceDN w:val="0"/>
              <w:adjustRightInd w:val="0"/>
              <w:jc w:val="left"/>
              <w:rPr>
                <w:rFonts w:eastAsia="等线"/>
                <w:kern w:val="0"/>
                <w:sz w:val="21"/>
                <w:szCs w:val="21"/>
              </w:rPr>
            </w:pPr>
            <w:r w:rsidRPr="00E675BE">
              <w:rPr>
                <w:rFonts w:eastAsia="等线"/>
                <w:kern w:val="0"/>
                <w:sz w:val="21"/>
                <w:szCs w:val="21"/>
              </w:rPr>
              <w:t>Delta</w:t>
            </w:r>
          </w:p>
        </w:tc>
        <w:tc>
          <w:tcPr>
            <w:tcW w:w="2647" w:type="dxa"/>
            <w:tcBorders>
              <w:top w:val="nil"/>
              <w:left w:val="nil"/>
              <w:right w:val="nil"/>
            </w:tcBorders>
          </w:tcPr>
          <w:p w14:paraId="59E8190B" w14:textId="77777777" w:rsidR="003C6C2B" w:rsidRPr="00E675BE" w:rsidRDefault="003C6C2B" w:rsidP="00950917">
            <w:pPr>
              <w:autoSpaceDE w:val="0"/>
              <w:autoSpaceDN w:val="0"/>
              <w:adjustRightInd w:val="0"/>
              <w:jc w:val="center"/>
              <w:rPr>
                <w:rFonts w:eastAsia="等线"/>
                <w:kern w:val="0"/>
                <w:sz w:val="21"/>
                <w:szCs w:val="21"/>
              </w:rPr>
            </w:pPr>
            <w:r w:rsidRPr="00E675BE">
              <w:rPr>
                <w:kern w:val="0"/>
                <w:sz w:val="21"/>
                <w:szCs w:val="21"/>
              </w:rPr>
              <w:t>-7.377</w:t>
            </w:r>
            <w:r w:rsidRPr="00E675BE">
              <w:rPr>
                <w:kern w:val="0"/>
                <w:sz w:val="21"/>
                <w:szCs w:val="21"/>
                <w:vertAlign w:val="superscript"/>
              </w:rPr>
              <w:t>***</w:t>
            </w:r>
          </w:p>
        </w:tc>
        <w:tc>
          <w:tcPr>
            <w:tcW w:w="2647" w:type="dxa"/>
            <w:tcBorders>
              <w:top w:val="nil"/>
              <w:left w:val="nil"/>
              <w:right w:val="nil"/>
            </w:tcBorders>
          </w:tcPr>
          <w:p w14:paraId="3815A8B1" w14:textId="77777777" w:rsidR="003C6C2B" w:rsidRPr="00E675BE" w:rsidRDefault="003C6C2B" w:rsidP="00950917">
            <w:pPr>
              <w:autoSpaceDE w:val="0"/>
              <w:autoSpaceDN w:val="0"/>
              <w:adjustRightInd w:val="0"/>
              <w:jc w:val="center"/>
              <w:rPr>
                <w:kern w:val="0"/>
                <w:sz w:val="21"/>
                <w:szCs w:val="21"/>
              </w:rPr>
            </w:pPr>
            <w:r w:rsidRPr="00E675BE">
              <w:rPr>
                <w:kern w:val="0"/>
                <w:sz w:val="21"/>
                <w:szCs w:val="21"/>
              </w:rPr>
              <w:t>-5.836</w:t>
            </w:r>
            <w:r w:rsidRPr="00E675BE">
              <w:rPr>
                <w:kern w:val="0"/>
                <w:sz w:val="21"/>
                <w:szCs w:val="21"/>
                <w:vertAlign w:val="superscript"/>
              </w:rPr>
              <w:t>***</w:t>
            </w:r>
          </w:p>
        </w:tc>
      </w:tr>
      <w:tr w:rsidR="003C6C2B" w:rsidRPr="00E675BE" w14:paraId="13F32955" w14:textId="77777777" w:rsidTr="003C6C2B">
        <w:trPr>
          <w:trHeight w:val="547"/>
          <w:jc w:val="center"/>
        </w:trPr>
        <w:tc>
          <w:tcPr>
            <w:tcW w:w="1222" w:type="dxa"/>
            <w:tcBorders>
              <w:top w:val="nil"/>
              <w:left w:val="nil"/>
              <w:bottom w:val="single" w:sz="12" w:space="0" w:color="auto"/>
              <w:right w:val="nil"/>
            </w:tcBorders>
          </w:tcPr>
          <w:p w14:paraId="2E3603ED" w14:textId="77777777" w:rsidR="003C6C2B" w:rsidRPr="00E675BE" w:rsidRDefault="003C6C2B" w:rsidP="00950917">
            <w:pPr>
              <w:autoSpaceDE w:val="0"/>
              <w:autoSpaceDN w:val="0"/>
              <w:adjustRightInd w:val="0"/>
              <w:jc w:val="left"/>
              <w:rPr>
                <w:rFonts w:eastAsia="等线"/>
                <w:kern w:val="0"/>
                <w:sz w:val="21"/>
                <w:szCs w:val="21"/>
              </w:rPr>
            </w:pPr>
          </w:p>
        </w:tc>
        <w:tc>
          <w:tcPr>
            <w:tcW w:w="2647" w:type="dxa"/>
            <w:tcBorders>
              <w:top w:val="nil"/>
              <w:left w:val="nil"/>
              <w:bottom w:val="single" w:sz="12" w:space="0" w:color="auto"/>
              <w:right w:val="nil"/>
            </w:tcBorders>
          </w:tcPr>
          <w:p w14:paraId="69415983" w14:textId="77777777" w:rsidR="003C6C2B" w:rsidRPr="00E675BE" w:rsidRDefault="003C6C2B" w:rsidP="00950917">
            <w:pPr>
              <w:autoSpaceDE w:val="0"/>
              <w:autoSpaceDN w:val="0"/>
              <w:adjustRightInd w:val="0"/>
              <w:jc w:val="center"/>
              <w:rPr>
                <w:rFonts w:eastAsia="等线"/>
                <w:kern w:val="0"/>
                <w:sz w:val="21"/>
                <w:szCs w:val="21"/>
              </w:rPr>
            </w:pPr>
            <w:r w:rsidRPr="00E675BE">
              <w:rPr>
                <w:kern w:val="0"/>
                <w:sz w:val="21"/>
                <w:szCs w:val="21"/>
              </w:rPr>
              <w:t>(1.962)</w:t>
            </w:r>
          </w:p>
        </w:tc>
        <w:tc>
          <w:tcPr>
            <w:tcW w:w="2647" w:type="dxa"/>
            <w:tcBorders>
              <w:top w:val="nil"/>
              <w:left w:val="nil"/>
              <w:bottom w:val="single" w:sz="12" w:space="0" w:color="auto"/>
              <w:right w:val="nil"/>
            </w:tcBorders>
          </w:tcPr>
          <w:p w14:paraId="0B13DC32" w14:textId="77777777" w:rsidR="003C6C2B" w:rsidRPr="00E675BE" w:rsidRDefault="003C6C2B" w:rsidP="00950917">
            <w:pPr>
              <w:autoSpaceDE w:val="0"/>
              <w:autoSpaceDN w:val="0"/>
              <w:adjustRightInd w:val="0"/>
              <w:jc w:val="center"/>
              <w:rPr>
                <w:kern w:val="0"/>
                <w:sz w:val="21"/>
                <w:szCs w:val="21"/>
              </w:rPr>
            </w:pPr>
            <w:r w:rsidRPr="00E675BE">
              <w:rPr>
                <w:kern w:val="0"/>
                <w:sz w:val="21"/>
                <w:szCs w:val="21"/>
              </w:rPr>
              <w:t>(1.832)</w:t>
            </w:r>
          </w:p>
        </w:tc>
      </w:tr>
    </w:tbl>
    <w:p w14:paraId="6BB3FFA8" w14:textId="77777777" w:rsidR="003C6C2B" w:rsidRPr="0058675C" w:rsidRDefault="003C6C2B" w:rsidP="0058675C">
      <w:pPr>
        <w:ind w:firstLineChars="200" w:firstLine="480"/>
      </w:pPr>
    </w:p>
    <w:p w14:paraId="2B429B06" w14:textId="77777777" w:rsidR="003C6C2B" w:rsidRDefault="003C6C2B" w:rsidP="0058675C">
      <w:pPr>
        <w:spacing w:line="300" w:lineRule="exact"/>
        <w:jc w:val="center"/>
        <w:rPr>
          <w:rFonts w:ascii="黑体" w:eastAsia="黑体" w:hAnsi="宋体"/>
        </w:rPr>
      </w:pPr>
    </w:p>
    <w:p w14:paraId="0937B87B" w14:textId="3D182CC9" w:rsidR="0058675C" w:rsidRDefault="003C6C2B" w:rsidP="0058675C">
      <w:pPr>
        <w:spacing w:line="300" w:lineRule="exact"/>
        <w:jc w:val="center"/>
        <w:rPr>
          <w:rFonts w:ascii="黑体" w:eastAsia="黑体" w:hAnsi="宋体"/>
        </w:rPr>
      </w:pPr>
      <w:r>
        <w:rPr>
          <w:rFonts w:ascii="黑体" w:eastAsia="黑体" w:hAnsi="宋体" w:hint="eastAsia"/>
        </w:rPr>
        <w:lastRenderedPageBreak/>
        <w:t>（续）</w:t>
      </w:r>
      <w:r w:rsidR="0058675C" w:rsidRPr="00677FE2">
        <w:rPr>
          <w:rFonts w:ascii="黑体" w:eastAsia="黑体" w:hAnsi="宋体" w:hint="eastAsia"/>
        </w:rPr>
        <w:t>表</w:t>
      </w:r>
      <w:r w:rsidR="0058675C">
        <w:rPr>
          <w:rFonts w:eastAsia="黑体"/>
        </w:rPr>
        <w:t>4</w:t>
      </w:r>
      <w:r w:rsidR="0058675C" w:rsidRPr="00AB6ADE">
        <w:rPr>
          <w:rFonts w:eastAsia="黑体" w:hint="eastAsia"/>
        </w:rPr>
        <w:t>-</w:t>
      </w:r>
      <w:r w:rsidR="0058675C">
        <w:rPr>
          <w:rFonts w:eastAsia="黑体"/>
        </w:rPr>
        <w:t>6</w:t>
      </w:r>
      <w:r w:rsidR="0058675C">
        <w:rPr>
          <w:rFonts w:ascii="黑体" w:eastAsia="黑体" w:hAnsi="宋体" w:hint="eastAsia"/>
        </w:rPr>
        <w:t xml:space="preserve"> 工具变量法检验结果</w:t>
      </w:r>
    </w:p>
    <w:p w14:paraId="39ACF30B" w14:textId="77777777" w:rsidR="0058675C" w:rsidRPr="00331558" w:rsidRDefault="0058675C" w:rsidP="0058675C">
      <w:pPr>
        <w:spacing w:line="300" w:lineRule="exact"/>
        <w:jc w:val="center"/>
        <w:rPr>
          <w:rFonts w:ascii="黑体" w:eastAsia="黑体" w:hAnsi="宋体"/>
        </w:rPr>
      </w:pPr>
    </w:p>
    <w:tbl>
      <w:tblPr>
        <w:tblW w:w="6516" w:type="dxa"/>
        <w:jc w:val="center"/>
        <w:tblLayout w:type="fixed"/>
        <w:tblLook w:val="0000" w:firstRow="0" w:lastRow="0" w:firstColumn="0" w:lastColumn="0" w:noHBand="0" w:noVBand="0"/>
      </w:tblPr>
      <w:tblGrid>
        <w:gridCol w:w="1222"/>
        <w:gridCol w:w="2647"/>
        <w:gridCol w:w="2647"/>
      </w:tblGrid>
      <w:tr w:rsidR="0058675C" w:rsidRPr="00E675BE" w14:paraId="0B231D1F" w14:textId="77777777" w:rsidTr="002B6021">
        <w:trPr>
          <w:trHeight w:val="529"/>
          <w:jc w:val="center"/>
        </w:trPr>
        <w:tc>
          <w:tcPr>
            <w:tcW w:w="1222" w:type="dxa"/>
            <w:tcBorders>
              <w:top w:val="single" w:sz="12" w:space="0" w:color="auto"/>
              <w:left w:val="nil"/>
              <w:right w:val="nil"/>
            </w:tcBorders>
          </w:tcPr>
          <w:p w14:paraId="3AF4B4DA" w14:textId="77777777" w:rsidR="0058675C" w:rsidRPr="00E675BE" w:rsidRDefault="0058675C" w:rsidP="002B6021">
            <w:pPr>
              <w:autoSpaceDE w:val="0"/>
              <w:autoSpaceDN w:val="0"/>
              <w:adjustRightInd w:val="0"/>
              <w:jc w:val="left"/>
              <w:rPr>
                <w:rFonts w:eastAsia="等线"/>
                <w:kern w:val="0"/>
                <w:sz w:val="21"/>
                <w:szCs w:val="21"/>
              </w:rPr>
            </w:pPr>
          </w:p>
        </w:tc>
        <w:tc>
          <w:tcPr>
            <w:tcW w:w="2647" w:type="dxa"/>
            <w:tcBorders>
              <w:top w:val="single" w:sz="12" w:space="0" w:color="auto"/>
              <w:left w:val="nil"/>
              <w:right w:val="nil"/>
            </w:tcBorders>
          </w:tcPr>
          <w:p w14:paraId="58CAF073" w14:textId="77777777" w:rsidR="0058675C" w:rsidRPr="00E675BE" w:rsidRDefault="0058675C" w:rsidP="002B6021">
            <w:pPr>
              <w:autoSpaceDE w:val="0"/>
              <w:autoSpaceDN w:val="0"/>
              <w:adjustRightInd w:val="0"/>
              <w:ind w:firstLineChars="400" w:firstLine="840"/>
              <w:rPr>
                <w:rFonts w:ascii="宋体" w:hAnsi="宋体"/>
                <w:kern w:val="0"/>
                <w:sz w:val="21"/>
                <w:szCs w:val="21"/>
              </w:rPr>
            </w:pPr>
            <w:r w:rsidRPr="00E675BE">
              <w:rPr>
                <w:rFonts w:ascii="宋体" w:hAnsi="宋体"/>
                <w:kern w:val="0"/>
                <w:sz w:val="21"/>
                <w:szCs w:val="21"/>
              </w:rPr>
              <w:t>模型</w:t>
            </w:r>
            <w:r w:rsidRPr="00E675BE">
              <w:rPr>
                <w:kern w:val="0"/>
                <w:sz w:val="21"/>
                <w:szCs w:val="21"/>
              </w:rPr>
              <w:t>3-1</w:t>
            </w:r>
          </w:p>
        </w:tc>
        <w:tc>
          <w:tcPr>
            <w:tcW w:w="2647" w:type="dxa"/>
            <w:tcBorders>
              <w:top w:val="single" w:sz="12" w:space="0" w:color="auto"/>
              <w:left w:val="nil"/>
              <w:right w:val="nil"/>
            </w:tcBorders>
          </w:tcPr>
          <w:p w14:paraId="7C776322" w14:textId="77777777" w:rsidR="0058675C" w:rsidRPr="00E675BE" w:rsidRDefault="0058675C" w:rsidP="002B6021">
            <w:pPr>
              <w:autoSpaceDE w:val="0"/>
              <w:autoSpaceDN w:val="0"/>
              <w:adjustRightInd w:val="0"/>
              <w:ind w:firstLineChars="400" w:firstLine="840"/>
              <w:rPr>
                <w:rFonts w:ascii="宋体" w:hAnsi="宋体"/>
                <w:kern w:val="0"/>
                <w:sz w:val="21"/>
                <w:szCs w:val="21"/>
              </w:rPr>
            </w:pPr>
            <w:r w:rsidRPr="00E675BE">
              <w:rPr>
                <w:rFonts w:ascii="宋体" w:hAnsi="宋体"/>
                <w:kern w:val="0"/>
                <w:sz w:val="21"/>
                <w:szCs w:val="21"/>
              </w:rPr>
              <w:t>模型</w:t>
            </w:r>
            <w:r w:rsidRPr="00E675BE">
              <w:rPr>
                <w:kern w:val="0"/>
                <w:sz w:val="21"/>
                <w:szCs w:val="21"/>
              </w:rPr>
              <w:t>3-2</w:t>
            </w:r>
          </w:p>
        </w:tc>
      </w:tr>
      <w:tr w:rsidR="0058675C" w:rsidRPr="00E675BE" w14:paraId="0BAE696B" w14:textId="77777777" w:rsidTr="002B6021">
        <w:trPr>
          <w:trHeight w:val="529"/>
          <w:jc w:val="center"/>
        </w:trPr>
        <w:tc>
          <w:tcPr>
            <w:tcW w:w="1222" w:type="dxa"/>
            <w:tcBorders>
              <w:top w:val="nil"/>
              <w:left w:val="nil"/>
              <w:bottom w:val="single" w:sz="4" w:space="0" w:color="auto"/>
              <w:right w:val="nil"/>
            </w:tcBorders>
          </w:tcPr>
          <w:p w14:paraId="5D20D4D9" w14:textId="77777777" w:rsidR="0058675C" w:rsidRPr="00E675BE" w:rsidRDefault="0058675C" w:rsidP="002B6021">
            <w:pPr>
              <w:autoSpaceDE w:val="0"/>
              <w:autoSpaceDN w:val="0"/>
              <w:adjustRightInd w:val="0"/>
              <w:jc w:val="left"/>
              <w:rPr>
                <w:rFonts w:eastAsia="等线"/>
                <w:kern w:val="0"/>
                <w:sz w:val="21"/>
                <w:szCs w:val="21"/>
              </w:rPr>
            </w:pPr>
          </w:p>
        </w:tc>
        <w:tc>
          <w:tcPr>
            <w:tcW w:w="2647" w:type="dxa"/>
            <w:tcBorders>
              <w:top w:val="nil"/>
              <w:left w:val="nil"/>
              <w:bottom w:val="single" w:sz="4" w:space="0" w:color="auto"/>
              <w:right w:val="nil"/>
            </w:tcBorders>
          </w:tcPr>
          <w:p w14:paraId="4F927793" w14:textId="77777777" w:rsidR="0058675C" w:rsidRPr="00E675BE" w:rsidRDefault="0058675C" w:rsidP="002B6021">
            <w:pPr>
              <w:autoSpaceDE w:val="0"/>
              <w:autoSpaceDN w:val="0"/>
              <w:adjustRightInd w:val="0"/>
              <w:jc w:val="center"/>
              <w:rPr>
                <w:rFonts w:eastAsia="等线"/>
                <w:kern w:val="0"/>
                <w:sz w:val="21"/>
                <w:szCs w:val="21"/>
              </w:rPr>
            </w:pPr>
            <w:r w:rsidRPr="00E675BE">
              <w:rPr>
                <w:kern w:val="0"/>
                <w:sz w:val="21"/>
                <w:szCs w:val="21"/>
              </w:rPr>
              <w:t>ESG</w:t>
            </w:r>
          </w:p>
        </w:tc>
        <w:tc>
          <w:tcPr>
            <w:tcW w:w="2647" w:type="dxa"/>
            <w:tcBorders>
              <w:top w:val="nil"/>
              <w:left w:val="nil"/>
              <w:bottom w:val="single" w:sz="4" w:space="0" w:color="auto"/>
              <w:right w:val="nil"/>
            </w:tcBorders>
          </w:tcPr>
          <w:p w14:paraId="41022E13" w14:textId="77777777" w:rsidR="0058675C" w:rsidRPr="00E675BE" w:rsidRDefault="0058675C" w:rsidP="002B6021">
            <w:pPr>
              <w:autoSpaceDE w:val="0"/>
              <w:autoSpaceDN w:val="0"/>
              <w:adjustRightInd w:val="0"/>
              <w:jc w:val="center"/>
              <w:rPr>
                <w:kern w:val="0"/>
                <w:sz w:val="21"/>
                <w:szCs w:val="21"/>
              </w:rPr>
            </w:pPr>
            <w:r w:rsidRPr="00E675BE">
              <w:rPr>
                <w:kern w:val="0"/>
                <w:sz w:val="21"/>
                <w:szCs w:val="21"/>
              </w:rPr>
              <w:t>ESG</w:t>
            </w:r>
          </w:p>
        </w:tc>
      </w:tr>
      <w:tr w:rsidR="003C6C2B" w:rsidRPr="00E675BE" w14:paraId="5843D623" w14:textId="77777777" w:rsidTr="00EF666A">
        <w:trPr>
          <w:trHeight w:val="529"/>
          <w:jc w:val="center"/>
        </w:trPr>
        <w:tc>
          <w:tcPr>
            <w:tcW w:w="1222" w:type="dxa"/>
            <w:tcBorders>
              <w:top w:val="nil"/>
              <w:left w:val="nil"/>
              <w:bottom w:val="nil"/>
              <w:right w:val="nil"/>
            </w:tcBorders>
          </w:tcPr>
          <w:p w14:paraId="3D0EF188" w14:textId="6CF1B7F3" w:rsidR="003C6C2B" w:rsidRPr="00E675BE" w:rsidRDefault="003C6C2B" w:rsidP="002B6021">
            <w:pPr>
              <w:autoSpaceDE w:val="0"/>
              <w:autoSpaceDN w:val="0"/>
              <w:adjustRightInd w:val="0"/>
              <w:jc w:val="left"/>
              <w:rPr>
                <w:rFonts w:eastAsia="等线"/>
                <w:kern w:val="0"/>
                <w:sz w:val="21"/>
                <w:szCs w:val="21"/>
              </w:rPr>
            </w:pPr>
            <w:r w:rsidRPr="00E675BE">
              <w:rPr>
                <w:rFonts w:eastAsia="等线"/>
                <w:kern w:val="0"/>
                <w:sz w:val="21"/>
                <w:szCs w:val="21"/>
              </w:rPr>
              <w:t>Size</w:t>
            </w:r>
          </w:p>
        </w:tc>
        <w:tc>
          <w:tcPr>
            <w:tcW w:w="2647" w:type="dxa"/>
            <w:tcBorders>
              <w:top w:val="nil"/>
              <w:left w:val="nil"/>
              <w:bottom w:val="nil"/>
              <w:right w:val="nil"/>
            </w:tcBorders>
          </w:tcPr>
          <w:p w14:paraId="0154C913" w14:textId="55DB3239" w:rsidR="003C6C2B" w:rsidRPr="00E675BE" w:rsidRDefault="003C6C2B" w:rsidP="002B6021">
            <w:pPr>
              <w:autoSpaceDE w:val="0"/>
              <w:autoSpaceDN w:val="0"/>
              <w:adjustRightInd w:val="0"/>
              <w:jc w:val="center"/>
              <w:rPr>
                <w:rFonts w:eastAsia="等线"/>
                <w:kern w:val="0"/>
                <w:sz w:val="21"/>
                <w:szCs w:val="21"/>
              </w:rPr>
            </w:pPr>
            <w:r w:rsidRPr="00E675BE">
              <w:rPr>
                <w:kern w:val="0"/>
                <w:sz w:val="21"/>
                <w:szCs w:val="21"/>
              </w:rPr>
              <w:t>0.000</w:t>
            </w:r>
            <w:r w:rsidRPr="00E675BE">
              <w:rPr>
                <w:kern w:val="0"/>
                <w:sz w:val="21"/>
                <w:szCs w:val="21"/>
                <w:vertAlign w:val="superscript"/>
              </w:rPr>
              <w:t>**</w:t>
            </w:r>
          </w:p>
        </w:tc>
        <w:tc>
          <w:tcPr>
            <w:tcW w:w="2647" w:type="dxa"/>
            <w:tcBorders>
              <w:top w:val="nil"/>
              <w:left w:val="nil"/>
              <w:bottom w:val="nil"/>
              <w:right w:val="nil"/>
            </w:tcBorders>
          </w:tcPr>
          <w:p w14:paraId="2CB28923" w14:textId="2CCE5F7C" w:rsidR="003C6C2B" w:rsidRPr="00E675BE" w:rsidRDefault="003C6C2B" w:rsidP="002B6021">
            <w:pPr>
              <w:autoSpaceDE w:val="0"/>
              <w:autoSpaceDN w:val="0"/>
              <w:adjustRightInd w:val="0"/>
              <w:jc w:val="center"/>
              <w:rPr>
                <w:kern w:val="0"/>
                <w:sz w:val="21"/>
                <w:szCs w:val="21"/>
              </w:rPr>
            </w:pPr>
            <w:r w:rsidRPr="00E675BE">
              <w:rPr>
                <w:kern w:val="0"/>
                <w:sz w:val="21"/>
                <w:szCs w:val="21"/>
              </w:rPr>
              <w:t>0.000</w:t>
            </w:r>
            <w:r w:rsidRPr="00E675BE">
              <w:rPr>
                <w:kern w:val="0"/>
                <w:sz w:val="21"/>
                <w:szCs w:val="21"/>
                <w:vertAlign w:val="superscript"/>
              </w:rPr>
              <w:t>*</w:t>
            </w:r>
          </w:p>
        </w:tc>
      </w:tr>
      <w:tr w:rsidR="003C6C2B" w:rsidRPr="00E675BE" w14:paraId="27D2542B" w14:textId="77777777" w:rsidTr="002B6021">
        <w:trPr>
          <w:trHeight w:val="529"/>
          <w:jc w:val="center"/>
        </w:trPr>
        <w:tc>
          <w:tcPr>
            <w:tcW w:w="1222" w:type="dxa"/>
            <w:tcBorders>
              <w:top w:val="nil"/>
              <w:left w:val="nil"/>
              <w:bottom w:val="nil"/>
              <w:right w:val="nil"/>
            </w:tcBorders>
          </w:tcPr>
          <w:p w14:paraId="3D7ADA90" w14:textId="77777777" w:rsidR="003C6C2B" w:rsidRPr="00E675BE" w:rsidRDefault="003C6C2B" w:rsidP="002B6021">
            <w:pPr>
              <w:autoSpaceDE w:val="0"/>
              <w:autoSpaceDN w:val="0"/>
              <w:adjustRightInd w:val="0"/>
              <w:jc w:val="left"/>
              <w:rPr>
                <w:rFonts w:eastAsia="等线"/>
                <w:kern w:val="0"/>
                <w:sz w:val="21"/>
                <w:szCs w:val="21"/>
              </w:rPr>
            </w:pPr>
          </w:p>
        </w:tc>
        <w:tc>
          <w:tcPr>
            <w:tcW w:w="2647" w:type="dxa"/>
            <w:tcBorders>
              <w:top w:val="nil"/>
              <w:left w:val="nil"/>
              <w:bottom w:val="nil"/>
              <w:right w:val="nil"/>
            </w:tcBorders>
          </w:tcPr>
          <w:p w14:paraId="2D1FA061" w14:textId="0A644B4A" w:rsidR="003C6C2B" w:rsidRPr="00E675BE" w:rsidRDefault="003C6C2B" w:rsidP="002B6021">
            <w:pPr>
              <w:autoSpaceDE w:val="0"/>
              <w:autoSpaceDN w:val="0"/>
              <w:adjustRightInd w:val="0"/>
              <w:jc w:val="center"/>
              <w:rPr>
                <w:rFonts w:eastAsia="等线"/>
                <w:kern w:val="0"/>
                <w:sz w:val="21"/>
                <w:szCs w:val="21"/>
              </w:rPr>
            </w:pPr>
            <w:r w:rsidRPr="00E675BE">
              <w:rPr>
                <w:kern w:val="0"/>
                <w:sz w:val="21"/>
                <w:szCs w:val="21"/>
              </w:rPr>
              <w:t>(0.000)</w:t>
            </w:r>
          </w:p>
        </w:tc>
        <w:tc>
          <w:tcPr>
            <w:tcW w:w="2647" w:type="dxa"/>
            <w:tcBorders>
              <w:top w:val="nil"/>
              <w:left w:val="nil"/>
              <w:bottom w:val="nil"/>
              <w:right w:val="nil"/>
            </w:tcBorders>
          </w:tcPr>
          <w:p w14:paraId="31586974" w14:textId="22719043" w:rsidR="003C6C2B" w:rsidRPr="00E675BE" w:rsidRDefault="003C6C2B" w:rsidP="002B6021">
            <w:pPr>
              <w:autoSpaceDE w:val="0"/>
              <w:autoSpaceDN w:val="0"/>
              <w:adjustRightInd w:val="0"/>
              <w:jc w:val="center"/>
              <w:rPr>
                <w:kern w:val="0"/>
                <w:sz w:val="21"/>
                <w:szCs w:val="21"/>
              </w:rPr>
            </w:pPr>
            <w:r w:rsidRPr="00E675BE">
              <w:rPr>
                <w:kern w:val="0"/>
                <w:sz w:val="21"/>
                <w:szCs w:val="21"/>
              </w:rPr>
              <w:t>(0.000)</w:t>
            </w:r>
          </w:p>
        </w:tc>
      </w:tr>
      <w:tr w:rsidR="003C6C2B" w:rsidRPr="00E675BE" w14:paraId="7F8A9C84" w14:textId="77777777" w:rsidTr="002B6021">
        <w:trPr>
          <w:trHeight w:val="529"/>
          <w:jc w:val="center"/>
        </w:trPr>
        <w:tc>
          <w:tcPr>
            <w:tcW w:w="1222" w:type="dxa"/>
            <w:tcBorders>
              <w:top w:val="nil"/>
              <w:left w:val="nil"/>
              <w:bottom w:val="nil"/>
              <w:right w:val="nil"/>
            </w:tcBorders>
          </w:tcPr>
          <w:p w14:paraId="4AF3C4F8" w14:textId="275B210E" w:rsidR="003C6C2B" w:rsidRPr="00E675BE" w:rsidRDefault="003C6C2B" w:rsidP="002B6021">
            <w:pPr>
              <w:autoSpaceDE w:val="0"/>
              <w:autoSpaceDN w:val="0"/>
              <w:adjustRightInd w:val="0"/>
              <w:jc w:val="left"/>
              <w:rPr>
                <w:rFonts w:eastAsia="等线"/>
                <w:kern w:val="0"/>
                <w:sz w:val="21"/>
                <w:szCs w:val="21"/>
              </w:rPr>
            </w:pPr>
            <w:r w:rsidRPr="00E675BE">
              <w:rPr>
                <w:rFonts w:eastAsia="等线"/>
                <w:kern w:val="0"/>
                <w:sz w:val="21"/>
                <w:szCs w:val="21"/>
              </w:rPr>
              <w:t>DTA</w:t>
            </w:r>
          </w:p>
        </w:tc>
        <w:tc>
          <w:tcPr>
            <w:tcW w:w="2647" w:type="dxa"/>
            <w:tcBorders>
              <w:top w:val="nil"/>
              <w:left w:val="nil"/>
              <w:bottom w:val="nil"/>
              <w:right w:val="nil"/>
            </w:tcBorders>
          </w:tcPr>
          <w:p w14:paraId="04D845A6" w14:textId="6F5563BD" w:rsidR="003C6C2B" w:rsidRPr="00E675BE" w:rsidRDefault="003C6C2B" w:rsidP="002B6021">
            <w:pPr>
              <w:autoSpaceDE w:val="0"/>
              <w:autoSpaceDN w:val="0"/>
              <w:adjustRightInd w:val="0"/>
              <w:jc w:val="center"/>
              <w:rPr>
                <w:rFonts w:eastAsia="等线"/>
                <w:kern w:val="0"/>
                <w:sz w:val="21"/>
                <w:szCs w:val="21"/>
              </w:rPr>
            </w:pPr>
            <w:r w:rsidRPr="00E675BE">
              <w:rPr>
                <w:kern w:val="0"/>
                <w:sz w:val="21"/>
                <w:szCs w:val="21"/>
              </w:rPr>
              <w:t>-2.687</w:t>
            </w:r>
          </w:p>
        </w:tc>
        <w:tc>
          <w:tcPr>
            <w:tcW w:w="2647" w:type="dxa"/>
            <w:tcBorders>
              <w:top w:val="nil"/>
              <w:left w:val="nil"/>
              <w:bottom w:val="nil"/>
              <w:right w:val="nil"/>
            </w:tcBorders>
          </w:tcPr>
          <w:p w14:paraId="77F4A5D4" w14:textId="6C5BF695" w:rsidR="003C6C2B" w:rsidRPr="00E675BE" w:rsidRDefault="003C6C2B" w:rsidP="002B6021">
            <w:pPr>
              <w:autoSpaceDE w:val="0"/>
              <w:autoSpaceDN w:val="0"/>
              <w:adjustRightInd w:val="0"/>
              <w:jc w:val="center"/>
              <w:rPr>
                <w:kern w:val="0"/>
                <w:sz w:val="21"/>
                <w:szCs w:val="21"/>
              </w:rPr>
            </w:pPr>
            <w:r w:rsidRPr="00E675BE">
              <w:rPr>
                <w:kern w:val="0"/>
                <w:sz w:val="21"/>
                <w:szCs w:val="21"/>
              </w:rPr>
              <w:t>-3.746</w:t>
            </w:r>
          </w:p>
        </w:tc>
      </w:tr>
      <w:tr w:rsidR="003C6C2B" w:rsidRPr="00E675BE" w14:paraId="3FA974BE" w14:textId="77777777" w:rsidTr="002B6021">
        <w:trPr>
          <w:trHeight w:val="547"/>
          <w:jc w:val="center"/>
        </w:trPr>
        <w:tc>
          <w:tcPr>
            <w:tcW w:w="1222" w:type="dxa"/>
            <w:tcBorders>
              <w:top w:val="nil"/>
              <w:left w:val="nil"/>
              <w:bottom w:val="nil"/>
              <w:right w:val="nil"/>
            </w:tcBorders>
          </w:tcPr>
          <w:p w14:paraId="03A36061" w14:textId="77777777" w:rsidR="003C6C2B" w:rsidRPr="00E675BE" w:rsidRDefault="003C6C2B" w:rsidP="002B6021">
            <w:pPr>
              <w:autoSpaceDE w:val="0"/>
              <w:autoSpaceDN w:val="0"/>
              <w:adjustRightInd w:val="0"/>
              <w:jc w:val="left"/>
              <w:rPr>
                <w:rFonts w:eastAsia="等线"/>
                <w:kern w:val="0"/>
                <w:sz w:val="21"/>
                <w:szCs w:val="21"/>
              </w:rPr>
            </w:pPr>
          </w:p>
        </w:tc>
        <w:tc>
          <w:tcPr>
            <w:tcW w:w="2647" w:type="dxa"/>
            <w:tcBorders>
              <w:top w:val="nil"/>
              <w:left w:val="nil"/>
              <w:bottom w:val="nil"/>
              <w:right w:val="nil"/>
            </w:tcBorders>
          </w:tcPr>
          <w:p w14:paraId="2DB5166C" w14:textId="351CFC86" w:rsidR="003C6C2B" w:rsidRPr="00E675BE" w:rsidRDefault="003C6C2B" w:rsidP="002B6021">
            <w:pPr>
              <w:autoSpaceDE w:val="0"/>
              <w:autoSpaceDN w:val="0"/>
              <w:adjustRightInd w:val="0"/>
              <w:jc w:val="center"/>
              <w:rPr>
                <w:rFonts w:eastAsia="等线"/>
                <w:kern w:val="0"/>
                <w:sz w:val="21"/>
                <w:szCs w:val="21"/>
              </w:rPr>
            </w:pPr>
            <w:r w:rsidRPr="00E675BE">
              <w:rPr>
                <w:kern w:val="0"/>
                <w:sz w:val="21"/>
                <w:szCs w:val="21"/>
              </w:rPr>
              <w:t>(3.640)</w:t>
            </w:r>
          </w:p>
        </w:tc>
        <w:tc>
          <w:tcPr>
            <w:tcW w:w="2647" w:type="dxa"/>
            <w:tcBorders>
              <w:top w:val="nil"/>
              <w:left w:val="nil"/>
              <w:bottom w:val="nil"/>
              <w:right w:val="nil"/>
            </w:tcBorders>
          </w:tcPr>
          <w:p w14:paraId="1729F505" w14:textId="77D72ADF" w:rsidR="003C6C2B" w:rsidRPr="00E675BE" w:rsidRDefault="003C6C2B" w:rsidP="002B6021">
            <w:pPr>
              <w:autoSpaceDE w:val="0"/>
              <w:autoSpaceDN w:val="0"/>
              <w:adjustRightInd w:val="0"/>
              <w:jc w:val="center"/>
              <w:rPr>
                <w:kern w:val="0"/>
                <w:sz w:val="21"/>
                <w:szCs w:val="21"/>
              </w:rPr>
            </w:pPr>
            <w:r w:rsidRPr="00E675BE">
              <w:rPr>
                <w:kern w:val="0"/>
                <w:sz w:val="21"/>
                <w:szCs w:val="21"/>
              </w:rPr>
              <w:t>(3.241)</w:t>
            </w:r>
          </w:p>
        </w:tc>
      </w:tr>
      <w:tr w:rsidR="003C6C2B" w:rsidRPr="00E675BE" w14:paraId="261B7925" w14:textId="77777777" w:rsidTr="002B6021">
        <w:trPr>
          <w:trHeight w:val="529"/>
          <w:jc w:val="center"/>
        </w:trPr>
        <w:tc>
          <w:tcPr>
            <w:tcW w:w="1222" w:type="dxa"/>
            <w:tcBorders>
              <w:top w:val="nil"/>
              <w:left w:val="nil"/>
              <w:bottom w:val="nil"/>
              <w:right w:val="nil"/>
            </w:tcBorders>
          </w:tcPr>
          <w:p w14:paraId="62F07224" w14:textId="273BC35A" w:rsidR="003C6C2B" w:rsidRPr="00E675BE" w:rsidRDefault="003C6C2B" w:rsidP="002B6021">
            <w:pPr>
              <w:autoSpaceDE w:val="0"/>
              <w:autoSpaceDN w:val="0"/>
              <w:adjustRightInd w:val="0"/>
              <w:jc w:val="left"/>
              <w:rPr>
                <w:rFonts w:eastAsia="等线"/>
                <w:kern w:val="0"/>
                <w:sz w:val="21"/>
                <w:szCs w:val="21"/>
              </w:rPr>
            </w:pPr>
            <w:r w:rsidRPr="00E675BE">
              <w:rPr>
                <w:rFonts w:eastAsia="等线"/>
                <w:kern w:val="0"/>
                <w:sz w:val="21"/>
                <w:szCs w:val="21"/>
              </w:rPr>
              <w:t>RD</w:t>
            </w:r>
          </w:p>
        </w:tc>
        <w:tc>
          <w:tcPr>
            <w:tcW w:w="2647" w:type="dxa"/>
            <w:tcBorders>
              <w:top w:val="nil"/>
              <w:left w:val="nil"/>
              <w:bottom w:val="nil"/>
              <w:right w:val="nil"/>
            </w:tcBorders>
          </w:tcPr>
          <w:p w14:paraId="3D57B61B" w14:textId="3AC21D93" w:rsidR="003C6C2B" w:rsidRPr="00E675BE" w:rsidRDefault="003C6C2B" w:rsidP="002B6021">
            <w:pPr>
              <w:autoSpaceDE w:val="0"/>
              <w:autoSpaceDN w:val="0"/>
              <w:adjustRightInd w:val="0"/>
              <w:jc w:val="center"/>
              <w:rPr>
                <w:rFonts w:eastAsia="等线"/>
                <w:kern w:val="0"/>
                <w:sz w:val="21"/>
                <w:szCs w:val="21"/>
              </w:rPr>
            </w:pPr>
          </w:p>
        </w:tc>
        <w:tc>
          <w:tcPr>
            <w:tcW w:w="2647" w:type="dxa"/>
            <w:tcBorders>
              <w:top w:val="nil"/>
              <w:left w:val="nil"/>
              <w:bottom w:val="nil"/>
              <w:right w:val="nil"/>
            </w:tcBorders>
          </w:tcPr>
          <w:p w14:paraId="68F1FA48" w14:textId="398957BB" w:rsidR="003C6C2B" w:rsidRPr="00E675BE" w:rsidRDefault="003C6C2B" w:rsidP="002B6021">
            <w:pPr>
              <w:autoSpaceDE w:val="0"/>
              <w:autoSpaceDN w:val="0"/>
              <w:adjustRightInd w:val="0"/>
              <w:jc w:val="center"/>
              <w:rPr>
                <w:kern w:val="0"/>
                <w:sz w:val="21"/>
                <w:szCs w:val="21"/>
              </w:rPr>
            </w:pPr>
            <w:r w:rsidRPr="00E675BE">
              <w:rPr>
                <w:kern w:val="0"/>
                <w:sz w:val="21"/>
                <w:szCs w:val="21"/>
              </w:rPr>
              <w:t>0.000</w:t>
            </w:r>
            <w:r w:rsidRPr="00E675BE">
              <w:rPr>
                <w:kern w:val="0"/>
                <w:sz w:val="21"/>
                <w:szCs w:val="21"/>
                <w:vertAlign w:val="superscript"/>
              </w:rPr>
              <w:t>***</w:t>
            </w:r>
          </w:p>
        </w:tc>
      </w:tr>
      <w:tr w:rsidR="003C6C2B" w:rsidRPr="00E675BE" w14:paraId="06FC9262" w14:textId="77777777" w:rsidTr="002B6021">
        <w:trPr>
          <w:trHeight w:val="529"/>
          <w:jc w:val="center"/>
        </w:trPr>
        <w:tc>
          <w:tcPr>
            <w:tcW w:w="1222" w:type="dxa"/>
            <w:tcBorders>
              <w:top w:val="nil"/>
              <w:left w:val="nil"/>
              <w:bottom w:val="nil"/>
              <w:right w:val="nil"/>
            </w:tcBorders>
          </w:tcPr>
          <w:p w14:paraId="070343E1" w14:textId="77777777" w:rsidR="003C6C2B" w:rsidRPr="00E675BE" w:rsidRDefault="003C6C2B" w:rsidP="002B6021">
            <w:pPr>
              <w:autoSpaceDE w:val="0"/>
              <w:autoSpaceDN w:val="0"/>
              <w:adjustRightInd w:val="0"/>
              <w:jc w:val="left"/>
              <w:rPr>
                <w:rFonts w:eastAsia="等线"/>
                <w:kern w:val="0"/>
                <w:sz w:val="21"/>
                <w:szCs w:val="21"/>
              </w:rPr>
            </w:pPr>
          </w:p>
        </w:tc>
        <w:tc>
          <w:tcPr>
            <w:tcW w:w="2647" w:type="dxa"/>
            <w:tcBorders>
              <w:top w:val="nil"/>
              <w:left w:val="nil"/>
              <w:bottom w:val="nil"/>
              <w:right w:val="nil"/>
            </w:tcBorders>
          </w:tcPr>
          <w:p w14:paraId="234FD480" w14:textId="64F76C16" w:rsidR="003C6C2B" w:rsidRPr="00E675BE" w:rsidRDefault="003C6C2B" w:rsidP="002B6021">
            <w:pPr>
              <w:autoSpaceDE w:val="0"/>
              <w:autoSpaceDN w:val="0"/>
              <w:adjustRightInd w:val="0"/>
              <w:jc w:val="center"/>
              <w:rPr>
                <w:rFonts w:eastAsia="等线"/>
                <w:kern w:val="0"/>
                <w:sz w:val="21"/>
                <w:szCs w:val="21"/>
              </w:rPr>
            </w:pPr>
          </w:p>
        </w:tc>
        <w:tc>
          <w:tcPr>
            <w:tcW w:w="2647" w:type="dxa"/>
            <w:tcBorders>
              <w:top w:val="nil"/>
              <w:left w:val="nil"/>
              <w:bottom w:val="nil"/>
              <w:right w:val="nil"/>
            </w:tcBorders>
          </w:tcPr>
          <w:p w14:paraId="4897EA19" w14:textId="5B990DC3" w:rsidR="003C6C2B" w:rsidRPr="00E675BE" w:rsidRDefault="003C6C2B" w:rsidP="002B6021">
            <w:pPr>
              <w:autoSpaceDE w:val="0"/>
              <w:autoSpaceDN w:val="0"/>
              <w:adjustRightInd w:val="0"/>
              <w:jc w:val="center"/>
              <w:rPr>
                <w:kern w:val="0"/>
                <w:sz w:val="21"/>
                <w:szCs w:val="21"/>
              </w:rPr>
            </w:pPr>
            <w:r w:rsidRPr="00E675BE">
              <w:rPr>
                <w:kern w:val="0"/>
                <w:sz w:val="21"/>
                <w:szCs w:val="21"/>
              </w:rPr>
              <w:t>(0.000)</w:t>
            </w:r>
          </w:p>
        </w:tc>
      </w:tr>
      <w:tr w:rsidR="003C6C2B" w:rsidRPr="00E675BE" w14:paraId="76C3D54D" w14:textId="77777777" w:rsidTr="003C6C2B">
        <w:trPr>
          <w:trHeight w:val="529"/>
          <w:jc w:val="center"/>
        </w:trPr>
        <w:tc>
          <w:tcPr>
            <w:tcW w:w="1222" w:type="dxa"/>
            <w:tcBorders>
              <w:top w:val="nil"/>
              <w:left w:val="nil"/>
              <w:right w:val="nil"/>
            </w:tcBorders>
          </w:tcPr>
          <w:p w14:paraId="22887027" w14:textId="59606706" w:rsidR="003C6C2B" w:rsidRPr="00E675BE" w:rsidRDefault="003C6C2B" w:rsidP="002B6021">
            <w:pPr>
              <w:autoSpaceDE w:val="0"/>
              <w:autoSpaceDN w:val="0"/>
              <w:adjustRightInd w:val="0"/>
              <w:jc w:val="left"/>
              <w:rPr>
                <w:rFonts w:eastAsia="等线"/>
                <w:kern w:val="0"/>
                <w:sz w:val="21"/>
                <w:szCs w:val="21"/>
              </w:rPr>
            </w:pPr>
            <w:r w:rsidRPr="00E675BE">
              <w:rPr>
                <w:rFonts w:eastAsia="等线"/>
                <w:kern w:val="0"/>
                <w:sz w:val="21"/>
                <w:szCs w:val="21"/>
              </w:rPr>
              <w:t>_cons</w:t>
            </w:r>
          </w:p>
        </w:tc>
        <w:tc>
          <w:tcPr>
            <w:tcW w:w="2647" w:type="dxa"/>
            <w:tcBorders>
              <w:top w:val="nil"/>
              <w:left w:val="nil"/>
              <w:right w:val="nil"/>
            </w:tcBorders>
          </w:tcPr>
          <w:p w14:paraId="674344A2" w14:textId="2F2AC3BE" w:rsidR="003C6C2B" w:rsidRPr="00E675BE" w:rsidRDefault="003C6C2B" w:rsidP="002B6021">
            <w:pPr>
              <w:autoSpaceDE w:val="0"/>
              <w:autoSpaceDN w:val="0"/>
              <w:adjustRightInd w:val="0"/>
              <w:jc w:val="center"/>
              <w:rPr>
                <w:rFonts w:eastAsia="等线"/>
                <w:kern w:val="0"/>
                <w:sz w:val="21"/>
                <w:szCs w:val="21"/>
              </w:rPr>
            </w:pPr>
            <w:r w:rsidRPr="00E675BE">
              <w:rPr>
                <w:rFonts w:eastAsia="等线"/>
                <w:kern w:val="0"/>
                <w:sz w:val="21"/>
                <w:szCs w:val="21"/>
              </w:rPr>
              <w:t>19.275</w:t>
            </w:r>
            <w:r w:rsidRPr="00E675BE">
              <w:rPr>
                <w:kern w:val="0"/>
                <w:sz w:val="21"/>
                <w:szCs w:val="21"/>
                <w:vertAlign w:val="superscript"/>
              </w:rPr>
              <w:t>***</w:t>
            </w:r>
          </w:p>
        </w:tc>
        <w:tc>
          <w:tcPr>
            <w:tcW w:w="2647" w:type="dxa"/>
            <w:tcBorders>
              <w:top w:val="nil"/>
              <w:left w:val="nil"/>
              <w:right w:val="nil"/>
            </w:tcBorders>
          </w:tcPr>
          <w:p w14:paraId="1AACEB19" w14:textId="31DE60DB" w:rsidR="003C6C2B" w:rsidRPr="00E675BE" w:rsidRDefault="003C6C2B" w:rsidP="002B6021">
            <w:pPr>
              <w:autoSpaceDE w:val="0"/>
              <w:autoSpaceDN w:val="0"/>
              <w:adjustRightInd w:val="0"/>
              <w:jc w:val="center"/>
              <w:rPr>
                <w:kern w:val="0"/>
                <w:sz w:val="21"/>
                <w:szCs w:val="21"/>
              </w:rPr>
            </w:pPr>
            <w:r w:rsidRPr="00E675BE">
              <w:rPr>
                <w:kern w:val="0"/>
                <w:sz w:val="21"/>
                <w:szCs w:val="21"/>
              </w:rPr>
              <w:t>21.733</w:t>
            </w:r>
            <w:r w:rsidRPr="00E675BE">
              <w:rPr>
                <w:kern w:val="0"/>
                <w:sz w:val="21"/>
                <w:szCs w:val="21"/>
                <w:vertAlign w:val="superscript"/>
              </w:rPr>
              <w:t>***</w:t>
            </w:r>
          </w:p>
        </w:tc>
      </w:tr>
      <w:tr w:rsidR="003C6C2B" w:rsidRPr="00E675BE" w14:paraId="0C4CFDE6" w14:textId="77777777" w:rsidTr="003C6C2B">
        <w:trPr>
          <w:trHeight w:val="529"/>
          <w:jc w:val="center"/>
        </w:trPr>
        <w:tc>
          <w:tcPr>
            <w:tcW w:w="1222" w:type="dxa"/>
            <w:tcBorders>
              <w:top w:val="nil"/>
              <w:left w:val="nil"/>
              <w:bottom w:val="single" w:sz="12" w:space="0" w:color="auto"/>
              <w:right w:val="nil"/>
            </w:tcBorders>
          </w:tcPr>
          <w:p w14:paraId="51DAE627" w14:textId="3B368674" w:rsidR="003C6C2B" w:rsidRPr="00E675BE" w:rsidRDefault="003C6C2B" w:rsidP="002B6021">
            <w:pPr>
              <w:autoSpaceDE w:val="0"/>
              <w:autoSpaceDN w:val="0"/>
              <w:adjustRightInd w:val="0"/>
              <w:jc w:val="left"/>
              <w:rPr>
                <w:rFonts w:eastAsia="等线"/>
                <w:kern w:val="0"/>
                <w:sz w:val="21"/>
                <w:szCs w:val="21"/>
              </w:rPr>
            </w:pPr>
            <w:r>
              <w:rPr>
                <w:rFonts w:eastAsia="等线" w:hint="eastAsia"/>
                <w:kern w:val="0"/>
                <w:sz w:val="21"/>
                <w:szCs w:val="21"/>
              </w:rPr>
              <w:t>`</w:t>
            </w:r>
          </w:p>
        </w:tc>
        <w:tc>
          <w:tcPr>
            <w:tcW w:w="2647" w:type="dxa"/>
            <w:tcBorders>
              <w:top w:val="nil"/>
              <w:left w:val="nil"/>
              <w:bottom w:val="single" w:sz="12" w:space="0" w:color="auto"/>
              <w:right w:val="nil"/>
            </w:tcBorders>
          </w:tcPr>
          <w:p w14:paraId="55BC57AF" w14:textId="2985012D" w:rsidR="003C6C2B" w:rsidRPr="00E675BE" w:rsidRDefault="003C6C2B" w:rsidP="002B6021">
            <w:pPr>
              <w:autoSpaceDE w:val="0"/>
              <w:autoSpaceDN w:val="0"/>
              <w:adjustRightInd w:val="0"/>
              <w:jc w:val="center"/>
              <w:rPr>
                <w:rFonts w:eastAsia="等线"/>
                <w:kern w:val="0"/>
                <w:sz w:val="21"/>
                <w:szCs w:val="21"/>
              </w:rPr>
            </w:pPr>
            <w:r w:rsidRPr="00E675BE">
              <w:rPr>
                <w:kern w:val="0"/>
                <w:sz w:val="21"/>
                <w:szCs w:val="21"/>
              </w:rPr>
              <w:t>(2.674)</w:t>
            </w:r>
          </w:p>
        </w:tc>
        <w:tc>
          <w:tcPr>
            <w:tcW w:w="2647" w:type="dxa"/>
            <w:tcBorders>
              <w:top w:val="nil"/>
              <w:left w:val="nil"/>
              <w:bottom w:val="single" w:sz="12" w:space="0" w:color="auto"/>
              <w:right w:val="nil"/>
            </w:tcBorders>
          </w:tcPr>
          <w:p w14:paraId="357CB588" w14:textId="643AA09E" w:rsidR="003C6C2B" w:rsidRPr="00E675BE" w:rsidRDefault="003C6C2B" w:rsidP="002B6021">
            <w:pPr>
              <w:autoSpaceDE w:val="0"/>
              <w:autoSpaceDN w:val="0"/>
              <w:adjustRightInd w:val="0"/>
              <w:jc w:val="center"/>
              <w:rPr>
                <w:kern w:val="0"/>
                <w:sz w:val="21"/>
                <w:szCs w:val="21"/>
              </w:rPr>
            </w:pPr>
            <w:r w:rsidRPr="00E675BE">
              <w:rPr>
                <w:kern w:val="0"/>
                <w:sz w:val="21"/>
                <w:szCs w:val="21"/>
              </w:rPr>
              <w:t>(1.969)</w:t>
            </w:r>
          </w:p>
        </w:tc>
      </w:tr>
    </w:tbl>
    <w:p w14:paraId="2E944DCF" w14:textId="77777777" w:rsidR="0058675C" w:rsidRDefault="0058675C" w:rsidP="0058675C">
      <w:pPr>
        <w:autoSpaceDE w:val="0"/>
        <w:autoSpaceDN w:val="0"/>
        <w:adjustRightInd w:val="0"/>
        <w:ind w:firstLineChars="500" w:firstLine="1050"/>
        <w:jc w:val="left"/>
        <w:rPr>
          <w:rFonts w:eastAsia="等线"/>
          <w:kern w:val="0"/>
          <w:sz w:val="21"/>
          <w:szCs w:val="21"/>
        </w:rPr>
      </w:pPr>
      <w:r w:rsidRPr="002C4F52">
        <w:rPr>
          <w:rFonts w:eastAsia="等线" w:hint="eastAsia"/>
          <w:kern w:val="0"/>
          <w:sz w:val="21"/>
          <w:szCs w:val="21"/>
        </w:rPr>
        <w:t>注：</w:t>
      </w:r>
      <w:r w:rsidRPr="002C4F52">
        <w:rPr>
          <w:rFonts w:eastAsia="等线"/>
          <w:kern w:val="0"/>
          <w:sz w:val="21"/>
          <w:szCs w:val="21"/>
          <w:vertAlign w:val="superscript"/>
        </w:rPr>
        <w:t>*</w:t>
      </w:r>
      <w:r w:rsidRPr="002C4F52">
        <w:rPr>
          <w:rFonts w:eastAsia="等线"/>
          <w:kern w:val="0"/>
          <w:sz w:val="21"/>
          <w:szCs w:val="21"/>
        </w:rPr>
        <w:t xml:space="preserve"> </w:t>
      </w:r>
      <w:r w:rsidRPr="002C4F52">
        <w:rPr>
          <w:rFonts w:eastAsia="等线"/>
          <w:i/>
          <w:iCs/>
          <w:kern w:val="0"/>
          <w:sz w:val="21"/>
          <w:szCs w:val="21"/>
        </w:rPr>
        <w:t>p</w:t>
      </w:r>
      <w:r w:rsidRPr="002C4F52">
        <w:rPr>
          <w:rFonts w:eastAsia="等线"/>
          <w:kern w:val="0"/>
          <w:sz w:val="21"/>
          <w:szCs w:val="21"/>
        </w:rPr>
        <w:t xml:space="preserve"> &lt; 0.1, </w:t>
      </w:r>
      <w:r w:rsidRPr="002C4F52">
        <w:rPr>
          <w:rFonts w:eastAsia="等线"/>
          <w:kern w:val="0"/>
          <w:sz w:val="21"/>
          <w:szCs w:val="21"/>
          <w:vertAlign w:val="superscript"/>
        </w:rPr>
        <w:t>**</w:t>
      </w:r>
      <w:r w:rsidRPr="002C4F52">
        <w:rPr>
          <w:rFonts w:eastAsia="等线"/>
          <w:kern w:val="0"/>
          <w:sz w:val="21"/>
          <w:szCs w:val="21"/>
        </w:rPr>
        <w:t xml:space="preserve"> </w:t>
      </w:r>
      <w:r w:rsidRPr="002C4F52">
        <w:rPr>
          <w:rFonts w:eastAsia="等线"/>
          <w:i/>
          <w:iCs/>
          <w:kern w:val="0"/>
          <w:sz w:val="21"/>
          <w:szCs w:val="21"/>
        </w:rPr>
        <w:t>p</w:t>
      </w:r>
      <w:r w:rsidRPr="002C4F52">
        <w:rPr>
          <w:rFonts w:eastAsia="等线"/>
          <w:kern w:val="0"/>
          <w:sz w:val="21"/>
          <w:szCs w:val="21"/>
        </w:rPr>
        <w:t xml:space="preserve"> &lt; 0.05, </w:t>
      </w:r>
      <w:r w:rsidRPr="002C4F52">
        <w:rPr>
          <w:rFonts w:eastAsia="等线"/>
          <w:kern w:val="0"/>
          <w:sz w:val="21"/>
          <w:szCs w:val="21"/>
          <w:vertAlign w:val="superscript"/>
        </w:rPr>
        <w:t>***</w:t>
      </w:r>
      <w:r w:rsidRPr="002C4F52">
        <w:rPr>
          <w:rFonts w:eastAsia="等线"/>
          <w:kern w:val="0"/>
          <w:sz w:val="21"/>
          <w:szCs w:val="21"/>
        </w:rPr>
        <w:t xml:space="preserve"> </w:t>
      </w:r>
      <w:r w:rsidRPr="002C4F52">
        <w:rPr>
          <w:rFonts w:eastAsia="等线"/>
          <w:i/>
          <w:iCs/>
          <w:kern w:val="0"/>
          <w:sz w:val="21"/>
          <w:szCs w:val="21"/>
        </w:rPr>
        <w:t>p</w:t>
      </w:r>
      <w:r w:rsidRPr="002C4F52">
        <w:rPr>
          <w:rFonts w:eastAsia="等线"/>
          <w:kern w:val="0"/>
          <w:sz w:val="21"/>
          <w:szCs w:val="21"/>
        </w:rPr>
        <w:t xml:space="preserve"> &lt; 0.01</w:t>
      </w:r>
    </w:p>
    <w:p w14:paraId="0A79C649" w14:textId="77777777" w:rsidR="0058675C" w:rsidRDefault="0058675C" w:rsidP="0058675C">
      <w:pPr>
        <w:ind w:left="480" w:hangingChars="200" w:hanging="480"/>
        <w:jc w:val="center"/>
      </w:pPr>
    </w:p>
    <w:p w14:paraId="4ACFE781" w14:textId="4DBAF237" w:rsidR="00B07956" w:rsidRDefault="00FF517A" w:rsidP="009D2907">
      <w:pPr>
        <w:pStyle w:val="1"/>
        <w:pageBreakBefore/>
        <w:spacing w:before="163" w:after="163"/>
        <w:rPr>
          <w:rFonts w:ascii="楷体_GB2312" w:eastAsia="楷体_GB2312"/>
        </w:rPr>
      </w:pPr>
      <w:bookmarkStart w:id="117" w:name="_Toc104478878"/>
      <w:r>
        <w:lastRenderedPageBreak/>
        <w:t>5</w:t>
      </w:r>
      <w:r w:rsidR="00B07956">
        <w:rPr>
          <w:rFonts w:ascii="黑体" w:hint="eastAsia"/>
        </w:rPr>
        <w:t xml:space="preserve"> </w:t>
      </w:r>
      <w:r w:rsidR="00E06E89">
        <w:rPr>
          <w:rFonts w:ascii="黑体" w:hint="eastAsia"/>
        </w:rPr>
        <w:t>研究</w:t>
      </w:r>
      <w:r w:rsidR="00B07956">
        <w:rPr>
          <w:rFonts w:hint="eastAsia"/>
        </w:rPr>
        <w:t>结论</w:t>
      </w:r>
      <w:bookmarkEnd w:id="117"/>
    </w:p>
    <w:p w14:paraId="0CA9B463" w14:textId="058CCDDA" w:rsidR="00BF556F" w:rsidRPr="00C146EE" w:rsidRDefault="00BF556F" w:rsidP="00C146EE">
      <w:pPr>
        <w:pStyle w:val="2"/>
        <w:spacing w:before="163" w:after="163"/>
        <w:rPr>
          <w:rStyle w:val="20"/>
          <w:b/>
          <w:bCs/>
        </w:rPr>
      </w:pPr>
      <w:bookmarkStart w:id="118" w:name="_Toc104478879"/>
      <w:r w:rsidRPr="00C146EE">
        <w:rPr>
          <w:rStyle w:val="20"/>
          <w:rFonts w:cs="Times New Roman"/>
          <w:b/>
          <w:bCs/>
        </w:rPr>
        <w:t>5.1</w:t>
      </w:r>
      <w:r w:rsidR="000B1BE6" w:rsidRPr="00C146EE">
        <w:rPr>
          <w:rStyle w:val="20"/>
          <w:rFonts w:cs="Times New Roman"/>
          <w:b/>
          <w:bCs/>
        </w:rPr>
        <w:t xml:space="preserve"> </w:t>
      </w:r>
      <w:r w:rsidRPr="00C146EE">
        <w:rPr>
          <w:rStyle w:val="20"/>
          <w:b/>
          <w:bCs/>
        </w:rPr>
        <w:t>研究</w:t>
      </w:r>
      <w:r w:rsidRPr="00C146EE">
        <w:rPr>
          <w:rStyle w:val="20"/>
          <w:rFonts w:hint="eastAsia"/>
          <w:b/>
          <w:bCs/>
        </w:rPr>
        <w:t>结论</w:t>
      </w:r>
      <w:bookmarkEnd w:id="118"/>
    </w:p>
    <w:p w14:paraId="3C4F0131" w14:textId="291AAFE8" w:rsidR="009A2758" w:rsidRDefault="00B07956" w:rsidP="00BF556F">
      <w:pPr>
        <w:ind w:firstLineChars="200" w:firstLine="480"/>
      </w:pPr>
      <w:r>
        <w:rPr>
          <w:rFonts w:hint="eastAsia"/>
        </w:rPr>
        <w:t>通过以上分析，</w:t>
      </w:r>
      <w:r w:rsidRPr="00796DE2">
        <w:rPr>
          <w:rFonts w:hint="eastAsia"/>
        </w:rPr>
        <w:t>我们利用</w:t>
      </w:r>
      <w:r>
        <w:t>2014</w:t>
      </w:r>
      <w:r w:rsidRPr="00796DE2">
        <w:rPr>
          <w:rFonts w:hint="eastAsia"/>
        </w:rPr>
        <w:t>年至</w:t>
      </w:r>
      <w:r w:rsidRPr="00796DE2">
        <w:t>201</w:t>
      </w:r>
      <w:r>
        <w:t>9</w:t>
      </w:r>
      <w:r w:rsidRPr="00796DE2">
        <w:rPr>
          <w:rFonts w:hint="eastAsia"/>
        </w:rPr>
        <w:t>年的面板数据，构建了</w:t>
      </w:r>
      <w:r>
        <w:rPr>
          <w:rFonts w:hint="eastAsia"/>
        </w:rPr>
        <w:t>ESG</w:t>
      </w:r>
      <w:r w:rsidRPr="00796DE2">
        <w:rPr>
          <w:rFonts w:hint="eastAsia"/>
        </w:rPr>
        <w:t>评</w:t>
      </w:r>
      <w:r>
        <w:rPr>
          <w:rFonts w:hint="eastAsia"/>
        </w:rPr>
        <w:t>分与</w:t>
      </w:r>
      <w:r w:rsidR="00BF556F">
        <w:rPr>
          <w:rFonts w:hint="eastAsia"/>
        </w:rPr>
        <w:t>高管</w:t>
      </w:r>
      <w:r w:rsidR="00BF556F" w:rsidRPr="00BF556F">
        <w:rPr>
          <w:rFonts w:hint="eastAsia"/>
        </w:rPr>
        <w:t>薪酬</w:t>
      </w:r>
      <w:r w:rsidR="00BF556F">
        <w:rPr>
          <w:rFonts w:hint="eastAsia"/>
        </w:rPr>
        <w:t>结构</w:t>
      </w:r>
      <w:r w:rsidRPr="00796DE2">
        <w:rPr>
          <w:rFonts w:hint="eastAsia"/>
        </w:rPr>
        <w:t>对企业股价（</w:t>
      </w:r>
      <w:r>
        <w:rPr>
          <w:rFonts w:hint="eastAsia"/>
        </w:rPr>
        <w:t>D</w:t>
      </w:r>
      <w:r w:rsidRPr="00796DE2">
        <w:t>elta</w:t>
      </w:r>
      <w:r w:rsidRPr="00796DE2">
        <w:rPr>
          <w:rFonts w:hint="eastAsia"/>
        </w:rPr>
        <w:t>）和波动性（</w:t>
      </w:r>
      <w:r>
        <w:rPr>
          <w:rFonts w:hint="eastAsia"/>
        </w:rPr>
        <w:t>V</w:t>
      </w:r>
      <w:r w:rsidRPr="00796DE2">
        <w:t>ega</w:t>
      </w:r>
      <w:r w:rsidRPr="00796DE2">
        <w:rPr>
          <w:rFonts w:hint="eastAsia"/>
        </w:rPr>
        <w:t>）的敏感性</w:t>
      </w:r>
      <w:r>
        <w:rPr>
          <w:rFonts w:hint="eastAsia"/>
        </w:rPr>
        <w:t>之间关系的一个模型</w:t>
      </w:r>
      <w:r w:rsidRPr="00796DE2">
        <w:rPr>
          <w:rFonts w:hint="eastAsia"/>
        </w:rPr>
        <w:t>。此外，为了捕捉样本期内的</w:t>
      </w:r>
      <w:r>
        <w:rPr>
          <w:rFonts w:hint="eastAsia"/>
        </w:rPr>
        <w:t>行业区分</w:t>
      </w:r>
      <w:r w:rsidRPr="00796DE2">
        <w:rPr>
          <w:rFonts w:hint="eastAsia"/>
        </w:rPr>
        <w:t>，</w:t>
      </w:r>
      <w:r w:rsidR="00BF556F">
        <w:rPr>
          <w:rFonts w:hint="eastAsia"/>
        </w:rPr>
        <w:t>本文</w:t>
      </w:r>
      <w:r w:rsidR="009D2907">
        <w:rPr>
          <w:rFonts w:hint="eastAsia"/>
        </w:rPr>
        <w:t>分别检验了</w:t>
      </w:r>
      <w:r>
        <w:rPr>
          <w:rFonts w:hint="eastAsia"/>
        </w:rPr>
        <w:t>行业</w:t>
      </w:r>
      <w:r w:rsidRPr="00796DE2">
        <w:rPr>
          <w:rFonts w:hint="eastAsia"/>
        </w:rPr>
        <w:t>固定效应</w:t>
      </w:r>
      <w:r w:rsidR="009D2907">
        <w:rPr>
          <w:rFonts w:hint="eastAsia"/>
        </w:rPr>
        <w:t>和研发费用作控制变量的模型</w:t>
      </w:r>
      <w:r w:rsidRPr="00796DE2">
        <w:rPr>
          <w:rFonts w:hint="eastAsia"/>
        </w:rPr>
        <w:t>。</w:t>
      </w:r>
      <w:r w:rsidR="00BF556F">
        <w:rPr>
          <w:rFonts w:hint="eastAsia"/>
        </w:rPr>
        <w:t>通过实证研究</w:t>
      </w:r>
      <w:r w:rsidRPr="00796DE2">
        <w:rPr>
          <w:rFonts w:hint="eastAsia"/>
        </w:rPr>
        <w:t>发现，随着</w:t>
      </w:r>
      <w:r>
        <w:rPr>
          <w:rFonts w:hint="eastAsia"/>
        </w:rPr>
        <w:t>高管们拥有更高的</w:t>
      </w:r>
      <w:r>
        <w:rPr>
          <w:rFonts w:hint="eastAsia"/>
        </w:rPr>
        <w:t>Vega</w:t>
      </w:r>
      <w:r>
        <w:rPr>
          <w:rFonts w:hint="eastAsia"/>
        </w:rPr>
        <w:t>与更低的</w:t>
      </w:r>
      <w:r>
        <w:rPr>
          <w:rFonts w:hint="eastAsia"/>
        </w:rPr>
        <w:t>Delta</w:t>
      </w:r>
      <w:r w:rsidRPr="00796DE2">
        <w:rPr>
          <w:rFonts w:hint="eastAsia"/>
        </w:rPr>
        <w:t>，他们的</w:t>
      </w:r>
      <w:r>
        <w:rPr>
          <w:rFonts w:hint="eastAsia"/>
        </w:rPr>
        <w:t>企业的</w:t>
      </w:r>
      <w:r>
        <w:rPr>
          <w:rFonts w:hint="eastAsia"/>
        </w:rPr>
        <w:t>ESG</w:t>
      </w:r>
      <w:r>
        <w:rPr>
          <w:rFonts w:hint="eastAsia"/>
        </w:rPr>
        <w:t>评分</w:t>
      </w:r>
      <w:r w:rsidRPr="00796DE2">
        <w:rPr>
          <w:rFonts w:hint="eastAsia"/>
        </w:rPr>
        <w:t>也随之提高。</w:t>
      </w:r>
      <w:r w:rsidR="00691E6B" w:rsidRPr="00691E6B">
        <w:rPr>
          <w:rFonts w:hint="eastAsia"/>
        </w:rPr>
        <w:t>虽然</w:t>
      </w:r>
      <w:r w:rsidR="00691E6B">
        <w:rPr>
          <w:rFonts w:hint="eastAsia"/>
        </w:rPr>
        <w:t>本文</w:t>
      </w:r>
      <w:r w:rsidR="00691E6B" w:rsidRPr="00691E6B">
        <w:rPr>
          <w:rFonts w:hint="eastAsia"/>
        </w:rPr>
        <w:t>研究表明，企业</w:t>
      </w:r>
      <w:r w:rsidR="00691E6B">
        <w:rPr>
          <w:rFonts w:hint="eastAsia"/>
        </w:rPr>
        <w:t>高管薪酬结构与企业</w:t>
      </w:r>
      <w:r w:rsidR="00691E6B">
        <w:rPr>
          <w:rFonts w:hint="eastAsia"/>
        </w:rPr>
        <w:t>ESG</w:t>
      </w:r>
      <w:r w:rsidR="00691E6B">
        <w:rPr>
          <w:rFonts w:hint="eastAsia"/>
        </w:rPr>
        <w:t>评分</w:t>
      </w:r>
      <w:r w:rsidR="00691E6B" w:rsidRPr="00691E6B">
        <w:rPr>
          <w:rFonts w:hint="eastAsia"/>
        </w:rPr>
        <w:t>之间有着密切的联系，但</w:t>
      </w:r>
      <w:r w:rsidR="00691E6B">
        <w:rPr>
          <w:rFonts w:hint="eastAsia"/>
        </w:rPr>
        <w:t>仍然需要</w:t>
      </w:r>
      <w:r w:rsidR="00691E6B" w:rsidRPr="00691E6B">
        <w:rPr>
          <w:rFonts w:hint="eastAsia"/>
        </w:rPr>
        <w:t>承认，</w:t>
      </w:r>
      <w:r w:rsidR="00691E6B">
        <w:rPr>
          <w:rFonts w:hint="eastAsia"/>
        </w:rPr>
        <w:t>本文</w:t>
      </w:r>
      <w:r w:rsidR="00691E6B" w:rsidRPr="00691E6B">
        <w:rPr>
          <w:rFonts w:hint="eastAsia"/>
        </w:rPr>
        <w:t>仍然存在一些局限性。首先，与该领域的大多数实证研究一样，未观察到的因素</w:t>
      </w:r>
      <w:r w:rsidR="00691E6B">
        <w:rPr>
          <w:rFonts w:hint="eastAsia"/>
        </w:rPr>
        <w:t>可能</w:t>
      </w:r>
      <w:r w:rsidR="00691E6B" w:rsidRPr="00691E6B">
        <w:rPr>
          <w:rFonts w:hint="eastAsia"/>
        </w:rPr>
        <w:t>可以解释我们的结果。然而，在包括一系列稳健性</w:t>
      </w:r>
      <w:r w:rsidR="008058A0">
        <w:rPr>
          <w:rFonts w:hint="eastAsia"/>
        </w:rPr>
        <w:t>检验和内生性问题检验</w:t>
      </w:r>
      <w:r w:rsidR="00691E6B" w:rsidRPr="00691E6B">
        <w:rPr>
          <w:rFonts w:hint="eastAsia"/>
        </w:rPr>
        <w:t>之后，</w:t>
      </w:r>
      <w:r w:rsidR="00BF556F">
        <w:rPr>
          <w:rFonts w:hint="eastAsia"/>
        </w:rPr>
        <w:t>研究</w:t>
      </w:r>
      <w:r w:rsidR="00691E6B" w:rsidRPr="00691E6B">
        <w:rPr>
          <w:rFonts w:hint="eastAsia"/>
        </w:rPr>
        <w:t>的结果仍然</w:t>
      </w:r>
      <w:r w:rsidR="00691E6B">
        <w:rPr>
          <w:rFonts w:hint="eastAsia"/>
        </w:rPr>
        <w:t>可靠</w:t>
      </w:r>
      <w:r w:rsidR="00BF556F">
        <w:rPr>
          <w:rFonts w:hint="eastAsia"/>
        </w:rPr>
        <w:t>，</w:t>
      </w:r>
      <w:r w:rsidR="004C6E4A">
        <w:rPr>
          <w:rFonts w:hint="eastAsia"/>
        </w:rPr>
        <w:t>从而</w:t>
      </w:r>
      <w:r w:rsidR="00BF556F">
        <w:rPr>
          <w:rFonts w:hint="eastAsia"/>
        </w:rPr>
        <w:t>可以</w:t>
      </w:r>
      <w:r w:rsidRPr="00796DE2">
        <w:rPr>
          <w:rFonts w:hint="eastAsia"/>
        </w:rPr>
        <w:t>得出结论，</w:t>
      </w:r>
      <w:r>
        <w:rPr>
          <w:rFonts w:hint="eastAsia"/>
        </w:rPr>
        <w:t>高管</w:t>
      </w:r>
      <w:r w:rsidRPr="00796DE2">
        <w:rPr>
          <w:rFonts w:hint="eastAsia"/>
        </w:rPr>
        <w:t>们做出与</w:t>
      </w:r>
      <w:r>
        <w:rPr>
          <w:rFonts w:hint="eastAsia"/>
        </w:rPr>
        <w:t>ESG</w:t>
      </w:r>
      <w:r w:rsidRPr="00796DE2">
        <w:rPr>
          <w:rFonts w:hint="eastAsia"/>
        </w:rPr>
        <w:t>相关的决策，与他们对潜在股价的薪酬敏感性</w:t>
      </w:r>
      <w:r>
        <w:rPr>
          <w:rFonts w:hint="eastAsia"/>
        </w:rPr>
        <w:t>有关</w:t>
      </w:r>
      <w:bookmarkStart w:id="119" w:name="_Hlk102668547"/>
      <w:r w:rsidR="009A2758">
        <w:rPr>
          <w:rFonts w:hint="eastAsia"/>
        </w:rPr>
        <w:t>。</w:t>
      </w:r>
    </w:p>
    <w:p w14:paraId="24F11270" w14:textId="70F32E95" w:rsidR="00B07956" w:rsidRPr="00796DE2" w:rsidRDefault="009A2758" w:rsidP="00BF556F">
      <w:pPr>
        <w:ind w:firstLineChars="200" w:firstLine="480"/>
      </w:pPr>
      <w:r w:rsidRPr="009A2758">
        <w:rPr>
          <w:rFonts w:hint="eastAsia"/>
        </w:rPr>
        <w:t>Delta</w:t>
      </w:r>
      <w:r w:rsidRPr="009A2758">
        <w:rPr>
          <w:rFonts w:hint="eastAsia"/>
        </w:rPr>
        <w:t>更高的高管可能更有可能放弃</w:t>
      </w:r>
      <w:r w:rsidRPr="009A2758">
        <w:rPr>
          <w:rFonts w:hint="eastAsia"/>
        </w:rPr>
        <w:t>ESG</w:t>
      </w:r>
      <w:r w:rsidRPr="009A2758">
        <w:rPr>
          <w:rFonts w:hint="eastAsia"/>
        </w:rPr>
        <w:t>相关投资项目，这可能因为高管们认为投资于更高的</w:t>
      </w:r>
      <w:r w:rsidRPr="009A2758">
        <w:rPr>
          <w:rFonts w:hint="eastAsia"/>
        </w:rPr>
        <w:t>ESG</w:t>
      </w:r>
      <w:r w:rsidRPr="009A2758">
        <w:rPr>
          <w:rFonts w:hint="eastAsia"/>
        </w:rPr>
        <w:t>评分是一个消极的净现值投资项目，这可能是因为</w:t>
      </w:r>
      <w:r w:rsidRPr="009A2758">
        <w:rPr>
          <w:rFonts w:hint="eastAsia"/>
        </w:rPr>
        <w:t>ESG</w:t>
      </w:r>
      <w:r w:rsidRPr="009A2758">
        <w:rPr>
          <w:rFonts w:hint="eastAsia"/>
        </w:rPr>
        <w:t>相关投资难以量化，因此难以向股东证明其合理性，这也可能是因为</w:t>
      </w:r>
      <w:r w:rsidRPr="009A2758">
        <w:rPr>
          <w:rFonts w:hint="eastAsia"/>
        </w:rPr>
        <w:t>ESG</w:t>
      </w:r>
      <w:r w:rsidRPr="009A2758">
        <w:rPr>
          <w:rFonts w:hint="eastAsia"/>
        </w:rPr>
        <w:t>相关投资的好处被认为太遥远，今天不值得关注，从而</w:t>
      </w:r>
      <w:r>
        <w:rPr>
          <w:rFonts w:hint="eastAsia"/>
        </w:rPr>
        <w:t>相关投资会</w:t>
      </w:r>
      <w:r w:rsidRPr="009A2758">
        <w:rPr>
          <w:rFonts w:hint="eastAsia"/>
        </w:rPr>
        <w:t>导致他们短期的财富减少。而</w:t>
      </w:r>
      <w:r w:rsidRPr="009A2758">
        <w:rPr>
          <w:rFonts w:hint="eastAsia"/>
        </w:rPr>
        <w:t>Vega</w:t>
      </w:r>
      <w:r w:rsidRPr="009A2758">
        <w:rPr>
          <w:rFonts w:hint="eastAsia"/>
        </w:rPr>
        <w:t>回归系数却显著大于零，这就</w:t>
      </w:r>
      <w:r>
        <w:rPr>
          <w:rFonts w:hint="eastAsia"/>
        </w:rPr>
        <w:t>说明</w:t>
      </w:r>
      <w:r w:rsidRPr="009A2758">
        <w:rPr>
          <w:rFonts w:hint="eastAsia"/>
        </w:rPr>
        <w:t>，</w:t>
      </w:r>
      <w:r>
        <w:rPr>
          <w:rFonts w:hint="eastAsia"/>
        </w:rPr>
        <w:t>Vega</w:t>
      </w:r>
      <w:r w:rsidRPr="009A2758">
        <w:rPr>
          <w:rFonts w:hint="eastAsia"/>
        </w:rPr>
        <w:t>更高的高管可能更有可能</w:t>
      </w:r>
      <w:r>
        <w:rPr>
          <w:rFonts w:hint="eastAsia"/>
        </w:rPr>
        <w:t>追求</w:t>
      </w:r>
      <w:r w:rsidRPr="009A2758">
        <w:rPr>
          <w:rFonts w:hint="eastAsia"/>
        </w:rPr>
        <w:t>ESG</w:t>
      </w:r>
      <w:r w:rsidRPr="009A2758">
        <w:rPr>
          <w:rFonts w:hint="eastAsia"/>
        </w:rPr>
        <w:t>相关投资项目</w:t>
      </w:r>
      <w:r>
        <w:rPr>
          <w:rFonts w:hint="eastAsia"/>
        </w:rPr>
        <w:t>，因为</w:t>
      </w:r>
      <w:r w:rsidRPr="009A2758">
        <w:rPr>
          <w:rFonts w:hint="eastAsia"/>
        </w:rPr>
        <w:t>尽管高管们认为</w:t>
      </w:r>
      <w:r w:rsidRPr="009A2758">
        <w:rPr>
          <w:rFonts w:hint="eastAsia"/>
        </w:rPr>
        <w:t>ESG</w:t>
      </w:r>
      <w:r w:rsidRPr="009A2758">
        <w:rPr>
          <w:rFonts w:hint="eastAsia"/>
        </w:rPr>
        <w:t>相关投资对股价是有负面影响的，但他们认为</w:t>
      </w:r>
      <w:r w:rsidRPr="009A2758">
        <w:rPr>
          <w:rFonts w:hint="eastAsia"/>
        </w:rPr>
        <w:t>ESG</w:t>
      </w:r>
      <w:r w:rsidRPr="009A2758">
        <w:rPr>
          <w:rFonts w:hint="eastAsia"/>
        </w:rPr>
        <w:t>相关投资会增加股价波动性，也就是说，在更高的</w:t>
      </w:r>
      <w:r w:rsidRPr="009A2758">
        <w:rPr>
          <w:rFonts w:hint="eastAsia"/>
        </w:rPr>
        <w:t>Vega</w:t>
      </w:r>
      <w:r w:rsidRPr="009A2758">
        <w:rPr>
          <w:rFonts w:hint="eastAsia"/>
        </w:rPr>
        <w:t>激励下，他们将</w:t>
      </w:r>
      <w:r w:rsidRPr="009A2758">
        <w:rPr>
          <w:rFonts w:hint="eastAsia"/>
        </w:rPr>
        <w:t>ESG</w:t>
      </w:r>
      <w:r w:rsidRPr="009A2758">
        <w:rPr>
          <w:rFonts w:hint="eastAsia"/>
        </w:rPr>
        <w:t>相关投资视为增加公司风险的一种方式，这有利于他们的财富增加。</w:t>
      </w:r>
      <w:r w:rsidR="001F1BBC">
        <w:rPr>
          <w:rFonts w:hint="eastAsia"/>
        </w:rPr>
        <w:t>而且有趣的是</w:t>
      </w:r>
      <w:r w:rsidR="001F1BBC" w:rsidRPr="001F1BBC">
        <w:rPr>
          <w:rFonts w:hint="eastAsia"/>
        </w:rPr>
        <w:t>企业高管薪酬敏感性中风险承担效应（</w:t>
      </w:r>
      <w:r w:rsidR="001F1BBC" w:rsidRPr="001F1BBC">
        <w:rPr>
          <w:rFonts w:hint="eastAsia"/>
        </w:rPr>
        <w:t>Vega</w:t>
      </w:r>
      <w:r w:rsidR="001F1BBC" w:rsidRPr="001F1BBC">
        <w:rPr>
          <w:rFonts w:hint="eastAsia"/>
        </w:rPr>
        <w:t>）相较于激励效应（</w:t>
      </w:r>
      <w:r w:rsidR="001F1BBC" w:rsidRPr="001F1BBC">
        <w:rPr>
          <w:rFonts w:hint="eastAsia"/>
        </w:rPr>
        <w:t>Delta</w:t>
      </w:r>
      <w:r w:rsidR="001F1BBC" w:rsidRPr="001F1BBC">
        <w:rPr>
          <w:rFonts w:hint="eastAsia"/>
        </w:rPr>
        <w:t>）对</w:t>
      </w:r>
      <w:r w:rsidR="001F1BBC" w:rsidRPr="001F1BBC">
        <w:rPr>
          <w:rFonts w:hint="eastAsia"/>
        </w:rPr>
        <w:t>ESG</w:t>
      </w:r>
      <w:r w:rsidR="001F1BBC" w:rsidRPr="001F1BBC">
        <w:rPr>
          <w:rFonts w:hint="eastAsia"/>
        </w:rPr>
        <w:t>表现的影响更显著和稳定</w:t>
      </w:r>
      <w:r w:rsidR="001F1BBC">
        <w:rPr>
          <w:rFonts w:hint="eastAsia"/>
        </w:rPr>
        <w:t>，说明高管们可能对</w:t>
      </w:r>
      <w:r w:rsidR="001F1BBC">
        <w:rPr>
          <w:rFonts w:hint="eastAsia"/>
        </w:rPr>
        <w:t>ESG</w:t>
      </w:r>
      <w:r w:rsidR="001F1BBC">
        <w:rPr>
          <w:rFonts w:hint="eastAsia"/>
        </w:rPr>
        <w:t>相关投资会增加股价波动性的可能更加确信。</w:t>
      </w:r>
    </w:p>
    <w:bookmarkEnd w:id="119"/>
    <w:p w14:paraId="50EA29CD" w14:textId="77777777" w:rsidR="003C6C2B" w:rsidRDefault="003C6C2B" w:rsidP="00BF556F">
      <w:pPr>
        <w:rPr>
          <w:rStyle w:val="20"/>
          <w:rFonts w:cs="Times New Roman"/>
        </w:rPr>
      </w:pPr>
    </w:p>
    <w:p w14:paraId="263CE968" w14:textId="0387192E" w:rsidR="00BF556F" w:rsidRPr="00C146EE" w:rsidRDefault="00BF556F" w:rsidP="00C146EE">
      <w:pPr>
        <w:pStyle w:val="2"/>
        <w:spacing w:before="163" w:after="163"/>
        <w:rPr>
          <w:rStyle w:val="20"/>
          <w:b/>
          <w:bCs/>
        </w:rPr>
      </w:pPr>
      <w:bookmarkStart w:id="120" w:name="_Toc104478880"/>
      <w:r w:rsidRPr="00C146EE">
        <w:rPr>
          <w:rStyle w:val="20"/>
          <w:rFonts w:cs="Times New Roman"/>
          <w:b/>
          <w:bCs/>
        </w:rPr>
        <w:lastRenderedPageBreak/>
        <w:t>5.2</w:t>
      </w:r>
      <w:r w:rsidR="000B1BE6" w:rsidRPr="00C146EE">
        <w:rPr>
          <w:rStyle w:val="20"/>
          <w:rFonts w:cs="Times New Roman"/>
          <w:b/>
          <w:bCs/>
        </w:rPr>
        <w:t xml:space="preserve"> </w:t>
      </w:r>
      <w:r w:rsidRPr="00C146EE">
        <w:rPr>
          <w:rStyle w:val="20"/>
          <w:b/>
          <w:bCs/>
        </w:rPr>
        <w:t>研究启示</w:t>
      </w:r>
      <w:r w:rsidR="00E925BF" w:rsidRPr="00C146EE">
        <w:rPr>
          <w:rStyle w:val="20"/>
          <w:rFonts w:hint="eastAsia"/>
          <w:b/>
          <w:bCs/>
        </w:rPr>
        <w:t>与不足</w:t>
      </w:r>
      <w:bookmarkEnd w:id="120"/>
    </w:p>
    <w:p w14:paraId="3FB97FCF" w14:textId="6380D19E" w:rsidR="00B07956" w:rsidRDefault="00B07956" w:rsidP="00BF556F">
      <w:pPr>
        <w:ind w:firstLineChars="200" w:firstLine="480"/>
      </w:pPr>
      <w:r>
        <w:rPr>
          <w:rFonts w:ascii="宋体" w:hAnsi="宋体" w:hint="eastAsia"/>
          <w:lang w:val="zh-CN"/>
        </w:rPr>
        <w:t>此外</w:t>
      </w:r>
      <w:r w:rsidR="00BF556F">
        <w:rPr>
          <w:rFonts w:ascii="宋体" w:hAnsi="宋体" w:hint="eastAsia"/>
          <w:lang w:val="zh-CN"/>
        </w:rPr>
        <w:t>，本文</w:t>
      </w:r>
      <w:r w:rsidRPr="00837150">
        <w:rPr>
          <w:rFonts w:ascii="宋体" w:hAnsi="宋体" w:hint="eastAsia"/>
          <w:lang w:val="zh-CN"/>
        </w:rPr>
        <w:t>的研究结果</w:t>
      </w:r>
      <w:r>
        <w:rPr>
          <w:rFonts w:ascii="宋体" w:hAnsi="宋体" w:hint="eastAsia"/>
          <w:lang w:val="zh-CN"/>
        </w:rPr>
        <w:t>也</w:t>
      </w:r>
      <w:r w:rsidRPr="00837150">
        <w:rPr>
          <w:rFonts w:ascii="宋体" w:hAnsi="宋体" w:hint="eastAsia"/>
          <w:lang w:val="zh-CN"/>
        </w:rPr>
        <w:t>表明，</w:t>
      </w:r>
      <w:r>
        <w:rPr>
          <w:rFonts w:ascii="宋体" w:hAnsi="宋体" w:hint="eastAsia"/>
          <w:lang w:val="zh-CN"/>
        </w:rPr>
        <w:t>企业高管们并不</w:t>
      </w:r>
      <w:r w:rsidRPr="00837150">
        <w:rPr>
          <w:rFonts w:ascii="宋体" w:hAnsi="宋体" w:hint="eastAsia"/>
          <w:lang w:val="zh-CN"/>
        </w:rPr>
        <w:t>认为</w:t>
      </w:r>
      <w:r>
        <w:rPr>
          <w:rFonts w:ascii="宋体" w:hAnsi="宋体" w:hint="eastAsia"/>
          <w:lang w:val="zh-CN"/>
        </w:rPr>
        <w:t>ESG相关投资</w:t>
      </w:r>
      <w:r w:rsidRPr="00837150">
        <w:rPr>
          <w:rFonts w:ascii="宋体" w:hAnsi="宋体" w:hint="eastAsia"/>
          <w:lang w:val="zh-CN"/>
        </w:rPr>
        <w:t>是一种</w:t>
      </w:r>
      <w:r>
        <w:rPr>
          <w:rFonts w:ascii="宋体" w:hAnsi="宋体" w:hint="eastAsia"/>
          <w:lang w:val="zh-CN"/>
        </w:rPr>
        <w:t>提升企业</w:t>
      </w:r>
      <w:r w:rsidRPr="00837150">
        <w:rPr>
          <w:rFonts w:ascii="宋体" w:hAnsi="宋体" w:hint="eastAsia"/>
          <w:lang w:val="zh-CN"/>
        </w:rPr>
        <w:t>价值的方式，而是一种通过</w:t>
      </w:r>
      <w:r>
        <w:rPr>
          <w:rFonts w:ascii="宋体" w:hAnsi="宋体" w:hint="eastAsia"/>
          <w:lang w:val="zh-CN"/>
        </w:rPr>
        <w:t>提高V</w:t>
      </w:r>
      <w:r w:rsidRPr="00837150">
        <w:rPr>
          <w:rFonts w:ascii="宋体" w:hAnsi="宋体"/>
          <w:lang w:val="zh-CN"/>
        </w:rPr>
        <w:t>ega</w:t>
      </w:r>
      <w:r>
        <w:rPr>
          <w:rFonts w:ascii="宋体" w:hAnsi="宋体" w:hint="eastAsia"/>
          <w:lang w:val="zh-CN"/>
        </w:rPr>
        <w:t>来</w:t>
      </w:r>
      <w:r w:rsidRPr="00837150">
        <w:rPr>
          <w:rFonts w:ascii="宋体" w:hAnsi="宋体" w:hint="eastAsia"/>
          <w:lang w:val="zh-CN"/>
        </w:rPr>
        <w:t>提高自身</w:t>
      </w:r>
      <w:r>
        <w:rPr>
          <w:rFonts w:ascii="宋体" w:hAnsi="宋体" w:hint="eastAsia"/>
          <w:lang w:val="zh-CN"/>
        </w:rPr>
        <w:t>财富</w:t>
      </w:r>
      <w:r w:rsidRPr="00837150">
        <w:rPr>
          <w:rFonts w:ascii="宋体" w:hAnsi="宋体" w:hint="eastAsia"/>
          <w:lang w:val="zh-CN"/>
        </w:rPr>
        <w:t>的方式。</w:t>
      </w:r>
      <w:r>
        <w:rPr>
          <w:rFonts w:ascii="宋体" w:hAnsi="宋体" w:hint="eastAsia"/>
          <w:lang w:val="zh-CN"/>
        </w:rPr>
        <w:t>这提醒了</w:t>
      </w:r>
      <w:r w:rsidRPr="00837150">
        <w:rPr>
          <w:rFonts w:ascii="宋体" w:hAnsi="宋体" w:hint="eastAsia"/>
          <w:lang w:val="zh-CN"/>
        </w:rPr>
        <w:t>想要</w:t>
      </w:r>
      <w:r w:rsidR="00BF556F">
        <w:rPr>
          <w:rFonts w:ascii="宋体" w:hAnsi="宋体" w:hint="eastAsia"/>
          <w:lang w:val="zh-CN"/>
        </w:rPr>
        <w:t>提升</w:t>
      </w:r>
      <w:r>
        <w:rPr>
          <w:rFonts w:ascii="宋体" w:hAnsi="宋体" w:hint="eastAsia"/>
          <w:lang w:val="zh-CN"/>
        </w:rPr>
        <w:t>自身</w:t>
      </w:r>
      <w:r w:rsidRPr="00837150">
        <w:rPr>
          <w:rFonts w:ascii="宋体" w:hAnsi="宋体" w:hint="eastAsia"/>
          <w:lang w:val="zh-CN"/>
        </w:rPr>
        <w:t>的</w:t>
      </w:r>
      <w:r>
        <w:rPr>
          <w:rFonts w:ascii="宋体" w:hAnsi="宋体" w:hint="eastAsia"/>
          <w:lang w:val="zh-CN"/>
        </w:rPr>
        <w:t>ESG</w:t>
      </w:r>
      <w:r w:rsidR="00BF556F">
        <w:rPr>
          <w:rFonts w:ascii="宋体" w:hAnsi="宋体" w:hint="eastAsia"/>
          <w:lang w:val="zh-CN"/>
        </w:rPr>
        <w:t>环境</w:t>
      </w:r>
      <w:r w:rsidRPr="00837150">
        <w:rPr>
          <w:rFonts w:ascii="宋体" w:hAnsi="宋体" w:hint="eastAsia"/>
          <w:lang w:val="zh-CN"/>
        </w:rPr>
        <w:t>的</w:t>
      </w:r>
      <w:r>
        <w:rPr>
          <w:rFonts w:ascii="宋体" w:hAnsi="宋体" w:hint="eastAsia"/>
          <w:lang w:val="zh-CN"/>
        </w:rPr>
        <w:t>企业</w:t>
      </w:r>
      <w:r w:rsidRPr="00837150">
        <w:rPr>
          <w:rFonts w:ascii="宋体" w:hAnsi="宋体" w:hint="eastAsia"/>
          <w:lang w:val="zh-CN"/>
        </w:rPr>
        <w:t>应该把</w:t>
      </w:r>
      <w:r>
        <w:rPr>
          <w:rFonts w:ascii="宋体" w:hAnsi="宋体" w:hint="eastAsia"/>
          <w:lang w:val="zh-CN"/>
        </w:rPr>
        <w:t>提高Vega</w:t>
      </w:r>
      <w:r w:rsidRPr="00837150">
        <w:rPr>
          <w:rFonts w:ascii="宋体" w:hAnsi="宋体" w:hint="eastAsia"/>
          <w:lang w:val="zh-CN"/>
        </w:rPr>
        <w:t>作为对高管的重要薪酬激励</w:t>
      </w:r>
      <w:r>
        <w:rPr>
          <w:rFonts w:ascii="宋体" w:hAnsi="宋体" w:hint="eastAsia"/>
          <w:lang w:val="zh-CN"/>
        </w:rPr>
        <w:t>，这对于在现今投资者眼里愈发重要的ESG表现的今天的企业来说有很大的启示意义</w:t>
      </w:r>
      <w:r w:rsidRPr="00837150">
        <w:rPr>
          <w:rFonts w:ascii="宋体" w:hAnsi="宋体" w:hint="eastAsia"/>
          <w:lang w:val="zh-CN"/>
        </w:rPr>
        <w:t>。</w:t>
      </w:r>
    </w:p>
    <w:p w14:paraId="69C98C0F" w14:textId="3C8D07C4" w:rsidR="00BF556F" w:rsidRPr="00E925BF" w:rsidRDefault="00B07956" w:rsidP="00E925BF">
      <w:pPr>
        <w:ind w:firstLineChars="200" w:firstLine="480"/>
        <w:rPr>
          <w:rStyle w:val="20"/>
          <w:rFonts w:eastAsia="宋体" w:cs="Times New Roman"/>
          <w:b w:val="0"/>
          <w:bCs w:val="0"/>
          <w:sz w:val="24"/>
          <w:szCs w:val="20"/>
        </w:rPr>
      </w:pPr>
      <w:r w:rsidRPr="00335C54">
        <w:rPr>
          <w:rFonts w:hint="eastAsia"/>
        </w:rPr>
        <w:t>总的来说，本研究中的研究结果对于</w:t>
      </w:r>
      <w:r>
        <w:rPr>
          <w:rFonts w:hint="eastAsia"/>
        </w:rPr>
        <w:t>高管</w:t>
      </w:r>
      <w:r w:rsidRPr="00335C54">
        <w:rPr>
          <w:rFonts w:hint="eastAsia"/>
        </w:rPr>
        <w:t>薪酬结构对公司参</w:t>
      </w:r>
      <w:r>
        <w:rPr>
          <w:rFonts w:hint="eastAsia"/>
        </w:rPr>
        <w:t>ESG</w:t>
      </w:r>
      <w:r>
        <w:rPr>
          <w:rFonts w:hint="eastAsia"/>
        </w:rPr>
        <w:t>相关投资等活动的</w:t>
      </w:r>
      <w:r w:rsidRPr="00335C54">
        <w:rPr>
          <w:rFonts w:hint="eastAsia"/>
        </w:rPr>
        <w:t>重要性和影响具有重要的政策意义。</w:t>
      </w:r>
      <w:r w:rsidR="00A7156C" w:rsidRPr="00A7156C">
        <w:rPr>
          <w:rFonts w:hint="eastAsia"/>
        </w:rPr>
        <w:t>了解</w:t>
      </w:r>
      <w:r w:rsidR="00A7156C">
        <w:rPr>
          <w:rFonts w:hint="eastAsia"/>
        </w:rPr>
        <w:t>高管们</w:t>
      </w:r>
      <w:r w:rsidR="00A7156C" w:rsidRPr="00A7156C">
        <w:rPr>
          <w:rFonts w:hint="eastAsia"/>
        </w:rPr>
        <w:t>如何应对与</w:t>
      </w:r>
      <w:r w:rsidR="00A7156C">
        <w:rPr>
          <w:rFonts w:hint="eastAsia"/>
        </w:rPr>
        <w:t>企业</w:t>
      </w:r>
      <w:r w:rsidR="00A7156C">
        <w:rPr>
          <w:rFonts w:hint="eastAsia"/>
        </w:rPr>
        <w:t>ESG</w:t>
      </w:r>
      <w:r w:rsidR="00A7156C">
        <w:rPr>
          <w:rFonts w:hint="eastAsia"/>
        </w:rPr>
        <w:t>环境</w:t>
      </w:r>
      <w:r w:rsidR="00A7156C" w:rsidRPr="00A7156C">
        <w:rPr>
          <w:rFonts w:hint="eastAsia"/>
        </w:rPr>
        <w:t>相关的激励，对于设计薪酬政策至关重要，这些政策不仅能最大限度地实现股东价值，还能在日益受到社会认知影响的经营环境中促进企业公民意识</w:t>
      </w:r>
      <w:r w:rsidR="00A7156C">
        <w:rPr>
          <w:rFonts w:hint="eastAsia"/>
        </w:rPr>
        <w:t>、环保意识和社会责任意识。</w:t>
      </w:r>
      <w:r w:rsidRPr="006B775B">
        <w:rPr>
          <w:rFonts w:hint="eastAsia"/>
        </w:rPr>
        <w:t>通过了解</w:t>
      </w:r>
      <w:r>
        <w:rPr>
          <w:rFonts w:hint="eastAsia"/>
        </w:rPr>
        <w:t>高管</w:t>
      </w:r>
      <w:r w:rsidRPr="006B775B">
        <w:rPr>
          <w:rFonts w:hint="eastAsia"/>
        </w:rPr>
        <w:t>如何应对各种薪酬激励，</w:t>
      </w:r>
      <w:r w:rsidR="00BF556F">
        <w:rPr>
          <w:rFonts w:hint="eastAsia"/>
        </w:rPr>
        <w:t>企业董事会</w:t>
      </w:r>
      <w:r w:rsidRPr="006B775B">
        <w:rPr>
          <w:rFonts w:hint="eastAsia"/>
        </w:rPr>
        <w:t>可以开始制定更好的薪酬结构，最大限度地降低代理成本，同时最大限度地提高股东和利益相关者的价值</w:t>
      </w:r>
      <w:r>
        <w:rPr>
          <w:rFonts w:hint="eastAsia"/>
        </w:rPr>
        <w:t>。</w:t>
      </w:r>
    </w:p>
    <w:p w14:paraId="1B86A77C" w14:textId="18D44E7B" w:rsidR="000B1BE6" w:rsidRDefault="00D245C1" w:rsidP="00D245C1">
      <w:pPr>
        <w:ind w:firstLineChars="200" w:firstLine="480"/>
      </w:pPr>
      <w:r>
        <w:rPr>
          <w:rFonts w:hint="eastAsia"/>
        </w:rPr>
        <w:t>本文</w:t>
      </w:r>
      <w:r w:rsidRPr="00691E6B">
        <w:rPr>
          <w:rFonts w:hint="eastAsia"/>
        </w:rPr>
        <w:t>仍然存在一些局限性。首先，与该领域的大多数实证研究一样，未观察到的因素</w:t>
      </w:r>
      <w:r>
        <w:rPr>
          <w:rFonts w:hint="eastAsia"/>
        </w:rPr>
        <w:t>可能</w:t>
      </w:r>
      <w:r w:rsidRPr="00691E6B">
        <w:rPr>
          <w:rFonts w:hint="eastAsia"/>
        </w:rPr>
        <w:t>可以解释我们的结果</w:t>
      </w:r>
      <w:r>
        <w:rPr>
          <w:rFonts w:hint="eastAsia"/>
        </w:rPr>
        <w:t>，例如</w:t>
      </w:r>
      <w:r w:rsidR="00F848E8">
        <w:rPr>
          <w:rFonts w:hint="eastAsia"/>
        </w:rPr>
        <w:t>关于</w:t>
      </w:r>
      <w:r w:rsidR="00F848E8">
        <w:rPr>
          <w:rFonts w:hint="eastAsia"/>
        </w:rPr>
        <w:t>ESG</w:t>
      </w:r>
      <w:r w:rsidR="00F848E8">
        <w:rPr>
          <w:rFonts w:hint="eastAsia"/>
        </w:rPr>
        <w:t>影响因素</w:t>
      </w:r>
      <w:r w:rsidR="00B07956" w:rsidRPr="006B775B">
        <w:rPr>
          <w:rFonts w:hint="eastAsia"/>
        </w:rPr>
        <w:t>可能存在</w:t>
      </w:r>
      <w:r w:rsidR="00F848E8">
        <w:rPr>
          <w:rFonts w:hint="eastAsia"/>
        </w:rPr>
        <w:t>相关</w:t>
      </w:r>
      <w:r>
        <w:rPr>
          <w:rFonts w:hint="eastAsia"/>
        </w:rPr>
        <w:t>的</w:t>
      </w:r>
      <w:r w:rsidR="00F848E8">
        <w:rPr>
          <w:rFonts w:hint="eastAsia"/>
        </w:rPr>
        <w:t>遗漏变量</w:t>
      </w:r>
      <w:r w:rsidR="00B07956" w:rsidRPr="006B775B">
        <w:rPr>
          <w:rFonts w:hint="eastAsia"/>
        </w:rPr>
        <w:t>，</w:t>
      </w:r>
      <w:r w:rsidR="00F848E8">
        <w:rPr>
          <w:rFonts w:hint="eastAsia"/>
        </w:rPr>
        <w:t>而且本文未考虑</w:t>
      </w:r>
      <w:r w:rsidR="00B07956">
        <w:rPr>
          <w:rFonts w:hint="eastAsia"/>
        </w:rPr>
        <w:t>高管个人信息间的差异</w:t>
      </w:r>
      <w:r w:rsidR="00F848E8">
        <w:rPr>
          <w:rFonts w:hint="eastAsia"/>
        </w:rPr>
        <w:t>。</w:t>
      </w:r>
      <w:r>
        <w:rPr>
          <w:rFonts w:hint="eastAsia"/>
        </w:rPr>
        <w:t>其次，在数据计算中可能有一些偏差，如本文</w:t>
      </w:r>
      <w:r w:rsidR="000B1BE6">
        <w:rPr>
          <w:rFonts w:hint="eastAsia"/>
        </w:rPr>
        <w:t>为获取</w:t>
      </w:r>
      <w:r w:rsidR="000B1BE6">
        <w:rPr>
          <w:rFonts w:hint="eastAsia"/>
        </w:rPr>
        <w:t>Vega</w:t>
      </w:r>
      <w:r w:rsidR="000B1BE6">
        <w:rPr>
          <w:rFonts w:hint="eastAsia"/>
        </w:rPr>
        <w:t>和</w:t>
      </w:r>
      <w:r w:rsidR="000B1BE6">
        <w:rPr>
          <w:rFonts w:hint="eastAsia"/>
        </w:rPr>
        <w:t>Delta</w:t>
      </w:r>
      <w:r w:rsidR="000B1BE6">
        <w:rPr>
          <w:rFonts w:hint="eastAsia"/>
        </w:rPr>
        <w:t>数据而进行的期权价值计算过程中</w:t>
      </w:r>
      <w:r>
        <w:rPr>
          <w:rFonts w:hint="eastAsia"/>
        </w:rPr>
        <w:t>选取的期权数量都是经过手工翻阅</w:t>
      </w:r>
      <w:r w:rsidR="000B1BE6">
        <w:rPr>
          <w:rFonts w:hint="eastAsia"/>
        </w:rPr>
        <w:t>巨潮资讯网上的公司公告整理</w:t>
      </w:r>
      <w:r>
        <w:rPr>
          <w:rFonts w:hint="eastAsia"/>
        </w:rPr>
        <w:t>，</w:t>
      </w:r>
      <w:r w:rsidR="000B1BE6">
        <w:rPr>
          <w:rFonts w:hint="eastAsia"/>
        </w:rPr>
        <w:t>然后与</w:t>
      </w:r>
      <w:r>
        <w:rPr>
          <w:rFonts w:hint="eastAsia"/>
        </w:rPr>
        <w:t>国泰安数据库</w:t>
      </w:r>
      <w:r w:rsidR="000B1BE6">
        <w:rPr>
          <w:rFonts w:hint="eastAsia"/>
        </w:rPr>
        <w:t>中内容</w:t>
      </w:r>
      <w:r>
        <w:rPr>
          <w:rFonts w:hint="eastAsia"/>
        </w:rPr>
        <w:t>进行</w:t>
      </w:r>
      <w:r w:rsidR="000B1BE6">
        <w:rPr>
          <w:rFonts w:hint="eastAsia"/>
        </w:rPr>
        <w:t>比对</w:t>
      </w:r>
      <w:r>
        <w:rPr>
          <w:rFonts w:hint="eastAsia"/>
        </w:rPr>
        <w:t>，</w:t>
      </w:r>
      <w:r w:rsidR="000B1BE6">
        <w:rPr>
          <w:rFonts w:hint="eastAsia"/>
        </w:rPr>
        <w:t>期中必定出现一些对比不同和偏差。最后，</w:t>
      </w:r>
      <w:r>
        <w:rPr>
          <w:rFonts w:hint="eastAsia"/>
        </w:rPr>
        <w:t>计算过程中对</w:t>
      </w:r>
      <w:r w:rsidR="000B1BE6">
        <w:rPr>
          <w:rFonts w:hint="eastAsia"/>
        </w:rPr>
        <w:t>进行了某些简化</w:t>
      </w:r>
      <w:r>
        <w:rPr>
          <w:rFonts w:hint="eastAsia"/>
        </w:rPr>
        <w:t>，如</w:t>
      </w:r>
      <w:r w:rsidR="000B1BE6">
        <w:rPr>
          <w:rFonts w:hint="eastAsia"/>
        </w:rPr>
        <w:t>因为中国上市公司分红</w:t>
      </w:r>
      <w:proofErr w:type="gramStart"/>
      <w:r w:rsidR="000B1BE6">
        <w:rPr>
          <w:rFonts w:hint="eastAsia"/>
        </w:rPr>
        <w:t>率很低就</w:t>
      </w:r>
      <w:proofErr w:type="gramEnd"/>
      <w:r w:rsidR="000B1BE6">
        <w:rPr>
          <w:rFonts w:hint="eastAsia"/>
        </w:rPr>
        <w:t>取值为</w:t>
      </w:r>
      <w:r w:rsidR="000B1BE6">
        <w:rPr>
          <w:rFonts w:hint="eastAsia"/>
        </w:rPr>
        <w:t>0</w:t>
      </w:r>
      <w:r>
        <w:rPr>
          <w:rFonts w:hint="eastAsia"/>
        </w:rPr>
        <w:t>、有效期</w:t>
      </w:r>
      <w:r>
        <w:rPr>
          <w:rFonts w:hint="eastAsia"/>
        </w:rPr>
        <w:t xml:space="preserve"> T </w:t>
      </w:r>
      <w:r>
        <w:rPr>
          <w:rFonts w:hint="eastAsia"/>
        </w:rPr>
        <w:t>按最低半年计算等，</w:t>
      </w:r>
      <w:r w:rsidR="000B1BE6">
        <w:rPr>
          <w:rFonts w:hint="eastAsia"/>
        </w:rPr>
        <w:t>可能会对</w:t>
      </w:r>
      <w:r w:rsidR="000B1BE6">
        <w:rPr>
          <w:rFonts w:hint="eastAsia"/>
        </w:rPr>
        <w:t>Vega</w:t>
      </w:r>
      <w:r w:rsidR="000B1BE6">
        <w:rPr>
          <w:rFonts w:hint="eastAsia"/>
        </w:rPr>
        <w:t>和</w:t>
      </w:r>
      <w:r w:rsidR="000B1BE6">
        <w:rPr>
          <w:rFonts w:hint="eastAsia"/>
        </w:rPr>
        <w:t>Delta</w:t>
      </w:r>
      <w:r w:rsidR="000B1BE6">
        <w:rPr>
          <w:rFonts w:hint="eastAsia"/>
        </w:rPr>
        <w:t>的结果有一些影响</w:t>
      </w:r>
      <w:r>
        <w:rPr>
          <w:rFonts w:hint="eastAsia"/>
        </w:rPr>
        <w:t>。</w:t>
      </w:r>
      <w:r w:rsidR="000B1BE6">
        <w:rPr>
          <w:rFonts w:hint="eastAsia"/>
        </w:rPr>
        <w:t>总之，后续相关研究应该针对这些方面加以完善和深入。</w:t>
      </w:r>
    </w:p>
    <w:p w14:paraId="0F73BF70" w14:textId="112A5BCB" w:rsidR="00A539FB" w:rsidRDefault="00EA58B0" w:rsidP="00BF556F">
      <w:pPr>
        <w:rPr>
          <w:rFonts w:ascii="黑体" w:eastAsia="黑体"/>
          <w:b/>
          <w:sz w:val="36"/>
          <w:szCs w:val="36"/>
        </w:rPr>
      </w:pPr>
      <w:r>
        <w:rPr>
          <w:rFonts w:ascii="黑体" w:eastAsia="黑体"/>
          <w:b/>
          <w:sz w:val="36"/>
          <w:szCs w:val="36"/>
        </w:rPr>
        <w:br w:type="page"/>
      </w:r>
    </w:p>
    <w:p w14:paraId="05B54FA2" w14:textId="15434ECE" w:rsidR="00B07956" w:rsidRDefault="00B07956" w:rsidP="00481278">
      <w:pPr>
        <w:pStyle w:val="1"/>
        <w:spacing w:before="163" w:after="163"/>
        <w:rPr>
          <w:rFonts w:ascii="楷体_GB2312" w:eastAsia="楷体_GB2312" w:hAnsi="宋体"/>
          <w:szCs w:val="21"/>
        </w:rPr>
      </w:pPr>
      <w:bookmarkStart w:id="121" w:name="_Toc104478881"/>
      <w:r>
        <w:rPr>
          <w:rFonts w:hint="eastAsia"/>
        </w:rPr>
        <w:lastRenderedPageBreak/>
        <w:t>致谢</w:t>
      </w:r>
      <w:bookmarkEnd w:id="121"/>
      <w:r>
        <w:rPr>
          <w:rFonts w:hint="eastAsia"/>
        </w:rPr>
        <w:t xml:space="preserve"> </w:t>
      </w:r>
    </w:p>
    <w:p w14:paraId="17BCBC3E" w14:textId="12520605" w:rsidR="00B07956" w:rsidRDefault="00744163" w:rsidP="00B07956">
      <w:pPr>
        <w:ind w:firstLineChars="200" w:firstLine="480"/>
        <w:rPr>
          <w:rFonts w:ascii="宋体" w:hAnsi="宋体"/>
        </w:rPr>
      </w:pPr>
      <w:r>
        <w:rPr>
          <w:rFonts w:ascii="宋体" w:hAnsi="宋体" w:hint="eastAsia"/>
        </w:rPr>
        <w:t>如果我是孔子，我可以说“逝者如斯夫”；如果我是</w:t>
      </w:r>
      <w:r w:rsidRPr="00744163">
        <w:rPr>
          <w:rFonts w:ascii="宋体" w:hAnsi="宋体" w:hint="eastAsia"/>
        </w:rPr>
        <w:t>奥勒留</w:t>
      </w:r>
      <w:r>
        <w:rPr>
          <w:rFonts w:ascii="宋体" w:hAnsi="宋体" w:hint="eastAsia"/>
        </w:rPr>
        <w:t>，我可以说“</w:t>
      </w:r>
      <w:r w:rsidR="00FE1AC3">
        <w:rPr>
          <w:rFonts w:ascii="宋体" w:hAnsi="宋体" w:hint="eastAsia"/>
        </w:rPr>
        <w:t>一切都稍纵即逝，无论是记住这些的人，还是那被记住的一切</w:t>
      </w:r>
      <w:r>
        <w:rPr>
          <w:rFonts w:ascii="宋体" w:hAnsi="宋体" w:hint="eastAsia"/>
        </w:rPr>
        <w:t>”</w:t>
      </w:r>
      <w:r w:rsidR="001B419B">
        <w:rPr>
          <w:rFonts w:ascii="宋体" w:hAnsi="宋体" w:hint="eastAsia"/>
        </w:rPr>
        <w:t>。</w:t>
      </w:r>
      <w:r>
        <w:rPr>
          <w:rFonts w:ascii="宋体" w:hAnsi="宋体" w:hint="eastAsia"/>
        </w:rPr>
        <w:t>可是我只是一个缺乏文采的读书人，只能写一下一句：“</w:t>
      </w:r>
      <w:r w:rsidR="00B00E92">
        <w:rPr>
          <w:rFonts w:ascii="宋体" w:hAnsi="宋体" w:hint="eastAsia"/>
        </w:rPr>
        <w:t>在华科的四年时间</w:t>
      </w:r>
      <w:r w:rsidR="00FE1AC3">
        <w:rPr>
          <w:rFonts w:ascii="宋体" w:hAnsi="宋体" w:hint="eastAsia"/>
        </w:rPr>
        <w:t>流逝</w:t>
      </w:r>
      <w:r w:rsidR="009A2758">
        <w:rPr>
          <w:rFonts w:ascii="宋体" w:hAnsi="宋体" w:hint="eastAsia"/>
        </w:rPr>
        <w:t>得</w:t>
      </w:r>
      <w:r w:rsidR="00B00E92">
        <w:rPr>
          <w:rFonts w:ascii="宋体" w:hAnsi="宋体" w:hint="eastAsia"/>
        </w:rPr>
        <w:t>比想象中还要快</w:t>
      </w:r>
      <w:r>
        <w:rPr>
          <w:rFonts w:ascii="宋体" w:hAnsi="宋体" w:hint="eastAsia"/>
        </w:rPr>
        <w:t>”。</w:t>
      </w:r>
      <w:r w:rsidR="00DC5689">
        <w:rPr>
          <w:rFonts w:ascii="宋体" w:hAnsi="宋体" w:hint="eastAsia"/>
        </w:rPr>
        <w:t>从建筑学到财务管理，再到即将</w:t>
      </w:r>
      <w:r w:rsidR="009A2758">
        <w:rPr>
          <w:rFonts w:ascii="宋体" w:hAnsi="宋体" w:hint="eastAsia"/>
        </w:rPr>
        <w:t>在</w:t>
      </w:r>
      <w:r w:rsidR="00DC5689">
        <w:rPr>
          <w:rFonts w:ascii="宋体" w:hAnsi="宋体" w:hint="eastAsia"/>
        </w:rPr>
        <w:t>研究生期间学习的数量经济学，</w:t>
      </w:r>
      <w:r w:rsidR="00FE1AC3">
        <w:rPr>
          <w:rFonts w:ascii="宋体" w:hAnsi="宋体" w:hint="eastAsia"/>
        </w:rPr>
        <w:t>所有的人生转折都不在我的预期之中，</w:t>
      </w:r>
      <w:r w:rsidR="00B0361E">
        <w:rPr>
          <w:rFonts w:ascii="宋体" w:hAnsi="宋体" w:hint="eastAsia"/>
        </w:rPr>
        <w:t>比如曾经我的梦想是成为一个文学家或者哲学家，又</w:t>
      </w:r>
      <w:r w:rsidR="00FE1AC3">
        <w:rPr>
          <w:rFonts w:ascii="宋体" w:hAnsi="宋体" w:hint="eastAsia"/>
        </w:rPr>
        <w:t>比如</w:t>
      </w:r>
      <w:r w:rsidR="00B0361E">
        <w:rPr>
          <w:rFonts w:ascii="宋体" w:hAnsi="宋体" w:hint="eastAsia"/>
        </w:rPr>
        <w:t>现在</w:t>
      </w:r>
      <w:r w:rsidR="003E7685">
        <w:rPr>
          <w:rFonts w:ascii="宋体" w:hAnsi="宋体" w:hint="eastAsia"/>
        </w:rPr>
        <w:t>我</w:t>
      </w:r>
      <w:r w:rsidR="00DC5689">
        <w:rPr>
          <w:rFonts w:ascii="宋体" w:hAnsi="宋体" w:hint="eastAsia"/>
        </w:rPr>
        <w:t>跟华科的缘分</w:t>
      </w:r>
      <w:r w:rsidR="009A2758">
        <w:rPr>
          <w:rFonts w:ascii="宋体" w:hAnsi="宋体" w:hint="eastAsia"/>
        </w:rPr>
        <w:t>暂时</w:t>
      </w:r>
      <w:r w:rsidR="00DC5689">
        <w:rPr>
          <w:rFonts w:ascii="宋体" w:hAnsi="宋体" w:hint="eastAsia"/>
        </w:rPr>
        <w:t>还未结束</w:t>
      </w:r>
      <w:r w:rsidR="00FE1AC3">
        <w:rPr>
          <w:rFonts w:ascii="宋体" w:hAnsi="宋体" w:hint="eastAsia"/>
        </w:rPr>
        <w:t>这件事</w:t>
      </w:r>
      <w:r w:rsidR="00DC5689">
        <w:rPr>
          <w:rFonts w:ascii="宋体" w:hAnsi="宋体" w:hint="eastAsia"/>
        </w:rPr>
        <w:t>。</w:t>
      </w:r>
    </w:p>
    <w:p w14:paraId="1571BF52" w14:textId="5D8A97D4" w:rsidR="00DC5689" w:rsidRDefault="00FE1AC3" w:rsidP="00B07956">
      <w:pPr>
        <w:ind w:firstLineChars="200" w:firstLine="480"/>
        <w:rPr>
          <w:rFonts w:ascii="宋体" w:hAnsi="宋体"/>
        </w:rPr>
      </w:pPr>
      <w:r>
        <w:rPr>
          <w:rFonts w:ascii="宋体" w:hAnsi="宋体" w:hint="eastAsia"/>
        </w:rPr>
        <w:t>回忆使事物有了景深，现实使往事产生魅力，记忆中的痛</w:t>
      </w:r>
      <w:r w:rsidR="00DC5689">
        <w:rPr>
          <w:rFonts w:ascii="宋体" w:hAnsi="宋体" w:hint="eastAsia"/>
        </w:rPr>
        <w:t>苦与欢乐，迷茫和顿悟</w:t>
      </w:r>
      <w:r w:rsidR="006220DD">
        <w:rPr>
          <w:rFonts w:ascii="宋体" w:hAnsi="宋体" w:hint="eastAsia"/>
        </w:rPr>
        <w:t>交融在一起</w:t>
      </w:r>
      <w:r w:rsidR="00B63603">
        <w:rPr>
          <w:rFonts w:ascii="宋体" w:hAnsi="宋体" w:hint="eastAsia"/>
        </w:rPr>
        <w:t>已分辨不清</w:t>
      </w:r>
      <w:r w:rsidR="00DC5689">
        <w:rPr>
          <w:rFonts w:ascii="宋体" w:hAnsi="宋体" w:hint="eastAsia"/>
        </w:rPr>
        <w:t>，我原以为一切都是命中注定，后来发现其实是内在性格等因素决定一个人的生活轨迹，虽然我们的梦想有时候诡异地偏离，最终还是会到达我们看不见的目标。</w:t>
      </w:r>
      <w:r w:rsidR="00744163">
        <w:rPr>
          <w:rFonts w:ascii="宋体" w:hAnsi="宋体" w:hint="eastAsia"/>
        </w:rPr>
        <w:t>如果说对未来有什么期望，那还是与高中的我写给自己的一样：咬紧牙关，我就是我。</w:t>
      </w:r>
    </w:p>
    <w:p w14:paraId="6826A198" w14:textId="6866F5B8" w:rsidR="009F3EAD" w:rsidRDefault="00DC5689" w:rsidP="009F3EAD">
      <w:pPr>
        <w:ind w:firstLineChars="200" w:firstLine="480"/>
        <w:rPr>
          <w:rFonts w:ascii="宋体" w:hAnsi="宋体"/>
        </w:rPr>
      </w:pPr>
      <w:r>
        <w:rPr>
          <w:rFonts w:ascii="宋体" w:hAnsi="宋体" w:hint="eastAsia"/>
        </w:rPr>
        <w:t>在此需要</w:t>
      </w:r>
      <w:r w:rsidR="00114605">
        <w:rPr>
          <w:rFonts w:ascii="宋体" w:hAnsi="宋体" w:hint="eastAsia"/>
        </w:rPr>
        <w:t>感谢我的论文指导老师何旭彪老师以及我的研究生导师彭斌老师对我毕业论文细致的指导和帮助</w:t>
      </w:r>
      <w:r>
        <w:rPr>
          <w:rFonts w:ascii="宋体" w:hAnsi="宋体" w:hint="eastAsia"/>
        </w:rPr>
        <w:t>，</w:t>
      </w:r>
      <w:r w:rsidR="00E6266D">
        <w:rPr>
          <w:rFonts w:ascii="宋体" w:hAnsi="宋体" w:hint="eastAsia"/>
        </w:rPr>
        <w:t>而且老师们为我迷茫的学术之路指明了方向</w:t>
      </w:r>
      <w:r>
        <w:rPr>
          <w:rFonts w:ascii="宋体" w:hAnsi="宋体" w:hint="eastAsia"/>
        </w:rPr>
        <w:t>；</w:t>
      </w:r>
      <w:r w:rsidR="00114605">
        <w:rPr>
          <w:rFonts w:ascii="宋体" w:hAnsi="宋体" w:hint="eastAsia"/>
        </w:rPr>
        <w:t>感谢我的</w:t>
      </w:r>
      <w:r>
        <w:rPr>
          <w:rFonts w:ascii="宋体" w:hAnsi="宋体" w:hint="eastAsia"/>
        </w:rPr>
        <w:t>父母和妹妹</w:t>
      </w:r>
      <w:r w:rsidR="00114605">
        <w:rPr>
          <w:rFonts w:ascii="宋体" w:hAnsi="宋体" w:hint="eastAsia"/>
        </w:rPr>
        <w:t>对我的无条件的支持</w:t>
      </w:r>
      <w:r>
        <w:rPr>
          <w:rFonts w:ascii="宋体" w:hAnsi="宋体" w:hint="eastAsia"/>
        </w:rPr>
        <w:t>；</w:t>
      </w:r>
      <w:r w:rsidR="00F37A4B">
        <w:rPr>
          <w:rFonts w:ascii="宋体" w:hAnsi="宋体" w:hint="eastAsia"/>
        </w:rPr>
        <w:t>最后，</w:t>
      </w:r>
      <w:r w:rsidR="00114605">
        <w:rPr>
          <w:rFonts w:ascii="宋体" w:hAnsi="宋体" w:hint="eastAsia"/>
        </w:rPr>
        <w:t>感谢</w:t>
      </w:r>
      <w:r>
        <w:rPr>
          <w:rFonts w:ascii="宋体" w:hAnsi="宋体" w:hint="eastAsia"/>
        </w:rPr>
        <w:t>那个名叫Root的角色让我</w:t>
      </w:r>
      <w:r w:rsidR="005F208F">
        <w:rPr>
          <w:rFonts w:ascii="宋体" w:hAnsi="宋体" w:hint="eastAsia"/>
        </w:rPr>
        <w:t>终于明白</w:t>
      </w:r>
      <w:r w:rsidR="00D44468">
        <w:rPr>
          <w:rFonts w:ascii="宋体" w:hAnsi="宋体" w:hint="eastAsia"/>
        </w:rPr>
        <w:t>去</w:t>
      </w:r>
      <w:r w:rsidR="005F208F">
        <w:rPr>
          <w:rFonts w:ascii="宋体" w:hAnsi="宋体" w:hint="eastAsia"/>
        </w:rPr>
        <w:t>追寻那唯一值得追寻的东西</w:t>
      </w:r>
      <w:r>
        <w:rPr>
          <w:rFonts w:ascii="宋体" w:hAnsi="宋体" w:hint="eastAsia"/>
        </w:rPr>
        <w:t>，而</w:t>
      </w:r>
      <w:proofErr w:type="gramStart"/>
      <w:r>
        <w:rPr>
          <w:rFonts w:ascii="宋体" w:hAnsi="宋体" w:hint="eastAsia"/>
        </w:rPr>
        <w:t>此间是</w:t>
      </w:r>
      <w:proofErr w:type="gramEnd"/>
      <w:r w:rsidR="00114605">
        <w:rPr>
          <w:rFonts w:ascii="宋体" w:hAnsi="宋体" w:hint="eastAsia"/>
        </w:rPr>
        <w:t>王菲的每一首歌陪我度过</w:t>
      </w:r>
      <w:r w:rsidR="00F37A4B">
        <w:rPr>
          <w:rFonts w:ascii="宋体" w:hAnsi="宋体" w:hint="eastAsia"/>
        </w:rPr>
        <w:t>每一段</w:t>
      </w:r>
      <w:r w:rsidR="00D245C1">
        <w:rPr>
          <w:rFonts w:ascii="宋体" w:hAnsi="宋体" w:hint="eastAsia"/>
        </w:rPr>
        <w:t>艰难</w:t>
      </w:r>
      <w:r w:rsidR="00114605">
        <w:rPr>
          <w:rFonts w:ascii="宋体" w:hAnsi="宋体" w:hint="eastAsia"/>
        </w:rPr>
        <w:t>的岁月</w:t>
      </w:r>
      <w:r w:rsidR="00F37A4B">
        <w:rPr>
          <w:rFonts w:ascii="宋体" w:hAnsi="宋体" w:hint="eastAsia"/>
        </w:rPr>
        <w:t>，多谢阿菲</w:t>
      </w:r>
      <w:r>
        <w:rPr>
          <w:rFonts w:ascii="宋体" w:hAnsi="宋体" w:hint="eastAsia"/>
        </w:rPr>
        <w:t>！</w:t>
      </w:r>
    </w:p>
    <w:p w14:paraId="46D7EBC4" w14:textId="647C8CCD" w:rsidR="009F3EAD" w:rsidRDefault="009F3EAD" w:rsidP="009F3EAD">
      <w:pPr>
        <w:ind w:firstLineChars="200" w:firstLine="480"/>
        <w:rPr>
          <w:rFonts w:ascii="宋体" w:hAnsi="宋体"/>
        </w:rPr>
      </w:pPr>
    </w:p>
    <w:p w14:paraId="19328312" w14:textId="41DB00E9" w:rsidR="009F3EAD" w:rsidRDefault="009F3EAD" w:rsidP="009F3EAD">
      <w:pPr>
        <w:ind w:firstLineChars="200" w:firstLine="480"/>
        <w:rPr>
          <w:rFonts w:ascii="宋体" w:hAnsi="宋体"/>
        </w:rPr>
      </w:pPr>
    </w:p>
    <w:p w14:paraId="09BECD67" w14:textId="77DAAB53" w:rsidR="009F3EAD" w:rsidRDefault="009F3EAD" w:rsidP="009F3EAD">
      <w:pPr>
        <w:ind w:firstLineChars="200" w:firstLine="480"/>
        <w:rPr>
          <w:rFonts w:ascii="宋体" w:hAnsi="宋体"/>
        </w:rPr>
      </w:pPr>
    </w:p>
    <w:p w14:paraId="1AEB973A" w14:textId="5B153A26" w:rsidR="009F3EAD" w:rsidRDefault="009F3EAD" w:rsidP="009F3EAD">
      <w:pPr>
        <w:ind w:firstLineChars="200" w:firstLine="480"/>
        <w:rPr>
          <w:rFonts w:ascii="宋体" w:hAnsi="宋体"/>
        </w:rPr>
      </w:pPr>
    </w:p>
    <w:p w14:paraId="5864B8D7" w14:textId="2B1405AB" w:rsidR="009F3EAD" w:rsidRDefault="009F3EAD" w:rsidP="009F3EAD">
      <w:pPr>
        <w:ind w:firstLineChars="200" w:firstLine="480"/>
        <w:rPr>
          <w:rFonts w:ascii="宋体" w:hAnsi="宋体"/>
        </w:rPr>
      </w:pPr>
    </w:p>
    <w:p w14:paraId="3A2A4ABC" w14:textId="0381F16E" w:rsidR="009F3EAD" w:rsidRDefault="009F3EAD" w:rsidP="009F3EAD">
      <w:pPr>
        <w:ind w:firstLineChars="200" w:firstLine="480"/>
        <w:rPr>
          <w:rFonts w:ascii="宋体" w:hAnsi="宋体"/>
        </w:rPr>
      </w:pPr>
    </w:p>
    <w:p w14:paraId="2B17C85A" w14:textId="4A6DF1CC" w:rsidR="009F3EAD" w:rsidRDefault="009F3EAD" w:rsidP="009F3EAD">
      <w:pPr>
        <w:ind w:firstLineChars="200" w:firstLine="480"/>
        <w:rPr>
          <w:rFonts w:ascii="宋体" w:hAnsi="宋体"/>
        </w:rPr>
      </w:pPr>
    </w:p>
    <w:p w14:paraId="76E1F56C" w14:textId="55913A07" w:rsidR="009F3EAD" w:rsidRDefault="009F3EAD" w:rsidP="009F3EAD">
      <w:pPr>
        <w:ind w:firstLineChars="200" w:firstLine="480"/>
        <w:rPr>
          <w:rFonts w:ascii="宋体" w:hAnsi="宋体"/>
        </w:rPr>
      </w:pPr>
    </w:p>
    <w:p w14:paraId="3F6BF9E2" w14:textId="2C5E16B0" w:rsidR="009F3EAD" w:rsidRDefault="009F3EAD" w:rsidP="009F3EAD">
      <w:pPr>
        <w:ind w:firstLineChars="200" w:firstLine="480"/>
        <w:rPr>
          <w:rFonts w:ascii="宋体" w:hAnsi="宋体"/>
        </w:rPr>
      </w:pPr>
    </w:p>
    <w:p w14:paraId="57B6FA8A" w14:textId="77777777" w:rsidR="009F3EAD" w:rsidRDefault="009F3EAD" w:rsidP="00B0361E">
      <w:pPr>
        <w:rPr>
          <w:rFonts w:ascii="宋体" w:hAnsi="宋体"/>
        </w:rPr>
      </w:pPr>
    </w:p>
    <w:p w14:paraId="3E8E4774" w14:textId="21B6765F" w:rsidR="00B07956" w:rsidRPr="009F3EAD" w:rsidRDefault="00B07956" w:rsidP="009F3EAD">
      <w:pPr>
        <w:pStyle w:val="1"/>
        <w:spacing w:before="163" w:after="163"/>
        <w:rPr>
          <w:rFonts w:ascii="宋体" w:eastAsia="宋体" w:hAnsi="宋体"/>
          <w:szCs w:val="20"/>
        </w:rPr>
      </w:pPr>
      <w:bookmarkStart w:id="122" w:name="_Toc104478882"/>
      <w:r w:rsidRPr="008D3521">
        <w:rPr>
          <w:rFonts w:hint="eastAsia"/>
        </w:rPr>
        <w:lastRenderedPageBreak/>
        <w:t>参考文献</w:t>
      </w:r>
      <w:bookmarkEnd w:id="122"/>
    </w:p>
    <w:p w14:paraId="7357F811" w14:textId="7E862DF9" w:rsidR="00B07956" w:rsidRPr="00E2022F" w:rsidRDefault="00B07956" w:rsidP="00E2022F">
      <w:pPr>
        <w:pStyle w:val="af1"/>
        <w:numPr>
          <w:ilvl w:val="0"/>
          <w:numId w:val="2"/>
        </w:numPr>
        <w:ind w:firstLineChars="0"/>
      </w:pPr>
      <w:bookmarkStart w:id="123" w:name="_Ref102395917"/>
      <w:r w:rsidRPr="00E2022F">
        <w:t xml:space="preserve">Jensen, M.C.; </w:t>
      </w:r>
      <w:proofErr w:type="spellStart"/>
      <w:r w:rsidRPr="00E2022F">
        <w:t>Meckling</w:t>
      </w:r>
      <w:proofErr w:type="spellEnd"/>
      <w:r w:rsidRPr="00E2022F">
        <w:t xml:space="preserve">, W.H. Theory of the firm: Managerial behavior, agency costs and ownership </w:t>
      </w:r>
      <w:proofErr w:type="spellStart"/>
      <w:r w:rsidRPr="00E2022F">
        <w:t>structure.</w:t>
      </w:r>
      <w:proofErr w:type="gramStart"/>
      <w:r w:rsidRPr="00E2022F">
        <w:t>J.Financ</w:t>
      </w:r>
      <w:proofErr w:type="spellEnd"/>
      <w:proofErr w:type="gramEnd"/>
      <w:r w:rsidRPr="00E2022F">
        <w:t>. Econ. 1976, 3, 305–360.</w:t>
      </w:r>
      <w:bookmarkEnd w:id="123"/>
      <w:r w:rsidRPr="00E2022F">
        <w:t xml:space="preserve"> </w:t>
      </w:r>
    </w:p>
    <w:p w14:paraId="10D49698" w14:textId="7C9EB1C0" w:rsidR="00B07956" w:rsidRPr="00E2022F" w:rsidRDefault="00B07956" w:rsidP="00E2022F">
      <w:pPr>
        <w:pStyle w:val="af1"/>
        <w:numPr>
          <w:ilvl w:val="0"/>
          <w:numId w:val="2"/>
        </w:numPr>
        <w:ind w:firstLineChars="0"/>
      </w:pPr>
      <w:bookmarkStart w:id="124" w:name="_Ref102395920"/>
      <w:proofErr w:type="spellStart"/>
      <w:r w:rsidRPr="00E2022F">
        <w:t>Fama</w:t>
      </w:r>
      <w:proofErr w:type="spellEnd"/>
      <w:r w:rsidRPr="00E2022F">
        <w:t>, E.F. Agency Problems and the Theory of the Firm. J. Polit. Econ. 1980, 88, 288–307.</w:t>
      </w:r>
      <w:bookmarkEnd w:id="124"/>
      <w:r w:rsidRPr="00E2022F">
        <w:t xml:space="preserve"> </w:t>
      </w:r>
    </w:p>
    <w:p w14:paraId="46A206C8" w14:textId="6F15FC2C" w:rsidR="00B07956" w:rsidRPr="00E2022F" w:rsidRDefault="00B07956" w:rsidP="00E2022F">
      <w:pPr>
        <w:pStyle w:val="af1"/>
        <w:numPr>
          <w:ilvl w:val="0"/>
          <w:numId w:val="2"/>
        </w:numPr>
        <w:ind w:firstLineChars="0"/>
      </w:pPr>
      <w:bookmarkStart w:id="125" w:name="_Ref102396547"/>
      <w:proofErr w:type="spellStart"/>
      <w:r w:rsidRPr="00E2022F">
        <w:t>Guay</w:t>
      </w:r>
      <w:proofErr w:type="spellEnd"/>
      <w:r w:rsidRPr="00E2022F">
        <w:t xml:space="preserve">, W.R. The sensitivity of CEO pay to equity risk: An analysis of the magnitude and </w:t>
      </w:r>
      <w:proofErr w:type="spellStart"/>
      <w:r w:rsidRPr="00E2022F">
        <w:t>determinants.</w:t>
      </w:r>
      <w:proofErr w:type="gramStart"/>
      <w:r w:rsidRPr="00E2022F">
        <w:t>J.Financ</w:t>
      </w:r>
      <w:proofErr w:type="spellEnd"/>
      <w:proofErr w:type="gramEnd"/>
      <w:r w:rsidRPr="00E2022F">
        <w:t>. Econ. 1999, 53, 43–71.</w:t>
      </w:r>
      <w:bookmarkEnd w:id="125"/>
      <w:r w:rsidRPr="00E2022F">
        <w:t xml:space="preserve"> </w:t>
      </w:r>
    </w:p>
    <w:p w14:paraId="50EAFE06" w14:textId="397813B4" w:rsidR="00B07956" w:rsidRPr="00E2022F" w:rsidRDefault="00B07956" w:rsidP="00E2022F">
      <w:pPr>
        <w:pStyle w:val="af1"/>
        <w:numPr>
          <w:ilvl w:val="0"/>
          <w:numId w:val="2"/>
        </w:numPr>
        <w:ind w:firstLineChars="0"/>
      </w:pPr>
      <w:bookmarkStart w:id="126" w:name="_Ref102396700"/>
      <w:r w:rsidRPr="00E2022F">
        <w:t>Jensen, M.C.; Murphy, K.J. Performance pay and top-management incentives. J. Polit. Econ. 1990, 98, 225–264.</w:t>
      </w:r>
      <w:bookmarkEnd w:id="126"/>
      <w:r w:rsidRPr="00E2022F">
        <w:t xml:space="preserve"> </w:t>
      </w:r>
    </w:p>
    <w:p w14:paraId="621FFE13" w14:textId="4E98B3A3" w:rsidR="00B07956" w:rsidRPr="00E2022F" w:rsidRDefault="00B07956" w:rsidP="00E2022F">
      <w:pPr>
        <w:pStyle w:val="af1"/>
        <w:numPr>
          <w:ilvl w:val="0"/>
          <w:numId w:val="2"/>
        </w:numPr>
        <w:ind w:firstLineChars="0"/>
      </w:pPr>
      <w:bookmarkStart w:id="127" w:name="_Ref102396732"/>
      <w:r w:rsidRPr="00E2022F">
        <w:t xml:space="preserve">Hall, B.J.; </w:t>
      </w:r>
      <w:bookmarkStart w:id="128" w:name="_Hlk102402161"/>
      <w:r w:rsidRPr="00E2022F">
        <w:t>Liebman</w:t>
      </w:r>
      <w:bookmarkEnd w:id="128"/>
      <w:r w:rsidRPr="00E2022F">
        <w:t>, J.B. Are CEOs really paid like bureaucrats? Q. J. Econ. 1998, 113, 653–691.</w:t>
      </w:r>
      <w:bookmarkEnd w:id="127"/>
      <w:r w:rsidRPr="00E2022F">
        <w:t xml:space="preserve"> </w:t>
      </w:r>
    </w:p>
    <w:p w14:paraId="00630D33" w14:textId="5330467C" w:rsidR="00B07956" w:rsidRPr="00E2022F" w:rsidRDefault="00B07956" w:rsidP="00E2022F">
      <w:pPr>
        <w:pStyle w:val="af1"/>
        <w:numPr>
          <w:ilvl w:val="0"/>
          <w:numId w:val="2"/>
        </w:numPr>
        <w:ind w:firstLineChars="0"/>
      </w:pPr>
      <w:bookmarkStart w:id="129" w:name="_Ref102396733"/>
      <w:r w:rsidRPr="00E2022F">
        <w:t>Hall, B.J.; Liebman, J.B. The taxation of executive compensation. Tax Policy Econ. 2000, 14, 1–44.</w:t>
      </w:r>
      <w:bookmarkEnd w:id="129"/>
      <w:r w:rsidRPr="00E2022F">
        <w:t xml:space="preserve"> </w:t>
      </w:r>
    </w:p>
    <w:p w14:paraId="72FE1F63" w14:textId="7E0CEDD1" w:rsidR="00B07956" w:rsidRPr="00E2022F" w:rsidRDefault="00B07956" w:rsidP="00E2022F">
      <w:pPr>
        <w:pStyle w:val="af1"/>
        <w:numPr>
          <w:ilvl w:val="0"/>
          <w:numId w:val="2"/>
        </w:numPr>
        <w:ind w:firstLineChars="0"/>
      </w:pPr>
      <w:bookmarkStart w:id="130" w:name="_Ref102396805"/>
      <w:proofErr w:type="spellStart"/>
      <w:r w:rsidRPr="00E2022F">
        <w:t>Bebchuk</w:t>
      </w:r>
      <w:proofErr w:type="spellEnd"/>
      <w:r w:rsidRPr="00E2022F">
        <w:t>, L.A.; Fried, J.M.; Walker, D.I. Managerial Power and Rent Extraction in the Design of Executive Compensation; No. w9068; National Bureau of Economic Research: Cambridge, MA, USA, 2002.</w:t>
      </w:r>
      <w:bookmarkEnd w:id="130"/>
    </w:p>
    <w:p w14:paraId="1A070C35" w14:textId="510C64E9" w:rsidR="00B07956" w:rsidRPr="00E2022F" w:rsidRDefault="00B07956" w:rsidP="00E2022F">
      <w:pPr>
        <w:pStyle w:val="af1"/>
        <w:numPr>
          <w:ilvl w:val="0"/>
          <w:numId w:val="2"/>
        </w:numPr>
        <w:ind w:firstLineChars="0"/>
      </w:pPr>
      <w:bookmarkStart w:id="131" w:name="_Ref102396824"/>
      <w:r w:rsidRPr="00E2022F">
        <w:t xml:space="preserve">Smith, C.W.; </w:t>
      </w:r>
      <w:proofErr w:type="spellStart"/>
      <w:r w:rsidRPr="00E2022F">
        <w:t>Stulz</w:t>
      </w:r>
      <w:proofErr w:type="spellEnd"/>
      <w:r w:rsidRPr="00E2022F">
        <w:t xml:space="preserve">, R.M. The determinants of firms’ hedging policies. J. </w:t>
      </w:r>
      <w:proofErr w:type="spellStart"/>
      <w:r w:rsidRPr="00E2022F">
        <w:t>Financ</w:t>
      </w:r>
      <w:proofErr w:type="spellEnd"/>
      <w:r w:rsidRPr="00E2022F">
        <w:t>. Quant. Anal. 1985, 20, 391–405.</w:t>
      </w:r>
      <w:bookmarkEnd w:id="131"/>
    </w:p>
    <w:p w14:paraId="2DB41478" w14:textId="77777777" w:rsidR="001572A3" w:rsidRDefault="00B07956" w:rsidP="001572A3">
      <w:pPr>
        <w:pStyle w:val="af1"/>
        <w:numPr>
          <w:ilvl w:val="0"/>
          <w:numId w:val="2"/>
        </w:numPr>
        <w:ind w:firstLineChars="0"/>
      </w:pPr>
      <w:bookmarkStart w:id="132" w:name="_Ref102396856"/>
      <w:r w:rsidRPr="00E2022F">
        <w:t>Perry, T.; Zenner, M. CEO compensation in the 1990’s: Shareholder alignment or shareholder expropriation. Wake For. L. Rev. 2000, 35, 123.</w:t>
      </w:r>
      <w:bookmarkStart w:id="133" w:name="_Ref102396937"/>
      <w:bookmarkEnd w:id="132"/>
    </w:p>
    <w:p w14:paraId="1DA366B9" w14:textId="2FFD9118" w:rsidR="00B07956" w:rsidRPr="00E2022F" w:rsidRDefault="00B07956" w:rsidP="001572A3">
      <w:pPr>
        <w:pStyle w:val="af1"/>
        <w:numPr>
          <w:ilvl w:val="0"/>
          <w:numId w:val="2"/>
        </w:numPr>
        <w:ind w:firstLineChars="0"/>
      </w:pPr>
      <w:r w:rsidRPr="00E2022F">
        <w:t>Ross, S.A. The economic theory of agency: The principal’s problem. Am. Econ. Rev. 1973, 63, 134–139.</w:t>
      </w:r>
      <w:bookmarkEnd w:id="133"/>
    </w:p>
    <w:p w14:paraId="20A8895F" w14:textId="6621E20C" w:rsidR="00B07956" w:rsidRPr="00E2022F" w:rsidRDefault="00B07956" w:rsidP="00E2022F">
      <w:pPr>
        <w:pStyle w:val="af1"/>
        <w:numPr>
          <w:ilvl w:val="0"/>
          <w:numId w:val="2"/>
        </w:numPr>
        <w:ind w:firstLineChars="0"/>
      </w:pPr>
      <w:bookmarkStart w:id="134" w:name="_Ref102396962"/>
      <w:r w:rsidRPr="00E2022F">
        <w:t xml:space="preserve">Ross, S.A. Compensation, incentives, and the duality of risk aversion and riskiness. J. </w:t>
      </w:r>
      <w:proofErr w:type="spellStart"/>
      <w:r w:rsidRPr="00E2022F">
        <w:t>Financ</w:t>
      </w:r>
      <w:proofErr w:type="spellEnd"/>
      <w:r w:rsidRPr="00E2022F">
        <w:t>. 2004, 59, 207–225.</w:t>
      </w:r>
      <w:bookmarkEnd w:id="134"/>
    </w:p>
    <w:p w14:paraId="7CAAC3E5" w14:textId="42183375" w:rsidR="00B07956" w:rsidRPr="00E2022F" w:rsidRDefault="00B07956" w:rsidP="00E2022F">
      <w:pPr>
        <w:pStyle w:val="af1"/>
        <w:numPr>
          <w:ilvl w:val="0"/>
          <w:numId w:val="2"/>
        </w:numPr>
        <w:ind w:firstLineChars="0"/>
      </w:pPr>
      <w:bookmarkStart w:id="135" w:name="_Ref102396886"/>
      <w:proofErr w:type="spellStart"/>
      <w:r w:rsidRPr="00E2022F">
        <w:t>DeFusco</w:t>
      </w:r>
      <w:proofErr w:type="spellEnd"/>
      <w:r w:rsidRPr="00E2022F">
        <w:t xml:space="preserve">, R.A.; Johnson, R.R.; Zorn, T.S. The e </w:t>
      </w:r>
      <w:proofErr w:type="spellStart"/>
      <w:r w:rsidRPr="00E2022F">
        <w:t>ect</w:t>
      </w:r>
      <w:proofErr w:type="spellEnd"/>
      <w:r w:rsidRPr="00E2022F">
        <w:t xml:space="preserve"> of executive stock option plans on stockholders and bondholders. J. </w:t>
      </w:r>
      <w:proofErr w:type="spellStart"/>
      <w:r w:rsidRPr="00E2022F">
        <w:t>Financ</w:t>
      </w:r>
      <w:proofErr w:type="spellEnd"/>
      <w:r w:rsidRPr="00E2022F">
        <w:t>. 1990, 45, 617–627.</w:t>
      </w:r>
      <w:bookmarkEnd w:id="135"/>
    </w:p>
    <w:p w14:paraId="3E2A25D9" w14:textId="7F84C3E2" w:rsidR="00B07956" w:rsidRPr="00E2022F" w:rsidRDefault="00B07956" w:rsidP="00E2022F">
      <w:pPr>
        <w:pStyle w:val="af1"/>
        <w:numPr>
          <w:ilvl w:val="0"/>
          <w:numId w:val="2"/>
        </w:numPr>
        <w:ind w:firstLineChars="0"/>
      </w:pPr>
      <w:bookmarkStart w:id="136" w:name="_Ref102396986"/>
      <w:r w:rsidRPr="00E2022F">
        <w:t xml:space="preserve">Ju, N.; Leland, H.; </w:t>
      </w:r>
      <w:proofErr w:type="spellStart"/>
      <w:r w:rsidRPr="00E2022F">
        <w:t>Senbet</w:t>
      </w:r>
      <w:proofErr w:type="spellEnd"/>
      <w:r w:rsidRPr="00E2022F">
        <w:t xml:space="preserve">, L.W. Options, option repricing in managerial </w:t>
      </w:r>
      <w:r w:rsidRPr="00E2022F">
        <w:lastRenderedPageBreak/>
        <w:t xml:space="preserve">compensation: Their e </w:t>
      </w:r>
      <w:proofErr w:type="spellStart"/>
      <w:r w:rsidRPr="00E2022F">
        <w:t>ects</w:t>
      </w:r>
      <w:proofErr w:type="spellEnd"/>
      <w:r w:rsidRPr="00E2022F">
        <w:t xml:space="preserve"> on corporate investment risk. J. Corp. </w:t>
      </w:r>
      <w:proofErr w:type="spellStart"/>
      <w:r w:rsidRPr="00E2022F">
        <w:t>Financ</w:t>
      </w:r>
      <w:proofErr w:type="spellEnd"/>
      <w:r w:rsidRPr="00E2022F">
        <w:t>. 2014, 29, 628–643.</w:t>
      </w:r>
      <w:bookmarkEnd w:id="136"/>
    </w:p>
    <w:p w14:paraId="71FAC0D5" w14:textId="357AF8B4" w:rsidR="00B07956" w:rsidRPr="00E2022F" w:rsidRDefault="00B07956" w:rsidP="00E2022F">
      <w:pPr>
        <w:pStyle w:val="af1"/>
        <w:numPr>
          <w:ilvl w:val="0"/>
          <w:numId w:val="2"/>
        </w:numPr>
        <w:ind w:firstLineChars="0"/>
      </w:pPr>
      <w:bookmarkStart w:id="137" w:name="_Ref102396997"/>
      <w:proofErr w:type="spellStart"/>
      <w:r w:rsidRPr="001572A3">
        <w:t>J</w:t>
      </w:r>
      <w:r w:rsidRPr="00E2022F">
        <w:t>olls</w:t>
      </w:r>
      <w:proofErr w:type="spellEnd"/>
      <w:r w:rsidRPr="00E2022F">
        <w:t>, C. Stock Repurchases and Incentive Compensation; No. w6467; National Bureau of Economic Research: Cambridge, MA, USA, 1998.</w:t>
      </w:r>
      <w:bookmarkEnd w:id="137"/>
    </w:p>
    <w:p w14:paraId="3BC4A4C3" w14:textId="49A3EC21" w:rsidR="00B07956" w:rsidRPr="00E2022F" w:rsidRDefault="00B07956" w:rsidP="00E2022F">
      <w:pPr>
        <w:pStyle w:val="af1"/>
        <w:numPr>
          <w:ilvl w:val="0"/>
          <w:numId w:val="2"/>
        </w:numPr>
        <w:ind w:firstLineChars="0"/>
      </w:pPr>
      <w:bookmarkStart w:id="138" w:name="_Ref102397009"/>
      <w:r w:rsidRPr="00E2022F">
        <w:t xml:space="preserve">Knopf, J.D.; Nam, J.; Thornton, J.H., Jr. The volatility and price sensitivities of managerial stock option portfolios and corporate hedging. J. </w:t>
      </w:r>
      <w:proofErr w:type="spellStart"/>
      <w:r w:rsidRPr="00E2022F">
        <w:t>Financ</w:t>
      </w:r>
      <w:proofErr w:type="spellEnd"/>
      <w:r w:rsidRPr="00E2022F">
        <w:t>. 2002, 57, 801–813.</w:t>
      </w:r>
      <w:bookmarkEnd w:id="138"/>
    </w:p>
    <w:p w14:paraId="01F1B093" w14:textId="30A6868E" w:rsidR="00B07956" w:rsidRPr="00E2022F" w:rsidRDefault="00B07956" w:rsidP="00E2022F">
      <w:pPr>
        <w:pStyle w:val="af1"/>
        <w:numPr>
          <w:ilvl w:val="0"/>
          <w:numId w:val="2"/>
        </w:numPr>
        <w:ind w:firstLineChars="0"/>
      </w:pPr>
      <w:bookmarkStart w:id="139" w:name="_Ref102397027"/>
      <w:r w:rsidRPr="00E2022F">
        <w:t xml:space="preserve">Ryan, H.E., Jr.; Wiggins, R.A., III. The interactions between R&amp;D investment decisions and compensation policy. </w:t>
      </w:r>
      <w:proofErr w:type="spellStart"/>
      <w:r w:rsidRPr="00E2022F">
        <w:t>Financ</w:t>
      </w:r>
      <w:proofErr w:type="spellEnd"/>
      <w:r w:rsidRPr="00E2022F">
        <w:t xml:space="preserve">. </w:t>
      </w:r>
      <w:proofErr w:type="spellStart"/>
      <w:r w:rsidRPr="00E2022F">
        <w:t>Manag</w:t>
      </w:r>
      <w:proofErr w:type="spellEnd"/>
      <w:r w:rsidRPr="00E2022F">
        <w:t>. 2002, 31, 5–29.</w:t>
      </w:r>
      <w:bookmarkEnd w:id="139"/>
    </w:p>
    <w:p w14:paraId="300FA1D0" w14:textId="2CC13181" w:rsidR="00B07956" w:rsidRPr="00E2022F" w:rsidRDefault="00B07956" w:rsidP="00E2022F">
      <w:pPr>
        <w:pStyle w:val="af1"/>
        <w:numPr>
          <w:ilvl w:val="0"/>
          <w:numId w:val="2"/>
        </w:numPr>
        <w:ind w:firstLineChars="0"/>
      </w:pPr>
      <w:bookmarkStart w:id="140" w:name="_Ref102397109"/>
      <w:r w:rsidRPr="00E2022F">
        <w:t xml:space="preserve">Cohen, R.B.; Hall, B.J.; </w:t>
      </w:r>
      <w:proofErr w:type="spellStart"/>
      <w:r w:rsidRPr="00E2022F">
        <w:t>Viceira</w:t>
      </w:r>
      <w:proofErr w:type="spellEnd"/>
      <w:r w:rsidRPr="00E2022F">
        <w:t>, L.M. Do Executive Stock Options Encourage Risk-Taking; Harvard University: Cambridge, MA, USA, 2000; unpublished manuscript.</w:t>
      </w:r>
      <w:bookmarkEnd w:id="140"/>
    </w:p>
    <w:p w14:paraId="62BF7B0F" w14:textId="0F362F4C" w:rsidR="00B07956" w:rsidRPr="00E2022F" w:rsidRDefault="00B07956" w:rsidP="00E2022F">
      <w:pPr>
        <w:pStyle w:val="af1"/>
        <w:numPr>
          <w:ilvl w:val="0"/>
          <w:numId w:val="2"/>
        </w:numPr>
        <w:ind w:firstLineChars="0"/>
      </w:pPr>
      <w:bookmarkStart w:id="141" w:name="_Ref102397141"/>
      <w:r w:rsidRPr="00E2022F">
        <w:t>Black, F.; Scholes, M. The pricing of options and corporate liabilities. J. Polit. Econ. 1973, 81, 637–654.</w:t>
      </w:r>
      <w:bookmarkEnd w:id="141"/>
    </w:p>
    <w:p w14:paraId="66E0DEC4" w14:textId="235BAE30" w:rsidR="00B07956" w:rsidRPr="00E2022F" w:rsidRDefault="00B07956" w:rsidP="00E2022F">
      <w:pPr>
        <w:pStyle w:val="af1"/>
        <w:numPr>
          <w:ilvl w:val="0"/>
          <w:numId w:val="2"/>
        </w:numPr>
        <w:ind w:firstLineChars="0"/>
      </w:pPr>
      <w:bookmarkStart w:id="142" w:name="_Ref102397198"/>
      <w:r w:rsidRPr="00E2022F">
        <w:t xml:space="preserve">Core, J.; </w:t>
      </w:r>
      <w:proofErr w:type="spellStart"/>
      <w:r w:rsidRPr="00E2022F">
        <w:t>Guay</w:t>
      </w:r>
      <w:proofErr w:type="spellEnd"/>
      <w:r w:rsidRPr="00E2022F">
        <w:t>, W. Estimating the value of employee stock option portfolios and their sensitivities to price and volatility. J. Account. Res. 2002, 40, 613–630.</w:t>
      </w:r>
      <w:bookmarkEnd w:id="142"/>
    </w:p>
    <w:p w14:paraId="5BCEE9C1" w14:textId="0A94F2DD" w:rsidR="00B07956" w:rsidRPr="00ED276C" w:rsidRDefault="00ED276C" w:rsidP="00ED276C">
      <w:pPr>
        <w:pStyle w:val="af1"/>
        <w:numPr>
          <w:ilvl w:val="0"/>
          <w:numId w:val="2"/>
        </w:numPr>
        <w:ind w:firstLineChars="0"/>
      </w:pPr>
      <w:bookmarkStart w:id="143" w:name="_Ref102403059"/>
      <w:proofErr w:type="spellStart"/>
      <w:r w:rsidRPr="00ED276C">
        <w:t>Hoepner</w:t>
      </w:r>
      <w:proofErr w:type="spellEnd"/>
      <w:r w:rsidRPr="00ED276C">
        <w:t xml:space="preserve">, Andreas G. F., and David G. McMillan. 2009. “Research on ‘Responsible Investment’: </w:t>
      </w:r>
      <w:proofErr w:type="spellStart"/>
      <w:r w:rsidRPr="00ED276C">
        <w:t>AnInfluential</w:t>
      </w:r>
      <w:proofErr w:type="spellEnd"/>
      <w:r w:rsidRPr="00ED276C">
        <w:t xml:space="preserve"> Literature Analysis Comprising a Rating, </w:t>
      </w:r>
      <w:proofErr w:type="spellStart"/>
      <w:r w:rsidRPr="00ED276C">
        <w:t>Characterisation</w:t>
      </w:r>
      <w:proofErr w:type="spellEnd"/>
      <w:r w:rsidRPr="00ED276C">
        <w:t xml:space="preserve">, </w:t>
      </w:r>
      <w:proofErr w:type="spellStart"/>
      <w:r w:rsidRPr="00ED276C">
        <w:t>Categorisation</w:t>
      </w:r>
      <w:proofErr w:type="spellEnd"/>
      <w:r w:rsidRPr="00ED276C">
        <w:t xml:space="preserve"> and </w:t>
      </w:r>
      <w:proofErr w:type="spellStart"/>
      <w:r w:rsidRPr="00ED276C">
        <w:t>Investigation</w:t>
      </w:r>
      <w:proofErr w:type="gramStart"/>
      <w:r w:rsidRPr="00ED276C">
        <w:t>.”SSRN</w:t>
      </w:r>
      <w:proofErr w:type="spellEnd"/>
      <w:proofErr w:type="gramEnd"/>
      <w:r w:rsidRPr="00ED276C">
        <w:t xml:space="preserve"> Electronic Journal: 1–84.</w:t>
      </w:r>
      <w:bookmarkEnd w:id="143"/>
    </w:p>
    <w:p w14:paraId="5F76F1E0" w14:textId="0F35C954" w:rsidR="00B07956" w:rsidRDefault="00ED276C" w:rsidP="00ED276C">
      <w:pPr>
        <w:pStyle w:val="af1"/>
        <w:numPr>
          <w:ilvl w:val="0"/>
          <w:numId w:val="2"/>
        </w:numPr>
        <w:ind w:firstLineChars="0"/>
      </w:pPr>
      <w:bookmarkStart w:id="144" w:name="_Ref102397428"/>
      <w:proofErr w:type="spellStart"/>
      <w:r w:rsidRPr="00ED276C">
        <w:t>Revelli</w:t>
      </w:r>
      <w:proofErr w:type="spellEnd"/>
      <w:r w:rsidRPr="00ED276C">
        <w:t xml:space="preserve">, Christophe, and Jean-Laurent Viviani. 2015. “Financial Performance of Socially </w:t>
      </w:r>
      <w:proofErr w:type="spellStart"/>
      <w:r w:rsidRPr="00ED276C">
        <w:t>ResponsibleInvesting</w:t>
      </w:r>
      <w:proofErr w:type="spellEnd"/>
      <w:r w:rsidRPr="00ED276C">
        <w:t xml:space="preserve"> (SRI): What Have We Learned? A Meta-Analysis.” Business Ethics: A European Review</w:t>
      </w:r>
      <w:r>
        <w:t xml:space="preserve"> </w:t>
      </w:r>
      <w:r w:rsidRPr="00ED276C">
        <w:t>24 (2): 158–185.</w:t>
      </w:r>
      <w:bookmarkEnd w:id="144"/>
    </w:p>
    <w:p w14:paraId="28B1C451" w14:textId="1D79421B" w:rsidR="00536B25" w:rsidRDefault="00536B25" w:rsidP="00ED276C">
      <w:pPr>
        <w:pStyle w:val="af1"/>
        <w:numPr>
          <w:ilvl w:val="0"/>
          <w:numId w:val="2"/>
        </w:numPr>
        <w:ind w:firstLineChars="0"/>
      </w:pPr>
      <w:bookmarkStart w:id="145" w:name="_Ref102403075"/>
      <w:proofErr w:type="spellStart"/>
      <w:r w:rsidRPr="00536B25">
        <w:t>Friede</w:t>
      </w:r>
      <w:proofErr w:type="spellEnd"/>
      <w:r w:rsidRPr="00536B25">
        <w:t xml:space="preserve"> G, Busch T, </w:t>
      </w:r>
      <w:proofErr w:type="spellStart"/>
      <w:r w:rsidRPr="00536B25">
        <w:t>Bassen</w:t>
      </w:r>
      <w:proofErr w:type="spellEnd"/>
      <w:r w:rsidRPr="00536B25">
        <w:t xml:space="preserve"> A. ESG and financial performance: aggregated evidence from more than 2000 empirical studies[J]. Journal of Sustainable Finance &amp; Investment, 2015, 5(4): 210-233.</w:t>
      </w:r>
      <w:bookmarkEnd w:id="145"/>
    </w:p>
    <w:p w14:paraId="191B690E" w14:textId="4FE9CE30" w:rsidR="00624F3A" w:rsidRDefault="00624F3A" w:rsidP="00624F3A">
      <w:pPr>
        <w:pStyle w:val="af1"/>
        <w:numPr>
          <w:ilvl w:val="0"/>
          <w:numId w:val="2"/>
        </w:numPr>
        <w:ind w:firstLineChars="0"/>
      </w:pPr>
      <w:bookmarkStart w:id="146" w:name="_Ref102403582"/>
      <w:r w:rsidRPr="00624F3A">
        <w:t xml:space="preserve">Cheng, B., I. </w:t>
      </w:r>
      <w:proofErr w:type="spellStart"/>
      <w:r w:rsidRPr="00624F3A">
        <w:t>Ioannou</w:t>
      </w:r>
      <w:proofErr w:type="spellEnd"/>
      <w:r w:rsidRPr="00624F3A">
        <w:t xml:space="preserve">, and G. </w:t>
      </w:r>
      <w:proofErr w:type="spellStart"/>
      <w:r w:rsidRPr="00624F3A">
        <w:t>Serafeim</w:t>
      </w:r>
      <w:proofErr w:type="spellEnd"/>
      <w:r w:rsidRPr="00624F3A">
        <w:t>. 2014. “Corporate Social</w:t>
      </w:r>
      <w:r>
        <w:t xml:space="preserve"> </w:t>
      </w:r>
      <w:r w:rsidRPr="00624F3A">
        <w:t>Responsibility and Access to Finance.” Strategic Management</w:t>
      </w:r>
      <w:r>
        <w:t xml:space="preserve"> </w:t>
      </w:r>
      <w:r w:rsidRPr="00624F3A">
        <w:t>Journal 35 (1): 1–23.</w:t>
      </w:r>
      <w:bookmarkEnd w:id="146"/>
    </w:p>
    <w:p w14:paraId="37F2E824" w14:textId="5797F31C" w:rsidR="00624F3A" w:rsidRDefault="00624F3A" w:rsidP="00624F3A">
      <w:pPr>
        <w:pStyle w:val="af1"/>
        <w:numPr>
          <w:ilvl w:val="0"/>
          <w:numId w:val="2"/>
        </w:numPr>
        <w:ind w:firstLineChars="0"/>
      </w:pPr>
      <w:bookmarkStart w:id="147" w:name="_Ref102403591"/>
      <w:r w:rsidRPr="00624F3A">
        <w:t>Dhaliwal, D.S., O.Z. Li, A. Tsang, and Y.G. Yang. 2011.</w:t>
      </w:r>
      <w:r w:rsidRPr="00624F3A">
        <w:rPr>
          <w:rFonts w:hint="eastAsia"/>
        </w:rPr>
        <w:t>“</w:t>
      </w:r>
      <w:r w:rsidRPr="00624F3A">
        <w:t xml:space="preserve">Voluntary Nonfinancial </w:t>
      </w:r>
      <w:r w:rsidRPr="00624F3A">
        <w:lastRenderedPageBreak/>
        <w:t>Disclosure and the Cost of Equity</w:t>
      </w:r>
      <w:r>
        <w:t xml:space="preserve"> </w:t>
      </w:r>
      <w:r w:rsidRPr="00624F3A">
        <w:t>Capital: The Initiation of Corporate Social Responsibility</w:t>
      </w:r>
      <w:r>
        <w:t xml:space="preserve"> </w:t>
      </w:r>
      <w:r w:rsidRPr="00624F3A">
        <w:t>Reporting.” Accounting Review 86 (1): 59–100.</w:t>
      </w:r>
      <w:bookmarkEnd w:id="147"/>
    </w:p>
    <w:p w14:paraId="0F2FEA8C" w14:textId="7B5653AF" w:rsidR="00624F3A" w:rsidRDefault="00624F3A" w:rsidP="00624F3A">
      <w:pPr>
        <w:pStyle w:val="af1"/>
        <w:numPr>
          <w:ilvl w:val="0"/>
          <w:numId w:val="2"/>
        </w:numPr>
        <w:ind w:firstLineChars="0"/>
      </w:pPr>
      <w:bookmarkStart w:id="148" w:name="_Ref102403600"/>
      <w:r w:rsidRPr="00624F3A">
        <w:t xml:space="preserve">Grewal, J., C. Hauptmann, and G. </w:t>
      </w:r>
      <w:proofErr w:type="spellStart"/>
      <w:r w:rsidRPr="00624F3A">
        <w:t>Serafeim</w:t>
      </w:r>
      <w:proofErr w:type="spellEnd"/>
      <w:r w:rsidRPr="00624F3A">
        <w:t>. 2017. “Material</w:t>
      </w:r>
      <w:r>
        <w:t xml:space="preserve"> </w:t>
      </w:r>
      <w:r w:rsidRPr="00624F3A">
        <w:t>Sustainability Information and Stock Price Informativeness.”</w:t>
      </w:r>
      <w:r>
        <w:t xml:space="preserve"> </w:t>
      </w:r>
      <w:r w:rsidRPr="00624F3A">
        <w:t>Working paper, Harvard Business School.</w:t>
      </w:r>
      <w:bookmarkEnd w:id="148"/>
    </w:p>
    <w:p w14:paraId="3B8095B4" w14:textId="39D54A99" w:rsidR="00434193" w:rsidRDefault="00434193" w:rsidP="00434193">
      <w:pPr>
        <w:pStyle w:val="af1"/>
        <w:numPr>
          <w:ilvl w:val="0"/>
          <w:numId w:val="2"/>
        </w:numPr>
        <w:ind w:firstLineChars="0"/>
      </w:pPr>
      <w:bookmarkStart w:id="149" w:name="_Ref102404368"/>
      <w:proofErr w:type="spellStart"/>
      <w:r w:rsidRPr="00434193">
        <w:t>Orlitzky</w:t>
      </w:r>
      <w:proofErr w:type="spellEnd"/>
      <w:r w:rsidRPr="00434193">
        <w:t>, M., Benjamin, J.D., 2001. Corporate social performance and firm risk: a meta-analytic review. Bus. Soc.</w:t>
      </w:r>
      <w:bookmarkEnd w:id="149"/>
    </w:p>
    <w:p w14:paraId="7A66BC50" w14:textId="469BAA52" w:rsidR="00434193" w:rsidRDefault="00434193" w:rsidP="00F95FD7">
      <w:pPr>
        <w:pStyle w:val="af1"/>
        <w:numPr>
          <w:ilvl w:val="0"/>
          <w:numId w:val="2"/>
        </w:numPr>
        <w:ind w:firstLineChars="0"/>
      </w:pPr>
      <w:bookmarkStart w:id="150" w:name="_Ref102404603"/>
      <w:r w:rsidRPr="00434193">
        <w:t>Godfrey, P., Merrill, C.B., Hansen, J.M., 2009. The relationship between corporate social responsibility and shareholder value: an empirical test of the risk management</w:t>
      </w:r>
      <w:r w:rsidR="00F95FD7">
        <w:t xml:space="preserve"> </w:t>
      </w:r>
      <w:r w:rsidRPr="00F95FD7">
        <w:t xml:space="preserve">hypothesis. </w:t>
      </w:r>
      <w:proofErr w:type="spellStart"/>
      <w:r w:rsidRPr="00F95FD7">
        <w:t>Strateg</w:t>
      </w:r>
      <w:proofErr w:type="spellEnd"/>
      <w:r w:rsidRPr="00F95FD7">
        <w:t xml:space="preserve">. </w:t>
      </w:r>
      <w:proofErr w:type="spellStart"/>
      <w:r w:rsidRPr="00F95FD7">
        <w:t>Manag</w:t>
      </w:r>
      <w:proofErr w:type="spellEnd"/>
      <w:r w:rsidRPr="00F95FD7">
        <w:t>. J. 30, 425–445.</w:t>
      </w:r>
      <w:bookmarkEnd w:id="150"/>
    </w:p>
    <w:p w14:paraId="36C4BAD4" w14:textId="5CE1E45A" w:rsidR="00F95FD7" w:rsidRDefault="00F95FD7" w:rsidP="00F95FD7">
      <w:pPr>
        <w:pStyle w:val="af1"/>
        <w:numPr>
          <w:ilvl w:val="0"/>
          <w:numId w:val="2"/>
        </w:numPr>
        <w:ind w:firstLineChars="0"/>
      </w:pPr>
      <w:bookmarkStart w:id="151" w:name="_Ref102404712"/>
      <w:r w:rsidRPr="00F95FD7">
        <w:t xml:space="preserve">Albuquerque, R., Koskinen, Y., Zhang, C., 2019. Corporate social responsibility and firm risk: theory and empirical evidence. </w:t>
      </w:r>
      <w:proofErr w:type="spellStart"/>
      <w:r w:rsidRPr="00F95FD7">
        <w:t>Manag</w:t>
      </w:r>
      <w:proofErr w:type="spellEnd"/>
      <w:r w:rsidRPr="00F95FD7">
        <w:t>. Sci.</w:t>
      </w:r>
      <w:bookmarkEnd w:id="151"/>
    </w:p>
    <w:p w14:paraId="0145E90A" w14:textId="2395FF42" w:rsidR="00F76208" w:rsidRDefault="00F76208" w:rsidP="00F76208">
      <w:pPr>
        <w:pStyle w:val="af1"/>
        <w:numPr>
          <w:ilvl w:val="0"/>
          <w:numId w:val="2"/>
        </w:numPr>
        <w:ind w:firstLineChars="0"/>
      </w:pPr>
      <w:bookmarkStart w:id="152" w:name="_Ref102415705"/>
      <w:bookmarkStart w:id="153" w:name="_Ref104474748"/>
      <w:proofErr w:type="spellStart"/>
      <w:r w:rsidRPr="00F76208">
        <w:t>Lins</w:t>
      </w:r>
      <w:proofErr w:type="spellEnd"/>
      <w:r w:rsidRPr="00F76208">
        <w:t xml:space="preserve">, K.V., </w:t>
      </w:r>
      <w:proofErr w:type="spellStart"/>
      <w:r w:rsidRPr="00F76208">
        <w:t>Servaes</w:t>
      </w:r>
      <w:proofErr w:type="spellEnd"/>
      <w:r w:rsidRPr="00F76208">
        <w:t xml:space="preserve">, H., Tamayo, A., 2017. Social capital, trust, and financial performance: the value of corporate social responsibility during the financial crisis. </w:t>
      </w:r>
      <w:proofErr w:type="spellStart"/>
      <w:proofErr w:type="gramStart"/>
      <w:r w:rsidRPr="00F76208">
        <w:t>J.Finance</w:t>
      </w:r>
      <w:proofErr w:type="spellEnd"/>
      <w:proofErr w:type="gramEnd"/>
      <w:r w:rsidRPr="00F76208">
        <w:t xml:space="preserve"> LXXII 1785–18</w:t>
      </w:r>
      <w:bookmarkEnd w:id="152"/>
      <w:r w:rsidR="000366B0">
        <w:t>.</w:t>
      </w:r>
      <w:bookmarkEnd w:id="153"/>
    </w:p>
    <w:p w14:paraId="155126AB" w14:textId="4C6E43E5" w:rsidR="000366B0" w:rsidRDefault="000366B0" w:rsidP="000366B0">
      <w:pPr>
        <w:pStyle w:val="af1"/>
        <w:numPr>
          <w:ilvl w:val="0"/>
          <w:numId w:val="2"/>
        </w:numPr>
        <w:ind w:firstLineChars="0"/>
      </w:pPr>
      <w:bookmarkStart w:id="154" w:name="_Ref104474738"/>
      <w:proofErr w:type="spellStart"/>
      <w:r>
        <w:t>Tsoutsoura</w:t>
      </w:r>
      <w:proofErr w:type="spellEnd"/>
      <w:r>
        <w:t xml:space="preserve">, M. Corporate Social Responsibility and Financial Performance; Center for Responsible </w:t>
      </w:r>
      <w:proofErr w:type="spellStart"/>
      <w:proofErr w:type="gramStart"/>
      <w:r>
        <w:t>Business:Berkeley</w:t>
      </w:r>
      <w:proofErr w:type="spellEnd"/>
      <w:proofErr w:type="gramEnd"/>
      <w:r>
        <w:t>, CA, USA, 2004</w:t>
      </w:r>
      <w:r>
        <w:rPr>
          <w:rFonts w:hint="eastAsia"/>
        </w:rPr>
        <w:t>.</w:t>
      </w:r>
      <w:bookmarkEnd w:id="154"/>
    </w:p>
    <w:p w14:paraId="3D2F7585" w14:textId="54554DAA" w:rsidR="000366B0" w:rsidRPr="00F76208" w:rsidRDefault="000366B0" w:rsidP="000366B0">
      <w:pPr>
        <w:pStyle w:val="af1"/>
        <w:numPr>
          <w:ilvl w:val="0"/>
          <w:numId w:val="2"/>
        </w:numPr>
        <w:ind w:firstLineChars="0"/>
      </w:pPr>
      <w:bookmarkStart w:id="155" w:name="_Ref104474760"/>
      <w:r>
        <w:t xml:space="preserve">McWilliams, A.; Siegel, D. Corporate Social Responsibility: A Theory of the Firm Perspective. Acad. </w:t>
      </w:r>
      <w:proofErr w:type="spellStart"/>
      <w:r>
        <w:t>Manag</w:t>
      </w:r>
      <w:proofErr w:type="spellEnd"/>
      <w:r>
        <w:t>. Rev.2001, 26, 117–127.</w:t>
      </w:r>
      <w:bookmarkEnd w:id="155"/>
    </w:p>
    <w:p w14:paraId="27ECB9BB" w14:textId="0CCD27FD" w:rsidR="00B07956" w:rsidRPr="00CA5DBC" w:rsidRDefault="0066471D" w:rsidP="00BD4664">
      <w:pPr>
        <w:pStyle w:val="af1"/>
        <w:numPr>
          <w:ilvl w:val="0"/>
          <w:numId w:val="2"/>
        </w:numPr>
        <w:wordWrap w:val="0"/>
        <w:ind w:firstLineChars="0"/>
      </w:pPr>
      <w:bookmarkStart w:id="156" w:name="_Ref102397532"/>
      <w:r w:rsidRPr="0066471D">
        <w:rPr>
          <w:rFonts w:hint="eastAsia"/>
        </w:rPr>
        <w:t>中国工商银行绿色金融课题组</w:t>
      </w:r>
      <w:r w:rsidRPr="0066471D">
        <w:rPr>
          <w:rFonts w:hint="eastAsia"/>
        </w:rPr>
        <w:t>,</w:t>
      </w:r>
      <w:bookmarkStart w:id="157" w:name="_Hlk102419868"/>
      <w:r w:rsidRPr="0066471D">
        <w:rPr>
          <w:rFonts w:hint="eastAsia"/>
        </w:rPr>
        <w:t>张红力</w:t>
      </w:r>
      <w:r w:rsidRPr="0066471D">
        <w:rPr>
          <w:rFonts w:hint="eastAsia"/>
        </w:rPr>
        <w:t>,</w:t>
      </w:r>
      <w:bookmarkEnd w:id="157"/>
      <w:r w:rsidRPr="0066471D">
        <w:rPr>
          <w:rFonts w:hint="eastAsia"/>
        </w:rPr>
        <w:t>周月秋</w:t>
      </w:r>
      <w:r w:rsidRPr="0066471D">
        <w:rPr>
          <w:rFonts w:hint="eastAsia"/>
        </w:rPr>
        <w:t>,</w:t>
      </w:r>
      <w:r w:rsidRPr="0066471D">
        <w:rPr>
          <w:rFonts w:hint="eastAsia"/>
        </w:rPr>
        <w:t>殷红</w:t>
      </w:r>
      <w:r w:rsidRPr="0066471D">
        <w:rPr>
          <w:rFonts w:hint="eastAsia"/>
        </w:rPr>
        <w:t>,</w:t>
      </w:r>
      <w:r w:rsidRPr="0066471D">
        <w:rPr>
          <w:rFonts w:hint="eastAsia"/>
        </w:rPr>
        <w:t>马素红</w:t>
      </w:r>
      <w:r w:rsidRPr="0066471D">
        <w:rPr>
          <w:rFonts w:hint="eastAsia"/>
        </w:rPr>
        <w:t>,</w:t>
      </w:r>
      <w:r w:rsidRPr="0066471D">
        <w:rPr>
          <w:rFonts w:hint="eastAsia"/>
        </w:rPr>
        <w:t>杨荇</w:t>
      </w:r>
      <w:r w:rsidRPr="0066471D">
        <w:rPr>
          <w:rFonts w:hint="eastAsia"/>
        </w:rPr>
        <w:t>,</w:t>
      </w:r>
      <w:r w:rsidRPr="0066471D">
        <w:rPr>
          <w:rFonts w:hint="eastAsia"/>
        </w:rPr>
        <w:t>邱牧远</w:t>
      </w:r>
      <w:r w:rsidRPr="0066471D">
        <w:rPr>
          <w:rFonts w:hint="eastAsia"/>
        </w:rPr>
        <w:t>,</w:t>
      </w:r>
      <w:r w:rsidRPr="0066471D">
        <w:rPr>
          <w:rFonts w:hint="eastAsia"/>
        </w:rPr>
        <w:t>张静文</w:t>
      </w:r>
      <w:r w:rsidRPr="0066471D">
        <w:rPr>
          <w:rFonts w:hint="eastAsia"/>
        </w:rPr>
        <w:t>.</w:t>
      </w:r>
      <w:r>
        <w:rPr>
          <w:rFonts w:hint="eastAsia"/>
        </w:rPr>
        <w:t>E</w:t>
      </w:r>
      <w:r w:rsidRPr="001572A3">
        <w:rPr>
          <w:rFonts w:hint="eastAsia"/>
        </w:rPr>
        <w:t>SG</w:t>
      </w:r>
      <w:r w:rsidRPr="001572A3">
        <w:rPr>
          <w:rFonts w:hint="eastAsia"/>
        </w:rPr>
        <w:t>绿色评级及绿色指数研究</w:t>
      </w:r>
      <w:r w:rsidRPr="001572A3">
        <w:rPr>
          <w:rFonts w:hint="eastAsia"/>
        </w:rPr>
        <w:t>[J].</w:t>
      </w:r>
      <w:r w:rsidRPr="001572A3">
        <w:rPr>
          <w:rFonts w:hint="eastAsia"/>
        </w:rPr>
        <w:t>金融论坛</w:t>
      </w:r>
      <w:r w:rsidRPr="001572A3">
        <w:rPr>
          <w:rFonts w:hint="eastAsia"/>
        </w:rPr>
        <w:t>,2017,22(09):3-14.</w:t>
      </w:r>
      <w:bookmarkEnd w:id="156"/>
    </w:p>
    <w:p w14:paraId="5D8282A5" w14:textId="259CD612" w:rsidR="00CA5DBC" w:rsidRDefault="00CA5DBC" w:rsidP="00BD4664">
      <w:pPr>
        <w:pStyle w:val="af1"/>
        <w:numPr>
          <w:ilvl w:val="0"/>
          <w:numId w:val="2"/>
        </w:numPr>
        <w:wordWrap w:val="0"/>
        <w:ind w:firstLineChars="0"/>
      </w:pPr>
      <w:bookmarkStart w:id="158" w:name="_Ref102420064"/>
      <w:proofErr w:type="gramStart"/>
      <w:r w:rsidRPr="00CA5DBC">
        <w:rPr>
          <w:rFonts w:hint="eastAsia"/>
        </w:rPr>
        <w:t>操群</w:t>
      </w:r>
      <w:proofErr w:type="gramEnd"/>
      <w:r w:rsidRPr="00CA5DBC">
        <w:rPr>
          <w:rFonts w:hint="eastAsia"/>
        </w:rPr>
        <w:t>,</w:t>
      </w:r>
      <w:r w:rsidRPr="00CA5DBC">
        <w:rPr>
          <w:rFonts w:hint="eastAsia"/>
        </w:rPr>
        <w:t>许骞</w:t>
      </w:r>
      <w:r w:rsidRPr="00CA5DBC">
        <w:rPr>
          <w:rFonts w:hint="eastAsia"/>
        </w:rPr>
        <w:t>.</w:t>
      </w:r>
      <w:r w:rsidRPr="00CA5DBC">
        <w:rPr>
          <w:rFonts w:hint="eastAsia"/>
        </w:rPr>
        <w:t>金融“环境、社会和治理”</w:t>
      </w:r>
      <w:r w:rsidRPr="00CA5DBC">
        <w:rPr>
          <w:rFonts w:hint="eastAsia"/>
        </w:rPr>
        <w:t>(ESG)</w:t>
      </w:r>
      <w:r w:rsidRPr="00CA5DBC">
        <w:rPr>
          <w:rFonts w:hint="eastAsia"/>
        </w:rPr>
        <w:t>体系构建研究</w:t>
      </w:r>
      <w:r w:rsidRPr="00CA5DBC">
        <w:rPr>
          <w:rFonts w:hint="eastAsia"/>
        </w:rPr>
        <w:t>[J].</w:t>
      </w:r>
      <w:r w:rsidRPr="00CA5DBC">
        <w:rPr>
          <w:rFonts w:hint="eastAsia"/>
        </w:rPr>
        <w:t>金融监管研究</w:t>
      </w:r>
      <w:r w:rsidRPr="00CA5DBC">
        <w:rPr>
          <w:rFonts w:hint="eastAsia"/>
        </w:rPr>
        <w:t>,2019(04):95-111.</w:t>
      </w:r>
      <w:bookmarkEnd w:id="158"/>
    </w:p>
    <w:p w14:paraId="20AEE77C" w14:textId="64C355A5" w:rsidR="00CA5DBC" w:rsidRDefault="00CA5DBC" w:rsidP="00BD4664">
      <w:pPr>
        <w:pStyle w:val="af1"/>
        <w:numPr>
          <w:ilvl w:val="0"/>
          <w:numId w:val="2"/>
        </w:numPr>
        <w:wordWrap w:val="0"/>
        <w:ind w:firstLineChars="0"/>
      </w:pPr>
      <w:bookmarkStart w:id="159" w:name="_Ref102420278"/>
      <w:r w:rsidRPr="00CA5DBC">
        <w:rPr>
          <w:rFonts w:hint="eastAsia"/>
        </w:rPr>
        <w:t>陈宁</w:t>
      </w:r>
      <w:r w:rsidRPr="00CA5DBC">
        <w:rPr>
          <w:rFonts w:hint="eastAsia"/>
        </w:rPr>
        <w:t>,</w:t>
      </w:r>
      <w:r w:rsidRPr="00CA5DBC">
        <w:rPr>
          <w:rFonts w:hint="eastAsia"/>
        </w:rPr>
        <w:t>孙飞</w:t>
      </w:r>
      <w:r w:rsidRPr="00CA5DBC">
        <w:rPr>
          <w:rFonts w:hint="eastAsia"/>
        </w:rPr>
        <w:t>.</w:t>
      </w:r>
      <w:r w:rsidRPr="00CA5DBC">
        <w:rPr>
          <w:rFonts w:hint="eastAsia"/>
        </w:rPr>
        <w:t>国内外</w:t>
      </w:r>
      <w:r w:rsidRPr="00CA5DBC">
        <w:rPr>
          <w:rFonts w:hint="eastAsia"/>
        </w:rPr>
        <w:t>ESG</w:t>
      </w:r>
      <w:r w:rsidRPr="00CA5DBC">
        <w:rPr>
          <w:rFonts w:hint="eastAsia"/>
        </w:rPr>
        <w:t>体系发展比较和我国构建</w:t>
      </w:r>
      <w:r w:rsidRPr="00CA5DBC">
        <w:rPr>
          <w:rFonts w:hint="eastAsia"/>
        </w:rPr>
        <w:t>ESG</w:t>
      </w:r>
      <w:r w:rsidRPr="00CA5DBC">
        <w:rPr>
          <w:rFonts w:hint="eastAsia"/>
        </w:rPr>
        <w:t>体系的建议</w:t>
      </w:r>
      <w:r w:rsidRPr="00CA5DBC">
        <w:rPr>
          <w:rFonts w:hint="eastAsia"/>
        </w:rPr>
        <w:t>[J].</w:t>
      </w:r>
      <w:r w:rsidRPr="00CA5DBC">
        <w:rPr>
          <w:rFonts w:hint="eastAsia"/>
        </w:rPr>
        <w:t>发展研究</w:t>
      </w:r>
      <w:r w:rsidRPr="00CA5DBC">
        <w:rPr>
          <w:rFonts w:hint="eastAsia"/>
        </w:rPr>
        <w:t>,2019(03):59-64.</w:t>
      </w:r>
      <w:bookmarkEnd w:id="159"/>
    </w:p>
    <w:p w14:paraId="3609956D" w14:textId="5491EFC1" w:rsidR="0066471D" w:rsidRDefault="0066471D" w:rsidP="00BD4664">
      <w:pPr>
        <w:pStyle w:val="af1"/>
        <w:numPr>
          <w:ilvl w:val="0"/>
          <w:numId w:val="2"/>
        </w:numPr>
        <w:wordWrap w:val="0"/>
        <w:ind w:firstLineChars="0"/>
      </w:pPr>
      <w:bookmarkStart w:id="160" w:name="_Hlk102419669"/>
      <w:bookmarkStart w:id="161" w:name="_Ref102420341"/>
      <w:r w:rsidRPr="0066471D">
        <w:rPr>
          <w:rFonts w:hint="eastAsia"/>
        </w:rPr>
        <w:t>邱牧远</w:t>
      </w:r>
      <w:r w:rsidRPr="0066471D">
        <w:rPr>
          <w:rFonts w:hint="eastAsia"/>
        </w:rPr>
        <w:t>,</w:t>
      </w:r>
      <w:r w:rsidRPr="0066471D">
        <w:rPr>
          <w:rFonts w:hint="eastAsia"/>
        </w:rPr>
        <w:t>殷红</w:t>
      </w:r>
      <w:bookmarkEnd w:id="160"/>
      <w:r w:rsidRPr="0066471D">
        <w:rPr>
          <w:rFonts w:hint="eastAsia"/>
        </w:rPr>
        <w:t>.</w:t>
      </w:r>
      <w:r w:rsidRPr="0066471D">
        <w:rPr>
          <w:rFonts w:hint="eastAsia"/>
        </w:rPr>
        <w:t>生态文明建设背景下企业</w:t>
      </w:r>
      <w:r w:rsidRPr="0066471D">
        <w:rPr>
          <w:rFonts w:hint="eastAsia"/>
        </w:rPr>
        <w:t>ESG</w:t>
      </w:r>
      <w:r w:rsidRPr="0066471D">
        <w:rPr>
          <w:rFonts w:hint="eastAsia"/>
        </w:rPr>
        <w:t>表现与融资成本</w:t>
      </w:r>
      <w:r w:rsidRPr="0066471D">
        <w:rPr>
          <w:rFonts w:hint="eastAsia"/>
        </w:rPr>
        <w:t>[J].</w:t>
      </w:r>
      <w:r w:rsidRPr="0066471D">
        <w:rPr>
          <w:rFonts w:hint="eastAsia"/>
        </w:rPr>
        <w:t>数量经济技术经济研究</w:t>
      </w:r>
      <w:r w:rsidRPr="0066471D">
        <w:rPr>
          <w:rFonts w:hint="eastAsia"/>
        </w:rPr>
        <w:t>,2019,36(03):108-123.</w:t>
      </w:r>
      <w:bookmarkEnd w:id="161"/>
    </w:p>
    <w:p w14:paraId="1DDBE416" w14:textId="260EECBD" w:rsidR="006723AC" w:rsidRDefault="006723AC" w:rsidP="00BD4664">
      <w:pPr>
        <w:pStyle w:val="af1"/>
        <w:numPr>
          <w:ilvl w:val="0"/>
          <w:numId w:val="2"/>
        </w:numPr>
        <w:wordWrap w:val="0"/>
        <w:ind w:firstLineChars="0"/>
      </w:pPr>
      <w:bookmarkStart w:id="162" w:name="_Ref102420440"/>
      <w:proofErr w:type="gramStart"/>
      <w:r w:rsidRPr="006723AC">
        <w:rPr>
          <w:rFonts w:hint="eastAsia"/>
        </w:rPr>
        <w:lastRenderedPageBreak/>
        <w:t>张巧良</w:t>
      </w:r>
      <w:proofErr w:type="gramEnd"/>
      <w:r w:rsidRPr="006723AC">
        <w:rPr>
          <w:rFonts w:hint="eastAsia"/>
        </w:rPr>
        <w:t>,</w:t>
      </w:r>
      <w:r w:rsidRPr="006723AC">
        <w:rPr>
          <w:rFonts w:hint="eastAsia"/>
        </w:rPr>
        <w:t>孙蕊娟</w:t>
      </w:r>
      <w:r w:rsidRPr="006723AC">
        <w:rPr>
          <w:rFonts w:hint="eastAsia"/>
        </w:rPr>
        <w:t>.ESG</w:t>
      </w:r>
      <w:r w:rsidRPr="006723AC">
        <w:rPr>
          <w:rFonts w:hint="eastAsia"/>
        </w:rPr>
        <w:t>信息披露模式与投资者决策中的锚定效应</w:t>
      </w:r>
      <w:r w:rsidRPr="006723AC">
        <w:rPr>
          <w:rFonts w:hint="eastAsia"/>
        </w:rPr>
        <w:t>[J].</w:t>
      </w:r>
      <w:r w:rsidRPr="006723AC">
        <w:rPr>
          <w:rFonts w:hint="eastAsia"/>
        </w:rPr>
        <w:t>财会通讯</w:t>
      </w:r>
      <w:r w:rsidRPr="006723AC">
        <w:rPr>
          <w:rFonts w:hint="eastAsia"/>
        </w:rPr>
        <w:t>,2015(29):26-28+129.</w:t>
      </w:r>
      <w:r w:rsidR="00455DEF" w:rsidRPr="006723AC">
        <w:rPr>
          <w:rFonts w:hint="eastAsia"/>
        </w:rPr>
        <w:t xml:space="preserve"> </w:t>
      </w:r>
      <w:bookmarkEnd w:id="162"/>
    </w:p>
    <w:p w14:paraId="1B83212D" w14:textId="27A9C41E" w:rsidR="00EF27B2" w:rsidRPr="00EF27B2" w:rsidRDefault="00EF27B2" w:rsidP="00BD4664">
      <w:pPr>
        <w:pStyle w:val="af1"/>
        <w:numPr>
          <w:ilvl w:val="0"/>
          <w:numId w:val="2"/>
        </w:numPr>
        <w:wordWrap w:val="0"/>
        <w:ind w:firstLineChars="0"/>
      </w:pPr>
      <w:bookmarkStart w:id="163" w:name="_Ref102423014"/>
      <w:r w:rsidRPr="00EF27B2">
        <w:rPr>
          <w:rFonts w:hint="eastAsia"/>
        </w:rPr>
        <w:t>王栋，吴德胜．股权激励与风险承担——来自中国上市公司的证据</w:t>
      </w:r>
      <w:r w:rsidRPr="00EF27B2">
        <w:rPr>
          <w:rFonts w:hint="eastAsia"/>
        </w:rPr>
        <w:t>[J]</w:t>
      </w:r>
      <w:r w:rsidRPr="00EF27B2">
        <w:rPr>
          <w:rFonts w:hint="eastAsia"/>
        </w:rPr>
        <w:t>．南开管理评论，</w:t>
      </w:r>
      <w:r w:rsidRPr="00EF27B2">
        <w:rPr>
          <w:rFonts w:hint="eastAsia"/>
        </w:rPr>
        <w:t>2016</w:t>
      </w:r>
      <w:r w:rsidRPr="00EF27B2">
        <w:rPr>
          <w:rFonts w:hint="eastAsia"/>
        </w:rPr>
        <w:t>，</w:t>
      </w:r>
      <w:r w:rsidRPr="00EF27B2">
        <w:rPr>
          <w:rFonts w:hint="eastAsia"/>
        </w:rPr>
        <w:t>19</w:t>
      </w:r>
      <w:r w:rsidRPr="00EF27B2">
        <w:rPr>
          <w:rFonts w:hint="eastAsia"/>
        </w:rPr>
        <w:t>（</w:t>
      </w:r>
      <w:r w:rsidRPr="00EF27B2">
        <w:rPr>
          <w:rFonts w:hint="eastAsia"/>
        </w:rPr>
        <w:t>3</w:t>
      </w:r>
      <w:r w:rsidRPr="00EF27B2">
        <w:rPr>
          <w:rFonts w:hint="eastAsia"/>
        </w:rPr>
        <w:t>）：</w:t>
      </w:r>
      <w:r w:rsidRPr="00EF27B2">
        <w:rPr>
          <w:rFonts w:hint="eastAsia"/>
        </w:rPr>
        <w:t>157-167</w:t>
      </w:r>
      <w:r w:rsidRPr="00EF27B2">
        <w:rPr>
          <w:rFonts w:hint="eastAsia"/>
        </w:rPr>
        <w:t>．</w:t>
      </w:r>
      <w:bookmarkEnd w:id="163"/>
    </w:p>
    <w:p w14:paraId="422D7C75" w14:textId="1C0342A9" w:rsidR="00FF7197" w:rsidRDefault="00FF7197" w:rsidP="00E2022F">
      <w:pPr>
        <w:ind w:left="480" w:hangingChars="200" w:hanging="480"/>
        <w:jc w:val="center"/>
        <w:rPr>
          <w:rFonts w:ascii="宋体" w:hAnsi="宋体"/>
        </w:rPr>
      </w:pPr>
      <w:bookmarkStart w:id="164" w:name="_Hlk101897338"/>
      <w:r>
        <w:rPr>
          <w:rFonts w:ascii="宋体" w:hAnsi="宋体"/>
        </w:rPr>
        <w:br w:type="page"/>
      </w:r>
    </w:p>
    <w:p w14:paraId="4102FE7F" w14:textId="77777777" w:rsidR="00FF7197" w:rsidRPr="00FF7197" w:rsidRDefault="00FF7197" w:rsidP="00FF7197">
      <w:pPr>
        <w:keepNext/>
        <w:keepLines/>
        <w:spacing w:before="340" w:after="330" w:line="578" w:lineRule="auto"/>
        <w:jc w:val="center"/>
        <w:outlineLvl w:val="0"/>
        <w:rPr>
          <w:rFonts w:eastAsia="黑体"/>
          <w:b/>
          <w:bCs/>
          <w:kern w:val="44"/>
          <w:sz w:val="36"/>
          <w:szCs w:val="44"/>
        </w:rPr>
      </w:pPr>
      <w:bookmarkStart w:id="165" w:name="_Toc103345060"/>
      <w:bookmarkStart w:id="166" w:name="_Toc104478883"/>
      <w:r w:rsidRPr="00FF7197">
        <w:rPr>
          <w:rFonts w:eastAsia="黑体" w:hint="eastAsia"/>
          <w:b/>
          <w:bCs/>
          <w:kern w:val="44"/>
          <w:sz w:val="36"/>
          <w:szCs w:val="44"/>
        </w:rPr>
        <w:lastRenderedPageBreak/>
        <w:t>附录</w:t>
      </w:r>
      <w:bookmarkEnd w:id="165"/>
      <w:bookmarkEnd w:id="166"/>
    </w:p>
    <w:p w14:paraId="2AEA147F" w14:textId="77777777" w:rsidR="00FF7197" w:rsidRPr="00FF7197" w:rsidRDefault="00FF7197" w:rsidP="00FF7197">
      <w:pPr>
        <w:ind w:firstLineChars="200" w:firstLine="480"/>
      </w:pPr>
      <w:r w:rsidRPr="00FF7197">
        <w:rPr>
          <w:rFonts w:hint="eastAsia"/>
        </w:rPr>
        <w:t>为更加详细说明本文自变量股权激励的风险承担效应</w:t>
      </w:r>
      <w:r w:rsidRPr="00FF7197">
        <w:rPr>
          <w:rFonts w:hint="eastAsia"/>
        </w:rPr>
        <w:t xml:space="preserve"> Vega </w:t>
      </w:r>
      <w:r w:rsidRPr="00FF7197">
        <w:rPr>
          <w:rFonts w:hint="eastAsia"/>
        </w:rPr>
        <w:t>以及激励效应</w:t>
      </w:r>
      <w:r w:rsidRPr="00FF7197">
        <w:rPr>
          <w:rFonts w:hint="eastAsia"/>
        </w:rPr>
        <w:t xml:space="preserve"> Delta </w:t>
      </w:r>
      <w:r w:rsidRPr="00FF7197">
        <w:rPr>
          <w:rFonts w:hint="eastAsia"/>
        </w:rPr>
        <w:t>的计算过程，本文以中国</w:t>
      </w:r>
      <w:r w:rsidRPr="00FF7197">
        <w:rPr>
          <w:rFonts w:hint="eastAsia"/>
        </w:rPr>
        <w:t xml:space="preserve"> A </w:t>
      </w:r>
      <w:r w:rsidRPr="00FF7197">
        <w:rPr>
          <w:rFonts w:hint="eastAsia"/>
        </w:rPr>
        <w:t>股上市公司华孚时尚（股票代码</w:t>
      </w:r>
      <w:r w:rsidRPr="00FF7197">
        <w:rPr>
          <w:rFonts w:hint="eastAsia"/>
        </w:rPr>
        <w:t xml:space="preserve"> 000</w:t>
      </w:r>
      <w:r w:rsidRPr="00FF7197">
        <w:t>625</w:t>
      </w:r>
      <w:r w:rsidRPr="00FF7197">
        <w:rPr>
          <w:rFonts w:hint="eastAsia"/>
        </w:rPr>
        <w:t>.SZ</w:t>
      </w:r>
      <w:r w:rsidRPr="00FF7197">
        <w:rPr>
          <w:rFonts w:hint="eastAsia"/>
        </w:rPr>
        <w:t>）为例：华孚时尚于</w:t>
      </w:r>
      <w:r w:rsidRPr="00FF7197">
        <w:rPr>
          <w:rFonts w:hint="eastAsia"/>
        </w:rPr>
        <w:t xml:space="preserve"> 201</w:t>
      </w:r>
      <w:r w:rsidRPr="00FF7197">
        <w:t>4</w:t>
      </w:r>
      <w:r w:rsidRPr="00FF7197">
        <w:rPr>
          <w:rFonts w:hint="eastAsia"/>
        </w:rPr>
        <w:t xml:space="preserve"> </w:t>
      </w:r>
      <w:r w:rsidRPr="00FF7197">
        <w:rPr>
          <w:rFonts w:hint="eastAsia"/>
        </w:rPr>
        <w:t>年</w:t>
      </w:r>
      <w:r w:rsidRPr="00FF7197">
        <w:rPr>
          <w:rFonts w:hint="eastAsia"/>
        </w:rPr>
        <w:t xml:space="preserve"> </w:t>
      </w:r>
      <w:r w:rsidRPr="00FF7197">
        <w:t xml:space="preserve">3 </w:t>
      </w:r>
      <w:r w:rsidRPr="00FF7197">
        <w:rPr>
          <w:rFonts w:hint="eastAsia"/>
        </w:rPr>
        <w:t>月</w:t>
      </w:r>
      <w:r w:rsidRPr="00FF7197">
        <w:rPr>
          <w:rFonts w:hint="eastAsia"/>
        </w:rPr>
        <w:t xml:space="preserve"> </w:t>
      </w:r>
      <w:r w:rsidRPr="00FF7197">
        <w:t>11</w:t>
      </w:r>
      <w:r w:rsidRPr="00FF7197">
        <w:rPr>
          <w:rFonts w:hint="eastAsia"/>
        </w:rPr>
        <w:t xml:space="preserve"> </w:t>
      </w:r>
      <w:r w:rsidRPr="00FF7197">
        <w:rPr>
          <w:rFonts w:hint="eastAsia"/>
        </w:rPr>
        <w:t>日公告了股票期权激励计划草案，</w:t>
      </w:r>
      <w:r w:rsidRPr="00FF7197">
        <w:rPr>
          <w:rFonts w:hint="eastAsia"/>
        </w:rPr>
        <w:t xml:space="preserve"> 201</w:t>
      </w:r>
      <w:r w:rsidRPr="00FF7197">
        <w:t>4</w:t>
      </w:r>
      <w:r w:rsidRPr="00FF7197">
        <w:rPr>
          <w:rFonts w:hint="eastAsia"/>
        </w:rPr>
        <w:t xml:space="preserve"> </w:t>
      </w:r>
      <w:r w:rsidRPr="00FF7197">
        <w:rPr>
          <w:rFonts w:hint="eastAsia"/>
        </w:rPr>
        <w:t>年</w:t>
      </w:r>
      <w:r w:rsidRPr="00FF7197">
        <w:rPr>
          <w:rFonts w:hint="eastAsia"/>
        </w:rPr>
        <w:t xml:space="preserve"> </w:t>
      </w:r>
      <w:r w:rsidRPr="00FF7197">
        <w:t>5</w:t>
      </w:r>
      <w:r w:rsidRPr="00FF7197">
        <w:rPr>
          <w:rFonts w:hint="eastAsia"/>
        </w:rPr>
        <w:t xml:space="preserve"> </w:t>
      </w:r>
      <w:r w:rsidRPr="00FF7197">
        <w:rPr>
          <w:rFonts w:hint="eastAsia"/>
        </w:rPr>
        <w:t>月</w:t>
      </w:r>
      <w:r w:rsidRPr="00FF7197">
        <w:t>5</w:t>
      </w:r>
      <w:r w:rsidRPr="00FF7197">
        <w:rPr>
          <w:rFonts w:hint="eastAsia"/>
        </w:rPr>
        <w:t>日为正式授予日（本文将授予日为股权激励进程起点），由草案中“本计划所涉及的标的股票来源和数量”可以得到，公司总经理宋晨凌所获得股票期权共计</w:t>
      </w:r>
      <w:r w:rsidRPr="00FF7197">
        <w:t>185</w:t>
      </w:r>
      <w:r w:rsidRPr="00FF7197">
        <w:rPr>
          <w:rFonts w:hint="eastAsia"/>
        </w:rPr>
        <w:t>万份（与国泰安数据库对比相同，若不</w:t>
      </w:r>
      <w:proofErr w:type="gramStart"/>
      <w:r w:rsidRPr="00FF7197">
        <w:rPr>
          <w:rFonts w:hint="eastAsia"/>
        </w:rPr>
        <w:t>相同以</w:t>
      </w:r>
      <w:proofErr w:type="gramEnd"/>
      <w:r w:rsidRPr="00FF7197">
        <w:rPr>
          <w:rFonts w:hint="eastAsia"/>
        </w:rPr>
        <w:t>公司公告为准），并且到当年年底未发生变化，而公司在股权激励公告中的</w:t>
      </w:r>
      <w:r w:rsidRPr="00FF7197">
        <w:rPr>
          <w:rFonts w:hint="eastAsia"/>
        </w:rPr>
        <w:t xml:space="preserve"> </w:t>
      </w:r>
      <w:r w:rsidRPr="00FF7197">
        <w:rPr>
          <w:rFonts w:hint="eastAsia"/>
        </w:rPr>
        <w:t>“股票期权激励计划的有效期、授权日、等待期、行权安排、标的股票的禁售期”以及特别提示中指出了相应的等待期（</w:t>
      </w:r>
      <w:r w:rsidRPr="00FF7197">
        <w:rPr>
          <w:rFonts w:hint="eastAsia"/>
        </w:rPr>
        <w:t xml:space="preserve">1 </w:t>
      </w:r>
      <w:r w:rsidRPr="00FF7197">
        <w:rPr>
          <w:rFonts w:hint="eastAsia"/>
        </w:rPr>
        <w:t>年）、有效期（</w:t>
      </w:r>
      <w:r w:rsidRPr="00FF7197">
        <w:t>4</w:t>
      </w:r>
      <w:r w:rsidRPr="00FF7197">
        <w:rPr>
          <w:rFonts w:hint="eastAsia"/>
        </w:rPr>
        <w:t>年）以及相应行权期的所占期权数量比例（附表</w:t>
      </w:r>
      <w:r w:rsidRPr="00FF7197">
        <w:rPr>
          <w:rFonts w:hint="eastAsia"/>
        </w:rPr>
        <w:t>2</w:t>
      </w:r>
      <w:r w:rsidRPr="00FF7197">
        <w:rPr>
          <w:rFonts w:hint="eastAsia"/>
        </w:rPr>
        <w:t>），由</w:t>
      </w:r>
      <w:r w:rsidRPr="00FF7197">
        <w:rPr>
          <w:rFonts w:hint="eastAsia"/>
        </w:rPr>
        <w:t xml:space="preserve"> N </w:t>
      </w:r>
      <w:r w:rsidRPr="00FF7197">
        <w:rPr>
          <w:rFonts w:hint="eastAsia"/>
        </w:rPr>
        <w:t>乘以相应的比例可得知</w:t>
      </w:r>
      <w:r w:rsidRPr="00FF7197">
        <w:rPr>
          <w:rFonts w:hint="eastAsia"/>
        </w:rPr>
        <w:t xml:space="preserve"> 201</w:t>
      </w:r>
      <w:r w:rsidRPr="00FF7197">
        <w:t>4</w:t>
      </w:r>
      <w:r w:rsidRPr="00FF7197">
        <w:rPr>
          <w:rFonts w:hint="eastAsia"/>
        </w:rPr>
        <w:t xml:space="preserve"> </w:t>
      </w:r>
      <w:r w:rsidRPr="00FF7197">
        <w:rPr>
          <w:rFonts w:hint="eastAsia"/>
        </w:rPr>
        <w:t>年底三个行权期各对应的</w:t>
      </w:r>
      <w:r w:rsidRPr="00FF7197">
        <w:rPr>
          <w:rFonts w:hint="eastAsia"/>
        </w:rPr>
        <w:t xml:space="preserve"> N </w:t>
      </w:r>
      <w:r w:rsidRPr="00FF7197">
        <w:rPr>
          <w:rFonts w:hint="eastAsia"/>
        </w:rPr>
        <w:t>份看涨期权数量（</w:t>
      </w:r>
      <w:r w:rsidRPr="00FF7197">
        <w:rPr>
          <w:rFonts w:hint="eastAsia"/>
        </w:rPr>
        <w:t>N</w:t>
      </w:r>
      <w:r w:rsidRPr="00FF7197">
        <w:rPr>
          <w:rFonts w:hint="eastAsia"/>
        </w:rPr>
        <w:t>，见附表</w:t>
      </w:r>
      <w:r w:rsidRPr="00FF7197">
        <w:rPr>
          <w:rFonts w:hint="eastAsia"/>
        </w:rPr>
        <w:t xml:space="preserve"> 1</w:t>
      </w:r>
      <w:r w:rsidRPr="00FF7197">
        <w:rPr>
          <w:rFonts w:hint="eastAsia"/>
        </w:rPr>
        <w:t>），有效期</w:t>
      </w:r>
      <w:r w:rsidRPr="00FF7197">
        <w:rPr>
          <w:rFonts w:hint="eastAsia"/>
        </w:rPr>
        <w:t xml:space="preserve"> T </w:t>
      </w:r>
      <w:r w:rsidRPr="00FF7197">
        <w:rPr>
          <w:rFonts w:hint="eastAsia"/>
        </w:rPr>
        <w:t>则以</w:t>
      </w:r>
      <w:r w:rsidRPr="00FF7197">
        <w:rPr>
          <w:rFonts w:hint="eastAsia"/>
        </w:rPr>
        <w:t xml:space="preserve"> 201</w:t>
      </w:r>
      <w:r w:rsidRPr="00FF7197">
        <w:t>4</w:t>
      </w:r>
      <w:r w:rsidRPr="00FF7197">
        <w:rPr>
          <w:rFonts w:hint="eastAsia"/>
        </w:rPr>
        <w:t xml:space="preserve"> </w:t>
      </w:r>
      <w:r w:rsidRPr="00FF7197">
        <w:rPr>
          <w:rFonts w:hint="eastAsia"/>
        </w:rPr>
        <w:t>年底始至失效期止；年度收盘价以及收益波动率可以直接由国泰安数据库导出（附表</w:t>
      </w:r>
      <w:r w:rsidRPr="00FF7197">
        <w:rPr>
          <w:rFonts w:hint="eastAsia"/>
        </w:rPr>
        <w:t xml:space="preserve"> 1 </w:t>
      </w:r>
      <w:r w:rsidRPr="00FF7197">
        <w:rPr>
          <w:rFonts w:hint="eastAsia"/>
        </w:rPr>
        <w:t>中的年度收盘价</w:t>
      </w:r>
      <w:r w:rsidRPr="00FF7197">
        <w:rPr>
          <w:rFonts w:hint="eastAsia"/>
        </w:rPr>
        <w:t xml:space="preserve"> S </w:t>
      </w:r>
      <w:r w:rsidRPr="00FF7197">
        <w:rPr>
          <w:rFonts w:hint="eastAsia"/>
        </w:rPr>
        <w:t>及收益波动率</w:t>
      </w:r>
      <w:r w:rsidRPr="00FF7197">
        <w:rPr>
          <w:rFonts w:ascii="宋体" w:hAnsi="宋体" w:hint="eastAsia"/>
          <w:sz w:val="21"/>
          <w:szCs w:val="21"/>
        </w:rPr>
        <w:t>σ</w:t>
      </w:r>
      <w:r w:rsidRPr="00FF7197">
        <w:rPr>
          <w:rFonts w:hint="eastAsia"/>
        </w:rPr>
        <w:t>），公告中特别提示可以得到公司的股票期权行权价格</w:t>
      </w:r>
      <w:r w:rsidRPr="00FF7197">
        <w:rPr>
          <w:rFonts w:hint="eastAsia"/>
        </w:rPr>
        <w:t xml:space="preserve"> X</w:t>
      </w:r>
      <w:r w:rsidRPr="00FF7197">
        <w:rPr>
          <w:rFonts w:hint="eastAsia"/>
        </w:rPr>
        <w:t>（附表</w:t>
      </w:r>
      <w:r w:rsidRPr="00FF7197">
        <w:rPr>
          <w:rFonts w:hint="eastAsia"/>
        </w:rPr>
        <w:t xml:space="preserve"> 1 </w:t>
      </w:r>
      <w:r w:rsidRPr="00FF7197">
        <w:rPr>
          <w:rFonts w:hint="eastAsia"/>
        </w:rPr>
        <w:t>的行权价</w:t>
      </w:r>
      <w:r w:rsidRPr="00FF7197">
        <w:rPr>
          <w:rFonts w:hint="eastAsia"/>
        </w:rPr>
        <w:t xml:space="preserve"> X</w:t>
      </w:r>
      <w:r w:rsidRPr="00FF7197">
        <w:rPr>
          <w:rFonts w:hint="eastAsia"/>
        </w:rPr>
        <w:t>），无风险利率</w:t>
      </w:r>
      <w:r w:rsidRPr="00FF7197">
        <w:rPr>
          <w:rFonts w:hint="eastAsia"/>
        </w:rPr>
        <w:t xml:space="preserve"> r </w:t>
      </w:r>
      <w:r w:rsidRPr="00FF7197">
        <w:rPr>
          <w:rFonts w:hint="eastAsia"/>
        </w:rPr>
        <w:t>可以通过中国人民银行公告得到，其中四年为三年与五年的平均值（附表</w:t>
      </w:r>
      <w:r w:rsidRPr="00FF7197">
        <w:rPr>
          <w:rFonts w:hint="eastAsia"/>
        </w:rPr>
        <w:t xml:space="preserve"> 3</w:t>
      </w:r>
      <w:r w:rsidRPr="00FF7197">
        <w:rPr>
          <w:rFonts w:hint="eastAsia"/>
        </w:rPr>
        <w:t>）；根据现有的指标数据代入公式可以得到相应行权期的</w:t>
      </w:r>
      <w:r w:rsidRPr="00FF7197">
        <w:rPr>
          <w:rFonts w:hint="eastAsia"/>
        </w:rPr>
        <w:t xml:space="preserve"> Vega </w:t>
      </w:r>
      <w:r w:rsidRPr="00FF7197">
        <w:rPr>
          <w:rFonts w:hint="eastAsia"/>
        </w:rPr>
        <w:t>与</w:t>
      </w:r>
      <w:r w:rsidRPr="00FF7197">
        <w:rPr>
          <w:rFonts w:hint="eastAsia"/>
        </w:rPr>
        <w:t xml:space="preserve"> Delta</w:t>
      </w:r>
      <w:r w:rsidRPr="00FF7197">
        <w:rPr>
          <w:rFonts w:hint="eastAsia"/>
        </w:rPr>
        <w:t>，再根据对应行权期所占比例进行加权求和得到</w:t>
      </w:r>
      <w:r w:rsidRPr="00FF7197">
        <w:rPr>
          <w:rFonts w:hint="eastAsia"/>
        </w:rPr>
        <w:t xml:space="preserve">Vega </w:t>
      </w:r>
      <w:r w:rsidRPr="00FF7197">
        <w:rPr>
          <w:rFonts w:hint="eastAsia"/>
        </w:rPr>
        <w:t>求和与</w:t>
      </w:r>
      <w:r w:rsidRPr="00FF7197">
        <w:rPr>
          <w:rFonts w:hint="eastAsia"/>
        </w:rPr>
        <w:t xml:space="preserve"> Delta </w:t>
      </w:r>
      <w:r w:rsidRPr="00FF7197">
        <w:rPr>
          <w:rFonts w:hint="eastAsia"/>
        </w:rPr>
        <w:t>求和，由求和加</w:t>
      </w:r>
      <w:r w:rsidRPr="00FF7197">
        <w:rPr>
          <w:rFonts w:hint="eastAsia"/>
        </w:rPr>
        <w:t xml:space="preserve"> 1 </w:t>
      </w:r>
      <w:r w:rsidRPr="00FF7197">
        <w:rPr>
          <w:rFonts w:hint="eastAsia"/>
        </w:rPr>
        <w:t>再取对数值就是本文所用股票期权的自变量数据，以此类推，可以计算得到华孚时尚</w:t>
      </w:r>
      <w:r w:rsidRPr="00FF7197">
        <w:t>2014</w:t>
      </w:r>
      <w:r w:rsidRPr="00FF7197">
        <w:rPr>
          <w:rFonts w:hint="eastAsia"/>
        </w:rPr>
        <w:t xml:space="preserve"> </w:t>
      </w:r>
      <w:r w:rsidRPr="00FF7197">
        <w:rPr>
          <w:rFonts w:hint="eastAsia"/>
        </w:rPr>
        <w:t>年到</w:t>
      </w:r>
      <w:r w:rsidRPr="00FF7197">
        <w:rPr>
          <w:rFonts w:hint="eastAsia"/>
        </w:rPr>
        <w:t xml:space="preserve"> 201</w:t>
      </w:r>
      <w:r w:rsidRPr="00FF7197">
        <w:t>6</w:t>
      </w:r>
      <w:r w:rsidRPr="00FF7197">
        <w:rPr>
          <w:rFonts w:hint="eastAsia"/>
        </w:rPr>
        <w:t xml:space="preserve"> </w:t>
      </w:r>
      <w:r w:rsidRPr="00FF7197">
        <w:rPr>
          <w:rFonts w:hint="eastAsia"/>
        </w:rPr>
        <w:t>年的</w:t>
      </w:r>
      <w:r w:rsidRPr="00FF7197">
        <w:rPr>
          <w:rFonts w:hint="eastAsia"/>
        </w:rPr>
        <w:t xml:space="preserve"> Vega </w:t>
      </w:r>
      <w:r w:rsidRPr="00FF7197">
        <w:rPr>
          <w:rFonts w:hint="eastAsia"/>
        </w:rPr>
        <w:t>与</w:t>
      </w:r>
      <w:r w:rsidRPr="00FF7197">
        <w:rPr>
          <w:rFonts w:hint="eastAsia"/>
        </w:rPr>
        <w:t xml:space="preserve"> Delta</w:t>
      </w:r>
      <w:r w:rsidRPr="00FF7197">
        <w:rPr>
          <w:rFonts w:hint="eastAsia"/>
        </w:rPr>
        <w:t>，另外，该激励计划的三个行权</w:t>
      </w:r>
      <w:proofErr w:type="gramStart"/>
      <w:r w:rsidRPr="00FF7197">
        <w:rPr>
          <w:rFonts w:hint="eastAsia"/>
        </w:rPr>
        <w:t>期时间</w:t>
      </w:r>
      <w:proofErr w:type="gramEnd"/>
      <w:r w:rsidRPr="00FF7197">
        <w:rPr>
          <w:rFonts w:hint="eastAsia"/>
        </w:rPr>
        <w:t>有重叠部分，如果公告（包括公司年报）没有明确指出是哪个行权期的期权行权了，本文默认其行权部分为靠</w:t>
      </w:r>
      <w:proofErr w:type="gramStart"/>
      <w:r w:rsidRPr="00FF7197">
        <w:rPr>
          <w:rFonts w:hint="eastAsia"/>
        </w:rPr>
        <w:t>前行权</w:t>
      </w:r>
      <w:proofErr w:type="gramEnd"/>
      <w:r w:rsidRPr="00FF7197">
        <w:rPr>
          <w:rFonts w:hint="eastAsia"/>
        </w:rPr>
        <w:t>期的期权。</w:t>
      </w:r>
      <w:r w:rsidRPr="00FF7197">
        <w:rPr>
          <w:rFonts w:hint="eastAsia"/>
        </w:rPr>
        <w:t xml:space="preserve"> </w:t>
      </w:r>
    </w:p>
    <w:p w14:paraId="7121151D" w14:textId="77777777" w:rsidR="00FF7197" w:rsidRPr="00FF7197" w:rsidRDefault="00FF7197" w:rsidP="00FF7197"/>
    <w:p w14:paraId="1D33F698" w14:textId="77777777" w:rsidR="00FF7197" w:rsidRPr="00FF7197" w:rsidRDefault="00FF7197" w:rsidP="00FF7197">
      <w:pPr>
        <w:spacing w:line="300" w:lineRule="exact"/>
        <w:jc w:val="center"/>
        <w:rPr>
          <w:rFonts w:ascii="黑体" w:eastAsia="黑体" w:hAnsi="黑体"/>
        </w:rPr>
      </w:pPr>
    </w:p>
    <w:p w14:paraId="6D87DED6" w14:textId="77777777" w:rsidR="00FF7197" w:rsidRPr="00FF7197" w:rsidRDefault="00FF7197" w:rsidP="00FF7197">
      <w:pPr>
        <w:spacing w:line="300" w:lineRule="exact"/>
        <w:jc w:val="center"/>
        <w:rPr>
          <w:rFonts w:ascii="黑体" w:eastAsia="黑体" w:hAnsi="黑体"/>
        </w:rPr>
      </w:pPr>
    </w:p>
    <w:p w14:paraId="107CABBC" w14:textId="77777777" w:rsidR="00FF7197" w:rsidRPr="00FF7197" w:rsidRDefault="00FF7197" w:rsidP="00FF7197">
      <w:pPr>
        <w:spacing w:line="300" w:lineRule="exact"/>
        <w:jc w:val="center"/>
        <w:rPr>
          <w:rFonts w:ascii="黑体" w:eastAsia="黑体" w:hAnsi="黑体"/>
        </w:rPr>
      </w:pPr>
    </w:p>
    <w:p w14:paraId="19D505AB" w14:textId="77777777" w:rsidR="00FF7197" w:rsidRPr="00FF7197" w:rsidRDefault="00FF7197" w:rsidP="00FF7197">
      <w:pPr>
        <w:spacing w:line="300" w:lineRule="exact"/>
        <w:jc w:val="center"/>
        <w:rPr>
          <w:rFonts w:ascii="黑体" w:eastAsia="黑体" w:hAnsi="黑体"/>
        </w:rPr>
      </w:pPr>
    </w:p>
    <w:p w14:paraId="1C4737B5" w14:textId="77777777" w:rsidR="00FF7197" w:rsidRPr="00FF7197" w:rsidRDefault="00FF7197" w:rsidP="00FF7197">
      <w:pPr>
        <w:spacing w:line="300" w:lineRule="exact"/>
        <w:jc w:val="center"/>
        <w:rPr>
          <w:rFonts w:ascii="黑体" w:eastAsia="黑体" w:hAnsi="黑体"/>
        </w:rPr>
      </w:pPr>
    </w:p>
    <w:p w14:paraId="7330D246" w14:textId="637373F0" w:rsidR="00FF7197" w:rsidRDefault="00FF7197" w:rsidP="00FF7197">
      <w:pPr>
        <w:spacing w:line="300" w:lineRule="exact"/>
        <w:jc w:val="center"/>
        <w:rPr>
          <w:rFonts w:ascii="黑体" w:eastAsia="黑体" w:hAnsi="黑体"/>
        </w:rPr>
      </w:pPr>
    </w:p>
    <w:p w14:paraId="5F33B878" w14:textId="77777777" w:rsidR="00FF7197" w:rsidRPr="00FF7197" w:rsidRDefault="00FF7197" w:rsidP="00FF7197">
      <w:pPr>
        <w:spacing w:line="300" w:lineRule="exact"/>
        <w:jc w:val="center"/>
        <w:rPr>
          <w:rFonts w:ascii="黑体" w:eastAsia="黑体" w:hAnsi="黑体"/>
        </w:rPr>
      </w:pPr>
    </w:p>
    <w:p w14:paraId="32FFB81F" w14:textId="77777777" w:rsidR="00FF7197" w:rsidRPr="00FF7197" w:rsidRDefault="00FF7197" w:rsidP="00FF7197">
      <w:pPr>
        <w:spacing w:line="300" w:lineRule="exact"/>
        <w:jc w:val="center"/>
        <w:rPr>
          <w:rFonts w:ascii="黑体" w:eastAsia="黑体" w:hAnsi="黑体"/>
        </w:rPr>
      </w:pPr>
      <w:r w:rsidRPr="00FF7197">
        <w:rPr>
          <w:rFonts w:ascii="黑体" w:eastAsia="黑体" w:hAnsi="黑体" w:hint="eastAsia"/>
        </w:rPr>
        <w:lastRenderedPageBreak/>
        <w:t>附表1</w:t>
      </w:r>
      <w:r w:rsidRPr="00FF7197">
        <w:rPr>
          <w:rFonts w:ascii="黑体" w:eastAsia="黑体" w:hAnsi="黑体"/>
        </w:rPr>
        <w:t xml:space="preserve"> </w:t>
      </w:r>
      <w:r w:rsidRPr="00FF7197">
        <w:rPr>
          <w:rFonts w:ascii="黑体" w:eastAsia="黑体" w:hAnsi="黑体" w:hint="eastAsia"/>
        </w:rPr>
        <w:t>华孚时尚股票期权的 Vega 与 Delta 计算</w:t>
      </w:r>
    </w:p>
    <w:p w14:paraId="17475E4C" w14:textId="77777777" w:rsidR="00FF7197" w:rsidRPr="00FF7197" w:rsidRDefault="00FF7197" w:rsidP="00FF7197">
      <w:pPr>
        <w:spacing w:line="300" w:lineRule="exact"/>
        <w:ind w:firstLineChars="200" w:firstLine="480"/>
        <w:rPr>
          <w:rFonts w:ascii="黑体" w:eastAsia="黑体" w:hAnsi="黑体"/>
        </w:rPr>
      </w:pPr>
    </w:p>
    <w:tbl>
      <w:tblPr>
        <w:tblStyle w:val="ac"/>
        <w:tblW w:w="11231" w:type="dxa"/>
        <w:jc w:val="center"/>
        <w:tblLook w:val="04A0" w:firstRow="1" w:lastRow="0" w:firstColumn="1" w:lastColumn="0" w:noHBand="0" w:noVBand="1"/>
      </w:tblPr>
      <w:tblGrid>
        <w:gridCol w:w="936"/>
        <w:gridCol w:w="748"/>
        <w:gridCol w:w="671"/>
        <w:gridCol w:w="1042"/>
        <w:gridCol w:w="973"/>
        <w:gridCol w:w="712"/>
        <w:gridCol w:w="981"/>
        <w:gridCol w:w="878"/>
        <w:gridCol w:w="1331"/>
        <w:gridCol w:w="1476"/>
        <w:gridCol w:w="1483"/>
      </w:tblGrid>
      <w:tr w:rsidR="00FF7197" w:rsidRPr="00FF7197" w14:paraId="270C3105" w14:textId="77777777" w:rsidTr="00B0361E">
        <w:trPr>
          <w:trHeight w:val="1049"/>
          <w:jc w:val="center"/>
        </w:trPr>
        <w:tc>
          <w:tcPr>
            <w:tcW w:w="936" w:type="dxa"/>
            <w:tcBorders>
              <w:top w:val="single" w:sz="12" w:space="0" w:color="auto"/>
              <w:left w:val="nil"/>
              <w:bottom w:val="single" w:sz="4" w:space="0" w:color="auto"/>
              <w:right w:val="nil"/>
            </w:tcBorders>
          </w:tcPr>
          <w:p w14:paraId="27F945B4" w14:textId="77777777" w:rsidR="00FF7197" w:rsidRPr="00FF7197" w:rsidRDefault="00FF7197" w:rsidP="00FF7197">
            <w:pPr>
              <w:jc w:val="center"/>
              <w:rPr>
                <w:rFonts w:ascii="宋体" w:hAnsi="宋体"/>
                <w:sz w:val="20"/>
                <w:szCs w:val="21"/>
              </w:rPr>
            </w:pPr>
            <w:r w:rsidRPr="00FF7197">
              <w:rPr>
                <w:rFonts w:ascii="宋体" w:hAnsi="宋体" w:hint="eastAsia"/>
                <w:sz w:val="20"/>
                <w:szCs w:val="21"/>
              </w:rPr>
              <w:t>代码</w:t>
            </w:r>
          </w:p>
        </w:tc>
        <w:tc>
          <w:tcPr>
            <w:tcW w:w="748" w:type="dxa"/>
            <w:tcBorders>
              <w:top w:val="single" w:sz="12" w:space="0" w:color="auto"/>
              <w:left w:val="nil"/>
              <w:bottom w:val="single" w:sz="4" w:space="0" w:color="auto"/>
              <w:right w:val="nil"/>
            </w:tcBorders>
          </w:tcPr>
          <w:p w14:paraId="20F3D7CB" w14:textId="77777777" w:rsidR="00FF7197" w:rsidRPr="00FF7197" w:rsidRDefault="00FF7197" w:rsidP="00FF7197">
            <w:pPr>
              <w:rPr>
                <w:rFonts w:ascii="宋体" w:hAnsi="宋体"/>
                <w:sz w:val="20"/>
                <w:szCs w:val="21"/>
              </w:rPr>
            </w:pPr>
            <w:r w:rsidRPr="00FF7197">
              <w:rPr>
                <w:rFonts w:ascii="宋体" w:hAnsi="宋体" w:hint="eastAsia"/>
                <w:sz w:val="20"/>
                <w:szCs w:val="21"/>
              </w:rPr>
              <w:t>年</w:t>
            </w:r>
          </w:p>
        </w:tc>
        <w:tc>
          <w:tcPr>
            <w:tcW w:w="671" w:type="dxa"/>
            <w:tcBorders>
              <w:top w:val="single" w:sz="12" w:space="0" w:color="auto"/>
              <w:left w:val="nil"/>
              <w:bottom w:val="single" w:sz="4" w:space="0" w:color="auto"/>
              <w:right w:val="nil"/>
            </w:tcBorders>
          </w:tcPr>
          <w:p w14:paraId="45AA5293" w14:textId="77777777" w:rsidR="00FF7197" w:rsidRPr="00FF7197" w:rsidRDefault="00FF7197" w:rsidP="00FF7197">
            <w:pPr>
              <w:rPr>
                <w:rFonts w:ascii="宋体" w:hAnsi="宋体"/>
                <w:sz w:val="20"/>
                <w:szCs w:val="21"/>
              </w:rPr>
            </w:pPr>
            <w:r w:rsidRPr="00FF7197">
              <w:rPr>
                <w:rFonts w:ascii="宋体" w:hAnsi="宋体" w:hint="eastAsia"/>
                <w:sz w:val="20"/>
                <w:szCs w:val="21"/>
              </w:rPr>
              <w:t>比例</w:t>
            </w:r>
          </w:p>
        </w:tc>
        <w:tc>
          <w:tcPr>
            <w:tcW w:w="1042" w:type="dxa"/>
            <w:tcBorders>
              <w:top w:val="single" w:sz="12" w:space="0" w:color="auto"/>
              <w:left w:val="nil"/>
              <w:bottom w:val="single" w:sz="4" w:space="0" w:color="auto"/>
              <w:right w:val="nil"/>
            </w:tcBorders>
          </w:tcPr>
          <w:p w14:paraId="322EA459" w14:textId="77777777" w:rsidR="00FF7197" w:rsidRPr="00FF7197" w:rsidRDefault="00FF7197" w:rsidP="00FF7197">
            <w:pPr>
              <w:rPr>
                <w:rFonts w:ascii="宋体" w:hAnsi="宋体"/>
                <w:sz w:val="20"/>
                <w:szCs w:val="21"/>
              </w:rPr>
            </w:pPr>
            <w:r w:rsidRPr="00FF7197">
              <w:rPr>
                <w:rFonts w:ascii="宋体" w:hAnsi="宋体" w:hint="eastAsia"/>
                <w:sz w:val="20"/>
                <w:szCs w:val="21"/>
              </w:rPr>
              <w:t>期权数量N</w:t>
            </w:r>
          </w:p>
        </w:tc>
        <w:tc>
          <w:tcPr>
            <w:tcW w:w="973" w:type="dxa"/>
            <w:tcBorders>
              <w:top w:val="single" w:sz="12" w:space="0" w:color="auto"/>
              <w:left w:val="nil"/>
              <w:bottom w:val="single" w:sz="4" w:space="0" w:color="auto"/>
              <w:right w:val="nil"/>
            </w:tcBorders>
          </w:tcPr>
          <w:p w14:paraId="4263C718" w14:textId="77777777" w:rsidR="00FF7197" w:rsidRPr="00FF7197" w:rsidRDefault="00FF7197" w:rsidP="00FF7197">
            <w:pPr>
              <w:rPr>
                <w:rFonts w:ascii="宋体" w:hAnsi="宋体"/>
                <w:sz w:val="20"/>
                <w:szCs w:val="21"/>
              </w:rPr>
            </w:pPr>
            <w:r w:rsidRPr="00FF7197">
              <w:rPr>
                <w:rFonts w:ascii="宋体" w:hAnsi="宋体" w:hint="eastAsia"/>
                <w:sz w:val="20"/>
                <w:szCs w:val="21"/>
              </w:rPr>
              <w:t>年度收盘价S</w:t>
            </w:r>
          </w:p>
        </w:tc>
        <w:tc>
          <w:tcPr>
            <w:tcW w:w="712" w:type="dxa"/>
            <w:tcBorders>
              <w:top w:val="single" w:sz="12" w:space="0" w:color="auto"/>
              <w:left w:val="nil"/>
              <w:bottom w:val="single" w:sz="4" w:space="0" w:color="auto"/>
              <w:right w:val="nil"/>
            </w:tcBorders>
          </w:tcPr>
          <w:p w14:paraId="08D9B89E" w14:textId="77777777" w:rsidR="00FF7197" w:rsidRPr="00FF7197" w:rsidRDefault="00FF7197" w:rsidP="00FF7197">
            <w:pPr>
              <w:rPr>
                <w:rFonts w:ascii="宋体" w:hAnsi="宋体"/>
                <w:sz w:val="20"/>
                <w:szCs w:val="21"/>
              </w:rPr>
            </w:pPr>
            <w:r w:rsidRPr="00FF7197">
              <w:rPr>
                <w:rFonts w:ascii="宋体" w:hAnsi="宋体" w:hint="eastAsia"/>
                <w:sz w:val="20"/>
                <w:szCs w:val="21"/>
              </w:rPr>
              <w:t>行权价X</w:t>
            </w:r>
          </w:p>
        </w:tc>
        <w:tc>
          <w:tcPr>
            <w:tcW w:w="981" w:type="dxa"/>
            <w:tcBorders>
              <w:top w:val="single" w:sz="12" w:space="0" w:color="auto"/>
              <w:left w:val="nil"/>
              <w:bottom w:val="single" w:sz="4" w:space="0" w:color="auto"/>
              <w:right w:val="nil"/>
            </w:tcBorders>
          </w:tcPr>
          <w:p w14:paraId="238C3129" w14:textId="77777777" w:rsidR="00FF7197" w:rsidRPr="00FF7197" w:rsidRDefault="00FF7197" w:rsidP="00FF7197">
            <w:pPr>
              <w:rPr>
                <w:rFonts w:ascii="宋体" w:hAnsi="宋体"/>
                <w:sz w:val="20"/>
                <w:szCs w:val="21"/>
              </w:rPr>
            </w:pPr>
            <w:r w:rsidRPr="00FF7197">
              <w:rPr>
                <w:rFonts w:ascii="宋体" w:hAnsi="宋体" w:hint="eastAsia"/>
                <w:sz w:val="20"/>
                <w:szCs w:val="21"/>
              </w:rPr>
              <w:t>收益波动率σ</w:t>
            </w:r>
          </w:p>
        </w:tc>
        <w:tc>
          <w:tcPr>
            <w:tcW w:w="878" w:type="dxa"/>
            <w:tcBorders>
              <w:top w:val="single" w:sz="12" w:space="0" w:color="auto"/>
              <w:left w:val="nil"/>
              <w:bottom w:val="single" w:sz="4" w:space="0" w:color="auto"/>
              <w:right w:val="nil"/>
            </w:tcBorders>
          </w:tcPr>
          <w:p w14:paraId="5446A85E" w14:textId="77777777" w:rsidR="00FF7197" w:rsidRPr="00FF7197" w:rsidRDefault="00FF7197" w:rsidP="00FF7197">
            <w:pPr>
              <w:rPr>
                <w:rFonts w:ascii="宋体" w:hAnsi="宋体"/>
                <w:sz w:val="20"/>
                <w:szCs w:val="21"/>
              </w:rPr>
            </w:pPr>
            <w:r w:rsidRPr="00FF7197">
              <w:rPr>
                <w:rFonts w:ascii="宋体" w:hAnsi="宋体" w:hint="eastAsia"/>
                <w:sz w:val="20"/>
                <w:szCs w:val="21"/>
              </w:rPr>
              <w:t>有效期T</w:t>
            </w:r>
          </w:p>
        </w:tc>
        <w:tc>
          <w:tcPr>
            <w:tcW w:w="1331" w:type="dxa"/>
            <w:tcBorders>
              <w:top w:val="single" w:sz="12" w:space="0" w:color="auto"/>
              <w:left w:val="nil"/>
              <w:bottom w:val="single" w:sz="4" w:space="0" w:color="auto"/>
              <w:right w:val="nil"/>
            </w:tcBorders>
          </w:tcPr>
          <w:p w14:paraId="35B5FA03" w14:textId="77777777" w:rsidR="00FF7197" w:rsidRPr="00FF7197" w:rsidRDefault="00FF7197" w:rsidP="00FF7197">
            <w:pPr>
              <w:rPr>
                <w:rFonts w:ascii="宋体" w:hAnsi="宋体"/>
                <w:sz w:val="20"/>
                <w:szCs w:val="21"/>
              </w:rPr>
            </w:pPr>
            <w:r w:rsidRPr="00FF7197">
              <w:rPr>
                <w:rFonts w:ascii="宋体" w:hAnsi="宋体"/>
                <w:sz w:val="20"/>
                <w:szCs w:val="21"/>
              </w:rPr>
              <w:t>L</w:t>
            </w:r>
            <w:r w:rsidRPr="00FF7197">
              <w:rPr>
                <w:rFonts w:ascii="宋体" w:hAnsi="宋体" w:hint="eastAsia"/>
                <w:sz w:val="20"/>
                <w:szCs w:val="21"/>
              </w:rPr>
              <w:t>n</w:t>
            </w:r>
            <w:r w:rsidRPr="00FF7197">
              <w:rPr>
                <w:rFonts w:ascii="宋体" w:hAnsi="宋体"/>
                <w:sz w:val="20"/>
                <w:szCs w:val="21"/>
              </w:rPr>
              <w:t>(1+</w:t>
            </w:r>
            <w:r w:rsidRPr="00FF7197">
              <w:rPr>
                <w:rFonts w:ascii="宋体" w:hAnsi="宋体" w:hint="eastAsia"/>
                <w:sz w:val="20"/>
                <w:szCs w:val="21"/>
              </w:rPr>
              <w:t>无风险利率r)</w:t>
            </w:r>
          </w:p>
        </w:tc>
        <w:tc>
          <w:tcPr>
            <w:tcW w:w="1476" w:type="dxa"/>
            <w:tcBorders>
              <w:top w:val="single" w:sz="12" w:space="0" w:color="auto"/>
              <w:left w:val="nil"/>
              <w:bottom w:val="single" w:sz="4" w:space="0" w:color="auto"/>
              <w:right w:val="nil"/>
            </w:tcBorders>
          </w:tcPr>
          <w:p w14:paraId="21451318" w14:textId="77777777" w:rsidR="00FF7197" w:rsidRPr="00FF7197" w:rsidRDefault="00FF7197" w:rsidP="00FF7197">
            <w:pPr>
              <w:rPr>
                <w:rFonts w:ascii="宋体" w:hAnsi="宋体"/>
                <w:sz w:val="20"/>
                <w:szCs w:val="21"/>
              </w:rPr>
            </w:pPr>
            <w:r w:rsidRPr="00FF7197">
              <w:rPr>
                <w:rFonts w:ascii="宋体" w:hAnsi="宋体" w:hint="eastAsia"/>
                <w:sz w:val="20"/>
                <w:szCs w:val="21"/>
              </w:rPr>
              <w:t>Delta求和</w:t>
            </w:r>
          </w:p>
        </w:tc>
        <w:tc>
          <w:tcPr>
            <w:tcW w:w="1483" w:type="dxa"/>
            <w:tcBorders>
              <w:top w:val="single" w:sz="12" w:space="0" w:color="auto"/>
              <w:left w:val="nil"/>
              <w:bottom w:val="single" w:sz="4" w:space="0" w:color="auto"/>
              <w:right w:val="nil"/>
            </w:tcBorders>
          </w:tcPr>
          <w:p w14:paraId="71FA3690" w14:textId="77777777" w:rsidR="00FF7197" w:rsidRPr="00FF7197" w:rsidRDefault="00FF7197" w:rsidP="00FF7197">
            <w:pPr>
              <w:rPr>
                <w:rFonts w:ascii="宋体" w:hAnsi="宋体"/>
                <w:sz w:val="20"/>
                <w:szCs w:val="21"/>
              </w:rPr>
            </w:pPr>
            <w:r w:rsidRPr="00FF7197">
              <w:rPr>
                <w:rFonts w:ascii="宋体" w:hAnsi="宋体" w:hint="eastAsia"/>
                <w:sz w:val="20"/>
                <w:szCs w:val="21"/>
              </w:rPr>
              <w:t>Vega求和</w:t>
            </w:r>
          </w:p>
        </w:tc>
      </w:tr>
      <w:tr w:rsidR="00FF7197" w:rsidRPr="00FF7197" w14:paraId="1E2E3FF2" w14:textId="77777777" w:rsidTr="00B0361E">
        <w:trPr>
          <w:trHeight w:val="771"/>
          <w:jc w:val="center"/>
        </w:trPr>
        <w:tc>
          <w:tcPr>
            <w:tcW w:w="936" w:type="dxa"/>
            <w:tcBorders>
              <w:top w:val="single" w:sz="4" w:space="0" w:color="auto"/>
              <w:left w:val="nil"/>
              <w:bottom w:val="nil"/>
              <w:right w:val="nil"/>
            </w:tcBorders>
          </w:tcPr>
          <w:p w14:paraId="19C1464A" w14:textId="77777777" w:rsidR="00FF7197" w:rsidRPr="00FF7197" w:rsidRDefault="00FF7197" w:rsidP="00FF7197">
            <w:pPr>
              <w:rPr>
                <w:sz w:val="20"/>
                <w:szCs w:val="21"/>
              </w:rPr>
            </w:pPr>
            <w:r w:rsidRPr="00FF7197">
              <w:rPr>
                <w:sz w:val="20"/>
                <w:szCs w:val="21"/>
              </w:rPr>
              <w:t>002042</w:t>
            </w:r>
          </w:p>
        </w:tc>
        <w:tc>
          <w:tcPr>
            <w:tcW w:w="748" w:type="dxa"/>
            <w:tcBorders>
              <w:top w:val="single" w:sz="4" w:space="0" w:color="auto"/>
              <w:left w:val="nil"/>
              <w:bottom w:val="nil"/>
              <w:right w:val="nil"/>
            </w:tcBorders>
          </w:tcPr>
          <w:p w14:paraId="26B24493" w14:textId="77777777" w:rsidR="00FF7197" w:rsidRPr="00FF7197" w:rsidRDefault="00FF7197" w:rsidP="00FF7197">
            <w:pPr>
              <w:rPr>
                <w:sz w:val="20"/>
                <w:szCs w:val="21"/>
              </w:rPr>
            </w:pPr>
            <w:r w:rsidRPr="00FF7197">
              <w:rPr>
                <w:sz w:val="20"/>
                <w:szCs w:val="21"/>
              </w:rPr>
              <w:t>2014</w:t>
            </w:r>
          </w:p>
        </w:tc>
        <w:tc>
          <w:tcPr>
            <w:tcW w:w="671" w:type="dxa"/>
            <w:tcBorders>
              <w:top w:val="single" w:sz="4" w:space="0" w:color="auto"/>
              <w:left w:val="nil"/>
              <w:bottom w:val="nil"/>
              <w:right w:val="nil"/>
            </w:tcBorders>
          </w:tcPr>
          <w:p w14:paraId="1FFD7E04" w14:textId="77777777" w:rsidR="00FF7197" w:rsidRPr="00FF7197" w:rsidRDefault="00FF7197" w:rsidP="00FF7197">
            <w:pPr>
              <w:rPr>
                <w:sz w:val="20"/>
                <w:szCs w:val="21"/>
              </w:rPr>
            </w:pPr>
            <w:r w:rsidRPr="00FF7197">
              <w:rPr>
                <w:sz w:val="20"/>
                <w:szCs w:val="21"/>
              </w:rPr>
              <w:t>0.4</w:t>
            </w:r>
          </w:p>
        </w:tc>
        <w:tc>
          <w:tcPr>
            <w:tcW w:w="1042" w:type="dxa"/>
            <w:tcBorders>
              <w:top w:val="single" w:sz="4" w:space="0" w:color="auto"/>
              <w:left w:val="nil"/>
              <w:bottom w:val="nil"/>
              <w:right w:val="nil"/>
            </w:tcBorders>
          </w:tcPr>
          <w:p w14:paraId="5AD82549" w14:textId="77777777" w:rsidR="00FF7197" w:rsidRPr="00FF7197" w:rsidRDefault="00FF7197" w:rsidP="00FF7197">
            <w:pPr>
              <w:rPr>
                <w:sz w:val="20"/>
                <w:szCs w:val="21"/>
              </w:rPr>
            </w:pPr>
            <w:r w:rsidRPr="00FF7197">
              <w:rPr>
                <w:sz w:val="20"/>
                <w:szCs w:val="21"/>
              </w:rPr>
              <w:t>740000</w:t>
            </w:r>
          </w:p>
        </w:tc>
        <w:tc>
          <w:tcPr>
            <w:tcW w:w="973" w:type="dxa"/>
            <w:tcBorders>
              <w:top w:val="single" w:sz="4" w:space="0" w:color="auto"/>
              <w:left w:val="nil"/>
              <w:bottom w:val="nil"/>
              <w:right w:val="nil"/>
            </w:tcBorders>
          </w:tcPr>
          <w:p w14:paraId="311B4673" w14:textId="77777777" w:rsidR="00FF7197" w:rsidRPr="00FF7197" w:rsidRDefault="00FF7197" w:rsidP="00FF7197">
            <w:pPr>
              <w:rPr>
                <w:sz w:val="20"/>
                <w:szCs w:val="21"/>
              </w:rPr>
            </w:pPr>
            <w:r w:rsidRPr="00FF7197">
              <w:rPr>
                <w:sz w:val="20"/>
                <w:szCs w:val="21"/>
              </w:rPr>
              <w:t>5.37</w:t>
            </w:r>
          </w:p>
        </w:tc>
        <w:tc>
          <w:tcPr>
            <w:tcW w:w="712" w:type="dxa"/>
            <w:tcBorders>
              <w:top w:val="single" w:sz="4" w:space="0" w:color="auto"/>
              <w:left w:val="nil"/>
              <w:bottom w:val="nil"/>
              <w:right w:val="nil"/>
            </w:tcBorders>
          </w:tcPr>
          <w:p w14:paraId="7E6A76F3" w14:textId="77777777" w:rsidR="00FF7197" w:rsidRPr="00FF7197" w:rsidRDefault="00FF7197" w:rsidP="00FF7197">
            <w:pPr>
              <w:rPr>
                <w:sz w:val="20"/>
                <w:szCs w:val="21"/>
              </w:rPr>
            </w:pPr>
            <w:r w:rsidRPr="00FF7197">
              <w:rPr>
                <w:sz w:val="20"/>
                <w:szCs w:val="21"/>
              </w:rPr>
              <w:t>4.39</w:t>
            </w:r>
          </w:p>
        </w:tc>
        <w:tc>
          <w:tcPr>
            <w:tcW w:w="981" w:type="dxa"/>
            <w:tcBorders>
              <w:top w:val="single" w:sz="4" w:space="0" w:color="auto"/>
              <w:left w:val="nil"/>
              <w:bottom w:val="nil"/>
              <w:right w:val="nil"/>
            </w:tcBorders>
          </w:tcPr>
          <w:p w14:paraId="55624BED" w14:textId="77777777" w:rsidR="00FF7197" w:rsidRPr="00FF7197" w:rsidRDefault="00FF7197" w:rsidP="00FF7197">
            <w:pPr>
              <w:rPr>
                <w:sz w:val="20"/>
                <w:szCs w:val="21"/>
              </w:rPr>
            </w:pPr>
            <w:r w:rsidRPr="00FF7197">
              <w:rPr>
                <w:sz w:val="20"/>
                <w:szCs w:val="21"/>
              </w:rPr>
              <w:t>0.2393</w:t>
            </w:r>
          </w:p>
        </w:tc>
        <w:tc>
          <w:tcPr>
            <w:tcW w:w="878" w:type="dxa"/>
            <w:tcBorders>
              <w:top w:val="single" w:sz="4" w:space="0" w:color="auto"/>
              <w:left w:val="nil"/>
              <w:bottom w:val="nil"/>
              <w:right w:val="nil"/>
            </w:tcBorders>
          </w:tcPr>
          <w:p w14:paraId="3707A27B" w14:textId="77777777" w:rsidR="00FF7197" w:rsidRPr="00FF7197" w:rsidRDefault="00FF7197" w:rsidP="00FF7197">
            <w:pPr>
              <w:rPr>
                <w:sz w:val="20"/>
                <w:szCs w:val="21"/>
              </w:rPr>
            </w:pPr>
            <w:r w:rsidRPr="00FF7197">
              <w:rPr>
                <w:sz w:val="20"/>
                <w:szCs w:val="21"/>
              </w:rPr>
              <w:t>1.5</w:t>
            </w:r>
          </w:p>
        </w:tc>
        <w:tc>
          <w:tcPr>
            <w:tcW w:w="1331" w:type="dxa"/>
            <w:tcBorders>
              <w:top w:val="single" w:sz="4" w:space="0" w:color="auto"/>
              <w:left w:val="nil"/>
              <w:bottom w:val="nil"/>
              <w:right w:val="nil"/>
            </w:tcBorders>
          </w:tcPr>
          <w:p w14:paraId="3AF12B4A" w14:textId="77777777" w:rsidR="00FF7197" w:rsidRPr="00FF7197" w:rsidRDefault="00FF7197" w:rsidP="00FF7197">
            <w:pPr>
              <w:rPr>
                <w:sz w:val="20"/>
                <w:szCs w:val="21"/>
              </w:rPr>
            </w:pPr>
            <w:r w:rsidRPr="00FF7197">
              <w:rPr>
                <w:sz w:val="20"/>
                <w:szCs w:val="21"/>
              </w:rPr>
              <w:t>0.0332</w:t>
            </w:r>
          </w:p>
        </w:tc>
        <w:tc>
          <w:tcPr>
            <w:tcW w:w="1476" w:type="dxa"/>
            <w:tcBorders>
              <w:top w:val="single" w:sz="4" w:space="0" w:color="auto"/>
              <w:left w:val="nil"/>
              <w:bottom w:val="nil"/>
              <w:right w:val="nil"/>
            </w:tcBorders>
          </w:tcPr>
          <w:p w14:paraId="51169138" w14:textId="77777777" w:rsidR="00FF7197" w:rsidRPr="00FF7197" w:rsidRDefault="00FF7197" w:rsidP="00FF7197">
            <w:pPr>
              <w:rPr>
                <w:sz w:val="20"/>
                <w:szCs w:val="21"/>
              </w:rPr>
            </w:pPr>
            <w:r w:rsidRPr="00FF7197">
              <w:rPr>
                <w:sz w:val="20"/>
                <w:szCs w:val="21"/>
              </w:rPr>
              <w:t>28409.82745</w:t>
            </w:r>
          </w:p>
        </w:tc>
        <w:tc>
          <w:tcPr>
            <w:tcW w:w="1483" w:type="dxa"/>
            <w:tcBorders>
              <w:top w:val="single" w:sz="4" w:space="0" w:color="auto"/>
              <w:left w:val="nil"/>
              <w:bottom w:val="nil"/>
              <w:right w:val="nil"/>
            </w:tcBorders>
          </w:tcPr>
          <w:p w14:paraId="69CDFB4A" w14:textId="77777777" w:rsidR="00FF7197" w:rsidRPr="00FF7197" w:rsidRDefault="00FF7197" w:rsidP="00FF7197">
            <w:pPr>
              <w:rPr>
                <w:sz w:val="20"/>
                <w:szCs w:val="21"/>
              </w:rPr>
            </w:pPr>
            <w:r w:rsidRPr="00FF7197">
              <w:rPr>
                <w:sz w:val="20"/>
                <w:szCs w:val="21"/>
              </w:rPr>
              <w:t>12191.36922</w:t>
            </w:r>
          </w:p>
        </w:tc>
      </w:tr>
      <w:tr w:rsidR="00FF7197" w:rsidRPr="00FF7197" w14:paraId="6ECC8DB8" w14:textId="77777777" w:rsidTr="00B0361E">
        <w:trPr>
          <w:trHeight w:val="771"/>
          <w:jc w:val="center"/>
        </w:trPr>
        <w:tc>
          <w:tcPr>
            <w:tcW w:w="936" w:type="dxa"/>
            <w:tcBorders>
              <w:top w:val="nil"/>
              <w:left w:val="nil"/>
              <w:bottom w:val="nil"/>
              <w:right w:val="nil"/>
            </w:tcBorders>
          </w:tcPr>
          <w:p w14:paraId="6F57D644" w14:textId="77777777" w:rsidR="00FF7197" w:rsidRPr="00FF7197" w:rsidRDefault="00FF7197" w:rsidP="00FF7197">
            <w:pPr>
              <w:rPr>
                <w:sz w:val="20"/>
                <w:szCs w:val="21"/>
              </w:rPr>
            </w:pPr>
            <w:r w:rsidRPr="00FF7197">
              <w:rPr>
                <w:sz w:val="20"/>
                <w:szCs w:val="21"/>
              </w:rPr>
              <w:t>002042</w:t>
            </w:r>
          </w:p>
        </w:tc>
        <w:tc>
          <w:tcPr>
            <w:tcW w:w="748" w:type="dxa"/>
            <w:tcBorders>
              <w:top w:val="nil"/>
              <w:left w:val="nil"/>
              <w:bottom w:val="nil"/>
              <w:right w:val="nil"/>
            </w:tcBorders>
          </w:tcPr>
          <w:p w14:paraId="17C3E71E" w14:textId="77777777" w:rsidR="00FF7197" w:rsidRPr="00FF7197" w:rsidRDefault="00FF7197" w:rsidP="00FF7197">
            <w:pPr>
              <w:rPr>
                <w:sz w:val="20"/>
                <w:szCs w:val="21"/>
              </w:rPr>
            </w:pPr>
            <w:r w:rsidRPr="00FF7197">
              <w:rPr>
                <w:sz w:val="20"/>
                <w:szCs w:val="21"/>
              </w:rPr>
              <w:t>2014</w:t>
            </w:r>
          </w:p>
        </w:tc>
        <w:tc>
          <w:tcPr>
            <w:tcW w:w="671" w:type="dxa"/>
            <w:tcBorders>
              <w:top w:val="nil"/>
              <w:left w:val="nil"/>
              <w:bottom w:val="nil"/>
              <w:right w:val="nil"/>
            </w:tcBorders>
          </w:tcPr>
          <w:p w14:paraId="5186197A" w14:textId="77777777" w:rsidR="00FF7197" w:rsidRPr="00FF7197" w:rsidRDefault="00FF7197" w:rsidP="00FF7197">
            <w:pPr>
              <w:rPr>
                <w:sz w:val="20"/>
                <w:szCs w:val="21"/>
              </w:rPr>
            </w:pPr>
            <w:r w:rsidRPr="00FF7197">
              <w:rPr>
                <w:sz w:val="20"/>
                <w:szCs w:val="21"/>
              </w:rPr>
              <w:t>0.3</w:t>
            </w:r>
          </w:p>
        </w:tc>
        <w:tc>
          <w:tcPr>
            <w:tcW w:w="1042" w:type="dxa"/>
            <w:tcBorders>
              <w:top w:val="nil"/>
              <w:left w:val="nil"/>
              <w:bottom w:val="nil"/>
              <w:right w:val="nil"/>
            </w:tcBorders>
          </w:tcPr>
          <w:p w14:paraId="208C4446" w14:textId="77777777" w:rsidR="00FF7197" w:rsidRPr="00FF7197" w:rsidRDefault="00FF7197" w:rsidP="00FF7197">
            <w:pPr>
              <w:rPr>
                <w:sz w:val="20"/>
                <w:szCs w:val="21"/>
              </w:rPr>
            </w:pPr>
            <w:r w:rsidRPr="00FF7197">
              <w:rPr>
                <w:sz w:val="20"/>
                <w:szCs w:val="21"/>
              </w:rPr>
              <w:t>555000</w:t>
            </w:r>
          </w:p>
        </w:tc>
        <w:tc>
          <w:tcPr>
            <w:tcW w:w="973" w:type="dxa"/>
            <w:tcBorders>
              <w:top w:val="nil"/>
              <w:left w:val="nil"/>
              <w:bottom w:val="nil"/>
              <w:right w:val="nil"/>
            </w:tcBorders>
          </w:tcPr>
          <w:p w14:paraId="4023FAEF" w14:textId="77777777" w:rsidR="00FF7197" w:rsidRPr="00FF7197" w:rsidRDefault="00FF7197" w:rsidP="00FF7197">
            <w:pPr>
              <w:rPr>
                <w:sz w:val="20"/>
                <w:szCs w:val="21"/>
              </w:rPr>
            </w:pPr>
            <w:r w:rsidRPr="00FF7197">
              <w:rPr>
                <w:sz w:val="20"/>
                <w:szCs w:val="21"/>
              </w:rPr>
              <w:t>5.37</w:t>
            </w:r>
          </w:p>
        </w:tc>
        <w:tc>
          <w:tcPr>
            <w:tcW w:w="712" w:type="dxa"/>
            <w:tcBorders>
              <w:top w:val="nil"/>
              <w:left w:val="nil"/>
              <w:bottom w:val="nil"/>
              <w:right w:val="nil"/>
            </w:tcBorders>
          </w:tcPr>
          <w:p w14:paraId="3F5E83EF" w14:textId="77777777" w:rsidR="00FF7197" w:rsidRPr="00FF7197" w:rsidRDefault="00FF7197" w:rsidP="00FF7197">
            <w:pPr>
              <w:rPr>
                <w:sz w:val="20"/>
                <w:szCs w:val="21"/>
              </w:rPr>
            </w:pPr>
            <w:r w:rsidRPr="00FF7197">
              <w:rPr>
                <w:sz w:val="20"/>
                <w:szCs w:val="21"/>
              </w:rPr>
              <w:t>4.39</w:t>
            </w:r>
          </w:p>
        </w:tc>
        <w:tc>
          <w:tcPr>
            <w:tcW w:w="981" w:type="dxa"/>
            <w:tcBorders>
              <w:top w:val="nil"/>
              <w:left w:val="nil"/>
              <w:bottom w:val="nil"/>
              <w:right w:val="nil"/>
            </w:tcBorders>
          </w:tcPr>
          <w:p w14:paraId="27F82AE3" w14:textId="77777777" w:rsidR="00FF7197" w:rsidRPr="00FF7197" w:rsidRDefault="00FF7197" w:rsidP="00FF7197">
            <w:pPr>
              <w:rPr>
                <w:sz w:val="20"/>
                <w:szCs w:val="21"/>
              </w:rPr>
            </w:pPr>
            <w:r w:rsidRPr="00FF7197">
              <w:rPr>
                <w:sz w:val="20"/>
                <w:szCs w:val="21"/>
              </w:rPr>
              <w:t>0.2393</w:t>
            </w:r>
          </w:p>
        </w:tc>
        <w:tc>
          <w:tcPr>
            <w:tcW w:w="878" w:type="dxa"/>
            <w:tcBorders>
              <w:top w:val="nil"/>
              <w:left w:val="nil"/>
              <w:bottom w:val="nil"/>
              <w:right w:val="nil"/>
            </w:tcBorders>
          </w:tcPr>
          <w:p w14:paraId="76920FBE" w14:textId="77777777" w:rsidR="00FF7197" w:rsidRPr="00FF7197" w:rsidRDefault="00FF7197" w:rsidP="00FF7197">
            <w:pPr>
              <w:rPr>
                <w:sz w:val="20"/>
                <w:szCs w:val="21"/>
              </w:rPr>
            </w:pPr>
            <w:r w:rsidRPr="00FF7197">
              <w:rPr>
                <w:sz w:val="20"/>
                <w:szCs w:val="21"/>
              </w:rPr>
              <w:t>2.5</w:t>
            </w:r>
          </w:p>
        </w:tc>
        <w:tc>
          <w:tcPr>
            <w:tcW w:w="1331" w:type="dxa"/>
            <w:tcBorders>
              <w:top w:val="nil"/>
              <w:left w:val="nil"/>
              <w:bottom w:val="nil"/>
              <w:right w:val="nil"/>
            </w:tcBorders>
          </w:tcPr>
          <w:p w14:paraId="5C72DE96" w14:textId="77777777" w:rsidR="00FF7197" w:rsidRPr="00FF7197" w:rsidRDefault="00FF7197" w:rsidP="00FF7197">
            <w:pPr>
              <w:rPr>
                <w:sz w:val="20"/>
                <w:szCs w:val="21"/>
              </w:rPr>
            </w:pPr>
            <w:r w:rsidRPr="00FF7197">
              <w:rPr>
                <w:sz w:val="20"/>
                <w:szCs w:val="21"/>
              </w:rPr>
              <w:t>0.0392</w:t>
            </w:r>
          </w:p>
        </w:tc>
        <w:tc>
          <w:tcPr>
            <w:tcW w:w="1476" w:type="dxa"/>
            <w:tcBorders>
              <w:top w:val="nil"/>
              <w:left w:val="nil"/>
              <w:bottom w:val="nil"/>
              <w:right w:val="nil"/>
            </w:tcBorders>
          </w:tcPr>
          <w:p w14:paraId="3DD2165B" w14:textId="77777777" w:rsidR="00FF7197" w:rsidRPr="00FF7197" w:rsidRDefault="00FF7197" w:rsidP="00FF7197">
            <w:pPr>
              <w:rPr>
                <w:sz w:val="20"/>
                <w:szCs w:val="21"/>
              </w:rPr>
            </w:pPr>
            <w:r w:rsidRPr="00FF7197">
              <w:rPr>
                <w:sz w:val="20"/>
                <w:szCs w:val="21"/>
              </w:rPr>
              <w:t>28409.82745</w:t>
            </w:r>
          </w:p>
        </w:tc>
        <w:tc>
          <w:tcPr>
            <w:tcW w:w="1483" w:type="dxa"/>
            <w:tcBorders>
              <w:top w:val="nil"/>
              <w:left w:val="nil"/>
              <w:bottom w:val="nil"/>
              <w:right w:val="nil"/>
            </w:tcBorders>
          </w:tcPr>
          <w:p w14:paraId="3FB0702F" w14:textId="77777777" w:rsidR="00FF7197" w:rsidRPr="00FF7197" w:rsidRDefault="00FF7197" w:rsidP="00FF7197">
            <w:pPr>
              <w:rPr>
                <w:sz w:val="20"/>
                <w:szCs w:val="21"/>
              </w:rPr>
            </w:pPr>
            <w:r w:rsidRPr="00FF7197">
              <w:rPr>
                <w:sz w:val="20"/>
                <w:szCs w:val="21"/>
              </w:rPr>
              <w:t>12191.36922</w:t>
            </w:r>
          </w:p>
        </w:tc>
      </w:tr>
      <w:tr w:rsidR="00FF7197" w:rsidRPr="00FF7197" w14:paraId="12AC1F64" w14:textId="77777777" w:rsidTr="00B0361E">
        <w:trPr>
          <w:trHeight w:val="771"/>
          <w:jc w:val="center"/>
        </w:trPr>
        <w:tc>
          <w:tcPr>
            <w:tcW w:w="936" w:type="dxa"/>
            <w:tcBorders>
              <w:top w:val="nil"/>
              <w:left w:val="nil"/>
              <w:bottom w:val="nil"/>
              <w:right w:val="nil"/>
            </w:tcBorders>
          </w:tcPr>
          <w:p w14:paraId="3865B319" w14:textId="77777777" w:rsidR="00FF7197" w:rsidRPr="00FF7197" w:rsidRDefault="00FF7197" w:rsidP="00FF7197">
            <w:pPr>
              <w:rPr>
                <w:sz w:val="20"/>
                <w:szCs w:val="21"/>
              </w:rPr>
            </w:pPr>
            <w:r w:rsidRPr="00FF7197">
              <w:rPr>
                <w:sz w:val="20"/>
                <w:szCs w:val="21"/>
              </w:rPr>
              <w:t>002042</w:t>
            </w:r>
          </w:p>
        </w:tc>
        <w:tc>
          <w:tcPr>
            <w:tcW w:w="748" w:type="dxa"/>
            <w:tcBorders>
              <w:top w:val="nil"/>
              <w:left w:val="nil"/>
              <w:bottom w:val="nil"/>
              <w:right w:val="nil"/>
            </w:tcBorders>
          </w:tcPr>
          <w:p w14:paraId="3094853F" w14:textId="77777777" w:rsidR="00FF7197" w:rsidRPr="00FF7197" w:rsidRDefault="00FF7197" w:rsidP="00FF7197">
            <w:pPr>
              <w:rPr>
                <w:sz w:val="20"/>
                <w:szCs w:val="21"/>
              </w:rPr>
            </w:pPr>
            <w:r w:rsidRPr="00FF7197">
              <w:rPr>
                <w:sz w:val="20"/>
                <w:szCs w:val="21"/>
              </w:rPr>
              <w:t>2014</w:t>
            </w:r>
          </w:p>
        </w:tc>
        <w:tc>
          <w:tcPr>
            <w:tcW w:w="671" w:type="dxa"/>
            <w:tcBorders>
              <w:top w:val="nil"/>
              <w:left w:val="nil"/>
              <w:bottom w:val="nil"/>
              <w:right w:val="nil"/>
            </w:tcBorders>
          </w:tcPr>
          <w:p w14:paraId="4CC8A072" w14:textId="77777777" w:rsidR="00FF7197" w:rsidRPr="00FF7197" w:rsidRDefault="00FF7197" w:rsidP="00FF7197">
            <w:pPr>
              <w:rPr>
                <w:sz w:val="20"/>
                <w:szCs w:val="21"/>
              </w:rPr>
            </w:pPr>
            <w:r w:rsidRPr="00FF7197">
              <w:rPr>
                <w:sz w:val="20"/>
                <w:szCs w:val="21"/>
              </w:rPr>
              <w:t>0.3</w:t>
            </w:r>
          </w:p>
        </w:tc>
        <w:tc>
          <w:tcPr>
            <w:tcW w:w="1042" w:type="dxa"/>
            <w:tcBorders>
              <w:top w:val="nil"/>
              <w:left w:val="nil"/>
              <w:bottom w:val="nil"/>
              <w:right w:val="nil"/>
            </w:tcBorders>
          </w:tcPr>
          <w:p w14:paraId="47C01818" w14:textId="77777777" w:rsidR="00FF7197" w:rsidRPr="00FF7197" w:rsidRDefault="00FF7197" w:rsidP="00FF7197">
            <w:pPr>
              <w:rPr>
                <w:sz w:val="20"/>
                <w:szCs w:val="21"/>
              </w:rPr>
            </w:pPr>
            <w:r w:rsidRPr="00FF7197">
              <w:rPr>
                <w:sz w:val="20"/>
                <w:szCs w:val="21"/>
              </w:rPr>
              <w:t>555000</w:t>
            </w:r>
          </w:p>
        </w:tc>
        <w:tc>
          <w:tcPr>
            <w:tcW w:w="973" w:type="dxa"/>
            <w:tcBorders>
              <w:top w:val="nil"/>
              <w:left w:val="nil"/>
              <w:bottom w:val="nil"/>
              <w:right w:val="nil"/>
            </w:tcBorders>
          </w:tcPr>
          <w:p w14:paraId="2F693307" w14:textId="77777777" w:rsidR="00FF7197" w:rsidRPr="00FF7197" w:rsidRDefault="00FF7197" w:rsidP="00FF7197">
            <w:pPr>
              <w:rPr>
                <w:sz w:val="20"/>
                <w:szCs w:val="21"/>
              </w:rPr>
            </w:pPr>
            <w:r w:rsidRPr="00FF7197">
              <w:rPr>
                <w:sz w:val="20"/>
                <w:szCs w:val="21"/>
              </w:rPr>
              <w:t>5.37</w:t>
            </w:r>
          </w:p>
        </w:tc>
        <w:tc>
          <w:tcPr>
            <w:tcW w:w="712" w:type="dxa"/>
            <w:tcBorders>
              <w:top w:val="nil"/>
              <w:left w:val="nil"/>
              <w:bottom w:val="nil"/>
              <w:right w:val="nil"/>
            </w:tcBorders>
          </w:tcPr>
          <w:p w14:paraId="71D75301" w14:textId="77777777" w:rsidR="00FF7197" w:rsidRPr="00FF7197" w:rsidRDefault="00FF7197" w:rsidP="00FF7197">
            <w:pPr>
              <w:rPr>
                <w:sz w:val="20"/>
                <w:szCs w:val="21"/>
              </w:rPr>
            </w:pPr>
            <w:r w:rsidRPr="00FF7197">
              <w:rPr>
                <w:sz w:val="20"/>
                <w:szCs w:val="21"/>
              </w:rPr>
              <w:t>4.39</w:t>
            </w:r>
          </w:p>
        </w:tc>
        <w:tc>
          <w:tcPr>
            <w:tcW w:w="981" w:type="dxa"/>
            <w:tcBorders>
              <w:top w:val="nil"/>
              <w:left w:val="nil"/>
              <w:bottom w:val="nil"/>
              <w:right w:val="nil"/>
            </w:tcBorders>
          </w:tcPr>
          <w:p w14:paraId="6C9847CB" w14:textId="77777777" w:rsidR="00FF7197" w:rsidRPr="00FF7197" w:rsidRDefault="00FF7197" w:rsidP="00FF7197">
            <w:pPr>
              <w:rPr>
                <w:sz w:val="20"/>
                <w:szCs w:val="21"/>
              </w:rPr>
            </w:pPr>
            <w:r w:rsidRPr="00FF7197">
              <w:rPr>
                <w:sz w:val="20"/>
                <w:szCs w:val="21"/>
              </w:rPr>
              <w:t>0.2393</w:t>
            </w:r>
          </w:p>
        </w:tc>
        <w:tc>
          <w:tcPr>
            <w:tcW w:w="878" w:type="dxa"/>
            <w:tcBorders>
              <w:top w:val="nil"/>
              <w:left w:val="nil"/>
              <w:bottom w:val="nil"/>
              <w:right w:val="nil"/>
            </w:tcBorders>
          </w:tcPr>
          <w:p w14:paraId="29072F75" w14:textId="77777777" w:rsidR="00FF7197" w:rsidRPr="00FF7197" w:rsidRDefault="00FF7197" w:rsidP="00FF7197">
            <w:pPr>
              <w:rPr>
                <w:sz w:val="20"/>
                <w:szCs w:val="21"/>
              </w:rPr>
            </w:pPr>
            <w:r w:rsidRPr="00FF7197">
              <w:rPr>
                <w:sz w:val="20"/>
                <w:szCs w:val="21"/>
              </w:rPr>
              <w:t>3.5</w:t>
            </w:r>
          </w:p>
        </w:tc>
        <w:tc>
          <w:tcPr>
            <w:tcW w:w="1331" w:type="dxa"/>
            <w:tcBorders>
              <w:top w:val="nil"/>
              <w:left w:val="nil"/>
              <w:bottom w:val="nil"/>
              <w:right w:val="nil"/>
            </w:tcBorders>
          </w:tcPr>
          <w:p w14:paraId="13B466F6" w14:textId="77777777" w:rsidR="00FF7197" w:rsidRPr="00FF7197" w:rsidRDefault="00FF7197" w:rsidP="00FF7197">
            <w:pPr>
              <w:rPr>
                <w:sz w:val="20"/>
                <w:szCs w:val="21"/>
              </w:rPr>
            </w:pPr>
            <w:r w:rsidRPr="00FF7197">
              <w:rPr>
                <w:sz w:val="20"/>
                <w:szCs w:val="21"/>
              </w:rPr>
              <w:t>0.0428</w:t>
            </w:r>
          </w:p>
        </w:tc>
        <w:tc>
          <w:tcPr>
            <w:tcW w:w="1476" w:type="dxa"/>
            <w:tcBorders>
              <w:top w:val="nil"/>
              <w:left w:val="nil"/>
              <w:bottom w:val="nil"/>
              <w:right w:val="nil"/>
            </w:tcBorders>
          </w:tcPr>
          <w:p w14:paraId="0ADE9B7A" w14:textId="77777777" w:rsidR="00FF7197" w:rsidRPr="00FF7197" w:rsidRDefault="00FF7197" w:rsidP="00FF7197">
            <w:pPr>
              <w:rPr>
                <w:sz w:val="20"/>
                <w:szCs w:val="21"/>
              </w:rPr>
            </w:pPr>
            <w:r w:rsidRPr="00FF7197">
              <w:rPr>
                <w:sz w:val="20"/>
                <w:szCs w:val="21"/>
              </w:rPr>
              <w:t>28409.82745</w:t>
            </w:r>
          </w:p>
        </w:tc>
        <w:tc>
          <w:tcPr>
            <w:tcW w:w="1483" w:type="dxa"/>
            <w:tcBorders>
              <w:top w:val="nil"/>
              <w:left w:val="nil"/>
              <w:bottom w:val="nil"/>
              <w:right w:val="nil"/>
            </w:tcBorders>
          </w:tcPr>
          <w:p w14:paraId="18FF3BF7" w14:textId="77777777" w:rsidR="00FF7197" w:rsidRPr="00FF7197" w:rsidRDefault="00FF7197" w:rsidP="00FF7197">
            <w:pPr>
              <w:rPr>
                <w:sz w:val="20"/>
                <w:szCs w:val="21"/>
              </w:rPr>
            </w:pPr>
            <w:r w:rsidRPr="00FF7197">
              <w:rPr>
                <w:sz w:val="20"/>
                <w:szCs w:val="21"/>
              </w:rPr>
              <w:t>12191.36922</w:t>
            </w:r>
          </w:p>
        </w:tc>
      </w:tr>
      <w:tr w:rsidR="00FF7197" w:rsidRPr="00FF7197" w14:paraId="63C16EAC" w14:textId="77777777" w:rsidTr="00B0361E">
        <w:trPr>
          <w:trHeight w:val="771"/>
          <w:jc w:val="center"/>
        </w:trPr>
        <w:tc>
          <w:tcPr>
            <w:tcW w:w="936" w:type="dxa"/>
            <w:tcBorders>
              <w:top w:val="nil"/>
              <w:left w:val="nil"/>
              <w:bottom w:val="nil"/>
              <w:right w:val="nil"/>
            </w:tcBorders>
          </w:tcPr>
          <w:p w14:paraId="703CFCB1" w14:textId="77777777" w:rsidR="00FF7197" w:rsidRPr="00FF7197" w:rsidRDefault="00FF7197" w:rsidP="00FF7197">
            <w:pPr>
              <w:rPr>
                <w:sz w:val="20"/>
                <w:szCs w:val="21"/>
              </w:rPr>
            </w:pPr>
            <w:r w:rsidRPr="00FF7197">
              <w:rPr>
                <w:sz w:val="20"/>
                <w:szCs w:val="21"/>
              </w:rPr>
              <w:t>002042</w:t>
            </w:r>
          </w:p>
        </w:tc>
        <w:tc>
          <w:tcPr>
            <w:tcW w:w="748" w:type="dxa"/>
            <w:tcBorders>
              <w:top w:val="nil"/>
              <w:left w:val="nil"/>
              <w:bottom w:val="nil"/>
              <w:right w:val="nil"/>
            </w:tcBorders>
          </w:tcPr>
          <w:p w14:paraId="6EB7096F" w14:textId="77777777" w:rsidR="00FF7197" w:rsidRPr="00FF7197" w:rsidRDefault="00FF7197" w:rsidP="00FF7197">
            <w:pPr>
              <w:rPr>
                <w:sz w:val="20"/>
                <w:szCs w:val="21"/>
              </w:rPr>
            </w:pPr>
            <w:r w:rsidRPr="00FF7197">
              <w:rPr>
                <w:sz w:val="20"/>
                <w:szCs w:val="21"/>
              </w:rPr>
              <w:t>2015</w:t>
            </w:r>
          </w:p>
        </w:tc>
        <w:tc>
          <w:tcPr>
            <w:tcW w:w="671" w:type="dxa"/>
            <w:tcBorders>
              <w:top w:val="nil"/>
              <w:left w:val="nil"/>
              <w:bottom w:val="nil"/>
              <w:right w:val="nil"/>
            </w:tcBorders>
          </w:tcPr>
          <w:p w14:paraId="7EF1E054" w14:textId="77777777" w:rsidR="00FF7197" w:rsidRPr="00FF7197" w:rsidRDefault="00FF7197" w:rsidP="00FF7197">
            <w:pPr>
              <w:rPr>
                <w:sz w:val="20"/>
                <w:szCs w:val="21"/>
              </w:rPr>
            </w:pPr>
            <w:r w:rsidRPr="00FF7197">
              <w:rPr>
                <w:sz w:val="20"/>
                <w:szCs w:val="21"/>
              </w:rPr>
              <w:t>0.5</w:t>
            </w:r>
          </w:p>
        </w:tc>
        <w:tc>
          <w:tcPr>
            <w:tcW w:w="1042" w:type="dxa"/>
            <w:tcBorders>
              <w:top w:val="nil"/>
              <w:left w:val="nil"/>
              <w:bottom w:val="nil"/>
              <w:right w:val="nil"/>
            </w:tcBorders>
          </w:tcPr>
          <w:p w14:paraId="20380435" w14:textId="77777777" w:rsidR="00FF7197" w:rsidRPr="00FF7197" w:rsidRDefault="00FF7197" w:rsidP="00FF7197">
            <w:pPr>
              <w:rPr>
                <w:sz w:val="20"/>
                <w:szCs w:val="21"/>
              </w:rPr>
            </w:pPr>
            <w:r w:rsidRPr="00FF7197">
              <w:rPr>
                <w:sz w:val="20"/>
                <w:szCs w:val="21"/>
              </w:rPr>
              <w:t>555000</w:t>
            </w:r>
          </w:p>
        </w:tc>
        <w:tc>
          <w:tcPr>
            <w:tcW w:w="973" w:type="dxa"/>
            <w:tcBorders>
              <w:top w:val="nil"/>
              <w:left w:val="nil"/>
              <w:bottom w:val="nil"/>
              <w:right w:val="nil"/>
            </w:tcBorders>
          </w:tcPr>
          <w:p w14:paraId="20062B50" w14:textId="77777777" w:rsidR="00FF7197" w:rsidRPr="00FF7197" w:rsidRDefault="00FF7197" w:rsidP="00FF7197">
            <w:pPr>
              <w:rPr>
                <w:sz w:val="20"/>
                <w:szCs w:val="21"/>
              </w:rPr>
            </w:pPr>
            <w:r w:rsidRPr="00FF7197">
              <w:rPr>
                <w:sz w:val="20"/>
                <w:szCs w:val="21"/>
              </w:rPr>
              <w:t>12.05</w:t>
            </w:r>
          </w:p>
        </w:tc>
        <w:tc>
          <w:tcPr>
            <w:tcW w:w="712" w:type="dxa"/>
            <w:tcBorders>
              <w:top w:val="nil"/>
              <w:left w:val="nil"/>
              <w:bottom w:val="nil"/>
              <w:right w:val="nil"/>
            </w:tcBorders>
          </w:tcPr>
          <w:p w14:paraId="27B86F89" w14:textId="77777777" w:rsidR="00FF7197" w:rsidRPr="00FF7197" w:rsidRDefault="00FF7197" w:rsidP="00FF7197">
            <w:pPr>
              <w:rPr>
                <w:sz w:val="20"/>
                <w:szCs w:val="21"/>
              </w:rPr>
            </w:pPr>
            <w:r w:rsidRPr="00FF7197">
              <w:rPr>
                <w:sz w:val="20"/>
                <w:szCs w:val="21"/>
              </w:rPr>
              <w:t>4.29</w:t>
            </w:r>
          </w:p>
        </w:tc>
        <w:tc>
          <w:tcPr>
            <w:tcW w:w="981" w:type="dxa"/>
            <w:tcBorders>
              <w:top w:val="nil"/>
              <w:left w:val="nil"/>
              <w:bottom w:val="nil"/>
              <w:right w:val="nil"/>
            </w:tcBorders>
          </w:tcPr>
          <w:p w14:paraId="699B9B95" w14:textId="77777777" w:rsidR="00FF7197" w:rsidRPr="00FF7197" w:rsidRDefault="00FF7197" w:rsidP="00FF7197">
            <w:pPr>
              <w:rPr>
                <w:sz w:val="20"/>
                <w:szCs w:val="21"/>
              </w:rPr>
            </w:pPr>
            <w:r w:rsidRPr="00FF7197">
              <w:rPr>
                <w:sz w:val="20"/>
                <w:szCs w:val="21"/>
              </w:rPr>
              <w:t>0.6832</w:t>
            </w:r>
          </w:p>
        </w:tc>
        <w:tc>
          <w:tcPr>
            <w:tcW w:w="878" w:type="dxa"/>
            <w:tcBorders>
              <w:top w:val="nil"/>
              <w:left w:val="nil"/>
              <w:bottom w:val="nil"/>
              <w:right w:val="nil"/>
            </w:tcBorders>
          </w:tcPr>
          <w:p w14:paraId="11AC818B" w14:textId="77777777" w:rsidR="00FF7197" w:rsidRPr="00FF7197" w:rsidRDefault="00FF7197" w:rsidP="00FF7197">
            <w:pPr>
              <w:rPr>
                <w:sz w:val="20"/>
                <w:szCs w:val="21"/>
              </w:rPr>
            </w:pPr>
            <w:r w:rsidRPr="00FF7197">
              <w:rPr>
                <w:sz w:val="20"/>
                <w:szCs w:val="21"/>
              </w:rPr>
              <w:t>1.5</w:t>
            </w:r>
          </w:p>
        </w:tc>
        <w:tc>
          <w:tcPr>
            <w:tcW w:w="1331" w:type="dxa"/>
            <w:tcBorders>
              <w:top w:val="nil"/>
              <w:left w:val="nil"/>
              <w:bottom w:val="nil"/>
              <w:right w:val="nil"/>
            </w:tcBorders>
          </w:tcPr>
          <w:p w14:paraId="21F25FE1" w14:textId="77777777" w:rsidR="00FF7197" w:rsidRPr="00FF7197" w:rsidRDefault="00FF7197" w:rsidP="00FF7197">
            <w:pPr>
              <w:rPr>
                <w:sz w:val="20"/>
                <w:szCs w:val="21"/>
              </w:rPr>
            </w:pPr>
            <w:r w:rsidRPr="00FF7197">
              <w:rPr>
                <w:sz w:val="20"/>
                <w:szCs w:val="21"/>
              </w:rPr>
              <w:t>0.0300</w:t>
            </w:r>
          </w:p>
        </w:tc>
        <w:tc>
          <w:tcPr>
            <w:tcW w:w="1476" w:type="dxa"/>
            <w:tcBorders>
              <w:top w:val="nil"/>
              <w:left w:val="nil"/>
              <w:bottom w:val="nil"/>
              <w:right w:val="nil"/>
            </w:tcBorders>
          </w:tcPr>
          <w:p w14:paraId="6A54FEEC" w14:textId="77777777" w:rsidR="00FF7197" w:rsidRPr="00FF7197" w:rsidRDefault="00FF7197" w:rsidP="00FF7197">
            <w:pPr>
              <w:rPr>
                <w:sz w:val="20"/>
                <w:szCs w:val="21"/>
              </w:rPr>
            </w:pPr>
            <w:r w:rsidRPr="00FF7197">
              <w:rPr>
                <w:sz w:val="20"/>
                <w:szCs w:val="21"/>
              </w:rPr>
              <w:t>63498.8025</w:t>
            </w:r>
          </w:p>
        </w:tc>
        <w:tc>
          <w:tcPr>
            <w:tcW w:w="1483" w:type="dxa"/>
            <w:tcBorders>
              <w:top w:val="nil"/>
              <w:left w:val="nil"/>
              <w:bottom w:val="nil"/>
              <w:right w:val="nil"/>
            </w:tcBorders>
          </w:tcPr>
          <w:p w14:paraId="59C488D0" w14:textId="77777777" w:rsidR="00FF7197" w:rsidRPr="00FF7197" w:rsidRDefault="00FF7197" w:rsidP="00FF7197">
            <w:pPr>
              <w:rPr>
                <w:sz w:val="20"/>
                <w:szCs w:val="21"/>
              </w:rPr>
            </w:pPr>
            <w:r w:rsidRPr="00FF7197">
              <w:rPr>
                <w:sz w:val="20"/>
                <w:szCs w:val="21"/>
              </w:rPr>
              <w:t>9865.860314</w:t>
            </w:r>
          </w:p>
        </w:tc>
      </w:tr>
      <w:tr w:rsidR="00FF7197" w:rsidRPr="00FF7197" w14:paraId="170C0A7D" w14:textId="77777777" w:rsidTr="00B0361E">
        <w:trPr>
          <w:trHeight w:val="771"/>
          <w:jc w:val="center"/>
        </w:trPr>
        <w:tc>
          <w:tcPr>
            <w:tcW w:w="936" w:type="dxa"/>
            <w:tcBorders>
              <w:top w:val="nil"/>
              <w:left w:val="nil"/>
              <w:bottom w:val="nil"/>
              <w:right w:val="nil"/>
            </w:tcBorders>
          </w:tcPr>
          <w:p w14:paraId="0EBFB7E5" w14:textId="77777777" w:rsidR="00FF7197" w:rsidRPr="00FF7197" w:rsidRDefault="00FF7197" w:rsidP="00FF7197">
            <w:pPr>
              <w:rPr>
                <w:sz w:val="20"/>
                <w:szCs w:val="21"/>
              </w:rPr>
            </w:pPr>
            <w:r w:rsidRPr="00FF7197">
              <w:rPr>
                <w:sz w:val="20"/>
                <w:szCs w:val="21"/>
              </w:rPr>
              <w:t>002042</w:t>
            </w:r>
          </w:p>
        </w:tc>
        <w:tc>
          <w:tcPr>
            <w:tcW w:w="748" w:type="dxa"/>
            <w:tcBorders>
              <w:top w:val="nil"/>
              <w:left w:val="nil"/>
              <w:bottom w:val="nil"/>
              <w:right w:val="nil"/>
            </w:tcBorders>
          </w:tcPr>
          <w:p w14:paraId="6BFE85E2" w14:textId="77777777" w:rsidR="00FF7197" w:rsidRPr="00FF7197" w:rsidRDefault="00FF7197" w:rsidP="00FF7197">
            <w:pPr>
              <w:rPr>
                <w:sz w:val="20"/>
                <w:szCs w:val="21"/>
              </w:rPr>
            </w:pPr>
            <w:r w:rsidRPr="00FF7197">
              <w:rPr>
                <w:sz w:val="20"/>
                <w:szCs w:val="21"/>
              </w:rPr>
              <w:t>2015</w:t>
            </w:r>
          </w:p>
        </w:tc>
        <w:tc>
          <w:tcPr>
            <w:tcW w:w="671" w:type="dxa"/>
            <w:tcBorders>
              <w:top w:val="nil"/>
              <w:left w:val="nil"/>
              <w:bottom w:val="nil"/>
              <w:right w:val="nil"/>
            </w:tcBorders>
          </w:tcPr>
          <w:p w14:paraId="1E632A10" w14:textId="77777777" w:rsidR="00FF7197" w:rsidRPr="00FF7197" w:rsidRDefault="00FF7197" w:rsidP="00FF7197">
            <w:pPr>
              <w:rPr>
                <w:sz w:val="20"/>
                <w:szCs w:val="21"/>
              </w:rPr>
            </w:pPr>
            <w:r w:rsidRPr="00FF7197">
              <w:rPr>
                <w:sz w:val="20"/>
                <w:szCs w:val="21"/>
              </w:rPr>
              <w:t>0.5</w:t>
            </w:r>
          </w:p>
        </w:tc>
        <w:tc>
          <w:tcPr>
            <w:tcW w:w="1042" w:type="dxa"/>
            <w:tcBorders>
              <w:top w:val="nil"/>
              <w:left w:val="nil"/>
              <w:bottom w:val="nil"/>
              <w:right w:val="nil"/>
            </w:tcBorders>
          </w:tcPr>
          <w:p w14:paraId="5D515E22" w14:textId="77777777" w:rsidR="00FF7197" w:rsidRPr="00FF7197" w:rsidRDefault="00FF7197" w:rsidP="00FF7197">
            <w:pPr>
              <w:rPr>
                <w:sz w:val="20"/>
                <w:szCs w:val="21"/>
              </w:rPr>
            </w:pPr>
            <w:r w:rsidRPr="00FF7197">
              <w:rPr>
                <w:sz w:val="20"/>
                <w:szCs w:val="21"/>
              </w:rPr>
              <w:t>555000</w:t>
            </w:r>
          </w:p>
        </w:tc>
        <w:tc>
          <w:tcPr>
            <w:tcW w:w="973" w:type="dxa"/>
            <w:tcBorders>
              <w:top w:val="nil"/>
              <w:left w:val="nil"/>
              <w:bottom w:val="nil"/>
              <w:right w:val="nil"/>
            </w:tcBorders>
          </w:tcPr>
          <w:p w14:paraId="159532A5" w14:textId="77777777" w:rsidR="00FF7197" w:rsidRPr="00FF7197" w:rsidRDefault="00FF7197" w:rsidP="00FF7197">
            <w:pPr>
              <w:rPr>
                <w:sz w:val="20"/>
                <w:szCs w:val="21"/>
              </w:rPr>
            </w:pPr>
            <w:r w:rsidRPr="00FF7197">
              <w:rPr>
                <w:sz w:val="20"/>
                <w:szCs w:val="21"/>
              </w:rPr>
              <w:t>12.05</w:t>
            </w:r>
          </w:p>
        </w:tc>
        <w:tc>
          <w:tcPr>
            <w:tcW w:w="712" w:type="dxa"/>
            <w:tcBorders>
              <w:top w:val="nil"/>
              <w:left w:val="nil"/>
              <w:bottom w:val="nil"/>
              <w:right w:val="nil"/>
            </w:tcBorders>
          </w:tcPr>
          <w:p w14:paraId="17C493D3" w14:textId="77777777" w:rsidR="00FF7197" w:rsidRPr="00FF7197" w:rsidRDefault="00FF7197" w:rsidP="00FF7197">
            <w:pPr>
              <w:rPr>
                <w:sz w:val="20"/>
                <w:szCs w:val="21"/>
              </w:rPr>
            </w:pPr>
            <w:r w:rsidRPr="00FF7197">
              <w:rPr>
                <w:sz w:val="20"/>
                <w:szCs w:val="21"/>
              </w:rPr>
              <w:t>4.29</w:t>
            </w:r>
          </w:p>
        </w:tc>
        <w:tc>
          <w:tcPr>
            <w:tcW w:w="981" w:type="dxa"/>
            <w:tcBorders>
              <w:top w:val="nil"/>
              <w:left w:val="nil"/>
              <w:bottom w:val="nil"/>
              <w:right w:val="nil"/>
            </w:tcBorders>
          </w:tcPr>
          <w:p w14:paraId="6B67BBC0" w14:textId="77777777" w:rsidR="00FF7197" w:rsidRPr="00FF7197" w:rsidRDefault="00FF7197" w:rsidP="00FF7197">
            <w:pPr>
              <w:rPr>
                <w:sz w:val="20"/>
                <w:szCs w:val="21"/>
              </w:rPr>
            </w:pPr>
            <w:r w:rsidRPr="00FF7197">
              <w:rPr>
                <w:sz w:val="20"/>
                <w:szCs w:val="21"/>
              </w:rPr>
              <w:t>0.6832</w:t>
            </w:r>
          </w:p>
        </w:tc>
        <w:tc>
          <w:tcPr>
            <w:tcW w:w="878" w:type="dxa"/>
            <w:tcBorders>
              <w:top w:val="nil"/>
              <w:left w:val="nil"/>
              <w:bottom w:val="nil"/>
              <w:right w:val="nil"/>
            </w:tcBorders>
          </w:tcPr>
          <w:p w14:paraId="059A9423" w14:textId="77777777" w:rsidR="00FF7197" w:rsidRPr="00FF7197" w:rsidRDefault="00FF7197" w:rsidP="00FF7197">
            <w:pPr>
              <w:rPr>
                <w:sz w:val="20"/>
                <w:szCs w:val="21"/>
              </w:rPr>
            </w:pPr>
            <w:r w:rsidRPr="00FF7197">
              <w:rPr>
                <w:sz w:val="20"/>
                <w:szCs w:val="21"/>
              </w:rPr>
              <w:t>2.5</w:t>
            </w:r>
          </w:p>
        </w:tc>
        <w:tc>
          <w:tcPr>
            <w:tcW w:w="1331" w:type="dxa"/>
            <w:tcBorders>
              <w:top w:val="nil"/>
              <w:left w:val="nil"/>
              <w:bottom w:val="nil"/>
              <w:right w:val="nil"/>
            </w:tcBorders>
          </w:tcPr>
          <w:p w14:paraId="1631BF09" w14:textId="77777777" w:rsidR="00FF7197" w:rsidRPr="00FF7197" w:rsidRDefault="00FF7197" w:rsidP="00FF7197">
            <w:pPr>
              <w:rPr>
                <w:sz w:val="20"/>
                <w:szCs w:val="21"/>
              </w:rPr>
            </w:pPr>
            <w:r w:rsidRPr="00FF7197">
              <w:rPr>
                <w:sz w:val="20"/>
                <w:szCs w:val="21"/>
              </w:rPr>
              <w:t>0.0361</w:t>
            </w:r>
          </w:p>
        </w:tc>
        <w:tc>
          <w:tcPr>
            <w:tcW w:w="1476" w:type="dxa"/>
            <w:tcBorders>
              <w:top w:val="nil"/>
              <w:left w:val="nil"/>
              <w:bottom w:val="nil"/>
              <w:right w:val="nil"/>
            </w:tcBorders>
          </w:tcPr>
          <w:p w14:paraId="0D7A7837" w14:textId="77777777" w:rsidR="00FF7197" w:rsidRPr="00FF7197" w:rsidRDefault="00FF7197" w:rsidP="00FF7197">
            <w:pPr>
              <w:rPr>
                <w:sz w:val="20"/>
                <w:szCs w:val="21"/>
              </w:rPr>
            </w:pPr>
            <w:r w:rsidRPr="00FF7197">
              <w:rPr>
                <w:sz w:val="20"/>
                <w:szCs w:val="21"/>
              </w:rPr>
              <w:t>63498.8025</w:t>
            </w:r>
          </w:p>
        </w:tc>
        <w:tc>
          <w:tcPr>
            <w:tcW w:w="1483" w:type="dxa"/>
            <w:tcBorders>
              <w:top w:val="nil"/>
              <w:left w:val="nil"/>
              <w:bottom w:val="nil"/>
              <w:right w:val="nil"/>
            </w:tcBorders>
          </w:tcPr>
          <w:p w14:paraId="2E629572" w14:textId="77777777" w:rsidR="00FF7197" w:rsidRPr="00FF7197" w:rsidRDefault="00FF7197" w:rsidP="00FF7197">
            <w:pPr>
              <w:rPr>
                <w:sz w:val="20"/>
                <w:szCs w:val="21"/>
              </w:rPr>
            </w:pPr>
            <w:r w:rsidRPr="00FF7197">
              <w:rPr>
                <w:sz w:val="20"/>
                <w:szCs w:val="21"/>
              </w:rPr>
              <w:t>9865.860314</w:t>
            </w:r>
          </w:p>
        </w:tc>
      </w:tr>
      <w:tr w:rsidR="00FF7197" w:rsidRPr="00FF7197" w14:paraId="7D722E5E" w14:textId="77777777" w:rsidTr="00B0361E">
        <w:trPr>
          <w:trHeight w:val="757"/>
          <w:jc w:val="center"/>
        </w:trPr>
        <w:tc>
          <w:tcPr>
            <w:tcW w:w="936" w:type="dxa"/>
            <w:tcBorders>
              <w:top w:val="nil"/>
              <w:left w:val="nil"/>
              <w:bottom w:val="single" w:sz="12" w:space="0" w:color="auto"/>
              <w:right w:val="nil"/>
            </w:tcBorders>
          </w:tcPr>
          <w:p w14:paraId="43FB093E" w14:textId="77777777" w:rsidR="00FF7197" w:rsidRPr="00FF7197" w:rsidRDefault="00FF7197" w:rsidP="00FF7197">
            <w:pPr>
              <w:rPr>
                <w:sz w:val="20"/>
                <w:szCs w:val="21"/>
              </w:rPr>
            </w:pPr>
            <w:r w:rsidRPr="00FF7197">
              <w:rPr>
                <w:sz w:val="20"/>
                <w:szCs w:val="21"/>
              </w:rPr>
              <w:t>002042</w:t>
            </w:r>
          </w:p>
        </w:tc>
        <w:tc>
          <w:tcPr>
            <w:tcW w:w="748" w:type="dxa"/>
            <w:tcBorders>
              <w:top w:val="nil"/>
              <w:left w:val="nil"/>
              <w:bottom w:val="single" w:sz="12" w:space="0" w:color="auto"/>
              <w:right w:val="nil"/>
            </w:tcBorders>
          </w:tcPr>
          <w:p w14:paraId="109E7355" w14:textId="77777777" w:rsidR="00FF7197" w:rsidRPr="00FF7197" w:rsidRDefault="00FF7197" w:rsidP="00FF7197">
            <w:pPr>
              <w:rPr>
                <w:sz w:val="20"/>
                <w:szCs w:val="21"/>
              </w:rPr>
            </w:pPr>
            <w:r w:rsidRPr="00FF7197">
              <w:rPr>
                <w:sz w:val="20"/>
                <w:szCs w:val="21"/>
              </w:rPr>
              <w:t>2016</w:t>
            </w:r>
          </w:p>
        </w:tc>
        <w:tc>
          <w:tcPr>
            <w:tcW w:w="671" w:type="dxa"/>
            <w:tcBorders>
              <w:top w:val="nil"/>
              <w:left w:val="nil"/>
              <w:bottom w:val="single" w:sz="12" w:space="0" w:color="auto"/>
              <w:right w:val="nil"/>
            </w:tcBorders>
          </w:tcPr>
          <w:p w14:paraId="29BB3542" w14:textId="77777777" w:rsidR="00FF7197" w:rsidRPr="00FF7197" w:rsidRDefault="00FF7197" w:rsidP="00FF7197">
            <w:pPr>
              <w:rPr>
                <w:sz w:val="20"/>
                <w:szCs w:val="21"/>
              </w:rPr>
            </w:pPr>
            <w:r w:rsidRPr="00FF7197">
              <w:rPr>
                <w:sz w:val="20"/>
                <w:szCs w:val="21"/>
              </w:rPr>
              <w:t>1.0</w:t>
            </w:r>
          </w:p>
        </w:tc>
        <w:tc>
          <w:tcPr>
            <w:tcW w:w="1042" w:type="dxa"/>
            <w:tcBorders>
              <w:top w:val="nil"/>
              <w:left w:val="nil"/>
              <w:bottom w:val="single" w:sz="12" w:space="0" w:color="auto"/>
              <w:right w:val="nil"/>
            </w:tcBorders>
          </w:tcPr>
          <w:p w14:paraId="0DF6F35B" w14:textId="77777777" w:rsidR="00FF7197" w:rsidRPr="00FF7197" w:rsidRDefault="00FF7197" w:rsidP="00FF7197">
            <w:pPr>
              <w:rPr>
                <w:sz w:val="20"/>
                <w:szCs w:val="21"/>
              </w:rPr>
            </w:pPr>
            <w:r w:rsidRPr="00FF7197">
              <w:rPr>
                <w:sz w:val="20"/>
                <w:szCs w:val="21"/>
              </w:rPr>
              <w:t>555000</w:t>
            </w:r>
          </w:p>
        </w:tc>
        <w:tc>
          <w:tcPr>
            <w:tcW w:w="973" w:type="dxa"/>
            <w:tcBorders>
              <w:top w:val="nil"/>
              <w:left w:val="nil"/>
              <w:bottom w:val="single" w:sz="12" w:space="0" w:color="auto"/>
              <w:right w:val="nil"/>
            </w:tcBorders>
          </w:tcPr>
          <w:p w14:paraId="55E29D62" w14:textId="77777777" w:rsidR="00FF7197" w:rsidRPr="00FF7197" w:rsidRDefault="00FF7197" w:rsidP="00FF7197">
            <w:pPr>
              <w:rPr>
                <w:sz w:val="20"/>
                <w:szCs w:val="21"/>
              </w:rPr>
            </w:pPr>
            <w:r w:rsidRPr="00FF7197">
              <w:rPr>
                <w:sz w:val="20"/>
                <w:szCs w:val="21"/>
              </w:rPr>
              <w:t>11.46</w:t>
            </w:r>
          </w:p>
        </w:tc>
        <w:tc>
          <w:tcPr>
            <w:tcW w:w="712" w:type="dxa"/>
            <w:tcBorders>
              <w:top w:val="nil"/>
              <w:left w:val="nil"/>
              <w:bottom w:val="single" w:sz="12" w:space="0" w:color="auto"/>
              <w:right w:val="nil"/>
            </w:tcBorders>
          </w:tcPr>
          <w:p w14:paraId="71BCA2B3" w14:textId="77777777" w:rsidR="00FF7197" w:rsidRPr="00FF7197" w:rsidRDefault="00FF7197" w:rsidP="00FF7197">
            <w:pPr>
              <w:rPr>
                <w:sz w:val="20"/>
                <w:szCs w:val="21"/>
              </w:rPr>
            </w:pPr>
            <w:r w:rsidRPr="00FF7197">
              <w:rPr>
                <w:sz w:val="20"/>
                <w:szCs w:val="21"/>
              </w:rPr>
              <w:t>4.24</w:t>
            </w:r>
          </w:p>
        </w:tc>
        <w:tc>
          <w:tcPr>
            <w:tcW w:w="981" w:type="dxa"/>
            <w:tcBorders>
              <w:top w:val="nil"/>
              <w:left w:val="nil"/>
              <w:bottom w:val="single" w:sz="12" w:space="0" w:color="auto"/>
              <w:right w:val="nil"/>
            </w:tcBorders>
          </w:tcPr>
          <w:p w14:paraId="6CBA8EA8" w14:textId="77777777" w:rsidR="00FF7197" w:rsidRPr="00FF7197" w:rsidRDefault="00FF7197" w:rsidP="00FF7197">
            <w:pPr>
              <w:rPr>
                <w:sz w:val="20"/>
                <w:szCs w:val="21"/>
              </w:rPr>
            </w:pPr>
            <w:r w:rsidRPr="00FF7197">
              <w:rPr>
                <w:sz w:val="20"/>
                <w:szCs w:val="21"/>
              </w:rPr>
              <w:t>0.4431</w:t>
            </w:r>
          </w:p>
        </w:tc>
        <w:tc>
          <w:tcPr>
            <w:tcW w:w="878" w:type="dxa"/>
            <w:tcBorders>
              <w:top w:val="nil"/>
              <w:left w:val="nil"/>
              <w:bottom w:val="single" w:sz="12" w:space="0" w:color="auto"/>
              <w:right w:val="nil"/>
            </w:tcBorders>
          </w:tcPr>
          <w:p w14:paraId="4BFFB6F2" w14:textId="77777777" w:rsidR="00FF7197" w:rsidRPr="00FF7197" w:rsidRDefault="00FF7197" w:rsidP="00FF7197">
            <w:pPr>
              <w:rPr>
                <w:sz w:val="20"/>
                <w:szCs w:val="21"/>
              </w:rPr>
            </w:pPr>
            <w:r w:rsidRPr="00FF7197">
              <w:rPr>
                <w:sz w:val="20"/>
                <w:szCs w:val="21"/>
              </w:rPr>
              <w:t>1.5</w:t>
            </w:r>
          </w:p>
        </w:tc>
        <w:tc>
          <w:tcPr>
            <w:tcW w:w="1331" w:type="dxa"/>
            <w:tcBorders>
              <w:top w:val="nil"/>
              <w:left w:val="nil"/>
              <w:bottom w:val="single" w:sz="12" w:space="0" w:color="auto"/>
              <w:right w:val="nil"/>
            </w:tcBorders>
          </w:tcPr>
          <w:p w14:paraId="2C1A3BC1" w14:textId="77777777" w:rsidR="00FF7197" w:rsidRPr="00FF7197" w:rsidRDefault="00FF7197" w:rsidP="00FF7197">
            <w:pPr>
              <w:rPr>
                <w:sz w:val="20"/>
                <w:szCs w:val="21"/>
              </w:rPr>
            </w:pPr>
            <w:r w:rsidRPr="00FF7197">
              <w:rPr>
                <w:sz w:val="20"/>
                <w:szCs w:val="21"/>
              </w:rPr>
              <w:t>0.0178</w:t>
            </w:r>
          </w:p>
        </w:tc>
        <w:tc>
          <w:tcPr>
            <w:tcW w:w="1476" w:type="dxa"/>
            <w:tcBorders>
              <w:top w:val="nil"/>
              <w:left w:val="nil"/>
              <w:bottom w:val="single" w:sz="12" w:space="0" w:color="auto"/>
              <w:right w:val="nil"/>
            </w:tcBorders>
          </w:tcPr>
          <w:p w14:paraId="05732CCA" w14:textId="77777777" w:rsidR="00FF7197" w:rsidRPr="00FF7197" w:rsidRDefault="00FF7197" w:rsidP="00FF7197">
            <w:pPr>
              <w:rPr>
                <w:sz w:val="20"/>
                <w:szCs w:val="21"/>
              </w:rPr>
            </w:pPr>
            <w:r w:rsidRPr="00FF7197">
              <w:rPr>
                <w:sz w:val="20"/>
                <w:szCs w:val="21"/>
              </w:rPr>
              <w:t>62603.66173</w:t>
            </w:r>
          </w:p>
        </w:tc>
        <w:tc>
          <w:tcPr>
            <w:tcW w:w="1483" w:type="dxa"/>
            <w:tcBorders>
              <w:top w:val="nil"/>
              <w:left w:val="nil"/>
              <w:bottom w:val="single" w:sz="12" w:space="0" w:color="auto"/>
              <w:right w:val="nil"/>
            </w:tcBorders>
          </w:tcPr>
          <w:p w14:paraId="2E89F469" w14:textId="77777777" w:rsidR="00FF7197" w:rsidRPr="00FF7197" w:rsidRDefault="00FF7197" w:rsidP="00FF7197">
            <w:pPr>
              <w:rPr>
                <w:sz w:val="20"/>
                <w:szCs w:val="21"/>
              </w:rPr>
            </w:pPr>
            <w:r w:rsidRPr="00FF7197">
              <w:rPr>
                <w:sz w:val="20"/>
                <w:szCs w:val="21"/>
              </w:rPr>
              <w:t>3069.876086</w:t>
            </w:r>
          </w:p>
        </w:tc>
      </w:tr>
    </w:tbl>
    <w:p w14:paraId="2069BE44" w14:textId="77777777" w:rsidR="00FF7197" w:rsidRPr="00FF7197" w:rsidRDefault="00FF7197" w:rsidP="00FF7197"/>
    <w:p w14:paraId="13B502C2" w14:textId="77777777" w:rsidR="00FF7197" w:rsidRPr="00FF7197" w:rsidRDefault="00FF7197" w:rsidP="00FF7197"/>
    <w:p w14:paraId="22378DF7" w14:textId="77777777" w:rsidR="00FF7197" w:rsidRPr="00FF7197" w:rsidRDefault="00FF7197" w:rsidP="00FF7197">
      <w:pPr>
        <w:spacing w:line="300" w:lineRule="exact"/>
        <w:jc w:val="center"/>
        <w:rPr>
          <w:rFonts w:ascii="黑体" w:eastAsia="黑体" w:hAnsi="黑体"/>
        </w:rPr>
      </w:pPr>
      <w:r w:rsidRPr="00FF7197">
        <w:rPr>
          <w:rFonts w:ascii="黑体" w:eastAsia="黑体" w:hAnsi="黑体" w:hint="eastAsia"/>
        </w:rPr>
        <w:t>附表</w:t>
      </w:r>
      <w:r w:rsidRPr="00FF7197">
        <w:rPr>
          <w:rFonts w:ascii="黑体" w:eastAsia="黑体" w:hAnsi="黑体"/>
        </w:rPr>
        <w:t xml:space="preserve">2 </w:t>
      </w:r>
      <w:r w:rsidRPr="00FF7197">
        <w:rPr>
          <w:rFonts w:ascii="黑体" w:eastAsia="黑体" w:hAnsi="黑体" w:hint="eastAsia"/>
        </w:rPr>
        <w:t>华孚时尚行权安排</w:t>
      </w:r>
    </w:p>
    <w:p w14:paraId="484E0D21" w14:textId="77777777" w:rsidR="00FF7197" w:rsidRPr="00FF7197" w:rsidRDefault="00FF7197" w:rsidP="00FF7197">
      <w:pPr>
        <w:spacing w:line="300" w:lineRule="exact"/>
      </w:pPr>
    </w:p>
    <w:tbl>
      <w:tblPr>
        <w:tblStyle w:val="ac"/>
        <w:tblW w:w="965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1"/>
        <w:gridCol w:w="6378"/>
        <w:gridCol w:w="1602"/>
      </w:tblGrid>
      <w:tr w:rsidR="00FF7197" w:rsidRPr="00FF7197" w14:paraId="1B425946" w14:textId="77777777" w:rsidTr="00B0361E">
        <w:trPr>
          <w:trHeight w:val="672"/>
          <w:jc w:val="center"/>
        </w:trPr>
        <w:tc>
          <w:tcPr>
            <w:tcW w:w="1671" w:type="dxa"/>
            <w:tcBorders>
              <w:top w:val="single" w:sz="12" w:space="0" w:color="auto"/>
              <w:bottom w:val="single" w:sz="4" w:space="0" w:color="auto"/>
            </w:tcBorders>
          </w:tcPr>
          <w:p w14:paraId="755A8101" w14:textId="77777777" w:rsidR="00FF7197" w:rsidRPr="00FF7197" w:rsidRDefault="00FF7197" w:rsidP="003E7685">
            <w:pPr>
              <w:ind w:firstLineChars="100" w:firstLine="200"/>
              <w:rPr>
                <w:rFonts w:ascii="宋体" w:hAnsi="宋体"/>
                <w:sz w:val="20"/>
                <w:szCs w:val="21"/>
              </w:rPr>
            </w:pPr>
            <w:r w:rsidRPr="00FF7197">
              <w:rPr>
                <w:rFonts w:ascii="宋体" w:hAnsi="宋体" w:hint="eastAsia"/>
                <w:sz w:val="20"/>
                <w:szCs w:val="21"/>
              </w:rPr>
              <w:t>行权期</w:t>
            </w:r>
          </w:p>
        </w:tc>
        <w:tc>
          <w:tcPr>
            <w:tcW w:w="6378" w:type="dxa"/>
            <w:tcBorders>
              <w:top w:val="single" w:sz="12" w:space="0" w:color="auto"/>
              <w:bottom w:val="single" w:sz="4" w:space="0" w:color="auto"/>
            </w:tcBorders>
          </w:tcPr>
          <w:p w14:paraId="2C13F149" w14:textId="77777777" w:rsidR="00FF7197" w:rsidRPr="00FF7197" w:rsidRDefault="00FF7197" w:rsidP="00FF7197">
            <w:pPr>
              <w:rPr>
                <w:rFonts w:ascii="宋体" w:hAnsi="宋体"/>
                <w:sz w:val="20"/>
                <w:szCs w:val="21"/>
              </w:rPr>
            </w:pPr>
            <w:r w:rsidRPr="00FF7197">
              <w:rPr>
                <w:rFonts w:ascii="宋体" w:hAnsi="宋体" w:hint="eastAsia"/>
                <w:sz w:val="20"/>
                <w:szCs w:val="21"/>
              </w:rPr>
              <w:t>行权时间</w:t>
            </w:r>
          </w:p>
        </w:tc>
        <w:tc>
          <w:tcPr>
            <w:tcW w:w="1602" w:type="dxa"/>
            <w:tcBorders>
              <w:top w:val="single" w:sz="12" w:space="0" w:color="auto"/>
              <w:bottom w:val="single" w:sz="4" w:space="0" w:color="auto"/>
            </w:tcBorders>
          </w:tcPr>
          <w:p w14:paraId="141C42FB" w14:textId="77777777" w:rsidR="00FF7197" w:rsidRPr="00FF7197" w:rsidRDefault="00FF7197" w:rsidP="00FF7197">
            <w:pPr>
              <w:rPr>
                <w:rFonts w:ascii="宋体" w:hAnsi="宋体"/>
                <w:sz w:val="20"/>
                <w:szCs w:val="21"/>
              </w:rPr>
            </w:pPr>
            <w:r w:rsidRPr="00FF7197">
              <w:rPr>
                <w:rFonts w:ascii="宋体" w:hAnsi="宋体" w:hint="eastAsia"/>
                <w:sz w:val="20"/>
                <w:szCs w:val="21"/>
              </w:rPr>
              <w:t>行权比例</w:t>
            </w:r>
          </w:p>
        </w:tc>
      </w:tr>
      <w:tr w:rsidR="00FF7197" w:rsidRPr="00FF7197" w14:paraId="1BA14EA1" w14:textId="77777777" w:rsidTr="00B0361E">
        <w:trPr>
          <w:trHeight w:val="439"/>
          <w:jc w:val="center"/>
        </w:trPr>
        <w:tc>
          <w:tcPr>
            <w:tcW w:w="1671" w:type="dxa"/>
            <w:tcBorders>
              <w:top w:val="single" w:sz="4" w:space="0" w:color="auto"/>
            </w:tcBorders>
          </w:tcPr>
          <w:p w14:paraId="5B678DD9" w14:textId="77777777" w:rsidR="00FF7197" w:rsidRPr="00FF7197" w:rsidRDefault="00FF7197" w:rsidP="00FF7197">
            <w:pPr>
              <w:rPr>
                <w:rFonts w:ascii="宋体" w:hAnsi="宋体"/>
                <w:sz w:val="20"/>
                <w:szCs w:val="21"/>
              </w:rPr>
            </w:pPr>
            <w:r w:rsidRPr="00FF7197">
              <w:rPr>
                <w:rFonts w:ascii="宋体" w:hAnsi="宋体" w:hint="eastAsia"/>
                <w:sz w:val="20"/>
                <w:szCs w:val="21"/>
              </w:rPr>
              <w:t>第一个行权期</w:t>
            </w:r>
          </w:p>
        </w:tc>
        <w:tc>
          <w:tcPr>
            <w:tcW w:w="6378" w:type="dxa"/>
            <w:tcBorders>
              <w:top w:val="single" w:sz="4" w:space="0" w:color="auto"/>
            </w:tcBorders>
          </w:tcPr>
          <w:p w14:paraId="2EB9993F" w14:textId="77777777" w:rsidR="00FF7197" w:rsidRPr="00FF7197" w:rsidRDefault="00FF7197" w:rsidP="00FF7197">
            <w:pPr>
              <w:rPr>
                <w:rFonts w:ascii="宋体" w:hAnsi="宋体"/>
                <w:sz w:val="20"/>
                <w:szCs w:val="21"/>
              </w:rPr>
            </w:pPr>
            <w:r w:rsidRPr="00FF7197">
              <w:rPr>
                <w:rFonts w:ascii="宋体" w:hAnsi="宋体" w:hint="eastAsia"/>
                <w:sz w:val="20"/>
                <w:szCs w:val="21"/>
              </w:rPr>
              <w:t>自首次授权日起满 12个月后的首个交易日至授权日起 24个月内的最后一个交易日止</w:t>
            </w:r>
          </w:p>
        </w:tc>
        <w:tc>
          <w:tcPr>
            <w:tcW w:w="1602" w:type="dxa"/>
            <w:tcBorders>
              <w:top w:val="single" w:sz="4" w:space="0" w:color="auto"/>
            </w:tcBorders>
          </w:tcPr>
          <w:p w14:paraId="2138D071" w14:textId="77777777" w:rsidR="00FF7197" w:rsidRPr="00FF7197" w:rsidRDefault="00FF7197" w:rsidP="00FF7197">
            <w:pPr>
              <w:ind w:firstLineChars="200" w:firstLine="400"/>
              <w:rPr>
                <w:sz w:val="20"/>
                <w:szCs w:val="21"/>
              </w:rPr>
            </w:pPr>
            <w:r w:rsidRPr="00FF7197">
              <w:rPr>
                <w:sz w:val="20"/>
                <w:szCs w:val="21"/>
              </w:rPr>
              <w:t>0.4</w:t>
            </w:r>
          </w:p>
        </w:tc>
      </w:tr>
      <w:tr w:rsidR="00FF7197" w:rsidRPr="00FF7197" w14:paraId="7C3E5B48" w14:textId="77777777" w:rsidTr="00B0361E">
        <w:trPr>
          <w:trHeight w:val="439"/>
          <w:jc w:val="center"/>
        </w:trPr>
        <w:tc>
          <w:tcPr>
            <w:tcW w:w="1671" w:type="dxa"/>
          </w:tcPr>
          <w:p w14:paraId="16522638" w14:textId="77777777" w:rsidR="00FF7197" w:rsidRPr="00FF7197" w:rsidRDefault="00FF7197" w:rsidP="00FF7197">
            <w:pPr>
              <w:rPr>
                <w:rFonts w:ascii="宋体" w:hAnsi="宋体"/>
                <w:sz w:val="20"/>
                <w:szCs w:val="21"/>
              </w:rPr>
            </w:pPr>
            <w:r w:rsidRPr="00FF7197">
              <w:rPr>
                <w:rFonts w:ascii="宋体" w:hAnsi="宋体" w:hint="eastAsia"/>
                <w:sz w:val="20"/>
                <w:szCs w:val="21"/>
              </w:rPr>
              <w:t>第二个行权期</w:t>
            </w:r>
          </w:p>
        </w:tc>
        <w:tc>
          <w:tcPr>
            <w:tcW w:w="6378" w:type="dxa"/>
          </w:tcPr>
          <w:p w14:paraId="689100DE" w14:textId="77777777" w:rsidR="00FF7197" w:rsidRPr="00FF7197" w:rsidRDefault="00FF7197" w:rsidP="00FF7197">
            <w:pPr>
              <w:rPr>
                <w:rFonts w:ascii="宋体" w:hAnsi="宋体"/>
                <w:sz w:val="20"/>
                <w:szCs w:val="21"/>
              </w:rPr>
            </w:pPr>
            <w:r w:rsidRPr="00FF7197">
              <w:rPr>
                <w:rFonts w:ascii="宋体" w:hAnsi="宋体" w:hint="eastAsia"/>
                <w:sz w:val="20"/>
                <w:szCs w:val="21"/>
              </w:rPr>
              <w:t>自首次授权日起满 24个月后的首个交易日至授权日起 36个月内的最后一个交易日止</w:t>
            </w:r>
          </w:p>
        </w:tc>
        <w:tc>
          <w:tcPr>
            <w:tcW w:w="1602" w:type="dxa"/>
          </w:tcPr>
          <w:p w14:paraId="1DDB2C47" w14:textId="77777777" w:rsidR="00FF7197" w:rsidRPr="00FF7197" w:rsidRDefault="00FF7197" w:rsidP="00FF7197">
            <w:pPr>
              <w:ind w:firstLineChars="200" w:firstLine="400"/>
              <w:rPr>
                <w:sz w:val="20"/>
                <w:szCs w:val="21"/>
              </w:rPr>
            </w:pPr>
            <w:r w:rsidRPr="00FF7197">
              <w:rPr>
                <w:sz w:val="20"/>
                <w:szCs w:val="21"/>
              </w:rPr>
              <w:t>0.3</w:t>
            </w:r>
          </w:p>
        </w:tc>
      </w:tr>
      <w:tr w:rsidR="00FF7197" w:rsidRPr="00FF7197" w14:paraId="595A5B59" w14:textId="77777777" w:rsidTr="00B0361E">
        <w:trPr>
          <w:trHeight w:val="852"/>
          <w:jc w:val="center"/>
        </w:trPr>
        <w:tc>
          <w:tcPr>
            <w:tcW w:w="1671" w:type="dxa"/>
            <w:tcBorders>
              <w:bottom w:val="single" w:sz="12" w:space="0" w:color="auto"/>
            </w:tcBorders>
          </w:tcPr>
          <w:p w14:paraId="7F40E1E6" w14:textId="77777777" w:rsidR="00FF7197" w:rsidRPr="00FF7197" w:rsidRDefault="00FF7197" w:rsidP="00FF7197">
            <w:pPr>
              <w:rPr>
                <w:rFonts w:ascii="宋体" w:hAnsi="宋体"/>
                <w:sz w:val="20"/>
                <w:szCs w:val="21"/>
              </w:rPr>
            </w:pPr>
            <w:r w:rsidRPr="00FF7197">
              <w:rPr>
                <w:rFonts w:ascii="宋体" w:hAnsi="宋体" w:hint="eastAsia"/>
                <w:sz w:val="20"/>
                <w:szCs w:val="21"/>
              </w:rPr>
              <w:t>第三个行权期</w:t>
            </w:r>
          </w:p>
        </w:tc>
        <w:tc>
          <w:tcPr>
            <w:tcW w:w="6378" w:type="dxa"/>
            <w:tcBorders>
              <w:bottom w:val="single" w:sz="12" w:space="0" w:color="auto"/>
            </w:tcBorders>
          </w:tcPr>
          <w:p w14:paraId="7727216C" w14:textId="77777777" w:rsidR="00FF7197" w:rsidRPr="00FF7197" w:rsidRDefault="00FF7197" w:rsidP="00FF7197">
            <w:pPr>
              <w:rPr>
                <w:rFonts w:ascii="宋体" w:hAnsi="宋体"/>
                <w:sz w:val="20"/>
                <w:szCs w:val="21"/>
              </w:rPr>
            </w:pPr>
            <w:r w:rsidRPr="00FF7197">
              <w:rPr>
                <w:rFonts w:ascii="宋体" w:hAnsi="宋体" w:hint="eastAsia"/>
                <w:sz w:val="20"/>
                <w:szCs w:val="21"/>
              </w:rPr>
              <w:t>自首次授权日起满 36个月后的首个交易日至授权日起 48个月内的最后一个交易日止</w:t>
            </w:r>
          </w:p>
        </w:tc>
        <w:tc>
          <w:tcPr>
            <w:tcW w:w="1602" w:type="dxa"/>
            <w:tcBorders>
              <w:bottom w:val="single" w:sz="12" w:space="0" w:color="auto"/>
            </w:tcBorders>
          </w:tcPr>
          <w:p w14:paraId="333A2997" w14:textId="77777777" w:rsidR="00FF7197" w:rsidRPr="00FF7197" w:rsidRDefault="00FF7197" w:rsidP="00FF7197">
            <w:pPr>
              <w:ind w:firstLineChars="200" w:firstLine="400"/>
              <w:rPr>
                <w:sz w:val="20"/>
                <w:szCs w:val="21"/>
              </w:rPr>
            </w:pPr>
            <w:r w:rsidRPr="00FF7197">
              <w:rPr>
                <w:sz w:val="20"/>
                <w:szCs w:val="21"/>
              </w:rPr>
              <w:t>0.3</w:t>
            </w:r>
          </w:p>
        </w:tc>
      </w:tr>
    </w:tbl>
    <w:p w14:paraId="7A6F48D5" w14:textId="5E38BE37" w:rsidR="00FF7197" w:rsidRDefault="00FF7197" w:rsidP="00FF7197">
      <w:pPr>
        <w:ind w:firstLineChars="200" w:firstLine="480"/>
      </w:pPr>
    </w:p>
    <w:p w14:paraId="41E63007" w14:textId="36CD5389" w:rsidR="00FF7197" w:rsidRDefault="00FF7197" w:rsidP="00FF7197">
      <w:pPr>
        <w:ind w:firstLineChars="200" w:firstLine="480"/>
      </w:pPr>
    </w:p>
    <w:p w14:paraId="7E0A842F" w14:textId="77777777" w:rsidR="00FF7197" w:rsidRPr="00FF7197" w:rsidRDefault="00FF7197" w:rsidP="00FF7197">
      <w:pPr>
        <w:ind w:firstLineChars="200" w:firstLine="480"/>
      </w:pPr>
    </w:p>
    <w:p w14:paraId="1A4A1BFA" w14:textId="77777777" w:rsidR="00FF7197" w:rsidRPr="00FF7197" w:rsidRDefault="00FF7197" w:rsidP="00FF7197"/>
    <w:p w14:paraId="281FFE65" w14:textId="77777777" w:rsidR="00FF7197" w:rsidRPr="00FF7197" w:rsidRDefault="00FF7197" w:rsidP="00FF7197">
      <w:pPr>
        <w:spacing w:line="300" w:lineRule="exact"/>
        <w:jc w:val="center"/>
        <w:rPr>
          <w:rFonts w:ascii="黑体" w:eastAsia="黑体" w:hAnsi="黑体"/>
        </w:rPr>
      </w:pPr>
      <w:r w:rsidRPr="00FF7197">
        <w:rPr>
          <w:rFonts w:ascii="黑体" w:eastAsia="黑体" w:hAnsi="黑体" w:hint="eastAsia"/>
        </w:rPr>
        <w:lastRenderedPageBreak/>
        <w:t>附表</w:t>
      </w:r>
      <w:r w:rsidRPr="00FF7197">
        <w:rPr>
          <w:rFonts w:ascii="黑体" w:eastAsia="黑体" w:hAnsi="黑体"/>
        </w:rPr>
        <w:t xml:space="preserve">3 </w:t>
      </w:r>
      <w:r w:rsidRPr="00FF7197">
        <w:rPr>
          <w:rFonts w:ascii="黑体" w:eastAsia="黑体" w:hAnsi="黑体" w:hint="eastAsia"/>
        </w:rPr>
        <w:t>中国人民银行各年公布的存款基准利率</w:t>
      </w:r>
    </w:p>
    <w:p w14:paraId="6E6F217C" w14:textId="77777777" w:rsidR="00FF7197" w:rsidRPr="00FF7197" w:rsidRDefault="00FF7197" w:rsidP="00FF7197">
      <w:pPr>
        <w:spacing w:line="300" w:lineRule="exact"/>
        <w:jc w:val="center"/>
      </w:pPr>
    </w:p>
    <w:tbl>
      <w:tblPr>
        <w:tblStyle w:val="ac"/>
        <w:tblW w:w="901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2"/>
        <w:gridCol w:w="1502"/>
        <w:gridCol w:w="1503"/>
        <w:gridCol w:w="1503"/>
        <w:gridCol w:w="1503"/>
        <w:gridCol w:w="1503"/>
      </w:tblGrid>
      <w:tr w:rsidR="00FF7197" w:rsidRPr="00FF7197" w14:paraId="33446446" w14:textId="77777777" w:rsidTr="00B0361E">
        <w:trPr>
          <w:trHeight w:val="530"/>
          <w:jc w:val="center"/>
        </w:trPr>
        <w:tc>
          <w:tcPr>
            <w:tcW w:w="1502" w:type="dxa"/>
            <w:tcBorders>
              <w:top w:val="single" w:sz="12" w:space="0" w:color="auto"/>
              <w:bottom w:val="single" w:sz="4" w:space="0" w:color="auto"/>
            </w:tcBorders>
          </w:tcPr>
          <w:p w14:paraId="3864861D" w14:textId="77777777" w:rsidR="00FF7197" w:rsidRPr="00FF7197" w:rsidRDefault="00FF7197" w:rsidP="00FF7197">
            <w:pPr>
              <w:rPr>
                <w:rFonts w:ascii="宋体" w:hAnsi="宋体"/>
                <w:sz w:val="20"/>
                <w:szCs w:val="21"/>
              </w:rPr>
            </w:pPr>
            <w:r w:rsidRPr="00FF7197">
              <w:rPr>
                <w:rFonts w:ascii="宋体" w:hAnsi="宋体"/>
                <w:sz w:val="20"/>
                <w:szCs w:val="21"/>
              </w:rPr>
              <w:t>无风险利率r</w:t>
            </w:r>
          </w:p>
        </w:tc>
        <w:tc>
          <w:tcPr>
            <w:tcW w:w="1502" w:type="dxa"/>
            <w:tcBorders>
              <w:top w:val="single" w:sz="12" w:space="0" w:color="auto"/>
              <w:bottom w:val="single" w:sz="4" w:space="0" w:color="auto"/>
            </w:tcBorders>
          </w:tcPr>
          <w:p w14:paraId="0379C7F4" w14:textId="77777777" w:rsidR="00FF7197" w:rsidRPr="00FF7197" w:rsidRDefault="00FF7197" w:rsidP="00FF7197">
            <w:pPr>
              <w:rPr>
                <w:rFonts w:ascii="宋体" w:hAnsi="宋体"/>
                <w:sz w:val="20"/>
                <w:szCs w:val="21"/>
              </w:rPr>
            </w:pPr>
            <w:r w:rsidRPr="00FF7197">
              <w:rPr>
                <w:rFonts w:ascii="宋体" w:hAnsi="宋体"/>
                <w:sz w:val="20"/>
                <w:szCs w:val="21"/>
              </w:rPr>
              <w:t>一年</w:t>
            </w:r>
          </w:p>
        </w:tc>
        <w:tc>
          <w:tcPr>
            <w:tcW w:w="1503" w:type="dxa"/>
            <w:tcBorders>
              <w:top w:val="single" w:sz="12" w:space="0" w:color="auto"/>
              <w:bottom w:val="single" w:sz="4" w:space="0" w:color="auto"/>
            </w:tcBorders>
          </w:tcPr>
          <w:p w14:paraId="71F87EB4" w14:textId="77777777" w:rsidR="00FF7197" w:rsidRPr="00FF7197" w:rsidRDefault="00FF7197" w:rsidP="00FF7197">
            <w:pPr>
              <w:rPr>
                <w:rFonts w:ascii="宋体" w:hAnsi="宋体"/>
                <w:sz w:val="20"/>
                <w:szCs w:val="21"/>
              </w:rPr>
            </w:pPr>
            <w:r w:rsidRPr="00FF7197">
              <w:rPr>
                <w:rFonts w:ascii="宋体" w:hAnsi="宋体"/>
                <w:sz w:val="20"/>
                <w:szCs w:val="21"/>
              </w:rPr>
              <w:t>二年</w:t>
            </w:r>
          </w:p>
        </w:tc>
        <w:tc>
          <w:tcPr>
            <w:tcW w:w="1503" w:type="dxa"/>
            <w:tcBorders>
              <w:top w:val="single" w:sz="12" w:space="0" w:color="auto"/>
              <w:bottom w:val="single" w:sz="4" w:space="0" w:color="auto"/>
            </w:tcBorders>
          </w:tcPr>
          <w:p w14:paraId="6521BFE4" w14:textId="77777777" w:rsidR="00FF7197" w:rsidRPr="00FF7197" w:rsidRDefault="00FF7197" w:rsidP="00FF7197">
            <w:pPr>
              <w:rPr>
                <w:rFonts w:ascii="宋体" w:hAnsi="宋体"/>
                <w:sz w:val="20"/>
                <w:szCs w:val="21"/>
              </w:rPr>
            </w:pPr>
            <w:r w:rsidRPr="00FF7197">
              <w:rPr>
                <w:rFonts w:ascii="宋体" w:hAnsi="宋体"/>
                <w:sz w:val="20"/>
                <w:szCs w:val="21"/>
              </w:rPr>
              <w:t>三年</w:t>
            </w:r>
          </w:p>
        </w:tc>
        <w:tc>
          <w:tcPr>
            <w:tcW w:w="1503" w:type="dxa"/>
            <w:tcBorders>
              <w:top w:val="single" w:sz="12" w:space="0" w:color="auto"/>
              <w:bottom w:val="single" w:sz="4" w:space="0" w:color="auto"/>
            </w:tcBorders>
          </w:tcPr>
          <w:p w14:paraId="5ACB7B72" w14:textId="77777777" w:rsidR="00FF7197" w:rsidRPr="00FF7197" w:rsidRDefault="00FF7197" w:rsidP="00FF7197">
            <w:pPr>
              <w:rPr>
                <w:rFonts w:ascii="宋体" w:hAnsi="宋体"/>
                <w:sz w:val="20"/>
                <w:szCs w:val="21"/>
              </w:rPr>
            </w:pPr>
            <w:r w:rsidRPr="00FF7197">
              <w:rPr>
                <w:rFonts w:ascii="宋体" w:hAnsi="宋体"/>
                <w:sz w:val="20"/>
                <w:szCs w:val="21"/>
              </w:rPr>
              <w:t>四年</w:t>
            </w:r>
          </w:p>
        </w:tc>
        <w:tc>
          <w:tcPr>
            <w:tcW w:w="1503" w:type="dxa"/>
            <w:tcBorders>
              <w:top w:val="single" w:sz="12" w:space="0" w:color="auto"/>
              <w:bottom w:val="single" w:sz="4" w:space="0" w:color="auto"/>
            </w:tcBorders>
          </w:tcPr>
          <w:p w14:paraId="4B4BBAA7" w14:textId="77777777" w:rsidR="00FF7197" w:rsidRPr="00FF7197" w:rsidRDefault="00FF7197" w:rsidP="00FF7197">
            <w:pPr>
              <w:rPr>
                <w:rFonts w:ascii="宋体" w:hAnsi="宋体"/>
                <w:sz w:val="20"/>
                <w:szCs w:val="21"/>
              </w:rPr>
            </w:pPr>
            <w:r w:rsidRPr="00FF7197">
              <w:rPr>
                <w:rFonts w:ascii="宋体" w:hAnsi="宋体"/>
                <w:sz w:val="20"/>
                <w:szCs w:val="21"/>
              </w:rPr>
              <w:t>五年</w:t>
            </w:r>
          </w:p>
        </w:tc>
      </w:tr>
      <w:tr w:rsidR="00FF7197" w:rsidRPr="00FF7197" w14:paraId="0B4158AF" w14:textId="77777777" w:rsidTr="00B0361E">
        <w:trPr>
          <w:trHeight w:val="506"/>
          <w:jc w:val="center"/>
        </w:trPr>
        <w:tc>
          <w:tcPr>
            <w:tcW w:w="1502" w:type="dxa"/>
            <w:tcBorders>
              <w:top w:val="single" w:sz="4" w:space="0" w:color="auto"/>
            </w:tcBorders>
          </w:tcPr>
          <w:p w14:paraId="61C78F78" w14:textId="77777777" w:rsidR="00FF7197" w:rsidRPr="00FF7197" w:rsidRDefault="00FF7197" w:rsidP="00FF7197">
            <w:pPr>
              <w:rPr>
                <w:sz w:val="20"/>
                <w:szCs w:val="21"/>
              </w:rPr>
            </w:pPr>
            <w:r w:rsidRPr="00FF7197">
              <w:rPr>
                <w:sz w:val="20"/>
                <w:szCs w:val="21"/>
              </w:rPr>
              <w:t>2014</w:t>
            </w:r>
          </w:p>
        </w:tc>
        <w:tc>
          <w:tcPr>
            <w:tcW w:w="1502" w:type="dxa"/>
            <w:tcBorders>
              <w:top w:val="single" w:sz="4" w:space="0" w:color="auto"/>
            </w:tcBorders>
            <w:shd w:val="clear" w:color="auto" w:fill="auto"/>
            <w:vAlign w:val="center"/>
          </w:tcPr>
          <w:p w14:paraId="3FD7D7B8" w14:textId="77777777" w:rsidR="00FF7197" w:rsidRPr="00FF7197" w:rsidRDefault="00FF7197" w:rsidP="00FF7197">
            <w:pPr>
              <w:rPr>
                <w:sz w:val="20"/>
                <w:szCs w:val="21"/>
              </w:rPr>
            </w:pPr>
            <w:r w:rsidRPr="00FF7197">
              <w:rPr>
                <w:rFonts w:eastAsia="等线"/>
                <w:color w:val="000000"/>
                <w:sz w:val="20"/>
                <w:szCs w:val="21"/>
              </w:rPr>
              <w:t>0.03</w:t>
            </w:r>
          </w:p>
        </w:tc>
        <w:tc>
          <w:tcPr>
            <w:tcW w:w="1503" w:type="dxa"/>
            <w:tcBorders>
              <w:top w:val="single" w:sz="4" w:space="0" w:color="auto"/>
            </w:tcBorders>
            <w:shd w:val="clear" w:color="auto" w:fill="auto"/>
            <w:vAlign w:val="center"/>
          </w:tcPr>
          <w:p w14:paraId="567B819D" w14:textId="77777777" w:rsidR="00FF7197" w:rsidRPr="00FF7197" w:rsidRDefault="00FF7197" w:rsidP="00FF7197">
            <w:pPr>
              <w:rPr>
                <w:sz w:val="20"/>
                <w:szCs w:val="21"/>
              </w:rPr>
            </w:pPr>
            <w:r w:rsidRPr="00FF7197">
              <w:rPr>
                <w:rFonts w:eastAsia="等线"/>
                <w:color w:val="000000"/>
                <w:sz w:val="20"/>
                <w:szCs w:val="21"/>
              </w:rPr>
              <w:t>0.0375</w:t>
            </w:r>
          </w:p>
        </w:tc>
        <w:tc>
          <w:tcPr>
            <w:tcW w:w="1503" w:type="dxa"/>
            <w:tcBorders>
              <w:top w:val="single" w:sz="4" w:space="0" w:color="auto"/>
            </w:tcBorders>
            <w:shd w:val="clear" w:color="auto" w:fill="auto"/>
            <w:vAlign w:val="center"/>
          </w:tcPr>
          <w:p w14:paraId="5B2840B8" w14:textId="77777777" w:rsidR="00FF7197" w:rsidRPr="00FF7197" w:rsidRDefault="00FF7197" w:rsidP="00FF7197">
            <w:pPr>
              <w:rPr>
                <w:sz w:val="20"/>
                <w:szCs w:val="21"/>
              </w:rPr>
            </w:pPr>
            <w:r w:rsidRPr="00FF7197">
              <w:rPr>
                <w:rFonts w:eastAsia="等线"/>
                <w:color w:val="000000"/>
                <w:sz w:val="20"/>
                <w:szCs w:val="21"/>
              </w:rPr>
              <w:t>0.0425</w:t>
            </w:r>
          </w:p>
        </w:tc>
        <w:tc>
          <w:tcPr>
            <w:tcW w:w="1503" w:type="dxa"/>
            <w:tcBorders>
              <w:top w:val="single" w:sz="4" w:space="0" w:color="auto"/>
            </w:tcBorders>
            <w:shd w:val="clear" w:color="auto" w:fill="auto"/>
            <w:vAlign w:val="center"/>
          </w:tcPr>
          <w:p w14:paraId="3247C722" w14:textId="77777777" w:rsidR="00FF7197" w:rsidRPr="00FF7197" w:rsidRDefault="00FF7197" w:rsidP="00FF7197">
            <w:pPr>
              <w:rPr>
                <w:sz w:val="20"/>
                <w:szCs w:val="21"/>
              </w:rPr>
            </w:pPr>
            <w:r w:rsidRPr="00FF7197">
              <w:rPr>
                <w:rFonts w:eastAsia="等线"/>
                <w:color w:val="000000"/>
                <w:sz w:val="20"/>
                <w:szCs w:val="21"/>
              </w:rPr>
              <w:t>0.045</w:t>
            </w:r>
          </w:p>
        </w:tc>
        <w:tc>
          <w:tcPr>
            <w:tcW w:w="1503" w:type="dxa"/>
            <w:tcBorders>
              <w:top w:val="single" w:sz="4" w:space="0" w:color="auto"/>
            </w:tcBorders>
            <w:shd w:val="clear" w:color="auto" w:fill="auto"/>
            <w:vAlign w:val="center"/>
          </w:tcPr>
          <w:p w14:paraId="06AF3999" w14:textId="77777777" w:rsidR="00FF7197" w:rsidRPr="00FF7197" w:rsidRDefault="00FF7197" w:rsidP="00FF7197">
            <w:pPr>
              <w:rPr>
                <w:sz w:val="20"/>
                <w:szCs w:val="21"/>
              </w:rPr>
            </w:pPr>
            <w:r w:rsidRPr="00FF7197">
              <w:rPr>
                <w:rFonts w:eastAsia="等线"/>
                <w:color w:val="000000"/>
                <w:sz w:val="20"/>
                <w:szCs w:val="21"/>
              </w:rPr>
              <w:t>0.0475</w:t>
            </w:r>
          </w:p>
        </w:tc>
      </w:tr>
      <w:tr w:rsidR="00FF7197" w:rsidRPr="00FF7197" w14:paraId="24CBD239" w14:textId="77777777" w:rsidTr="00B0361E">
        <w:trPr>
          <w:trHeight w:val="490"/>
          <w:jc w:val="center"/>
        </w:trPr>
        <w:tc>
          <w:tcPr>
            <w:tcW w:w="1502" w:type="dxa"/>
          </w:tcPr>
          <w:p w14:paraId="64F3EA98" w14:textId="77777777" w:rsidR="00FF7197" w:rsidRPr="00FF7197" w:rsidRDefault="00FF7197" w:rsidP="00FF7197">
            <w:pPr>
              <w:rPr>
                <w:sz w:val="20"/>
                <w:szCs w:val="21"/>
              </w:rPr>
            </w:pPr>
            <w:r w:rsidRPr="00FF7197">
              <w:rPr>
                <w:sz w:val="20"/>
                <w:szCs w:val="21"/>
              </w:rPr>
              <w:t>2015</w:t>
            </w:r>
          </w:p>
        </w:tc>
        <w:tc>
          <w:tcPr>
            <w:tcW w:w="1502" w:type="dxa"/>
            <w:shd w:val="clear" w:color="auto" w:fill="auto"/>
            <w:vAlign w:val="center"/>
          </w:tcPr>
          <w:p w14:paraId="7C7BABD2" w14:textId="77777777" w:rsidR="00FF7197" w:rsidRPr="00FF7197" w:rsidRDefault="00FF7197" w:rsidP="00FF7197">
            <w:pPr>
              <w:rPr>
                <w:sz w:val="20"/>
                <w:szCs w:val="21"/>
              </w:rPr>
            </w:pPr>
            <w:r w:rsidRPr="00FF7197">
              <w:rPr>
                <w:rFonts w:eastAsia="等线"/>
                <w:color w:val="000000"/>
                <w:sz w:val="20"/>
                <w:szCs w:val="21"/>
              </w:rPr>
              <w:t>0.0275</w:t>
            </w:r>
          </w:p>
        </w:tc>
        <w:tc>
          <w:tcPr>
            <w:tcW w:w="1503" w:type="dxa"/>
            <w:shd w:val="clear" w:color="auto" w:fill="auto"/>
            <w:vAlign w:val="center"/>
          </w:tcPr>
          <w:p w14:paraId="2F7B98FE" w14:textId="77777777" w:rsidR="00FF7197" w:rsidRPr="00FF7197" w:rsidRDefault="00FF7197" w:rsidP="00FF7197">
            <w:pPr>
              <w:rPr>
                <w:sz w:val="20"/>
                <w:szCs w:val="21"/>
              </w:rPr>
            </w:pPr>
            <w:r w:rsidRPr="00FF7197">
              <w:rPr>
                <w:rFonts w:eastAsia="等线"/>
                <w:color w:val="000000"/>
                <w:sz w:val="20"/>
                <w:szCs w:val="21"/>
              </w:rPr>
              <w:t>0.0335</w:t>
            </w:r>
          </w:p>
        </w:tc>
        <w:tc>
          <w:tcPr>
            <w:tcW w:w="1503" w:type="dxa"/>
            <w:shd w:val="clear" w:color="auto" w:fill="auto"/>
            <w:vAlign w:val="center"/>
          </w:tcPr>
          <w:p w14:paraId="33A90BEF" w14:textId="77777777" w:rsidR="00FF7197" w:rsidRPr="00FF7197" w:rsidRDefault="00FF7197" w:rsidP="00FF7197">
            <w:pPr>
              <w:rPr>
                <w:sz w:val="20"/>
                <w:szCs w:val="21"/>
              </w:rPr>
            </w:pPr>
            <w:r w:rsidRPr="00FF7197">
              <w:rPr>
                <w:rFonts w:eastAsia="等线"/>
                <w:color w:val="000000"/>
                <w:sz w:val="20"/>
                <w:szCs w:val="21"/>
              </w:rPr>
              <w:t>0.04</w:t>
            </w:r>
          </w:p>
        </w:tc>
        <w:tc>
          <w:tcPr>
            <w:tcW w:w="1503" w:type="dxa"/>
            <w:shd w:val="clear" w:color="auto" w:fill="auto"/>
            <w:vAlign w:val="center"/>
          </w:tcPr>
          <w:p w14:paraId="773BAA7C" w14:textId="77777777" w:rsidR="00FF7197" w:rsidRPr="00FF7197" w:rsidRDefault="00FF7197" w:rsidP="00FF7197">
            <w:pPr>
              <w:rPr>
                <w:sz w:val="20"/>
                <w:szCs w:val="21"/>
              </w:rPr>
            </w:pPr>
            <w:r w:rsidRPr="00FF7197">
              <w:rPr>
                <w:rFonts w:eastAsia="等线"/>
                <w:color w:val="000000"/>
                <w:sz w:val="20"/>
                <w:szCs w:val="21"/>
              </w:rPr>
              <w:t>0.04375</w:t>
            </w:r>
          </w:p>
        </w:tc>
        <w:tc>
          <w:tcPr>
            <w:tcW w:w="1503" w:type="dxa"/>
            <w:shd w:val="clear" w:color="auto" w:fill="auto"/>
            <w:vAlign w:val="center"/>
          </w:tcPr>
          <w:p w14:paraId="47084F02" w14:textId="77777777" w:rsidR="00FF7197" w:rsidRPr="00FF7197" w:rsidRDefault="00FF7197" w:rsidP="00FF7197">
            <w:pPr>
              <w:rPr>
                <w:sz w:val="20"/>
                <w:szCs w:val="21"/>
              </w:rPr>
            </w:pPr>
            <w:r w:rsidRPr="00FF7197">
              <w:rPr>
                <w:rFonts w:eastAsia="等线"/>
                <w:color w:val="000000"/>
                <w:sz w:val="20"/>
                <w:szCs w:val="21"/>
              </w:rPr>
              <w:t>0.0475</w:t>
            </w:r>
          </w:p>
        </w:tc>
      </w:tr>
      <w:tr w:rsidR="00FF7197" w:rsidRPr="00FF7197" w14:paraId="0C4C92D7" w14:textId="77777777" w:rsidTr="00B0361E">
        <w:trPr>
          <w:trHeight w:val="490"/>
          <w:jc w:val="center"/>
        </w:trPr>
        <w:tc>
          <w:tcPr>
            <w:tcW w:w="1502" w:type="dxa"/>
          </w:tcPr>
          <w:p w14:paraId="3A4CAE06" w14:textId="77777777" w:rsidR="00FF7197" w:rsidRPr="00FF7197" w:rsidRDefault="00FF7197" w:rsidP="00FF7197">
            <w:pPr>
              <w:rPr>
                <w:sz w:val="20"/>
                <w:szCs w:val="21"/>
              </w:rPr>
            </w:pPr>
            <w:r w:rsidRPr="00FF7197">
              <w:rPr>
                <w:sz w:val="20"/>
                <w:szCs w:val="21"/>
              </w:rPr>
              <w:t>2016</w:t>
            </w:r>
          </w:p>
        </w:tc>
        <w:tc>
          <w:tcPr>
            <w:tcW w:w="1502" w:type="dxa"/>
            <w:shd w:val="clear" w:color="auto" w:fill="auto"/>
            <w:vAlign w:val="center"/>
          </w:tcPr>
          <w:p w14:paraId="2ABCE370" w14:textId="77777777" w:rsidR="00FF7197" w:rsidRPr="00FF7197" w:rsidRDefault="00FF7197" w:rsidP="00FF7197">
            <w:pPr>
              <w:rPr>
                <w:sz w:val="20"/>
                <w:szCs w:val="21"/>
              </w:rPr>
            </w:pPr>
            <w:r w:rsidRPr="00FF7197">
              <w:rPr>
                <w:rFonts w:eastAsia="等线"/>
                <w:color w:val="000000"/>
                <w:sz w:val="20"/>
                <w:szCs w:val="21"/>
              </w:rPr>
              <w:t>0.015</w:t>
            </w:r>
          </w:p>
        </w:tc>
        <w:tc>
          <w:tcPr>
            <w:tcW w:w="1503" w:type="dxa"/>
            <w:shd w:val="clear" w:color="auto" w:fill="auto"/>
            <w:vAlign w:val="center"/>
          </w:tcPr>
          <w:p w14:paraId="2B6E0F90" w14:textId="77777777" w:rsidR="00FF7197" w:rsidRPr="00FF7197" w:rsidRDefault="00FF7197" w:rsidP="00FF7197">
            <w:pPr>
              <w:rPr>
                <w:sz w:val="20"/>
                <w:szCs w:val="21"/>
              </w:rPr>
            </w:pPr>
            <w:r w:rsidRPr="00FF7197">
              <w:rPr>
                <w:rFonts w:eastAsia="等线"/>
                <w:color w:val="000000"/>
                <w:sz w:val="20"/>
                <w:szCs w:val="21"/>
              </w:rPr>
              <w:t>0.021</w:t>
            </w:r>
          </w:p>
        </w:tc>
        <w:tc>
          <w:tcPr>
            <w:tcW w:w="1503" w:type="dxa"/>
            <w:shd w:val="clear" w:color="auto" w:fill="auto"/>
            <w:vAlign w:val="center"/>
          </w:tcPr>
          <w:p w14:paraId="3857D2EA" w14:textId="77777777" w:rsidR="00FF7197" w:rsidRPr="00FF7197" w:rsidRDefault="00FF7197" w:rsidP="00FF7197">
            <w:pPr>
              <w:rPr>
                <w:sz w:val="20"/>
                <w:szCs w:val="21"/>
              </w:rPr>
            </w:pPr>
            <w:r w:rsidRPr="00FF7197">
              <w:rPr>
                <w:rFonts w:eastAsia="等线"/>
                <w:color w:val="000000"/>
                <w:sz w:val="20"/>
                <w:szCs w:val="21"/>
              </w:rPr>
              <w:t>0.0275</w:t>
            </w:r>
          </w:p>
        </w:tc>
        <w:tc>
          <w:tcPr>
            <w:tcW w:w="1503" w:type="dxa"/>
            <w:shd w:val="clear" w:color="auto" w:fill="auto"/>
            <w:vAlign w:val="center"/>
          </w:tcPr>
          <w:p w14:paraId="1C433F6A" w14:textId="77777777" w:rsidR="00FF7197" w:rsidRPr="00FF7197" w:rsidRDefault="00FF7197" w:rsidP="00FF7197">
            <w:pPr>
              <w:rPr>
                <w:sz w:val="20"/>
                <w:szCs w:val="21"/>
              </w:rPr>
            </w:pPr>
            <w:r w:rsidRPr="00FF7197">
              <w:rPr>
                <w:rFonts w:eastAsia="等线"/>
                <w:color w:val="000000"/>
                <w:sz w:val="20"/>
                <w:szCs w:val="21"/>
              </w:rPr>
              <w:t>0.0375</w:t>
            </w:r>
          </w:p>
        </w:tc>
        <w:tc>
          <w:tcPr>
            <w:tcW w:w="1503" w:type="dxa"/>
            <w:shd w:val="clear" w:color="auto" w:fill="auto"/>
            <w:vAlign w:val="center"/>
          </w:tcPr>
          <w:p w14:paraId="5AE48845" w14:textId="77777777" w:rsidR="00FF7197" w:rsidRPr="00FF7197" w:rsidRDefault="00FF7197" w:rsidP="00FF7197">
            <w:pPr>
              <w:rPr>
                <w:sz w:val="20"/>
                <w:szCs w:val="21"/>
              </w:rPr>
            </w:pPr>
            <w:r w:rsidRPr="00FF7197">
              <w:rPr>
                <w:rFonts w:eastAsia="等线"/>
                <w:color w:val="000000"/>
                <w:sz w:val="20"/>
                <w:szCs w:val="21"/>
              </w:rPr>
              <w:t>0.0475</w:t>
            </w:r>
          </w:p>
        </w:tc>
      </w:tr>
      <w:tr w:rsidR="00FF7197" w:rsidRPr="00FF7197" w14:paraId="5B7299AA" w14:textId="77777777" w:rsidTr="00B0361E">
        <w:trPr>
          <w:trHeight w:val="490"/>
          <w:jc w:val="center"/>
        </w:trPr>
        <w:tc>
          <w:tcPr>
            <w:tcW w:w="1502" w:type="dxa"/>
          </w:tcPr>
          <w:p w14:paraId="70A9F86D" w14:textId="77777777" w:rsidR="00FF7197" w:rsidRPr="00FF7197" w:rsidRDefault="00FF7197" w:rsidP="00FF7197">
            <w:pPr>
              <w:rPr>
                <w:sz w:val="20"/>
                <w:szCs w:val="21"/>
              </w:rPr>
            </w:pPr>
            <w:r w:rsidRPr="00FF7197">
              <w:rPr>
                <w:sz w:val="20"/>
                <w:szCs w:val="21"/>
              </w:rPr>
              <w:t>2017</w:t>
            </w:r>
          </w:p>
        </w:tc>
        <w:tc>
          <w:tcPr>
            <w:tcW w:w="1502" w:type="dxa"/>
            <w:shd w:val="clear" w:color="auto" w:fill="auto"/>
            <w:vAlign w:val="center"/>
          </w:tcPr>
          <w:p w14:paraId="43AC61E3" w14:textId="77777777" w:rsidR="00FF7197" w:rsidRPr="00FF7197" w:rsidRDefault="00FF7197" w:rsidP="00FF7197">
            <w:pPr>
              <w:rPr>
                <w:sz w:val="20"/>
                <w:szCs w:val="21"/>
              </w:rPr>
            </w:pPr>
            <w:r w:rsidRPr="00FF7197">
              <w:rPr>
                <w:rFonts w:eastAsia="等线"/>
                <w:color w:val="000000"/>
                <w:sz w:val="20"/>
                <w:szCs w:val="21"/>
              </w:rPr>
              <w:t>0.015</w:t>
            </w:r>
          </w:p>
        </w:tc>
        <w:tc>
          <w:tcPr>
            <w:tcW w:w="1503" w:type="dxa"/>
            <w:shd w:val="clear" w:color="auto" w:fill="auto"/>
            <w:vAlign w:val="center"/>
          </w:tcPr>
          <w:p w14:paraId="473417B5" w14:textId="77777777" w:rsidR="00FF7197" w:rsidRPr="00FF7197" w:rsidRDefault="00FF7197" w:rsidP="00FF7197">
            <w:pPr>
              <w:rPr>
                <w:sz w:val="20"/>
                <w:szCs w:val="21"/>
              </w:rPr>
            </w:pPr>
            <w:r w:rsidRPr="00FF7197">
              <w:rPr>
                <w:rFonts w:eastAsia="等线"/>
                <w:color w:val="000000"/>
                <w:sz w:val="20"/>
                <w:szCs w:val="21"/>
              </w:rPr>
              <w:t>0.021</w:t>
            </w:r>
          </w:p>
        </w:tc>
        <w:tc>
          <w:tcPr>
            <w:tcW w:w="1503" w:type="dxa"/>
            <w:shd w:val="clear" w:color="auto" w:fill="auto"/>
            <w:vAlign w:val="center"/>
          </w:tcPr>
          <w:p w14:paraId="347E5737" w14:textId="77777777" w:rsidR="00FF7197" w:rsidRPr="00FF7197" w:rsidRDefault="00FF7197" w:rsidP="00FF7197">
            <w:pPr>
              <w:rPr>
                <w:sz w:val="20"/>
                <w:szCs w:val="21"/>
              </w:rPr>
            </w:pPr>
            <w:r w:rsidRPr="00FF7197">
              <w:rPr>
                <w:rFonts w:eastAsia="等线"/>
                <w:color w:val="000000"/>
                <w:sz w:val="20"/>
                <w:szCs w:val="21"/>
              </w:rPr>
              <w:t>0.0275</w:t>
            </w:r>
          </w:p>
        </w:tc>
        <w:tc>
          <w:tcPr>
            <w:tcW w:w="1503" w:type="dxa"/>
            <w:shd w:val="clear" w:color="auto" w:fill="auto"/>
            <w:vAlign w:val="center"/>
          </w:tcPr>
          <w:p w14:paraId="6DE4B85D" w14:textId="77777777" w:rsidR="00FF7197" w:rsidRPr="00FF7197" w:rsidRDefault="00FF7197" w:rsidP="00FF7197">
            <w:pPr>
              <w:rPr>
                <w:sz w:val="20"/>
                <w:szCs w:val="21"/>
              </w:rPr>
            </w:pPr>
            <w:r w:rsidRPr="00FF7197">
              <w:rPr>
                <w:rFonts w:eastAsia="等线"/>
                <w:color w:val="000000"/>
                <w:sz w:val="20"/>
                <w:szCs w:val="21"/>
              </w:rPr>
              <w:t>0.0375</w:t>
            </w:r>
          </w:p>
        </w:tc>
        <w:tc>
          <w:tcPr>
            <w:tcW w:w="1503" w:type="dxa"/>
            <w:shd w:val="clear" w:color="auto" w:fill="auto"/>
            <w:vAlign w:val="center"/>
          </w:tcPr>
          <w:p w14:paraId="7A81AA63" w14:textId="77777777" w:rsidR="00FF7197" w:rsidRPr="00FF7197" w:rsidRDefault="00FF7197" w:rsidP="00FF7197">
            <w:pPr>
              <w:rPr>
                <w:sz w:val="20"/>
                <w:szCs w:val="21"/>
              </w:rPr>
            </w:pPr>
            <w:r w:rsidRPr="00FF7197">
              <w:rPr>
                <w:rFonts w:eastAsia="等线"/>
                <w:color w:val="000000"/>
                <w:sz w:val="20"/>
                <w:szCs w:val="21"/>
              </w:rPr>
              <w:t>0.0475</w:t>
            </w:r>
          </w:p>
        </w:tc>
      </w:tr>
      <w:tr w:rsidR="00FF7197" w:rsidRPr="00FF7197" w14:paraId="081A308E" w14:textId="77777777" w:rsidTr="00B0361E">
        <w:trPr>
          <w:trHeight w:val="490"/>
          <w:jc w:val="center"/>
        </w:trPr>
        <w:tc>
          <w:tcPr>
            <w:tcW w:w="1502" w:type="dxa"/>
          </w:tcPr>
          <w:p w14:paraId="567DF8C8" w14:textId="77777777" w:rsidR="00FF7197" w:rsidRPr="00FF7197" w:rsidRDefault="00FF7197" w:rsidP="00FF7197">
            <w:pPr>
              <w:rPr>
                <w:sz w:val="20"/>
                <w:szCs w:val="21"/>
              </w:rPr>
            </w:pPr>
            <w:r w:rsidRPr="00FF7197">
              <w:rPr>
                <w:sz w:val="20"/>
                <w:szCs w:val="21"/>
              </w:rPr>
              <w:t>2018</w:t>
            </w:r>
          </w:p>
        </w:tc>
        <w:tc>
          <w:tcPr>
            <w:tcW w:w="1502" w:type="dxa"/>
            <w:shd w:val="clear" w:color="auto" w:fill="auto"/>
            <w:vAlign w:val="center"/>
          </w:tcPr>
          <w:p w14:paraId="39BDEB52" w14:textId="77777777" w:rsidR="00FF7197" w:rsidRPr="00FF7197" w:rsidRDefault="00FF7197" w:rsidP="00FF7197">
            <w:pPr>
              <w:rPr>
                <w:sz w:val="20"/>
                <w:szCs w:val="21"/>
              </w:rPr>
            </w:pPr>
            <w:r w:rsidRPr="00FF7197">
              <w:rPr>
                <w:rFonts w:eastAsia="等线"/>
                <w:color w:val="000000"/>
                <w:sz w:val="20"/>
                <w:szCs w:val="21"/>
              </w:rPr>
              <w:t>0.015</w:t>
            </w:r>
          </w:p>
        </w:tc>
        <w:tc>
          <w:tcPr>
            <w:tcW w:w="1503" w:type="dxa"/>
            <w:shd w:val="clear" w:color="auto" w:fill="auto"/>
            <w:vAlign w:val="center"/>
          </w:tcPr>
          <w:p w14:paraId="45F97A63" w14:textId="77777777" w:rsidR="00FF7197" w:rsidRPr="00FF7197" w:rsidRDefault="00FF7197" w:rsidP="00FF7197">
            <w:pPr>
              <w:rPr>
                <w:sz w:val="20"/>
                <w:szCs w:val="21"/>
              </w:rPr>
            </w:pPr>
            <w:r w:rsidRPr="00FF7197">
              <w:rPr>
                <w:rFonts w:eastAsia="等线"/>
                <w:color w:val="000000"/>
                <w:sz w:val="20"/>
                <w:szCs w:val="21"/>
              </w:rPr>
              <w:t>0.021</w:t>
            </w:r>
          </w:p>
        </w:tc>
        <w:tc>
          <w:tcPr>
            <w:tcW w:w="1503" w:type="dxa"/>
            <w:shd w:val="clear" w:color="auto" w:fill="auto"/>
            <w:vAlign w:val="center"/>
          </w:tcPr>
          <w:p w14:paraId="0ED8FA64" w14:textId="77777777" w:rsidR="00FF7197" w:rsidRPr="00FF7197" w:rsidRDefault="00FF7197" w:rsidP="00FF7197">
            <w:pPr>
              <w:rPr>
                <w:sz w:val="20"/>
                <w:szCs w:val="21"/>
              </w:rPr>
            </w:pPr>
            <w:r w:rsidRPr="00FF7197">
              <w:rPr>
                <w:rFonts w:eastAsia="等线"/>
                <w:color w:val="000000"/>
                <w:sz w:val="20"/>
                <w:szCs w:val="21"/>
              </w:rPr>
              <w:t>0.0275</w:t>
            </w:r>
          </w:p>
        </w:tc>
        <w:tc>
          <w:tcPr>
            <w:tcW w:w="1503" w:type="dxa"/>
            <w:shd w:val="clear" w:color="auto" w:fill="auto"/>
            <w:vAlign w:val="center"/>
          </w:tcPr>
          <w:p w14:paraId="350A7A50" w14:textId="77777777" w:rsidR="00FF7197" w:rsidRPr="00FF7197" w:rsidRDefault="00FF7197" w:rsidP="00FF7197">
            <w:pPr>
              <w:rPr>
                <w:sz w:val="20"/>
                <w:szCs w:val="21"/>
              </w:rPr>
            </w:pPr>
            <w:r w:rsidRPr="00FF7197">
              <w:rPr>
                <w:rFonts w:eastAsia="等线"/>
                <w:color w:val="000000"/>
                <w:sz w:val="20"/>
                <w:szCs w:val="21"/>
              </w:rPr>
              <w:t>0.0375</w:t>
            </w:r>
          </w:p>
        </w:tc>
        <w:tc>
          <w:tcPr>
            <w:tcW w:w="1503" w:type="dxa"/>
            <w:shd w:val="clear" w:color="auto" w:fill="auto"/>
            <w:vAlign w:val="center"/>
          </w:tcPr>
          <w:p w14:paraId="6E031A70" w14:textId="77777777" w:rsidR="00FF7197" w:rsidRPr="00FF7197" w:rsidRDefault="00FF7197" w:rsidP="00FF7197">
            <w:pPr>
              <w:rPr>
                <w:sz w:val="20"/>
                <w:szCs w:val="21"/>
              </w:rPr>
            </w:pPr>
            <w:r w:rsidRPr="00FF7197">
              <w:rPr>
                <w:rFonts w:eastAsia="等线"/>
                <w:color w:val="000000"/>
                <w:sz w:val="20"/>
                <w:szCs w:val="21"/>
              </w:rPr>
              <w:t>0.0475</w:t>
            </w:r>
          </w:p>
        </w:tc>
      </w:tr>
      <w:tr w:rsidR="00FF7197" w:rsidRPr="00FF7197" w14:paraId="5555E34F" w14:textId="77777777" w:rsidTr="00B0361E">
        <w:trPr>
          <w:trHeight w:val="506"/>
          <w:jc w:val="center"/>
        </w:trPr>
        <w:tc>
          <w:tcPr>
            <w:tcW w:w="1502" w:type="dxa"/>
            <w:tcBorders>
              <w:bottom w:val="single" w:sz="12" w:space="0" w:color="auto"/>
            </w:tcBorders>
          </w:tcPr>
          <w:p w14:paraId="6FC5606B" w14:textId="77777777" w:rsidR="00FF7197" w:rsidRPr="00FF7197" w:rsidRDefault="00FF7197" w:rsidP="00FF7197">
            <w:pPr>
              <w:rPr>
                <w:sz w:val="20"/>
                <w:szCs w:val="21"/>
              </w:rPr>
            </w:pPr>
            <w:r w:rsidRPr="00FF7197">
              <w:rPr>
                <w:sz w:val="20"/>
                <w:szCs w:val="21"/>
              </w:rPr>
              <w:t>2019</w:t>
            </w:r>
          </w:p>
        </w:tc>
        <w:tc>
          <w:tcPr>
            <w:tcW w:w="1502" w:type="dxa"/>
            <w:tcBorders>
              <w:bottom w:val="single" w:sz="12" w:space="0" w:color="auto"/>
            </w:tcBorders>
            <w:shd w:val="clear" w:color="auto" w:fill="auto"/>
            <w:vAlign w:val="center"/>
          </w:tcPr>
          <w:p w14:paraId="0210E8DA" w14:textId="77777777" w:rsidR="00FF7197" w:rsidRPr="00FF7197" w:rsidRDefault="00FF7197" w:rsidP="00FF7197">
            <w:pPr>
              <w:rPr>
                <w:sz w:val="20"/>
                <w:szCs w:val="21"/>
              </w:rPr>
            </w:pPr>
            <w:r w:rsidRPr="00FF7197">
              <w:rPr>
                <w:rFonts w:eastAsia="等线"/>
                <w:color w:val="000000"/>
                <w:sz w:val="20"/>
                <w:szCs w:val="21"/>
              </w:rPr>
              <w:t>0.015</w:t>
            </w:r>
          </w:p>
        </w:tc>
        <w:tc>
          <w:tcPr>
            <w:tcW w:w="1503" w:type="dxa"/>
            <w:tcBorders>
              <w:bottom w:val="single" w:sz="12" w:space="0" w:color="auto"/>
            </w:tcBorders>
            <w:shd w:val="clear" w:color="auto" w:fill="auto"/>
            <w:vAlign w:val="center"/>
          </w:tcPr>
          <w:p w14:paraId="5DC1AFF6" w14:textId="77777777" w:rsidR="00FF7197" w:rsidRPr="00FF7197" w:rsidRDefault="00FF7197" w:rsidP="00FF7197">
            <w:pPr>
              <w:rPr>
                <w:sz w:val="20"/>
                <w:szCs w:val="21"/>
              </w:rPr>
            </w:pPr>
            <w:r w:rsidRPr="00FF7197">
              <w:rPr>
                <w:rFonts w:eastAsia="等线"/>
                <w:color w:val="000000"/>
                <w:sz w:val="20"/>
                <w:szCs w:val="21"/>
              </w:rPr>
              <w:t>0.021</w:t>
            </w:r>
          </w:p>
        </w:tc>
        <w:tc>
          <w:tcPr>
            <w:tcW w:w="1503" w:type="dxa"/>
            <w:tcBorders>
              <w:bottom w:val="single" w:sz="12" w:space="0" w:color="auto"/>
            </w:tcBorders>
            <w:shd w:val="clear" w:color="auto" w:fill="auto"/>
            <w:vAlign w:val="center"/>
          </w:tcPr>
          <w:p w14:paraId="6A88561F" w14:textId="77777777" w:rsidR="00FF7197" w:rsidRPr="00FF7197" w:rsidRDefault="00FF7197" w:rsidP="00FF7197">
            <w:pPr>
              <w:rPr>
                <w:sz w:val="20"/>
                <w:szCs w:val="21"/>
              </w:rPr>
            </w:pPr>
            <w:r w:rsidRPr="00FF7197">
              <w:rPr>
                <w:rFonts w:eastAsia="等线"/>
                <w:color w:val="000000"/>
                <w:sz w:val="20"/>
                <w:szCs w:val="21"/>
              </w:rPr>
              <w:t>0.0275</w:t>
            </w:r>
          </w:p>
        </w:tc>
        <w:tc>
          <w:tcPr>
            <w:tcW w:w="1503" w:type="dxa"/>
            <w:tcBorders>
              <w:bottom w:val="single" w:sz="12" w:space="0" w:color="auto"/>
            </w:tcBorders>
            <w:shd w:val="clear" w:color="auto" w:fill="auto"/>
            <w:vAlign w:val="center"/>
          </w:tcPr>
          <w:p w14:paraId="0B5CC75F" w14:textId="77777777" w:rsidR="00FF7197" w:rsidRPr="00FF7197" w:rsidRDefault="00FF7197" w:rsidP="00FF7197">
            <w:pPr>
              <w:rPr>
                <w:sz w:val="20"/>
                <w:szCs w:val="21"/>
              </w:rPr>
            </w:pPr>
            <w:r w:rsidRPr="00FF7197">
              <w:rPr>
                <w:rFonts w:eastAsia="等线"/>
                <w:color w:val="000000"/>
                <w:sz w:val="20"/>
                <w:szCs w:val="21"/>
              </w:rPr>
              <w:t>0.0375</w:t>
            </w:r>
          </w:p>
        </w:tc>
        <w:tc>
          <w:tcPr>
            <w:tcW w:w="1503" w:type="dxa"/>
            <w:tcBorders>
              <w:bottom w:val="single" w:sz="12" w:space="0" w:color="auto"/>
            </w:tcBorders>
            <w:shd w:val="clear" w:color="auto" w:fill="auto"/>
            <w:vAlign w:val="center"/>
          </w:tcPr>
          <w:p w14:paraId="01592E67" w14:textId="77777777" w:rsidR="00FF7197" w:rsidRPr="00FF7197" w:rsidRDefault="00FF7197" w:rsidP="00FF7197">
            <w:pPr>
              <w:rPr>
                <w:sz w:val="20"/>
                <w:szCs w:val="21"/>
              </w:rPr>
            </w:pPr>
            <w:r w:rsidRPr="00FF7197">
              <w:rPr>
                <w:rFonts w:eastAsia="等线"/>
                <w:color w:val="000000"/>
                <w:sz w:val="20"/>
                <w:szCs w:val="21"/>
              </w:rPr>
              <w:t>0.0475</w:t>
            </w:r>
          </w:p>
        </w:tc>
      </w:tr>
    </w:tbl>
    <w:p w14:paraId="5AFE28E3" w14:textId="77777777" w:rsidR="00FF7197" w:rsidRPr="00FF7197" w:rsidRDefault="00FF7197" w:rsidP="00FF7197">
      <w:pPr>
        <w:ind w:firstLineChars="200" w:firstLine="480"/>
      </w:pPr>
    </w:p>
    <w:p w14:paraId="4420FFD2" w14:textId="202741D0" w:rsidR="00B07956" w:rsidRDefault="00B07956" w:rsidP="00E2022F">
      <w:pPr>
        <w:ind w:left="480" w:hangingChars="200" w:hanging="480"/>
        <w:jc w:val="center"/>
        <w:rPr>
          <w:rFonts w:ascii="宋体" w:hAnsi="宋体"/>
        </w:rPr>
      </w:pPr>
    </w:p>
    <w:p w14:paraId="1D147E5D" w14:textId="02F72E16" w:rsidR="0058675C" w:rsidRDefault="0058675C" w:rsidP="00E2022F">
      <w:pPr>
        <w:ind w:left="480" w:hangingChars="200" w:hanging="480"/>
        <w:jc w:val="center"/>
        <w:rPr>
          <w:rFonts w:ascii="宋体" w:hAnsi="宋体"/>
        </w:rPr>
      </w:pPr>
    </w:p>
    <w:bookmarkEnd w:id="164"/>
    <w:p w14:paraId="76C3E3B0" w14:textId="4FCF27A4" w:rsidR="00B07956" w:rsidRDefault="00B07956" w:rsidP="00B07956">
      <w:pPr>
        <w:rPr>
          <w:rFonts w:ascii="楷体_GB2312" w:eastAsia="楷体_GB2312" w:hAnsi="宋体"/>
          <w:color w:val="FF0000"/>
        </w:rPr>
      </w:pPr>
    </w:p>
    <w:p w14:paraId="5930968B" w14:textId="380C35C7" w:rsidR="004B148A" w:rsidRDefault="004B148A" w:rsidP="00B07956">
      <w:pPr>
        <w:rPr>
          <w:rFonts w:ascii="楷体_GB2312" w:eastAsia="楷体_GB2312" w:hAnsi="宋体"/>
          <w:color w:val="FF0000"/>
        </w:rPr>
      </w:pPr>
    </w:p>
    <w:p w14:paraId="4777E09E" w14:textId="5CF0F89F" w:rsidR="004B148A" w:rsidRDefault="004B148A" w:rsidP="00B07956">
      <w:pPr>
        <w:rPr>
          <w:rFonts w:ascii="楷体_GB2312" w:eastAsia="楷体_GB2312" w:hAnsi="宋体"/>
          <w:color w:val="FF0000"/>
        </w:rPr>
      </w:pPr>
    </w:p>
    <w:p w14:paraId="237EC2D5" w14:textId="51051B67" w:rsidR="004B148A" w:rsidRDefault="004B148A" w:rsidP="00B07956">
      <w:pPr>
        <w:rPr>
          <w:rFonts w:ascii="楷体_GB2312" w:eastAsia="楷体_GB2312" w:hAnsi="宋体"/>
          <w:color w:val="FF0000"/>
        </w:rPr>
      </w:pPr>
    </w:p>
    <w:p w14:paraId="4BF916D5" w14:textId="2DEDD01B" w:rsidR="004B148A" w:rsidRDefault="004B148A" w:rsidP="00B07956">
      <w:pPr>
        <w:rPr>
          <w:rFonts w:ascii="楷体_GB2312" w:eastAsia="楷体_GB2312" w:hAnsi="宋体"/>
          <w:color w:val="FF0000"/>
        </w:rPr>
      </w:pPr>
    </w:p>
    <w:p w14:paraId="175576C6" w14:textId="44BA5109" w:rsidR="004B148A" w:rsidRDefault="004B148A" w:rsidP="00B07956">
      <w:pPr>
        <w:rPr>
          <w:rFonts w:ascii="楷体_GB2312" w:eastAsia="楷体_GB2312" w:hAnsi="宋体"/>
          <w:color w:val="FF0000"/>
        </w:rPr>
      </w:pPr>
    </w:p>
    <w:p w14:paraId="456BD3BD" w14:textId="54A6DD3D" w:rsidR="004B148A" w:rsidRDefault="004B148A" w:rsidP="00B07956">
      <w:pPr>
        <w:rPr>
          <w:rFonts w:ascii="楷体_GB2312" w:eastAsia="楷体_GB2312" w:hAnsi="宋体"/>
          <w:color w:val="FF0000"/>
        </w:rPr>
      </w:pPr>
    </w:p>
    <w:p w14:paraId="2082565D" w14:textId="7C1030F6" w:rsidR="00E10F00" w:rsidRDefault="00E10F00" w:rsidP="00B07956">
      <w:pPr>
        <w:rPr>
          <w:rFonts w:ascii="楷体_GB2312" w:eastAsia="楷体_GB2312" w:hAnsi="宋体"/>
          <w:color w:val="FF0000"/>
        </w:rPr>
      </w:pPr>
      <w:r>
        <w:rPr>
          <w:rFonts w:ascii="楷体_GB2312" w:eastAsia="楷体_GB2312" w:hAnsi="宋体"/>
          <w:color w:val="FF0000"/>
        </w:rPr>
        <w:br w:type="page"/>
      </w:r>
    </w:p>
    <w:p w14:paraId="1433457B" w14:textId="5764DAC7" w:rsidR="004B148A" w:rsidRDefault="00E10F00" w:rsidP="00B07956">
      <w:pPr>
        <w:rPr>
          <w:rFonts w:ascii="楷体_GB2312" w:eastAsia="楷体_GB2312" w:hAnsi="宋体"/>
          <w:color w:val="FF0000"/>
        </w:rPr>
      </w:pPr>
      <w:r w:rsidRPr="00E10F00">
        <w:lastRenderedPageBreak/>
        <w:drawing>
          <wp:inline distT="0" distB="0" distL="0" distR="0" wp14:anchorId="24386ECE" wp14:editId="412583F3">
            <wp:extent cx="5276850" cy="8077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276850" cy="8077200"/>
                    </a:xfrm>
                    <a:prstGeom prst="rect">
                      <a:avLst/>
                    </a:prstGeom>
                    <a:noFill/>
                    <a:ln>
                      <a:noFill/>
                    </a:ln>
                  </pic:spPr>
                </pic:pic>
              </a:graphicData>
            </a:graphic>
          </wp:inline>
        </w:drawing>
      </w: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7938"/>
      </w:tblGrid>
      <w:tr w:rsidR="00E10F00" w:rsidRPr="00E10F00" w14:paraId="0898E9E5" w14:textId="77777777" w:rsidTr="0032251D">
        <w:trPr>
          <w:trHeight w:val="2825"/>
        </w:trPr>
        <w:tc>
          <w:tcPr>
            <w:tcW w:w="7938" w:type="dxa"/>
          </w:tcPr>
          <w:p w14:paraId="477AB01C" w14:textId="77777777" w:rsidR="00E10F00" w:rsidRPr="00E10F00" w:rsidRDefault="00E10F00" w:rsidP="00E10F00">
            <w:pPr>
              <w:adjustRightInd w:val="0"/>
              <w:spacing w:line="240" w:lineRule="auto"/>
              <w:jc w:val="left"/>
              <w:rPr>
                <w:rFonts w:ascii="华文中宋" w:eastAsia="华文中宋" w:hint="eastAsia"/>
                <w:bCs/>
                <w:sz w:val="28"/>
              </w:rPr>
            </w:pPr>
            <w:r w:rsidRPr="00E10F00">
              <w:rPr>
                <w:rFonts w:ascii="华文中宋" w:eastAsia="华文中宋" w:hint="eastAsia"/>
                <w:bCs/>
                <w:sz w:val="28"/>
              </w:rPr>
              <w:lastRenderedPageBreak/>
              <w:t>课题内容：</w:t>
            </w:r>
          </w:p>
          <w:p w14:paraId="48C2EE00" w14:textId="77777777" w:rsidR="00E10F00" w:rsidRPr="00E10F00" w:rsidRDefault="00E10F00" w:rsidP="00E10F00">
            <w:pPr>
              <w:spacing w:line="240" w:lineRule="auto"/>
              <w:ind w:firstLineChars="200" w:firstLine="420"/>
              <w:rPr>
                <w:sz w:val="21"/>
              </w:rPr>
            </w:pPr>
            <w:r w:rsidRPr="00E10F00">
              <w:rPr>
                <w:rFonts w:hint="eastAsia"/>
                <w:sz w:val="21"/>
              </w:rPr>
              <w:t>高管风险承担与企业</w:t>
            </w:r>
            <w:r w:rsidRPr="00E10F00">
              <w:rPr>
                <w:rFonts w:hint="eastAsia"/>
                <w:sz w:val="21"/>
              </w:rPr>
              <w:t>ESG</w:t>
            </w:r>
            <w:r w:rsidRPr="00E10F00">
              <w:rPr>
                <w:rFonts w:hint="eastAsia"/>
                <w:sz w:val="21"/>
              </w:rPr>
              <w:t>的实证研究：</w:t>
            </w:r>
          </w:p>
          <w:p w14:paraId="793148F1" w14:textId="77777777" w:rsidR="00E10F00" w:rsidRPr="00E10F00" w:rsidRDefault="00E10F00" w:rsidP="00E10F00">
            <w:pPr>
              <w:spacing w:line="240" w:lineRule="auto"/>
              <w:ind w:firstLineChars="200" w:firstLine="420"/>
              <w:rPr>
                <w:sz w:val="21"/>
              </w:rPr>
            </w:pPr>
            <w:r w:rsidRPr="00E10F00">
              <w:rPr>
                <w:rFonts w:hint="eastAsia"/>
                <w:sz w:val="21"/>
              </w:rPr>
              <w:t>环境、社会及公司治理（</w:t>
            </w:r>
            <w:r w:rsidRPr="00E10F00">
              <w:rPr>
                <w:rFonts w:hint="eastAsia"/>
                <w:sz w:val="21"/>
              </w:rPr>
              <w:t>ESG</w:t>
            </w:r>
            <w:r w:rsidRPr="00E10F00">
              <w:rPr>
                <w:rFonts w:hint="eastAsia"/>
                <w:sz w:val="21"/>
              </w:rPr>
              <w:t>）数据有助于认识我国上市企业的环保及社会责任等表现，同时也有助于深化对近年来企业经济行为的理解。</w:t>
            </w:r>
          </w:p>
          <w:p w14:paraId="72C848AC" w14:textId="77777777" w:rsidR="00E10F00" w:rsidRPr="00E10F00" w:rsidRDefault="00E10F00" w:rsidP="00E10F00">
            <w:pPr>
              <w:spacing w:line="240" w:lineRule="auto"/>
              <w:ind w:firstLineChars="200" w:firstLine="420"/>
              <w:rPr>
                <w:rFonts w:ascii="华文中宋" w:eastAsia="华文中宋" w:hAnsi="华文中宋" w:hint="eastAsia"/>
                <w:sz w:val="21"/>
              </w:rPr>
            </w:pPr>
            <w:r w:rsidRPr="00E10F00">
              <w:rPr>
                <w:rFonts w:hint="eastAsia"/>
                <w:sz w:val="21"/>
              </w:rPr>
              <w:t>本文目标是实证研究高管财富敏感性对我国上市公司</w:t>
            </w:r>
            <w:r w:rsidRPr="00E10F00">
              <w:rPr>
                <w:rFonts w:hint="eastAsia"/>
                <w:sz w:val="21"/>
              </w:rPr>
              <w:t xml:space="preserve"> ESG </w:t>
            </w:r>
            <w:r w:rsidRPr="00E10F00">
              <w:rPr>
                <w:rFonts w:hint="eastAsia"/>
                <w:sz w:val="21"/>
              </w:rPr>
              <w:t>表现的影响。我们使用总经理财富对股票价格的敏感性（</w:t>
            </w:r>
            <w:r w:rsidRPr="00E10F00">
              <w:rPr>
                <w:rFonts w:hint="eastAsia"/>
                <w:sz w:val="21"/>
              </w:rPr>
              <w:t>Delta</w:t>
            </w:r>
            <w:r w:rsidRPr="00E10F00">
              <w:rPr>
                <w:rFonts w:hint="eastAsia"/>
                <w:sz w:val="21"/>
              </w:rPr>
              <w:t>）和股票价格波动率的敏感性（</w:t>
            </w:r>
            <w:r w:rsidRPr="00E10F00">
              <w:rPr>
                <w:rFonts w:hint="eastAsia"/>
                <w:sz w:val="21"/>
              </w:rPr>
              <w:t>Vega</w:t>
            </w:r>
            <w:r w:rsidRPr="00E10F00">
              <w:rPr>
                <w:rFonts w:hint="eastAsia"/>
                <w:sz w:val="21"/>
              </w:rPr>
              <w:t>）来提供实证证据，证明高管薪酬结构影响</w:t>
            </w:r>
            <w:r w:rsidRPr="00E10F00">
              <w:rPr>
                <w:rFonts w:hint="eastAsia"/>
                <w:sz w:val="21"/>
              </w:rPr>
              <w:t>ESG</w:t>
            </w:r>
            <w:r w:rsidRPr="00E10F00">
              <w:rPr>
                <w:rFonts w:hint="eastAsia"/>
                <w:sz w:val="21"/>
              </w:rPr>
              <w:t>评分表现。</w:t>
            </w:r>
          </w:p>
        </w:tc>
      </w:tr>
      <w:tr w:rsidR="00E10F00" w:rsidRPr="00E10F00" w14:paraId="040CEB34" w14:textId="77777777" w:rsidTr="0032251D">
        <w:trPr>
          <w:trHeight w:val="3236"/>
        </w:trPr>
        <w:tc>
          <w:tcPr>
            <w:tcW w:w="7938" w:type="dxa"/>
          </w:tcPr>
          <w:p w14:paraId="6D51AFF5" w14:textId="77777777" w:rsidR="00E10F00" w:rsidRPr="00E10F00" w:rsidRDefault="00E10F00" w:rsidP="00E10F00">
            <w:pPr>
              <w:adjustRightInd w:val="0"/>
              <w:spacing w:line="240" w:lineRule="auto"/>
              <w:jc w:val="left"/>
              <w:rPr>
                <w:rFonts w:ascii="华文中宋" w:eastAsia="华文中宋" w:hAnsi="华文中宋" w:hint="eastAsia"/>
                <w:bCs/>
                <w:spacing w:val="-20"/>
                <w:sz w:val="21"/>
                <w:szCs w:val="21"/>
              </w:rPr>
            </w:pPr>
            <w:r w:rsidRPr="00E10F00">
              <w:rPr>
                <w:rFonts w:ascii="华文中宋" w:eastAsia="华文中宋" w:hAnsi="华文中宋" w:hint="eastAsia"/>
                <w:bCs/>
                <w:sz w:val="28"/>
              </w:rPr>
              <w:t>课题任务要求：</w:t>
            </w:r>
            <w:r w:rsidRPr="00E10F00">
              <w:rPr>
                <w:rFonts w:ascii="华文中宋" w:eastAsia="华文中宋" w:hAnsi="华文中宋" w:hint="eastAsia"/>
                <w:bCs/>
                <w:spacing w:val="-20"/>
                <w:sz w:val="21"/>
                <w:szCs w:val="21"/>
              </w:rPr>
              <w:t xml:space="preserve"> </w:t>
            </w:r>
          </w:p>
          <w:p w14:paraId="71D84BED" w14:textId="77777777" w:rsidR="00E10F00" w:rsidRPr="00E10F00" w:rsidRDefault="00E10F00" w:rsidP="00E10F00">
            <w:pPr>
              <w:spacing w:line="240" w:lineRule="auto"/>
              <w:rPr>
                <w:sz w:val="21"/>
              </w:rPr>
            </w:pPr>
            <w:r w:rsidRPr="00E10F00">
              <w:rPr>
                <w:rFonts w:hint="eastAsia"/>
                <w:sz w:val="21"/>
              </w:rPr>
              <w:t>1</w:t>
            </w:r>
            <w:r w:rsidRPr="00E10F00">
              <w:rPr>
                <w:sz w:val="21"/>
              </w:rPr>
              <w:t xml:space="preserve">. </w:t>
            </w:r>
            <w:r w:rsidRPr="00E10F00">
              <w:rPr>
                <w:rFonts w:hint="eastAsia"/>
                <w:sz w:val="21"/>
              </w:rPr>
              <w:t>以高度的责任心何紧迫感认真对待毕业论文的撰写工作，扎实做好每一个环节的工作。</w:t>
            </w:r>
          </w:p>
          <w:p w14:paraId="11E5C21B" w14:textId="77777777" w:rsidR="00E10F00" w:rsidRPr="00E10F00" w:rsidRDefault="00E10F00" w:rsidP="00E10F00">
            <w:pPr>
              <w:spacing w:line="240" w:lineRule="auto"/>
              <w:rPr>
                <w:sz w:val="21"/>
              </w:rPr>
            </w:pPr>
            <w:r w:rsidRPr="00E10F00">
              <w:rPr>
                <w:rFonts w:hint="eastAsia"/>
                <w:sz w:val="21"/>
              </w:rPr>
              <w:t>2</w:t>
            </w:r>
            <w:r w:rsidRPr="00E10F00">
              <w:rPr>
                <w:sz w:val="21"/>
              </w:rPr>
              <w:t xml:space="preserve">. </w:t>
            </w:r>
            <w:r w:rsidRPr="00E10F00">
              <w:rPr>
                <w:rFonts w:hint="eastAsia"/>
                <w:sz w:val="21"/>
              </w:rPr>
              <w:t>收集、整理、研读有关文献资料，做好开题报告何文献综述。</w:t>
            </w:r>
          </w:p>
          <w:p w14:paraId="365434CA" w14:textId="77777777" w:rsidR="00E10F00" w:rsidRPr="00E10F00" w:rsidRDefault="00E10F00" w:rsidP="00E10F00">
            <w:pPr>
              <w:spacing w:line="240" w:lineRule="auto"/>
              <w:rPr>
                <w:sz w:val="21"/>
              </w:rPr>
            </w:pPr>
            <w:r w:rsidRPr="00E10F00">
              <w:rPr>
                <w:rFonts w:hint="eastAsia"/>
                <w:sz w:val="21"/>
              </w:rPr>
              <w:t>3</w:t>
            </w:r>
            <w:r w:rsidRPr="00E10F00">
              <w:rPr>
                <w:sz w:val="21"/>
              </w:rPr>
              <w:t xml:space="preserve">. </w:t>
            </w:r>
            <w:r w:rsidRPr="00E10F00">
              <w:rPr>
                <w:rFonts w:hint="eastAsia"/>
                <w:sz w:val="21"/>
              </w:rPr>
              <w:t>根据文献资料运用所学知识撰写、修改论文。论文要求观点明确、论证充分、结构严谨、语言准确、书写规范。对研究问题有准确把握并有独特见解。</w:t>
            </w:r>
          </w:p>
          <w:p w14:paraId="5779FEF3" w14:textId="77777777" w:rsidR="00E10F00" w:rsidRPr="00E10F00" w:rsidRDefault="00E10F00" w:rsidP="00E10F00">
            <w:pPr>
              <w:spacing w:line="240" w:lineRule="auto"/>
              <w:rPr>
                <w:sz w:val="21"/>
              </w:rPr>
            </w:pPr>
            <w:r w:rsidRPr="00E10F00">
              <w:rPr>
                <w:rFonts w:hint="eastAsia"/>
                <w:sz w:val="21"/>
              </w:rPr>
              <w:t>4</w:t>
            </w:r>
            <w:r w:rsidRPr="00E10F00">
              <w:rPr>
                <w:sz w:val="21"/>
              </w:rPr>
              <w:t xml:space="preserve">. </w:t>
            </w:r>
            <w:r w:rsidRPr="00E10F00">
              <w:rPr>
                <w:rFonts w:hint="eastAsia"/>
                <w:sz w:val="21"/>
              </w:rPr>
              <w:t>可以借鉴他人论点和研究成果，但不得抄袭。</w:t>
            </w:r>
          </w:p>
          <w:p w14:paraId="7E369ABF" w14:textId="77777777" w:rsidR="00E10F00" w:rsidRPr="00E10F00" w:rsidRDefault="00E10F00" w:rsidP="00E10F00">
            <w:pPr>
              <w:spacing w:line="240" w:lineRule="auto"/>
              <w:rPr>
                <w:sz w:val="21"/>
              </w:rPr>
            </w:pPr>
            <w:r w:rsidRPr="00E10F00">
              <w:rPr>
                <w:rFonts w:hint="eastAsia"/>
                <w:sz w:val="21"/>
              </w:rPr>
              <w:t>5</w:t>
            </w:r>
            <w:r w:rsidRPr="00E10F00">
              <w:rPr>
                <w:sz w:val="21"/>
              </w:rPr>
              <w:t xml:space="preserve">. </w:t>
            </w:r>
            <w:r w:rsidRPr="00E10F00">
              <w:rPr>
                <w:rFonts w:hint="eastAsia"/>
                <w:sz w:val="21"/>
              </w:rPr>
              <w:t>论文符合华中科技大学毕业论文撰写规范。</w:t>
            </w:r>
          </w:p>
          <w:p w14:paraId="0FDB95DD" w14:textId="77777777" w:rsidR="00E10F00" w:rsidRPr="00E10F00" w:rsidRDefault="00E10F00" w:rsidP="00E10F00">
            <w:pPr>
              <w:spacing w:line="240" w:lineRule="auto"/>
              <w:rPr>
                <w:sz w:val="21"/>
              </w:rPr>
            </w:pPr>
            <w:r w:rsidRPr="00E10F00">
              <w:rPr>
                <w:rFonts w:hint="eastAsia"/>
                <w:sz w:val="21"/>
              </w:rPr>
              <w:t>6</w:t>
            </w:r>
            <w:r w:rsidRPr="00E10F00">
              <w:rPr>
                <w:sz w:val="21"/>
              </w:rPr>
              <w:t xml:space="preserve">. </w:t>
            </w:r>
            <w:r w:rsidRPr="00E10F00">
              <w:rPr>
                <w:rFonts w:hint="eastAsia"/>
                <w:sz w:val="21"/>
              </w:rPr>
              <w:t>按照要求准备并完成论文答辩工作。</w:t>
            </w:r>
          </w:p>
          <w:p w14:paraId="7610F827" w14:textId="77777777" w:rsidR="00E10F00" w:rsidRPr="00E10F00" w:rsidRDefault="00E10F00" w:rsidP="00E10F00">
            <w:pPr>
              <w:spacing w:line="240" w:lineRule="auto"/>
              <w:rPr>
                <w:rFonts w:hint="eastAsia"/>
                <w:sz w:val="21"/>
              </w:rPr>
            </w:pPr>
            <w:r w:rsidRPr="00E10F00">
              <w:rPr>
                <w:rFonts w:hint="eastAsia"/>
                <w:sz w:val="21"/>
              </w:rPr>
              <w:t>7</w:t>
            </w:r>
            <w:r w:rsidRPr="00E10F00">
              <w:rPr>
                <w:sz w:val="21"/>
              </w:rPr>
              <w:t xml:space="preserve">. </w:t>
            </w:r>
            <w:r w:rsidRPr="00E10F00">
              <w:rPr>
                <w:rFonts w:hint="eastAsia"/>
                <w:sz w:val="21"/>
              </w:rPr>
              <w:t>论文答辩结束后，根据答辩意见完善论文并按要求做好论文整理等工作，圆满完成毕业论文全过程。</w:t>
            </w:r>
          </w:p>
        </w:tc>
      </w:tr>
      <w:tr w:rsidR="00E10F00" w:rsidRPr="00E10F00" w14:paraId="7D36B1CB" w14:textId="77777777" w:rsidTr="0032251D">
        <w:trPr>
          <w:trHeight w:val="1125"/>
        </w:trPr>
        <w:tc>
          <w:tcPr>
            <w:tcW w:w="7938" w:type="dxa"/>
          </w:tcPr>
          <w:p w14:paraId="7EA7E741" w14:textId="77777777" w:rsidR="00E10F00" w:rsidRPr="00E10F00" w:rsidRDefault="00E10F00" w:rsidP="00E10F00">
            <w:pPr>
              <w:adjustRightInd w:val="0"/>
              <w:spacing w:line="240" w:lineRule="auto"/>
              <w:jc w:val="left"/>
              <w:rPr>
                <w:rFonts w:ascii="华文中宋" w:eastAsia="华文中宋" w:hAnsi="华文中宋" w:hint="eastAsia"/>
                <w:bCs/>
                <w:spacing w:val="-20"/>
                <w:sz w:val="21"/>
                <w:szCs w:val="21"/>
              </w:rPr>
            </w:pPr>
            <w:r w:rsidRPr="00E10F00">
              <w:rPr>
                <w:rFonts w:ascii="华文中宋" w:eastAsia="华文中宋" w:hint="eastAsia"/>
                <w:bCs/>
                <w:sz w:val="28"/>
              </w:rPr>
              <w:t>主要参考文献（由指导教师选定）：</w:t>
            </w:r>
          </w:p>
          <w:p w14:paraId="0A5F9FC1" w14:textId="77777777" w:rsidR="00E10F00" w:rsidRPr="00E10F00" w:rsidRDefault="00E10F00" w:rsidP="00E10F00">
            <w:pPr>
              <w:numPr>
                <w:ilvl w:val="0"/>
                <w:numId w:val="3"/>
              </w:numPr>
              <w:spacing w:line="240" w:lineRule="auto"/>
              <w:rPr>
                <w:sz w:val="21"/>
              </w:rPr>
            </w:pPr>
            <w:r w:rsidRPr="00E10F00">
              <w:rPr>
                <w:sz w:val="21"/>
              </w:rPr>
              <w:t xml:space="preserve">Ikram </w:t>
            </w:r>
            <w:proofErr w:type="gramStart"/>
            <w:r w:rsidRPr="00E10F00">
              <w:rPr>
                <w:sz w:val="21"/>
              </w:rPr>
              <w:t>A ,</w:t>
            </w:r>
            <w:proofErr w:type="gramEnd"/>
            <w:r w:rsidRPr="00E10F00">
              <w:rPr>
                <w:sz w:val="21"/>
              </w:rPr>
              <w:t xml:space="preserve">  Li Z F ,  Macdonald T . CEO Pay Sensitivity (Delta and Vega) and Corporate Social Responsibility[J]. Sustainability, 2020, 12(19):7941.</w:t>
            </w:r>
          </w:p>
          <w:p w14:paraId="11805B66" w14:textId="77777777" w:rsidR="00E10F00" w:rsidRPr="00E10F00" w:rsidRDefault="00E10F00" w:rsidP="00E10F00">
            <w:pPr>
              <w:numPr>
                <w:ilvl w:val="0"/>
                <w:numId w:val="3"/>
              </w:numPr>
              <w:spacing w:line="240" w:lineRule="auto"/>
              <w:rPr>
                <w:sz w:val="21"/>
              </w:rPr>
            </w:pPr>
            <w:r w:rsidRPr="00E10F00">
              <w:rPr>
                <w:sz w:val="21"/>
              </w:rPr>
              <w:t xml:space="preserve">Core, J.; </w:t>
            </w:r>
            <w:proofErr w:type="spellStart"/>
            <w:r w:rsidRPr="00E10F00">
              <w:rPr>
                <w:sz w:val="21"/>
              </w:rPr>
              <w:t>Guay</w:t>
            </w:r>
            <w:proofErr w:type="spellEnd"/>
            <w:r w:rsidRPr="00E10F00">
              <w:rPr>
                <w:sz w:val="21"/>
              </w:rPr>
              <w:t>, W. Estimating the value of employee stock option portfolios and their sensitivities to price and volatility. J. Account. Res. 2002, 40, 613–630.</w:t>
            </w:r>
          </w:p>
          <w:p w14:paraId="043F18F2" w14:textId="77777777" w:rsidR="00E10F00" w:rsidRPr="00E10F00" w:rsidRDefault="00E10F00" w:rsidP="00E10F00">
            <w:pPr>
              <w:numPr>
                <w:ilvl w:val="0"/>
                <w:numId w:val="3"/>
              </w:numPr>
              <w:spacing w:line="240" w:lineRule="auto"/>
              <w:rPr>
                <w:sz w:val="21"/>
              </w:rPr>
            </w:pPr>
            <w:r w:rsidRPr="00E10F00">
              <w:rPr>
                <w:sz w:val="21"/>
              </w:rPr>
              <w:t xml:space="preserve">Ju, N.; Leland, H.; </w:t>
            </w:r>
            <w:proofErr w:type="spellStart"/>
            <w:r w:rsidRPr="00E10F00">
              <w:rPr>
                <w:sz w:val="21"/>
              </w:rPr>
              <w:t>Senbet</w:t>
            </w:r>
            <w:proofErr w:type="spellEnd"/>
            <w:r w:rsidRPr="00E10F00">
              <w:rPr>
                <w:sz w:val="21"/>
              </w:rPr>
              <w:t xml:space="preserve">, L.W. Options, option repricing in managerial compensation: Their e </w:t>
            </w:r>
            <w:proofErr w:type="spellStart"/>
            <w:r w:rsidRPr="00E10F00">
              <w:rPr>
                <w:sz w:val="21"/>
              </w:rPr>
              <w:t>ects</w:t>
            </w:r>
            <w:proofErr w:type="spellEnd"/>
            <w:r w:rsidRPr="00E10F00">
              <w:rPr>
                <w:sz w:val="21"/>
              </w:rPr>
              <w:t xml:space="preserve"> on corporate investment risk. J. Corp. </w:t>
            </w:r>
            <w:proofErr w:type="spellStart"/>
            <w:r w:rsidRPr="00E10F00">
              <w:rPr>
                <w:sz w:val="21"/>
              </w:rPr>
              <w:t>Financ</w:t>
            </w:r>
            <w:proofErr w:type="spellEnd"/>
            <w:r w:rsidRPr="00E10F00">
              <w:rPr>
                <w:sz w:val="21"/>
              </w:rPr>
              <w:t>. 2014, 29, 628–643.</w:t>
            </w:r>
          </w:p>
          <w:p w14:paraId="03ACBAEF" w14:textId="77777777" w:rsidR="00E10F00" w:rsidRPr="00E10F00" w:rsidRDefault="00E10F00" w:rsidP="00E10F00">
            <w:pPr>
              <w:numPr>
                <w:ilvl w:val="0"/>
                <w:numId w:val="3"/>
              </w:numPr>
              <w:spacing w:line="240" w:lineRule="auto"/>
              <w:rPr>
                <w:sz w:val="21"/>
              </w:rPr>
            </w:pPr>
            <w:r w:rsidRPr="00E10F00">
              <w:rPr>
                <w:sz w:val="21"/>
              </w:rPr>
              <w:t xml:space="preserve">Aggarwal, R.K.; </w:t>
            </w:r>
            <w:proofErr w:type="spellStart"/>
            <w:r w:rsidRPr="00E10F00">
              <w:rPr>
                <w:sz w:val="21"/>
              </w:rPr>
              <w:t>Samwick</w:t>
            </w:r>
            <w:proofErr w:type="spellEnd"/>
            <w:r w:rsidRPr="00E10F00">
              <w:rPr>
                <w:sz w:val="21"/>
              </w:rPr>
              <w:t xml:space="preserve">, A.A. The other side of the </w:t>
            </w:r>
            <w:proofErr w:type="spellStart"/>
            <w:proofErr w:type="gramStart"/>
            <w:r w:rsidRPr="00E10F00">
              <w:rPr>
                <w:sz w:val="21"/>
              </w:rPr>
              <w:t>tradeo</w:t>
            </w:r>
            <w:proofErr w:type="spellEnd"/>
            <w:r w:rsidRPr="00E10F00">
              <w:rPr>
                <w:sz w:val="21"/>
              </w:rPr>
              <w:t xml:space="preserve"> :</w:t>
            </w:r>
            <w:proofErr w:type="gramEnd"/>
            <w:r w:rsidRPr="00E10F00">
              <w:rPr>
                <w:sz w:val="21"/>
              </w:rPr>
              <w:t xml:space="preserve"> The impact of risk on executive compensation-A reply. SSRN Electron. J. 2002.</w:t>
            </w:r>
          </w:p>
          <w:p w14:paraId="148C0D16" w14:textId="77777777" w:rsidR="00E10F00" w:rsidRPr="00E10F00" w:rsidRDefault="00E10F00" w:rsidP="00E10F00">
            <w:pPr>
              <w:numPr>
                <w:ilvl w:val="0"/>
                <w:numId w:val="3"/>
              </w:numPr>
              <w:spacing w:line="240" w:lineRule="auto"/>
              <w:rPr>
                <w:sz w:val="21"/>
              </w:rPr>
            </w:pPr>
            <w:r w:rsidRPr="00E10F00">
              <w:rPr>
                <w:sz w:val="21"/>
              </w:rPr>
              <w:t>DE SILVA LOKUWADUGE C S, HEENETIGALA K. Integrating environmental, social and governance (ESG) disclosure for a sustainable development: an Australian study[J]. Business strategy and the environment, 2017, 26(4): 438-450.</w:t>
            </w:r>
          </w:p>
          <w:p w14:paraId="5BDEC98D" w14:textId="77777777" w:rsidR="00E10F00" w:rsidRPr="00E10F00" w:rsidRDefault="00E10F00" w:rsidP="00E10F00">
            <w:pPr>
              <w:numPr>
                <w:ilvl w:val="0"/>
                <w:numId w:val="3"/>
              </w:numPr>
              <w:spacing w:line="240" w:lineRule="auto"/>
              <w:rPr>
                <w:sz w:val="21"/>
              </w:rPr>
            </w:pPr>
            <w:r w:rsidRPr="00E10F00">
              <w:rPr>
                <w:sz w:val="21"/>
              </w:rPr>
              <w:t>FRIEDE G, BUSCH T, BASSEN A. ESG and financial performance: aggregated evidence from more than 2000 empirical studies[J]. Journal of sustainable finance &amp; investment, 2015, 5(4): 210-2.</w:t>
            </w:r>
          </w:p>
          <w:p w14:paraId="0CE707C8" w14:textId="77777777" w:rsidR="00E10F00" w:rsidRPr="00E10F00" w:rsidRDefault="00E10F00" w:rsidP="00E10F00">
            <w:pPr>
              <w:numPr>
                <w:ilvl w:val="0"/>
                <w:numId w:val="3"/>
              </w:numPr>
              <w:spacing w:line="240" w:lineRule="auto"/>
              <w:rPr>
                <w:sz w:val="21"/>
              </w:rPr>
            </w:pPr>
            <w:r w:rsidRPr="00E10F00">
              <w:rPr>
                <w:sz w:val="21"/>
              </w:rPr>
              <w:t>VELTE P. Does ESG performance have an impact on financial performance? Evidence from Germany[J]. Journal of global responsibility, 2017, 8(2): 169-178.</w:t>
            </w:r>
          </w:p>
          <w:p w14:paraId="16224A2B" w14:textId="77777777" w:rsidR="00E10F00" w:rsidRPr="00E10F00" w:rsidRDefault="00E10F00" w:rsidP="00E10F00">
            <w:pPr>
              <w:numPr>
                <w:ilvl w:val="0"/>
                <w:numId w:val="3"/>
              </w:numPr>
              <w:spacing w:line="240" w:lineRule="auto"/>
              <w:rPr>
                <w:sz w:val="21"/>
              </w:rPr>
            </w:pPr>
            <w:r w:rsidRPr="00E10F00">
              <w:rPr>
                <w:sz w:val="21"/>
              </w:rPr>
              <w:t xml:space="preserve">ATAN R, ALAM M, SAID J, et al. The impacts of environmental, social, and governance factors on firm performance: panel study of Malaysian companies[J]. Management of </w:t>
            </w:r>
            <w:r w:rsidRPr="00E10F00">
              <w:rPr>
                <w:sz w:val="21"/>
              </w:rPr>
              <w:lastRenderedPageBreak/>
              <w:t>environmental quality: an international journal, 2018, 29(2): 182-19.</w:t>
            </w:r>
          </w:p>
          <w:p w14:paraId="3C84042D" w14:textId="77777777" w:rsidR="00E10F00" w:rsidRPr="00E10F00" w:rsidRDefault="00E10F00" w:rsidP="00E10F00">
            <w:pPr>
              <w:numPr>
                <w:ilvl w:val="0"/>
                <w:numId w:val="3"/>
              </w:numPr>
              <w:spacing w:line="240" w:lineRule="auto"/>
              <w:rPr>
                <w:sz w:val="21"/>
              </w:rPr>
            </w:pPr>
            <w:r w:rsidRPr="00E10F00">
              <w:rPr>
                <w:sz w:val="21"/>
              </w:rPr>
              <w:t>GARCIA A S, MENDES-DA-SILVA W, ORSATO R J. Sensitive industries produce better ESG performance: Evidence from emerging markets[J]. Journal of cleaner production, 2017, 150: 135-147.</w:t>
            </w:r>
          </w:p>
          <w:p w14:paraId="2FA100CD" w14:textId="77777777" w:rsidR="00E10F00" w:rsidRPr="00E10F00" w:rsidRDefault="00E10F00" w:rsidP="00E10F00">
            <w:pPr>
              <w:numPr>
                <w:ilvl w:val="0"/>
                <w:numId w:val="3"/>
              </w:numPr>
              <w:spacing w:line="240" w:lineRule="auto"/>
              <w:rPr>
                <w:rFonts w:hint="eastAsia"/>
                <w:sz w:val="21"/>
              </w:rPr>
            </w:pPr>
            <w:r w:rsidRPr="00E10F00">
              <w:rPr>
                <w:rFonts w:hint="eastAsia"/>
                <w:sz w:val="21"/>
              </w:rPr>
              <w:t>张飒</w:t>
            </w:r>
            <w:r w:rsidRPr="00E10F00">
              <w:rPr>
                <w:rFonts w:hint="eastAsia"/>
                <w:sz w:val="21"/>
              </w:rPr>
              <w:t xml:space="preserve"> . ESG </w:t>
            </w:r>
            <w:r w:rsidRPr="00E10F00">
              <w:rPr>
                <w:rFonts w:hint="eastAsia"/>
                <w:sz w:val="21"/>
              </w:rPr>
              <w:t>体系在我国的应用研究</w:t>
            </w:r>
            <w:r w:rsidRPr="00E10F00">
              <w:rPr>
                <w:rFonts w:hint="eastAsia"/>
                <w:sz w:val="21"/>
              </w:rPr>
              <w:t xml:space="preserve"> [J]. </w:t>
            </w:r>
            <w:r w:rsidRPr="00E10F00">
              <w:rPr>
                <w:rFonts w:hint="eastAsia"/>
                <w:sz w:val="21"/>
              </w:rPr>
              <w:t>金融纵横</w:t>
            </w:r>
            <w:r w:rsidRPr="00E10F00">
              <w:rPr>
                <w:rFonts w:hint="eastAsia"/>
                <w:sz w:val="21"/>
              </w:rPr>
              <w:t xml:space="preserve"> , 2017(11): 80-85.</w:t>
            </w:r>
          </w:p>
          <w:p w14:paraId="4EA872C4" w14:textId="77777777" w:rsidR="00E10F00" w:rsidRPr="00E10F00" w:rsidRDefault="00E10F00" w:rsidP="00E10F00">
            <w:pPr>
              <w:numPr>
                <w:ilvl w:val="0"/>
                <w:numId w:val="3"/>
              </w:numPr>
              <w:spacing w:line="240" w:lineRule="auto"/>
              <w:rPr>
                <w:rFonts w:hint="eastAsia"/>
                <w:sz w:val="21"/>
              </w:rPr>
            </w:pPr>
            <w:r w:rsidRPr="00E10F00">
              <w:rPr>
                <w:rFonts w:hint="eastAsia"/>
                <w:sz w:val="21"/>
              </w:rPr>
              <w:t>马险峰</w:t>
            </w:r>
            <w:r w:rsidRPr="00E10F00">
              <w:rPr>
                <w:rFonts w:hint="eastAsia"/>
                <w:sz w:val="21"/>
              </w:rPr>
              <w:t xml:space="preserve"> , </w:t>
            </w:r>
            <w:r w:rsidRPr="00E10F00">
              <w:rPr>
                <w:rFonts w:hint="eastAsia"/>
                <w:sz w:val="21"/>
              </w:rPr>
              <w:t>王骏娴</w:t>
            </w:r>
            <w:r w:rsidRPr="00E10F00">
              <w:rPr>
                <w:rFonts w:hint="eastAsia"/>
                <w:sz w:val="21"/>
              </w:rPr>
              <w:t xml:space="preserve"> , </w:t>
            </w:r>
            <w:proofErr w:type="gramStart"/>
            <w:r w:rsidRPr="00E10F00">
              <w:rPr>
                <w:rFonts w:hint="eastAsia"/>
                <w:sz w:val="21"/>
              </w:rPr>
              <w:t>秦二娃</w:t>
            </w:r>
            <w:proofErr w:type="gramEnd"/>
            <w:r w:rsidRPr="00E10F00">
              <w:rPr>
                <w:rFonts w:hint="eastAsia"/>
                <w:sz w:val="21"/>
              </w:rPr>
              <w:t xml:space="preserve"> . </w:t>
            </w:r>
            <w:r w:rsidRPr="00E10F00">
              <w:rPr>
                <w:rFonts w:hint="eastAsia"/>
                <w:sz w:val="21"/>
              </w:rPr>
              <w:t>上市公司的</w:t>
            </w:r>
            <w:r w:rsidRPr="00E10F00">
              <w:rPr>
                <w:rFonts w:hint="eastAsia"/>
                <w:sz w:val="21"/>
              </w:rPr>
              <w:t xml:space="preserve"> ESG </w:t>
            </w:r>
            <w:proofErr w:type="gramStart"/>
            <w:r w:rsidRPr="00E10F00">
              <w:rPr>
                <w:rFonts w:hint="eastAsia"/>
                <w:sz w:val="21"/>
              </w:rPr>
              <w:t>信披制度</w:t>
            </w:r>
            <w:proofErr w:type="gramEnd"/>
            <w:r w:rsidRPr="00E10F00">
              <w:rPr>
                <w:rFonts w:hint="eastAsia"/>
                <w:sz w:val="21"/>
              </w:rPr>
              <w:t xml:space="preserve"> [J]. </w:t>
            </w:r>
            <w:r w:rsidRPr="00E10F00">
              <w:rPr>
                <w:rFonts w:hint="eastAsia"/>
                <w:sz w:val="21"/>
              </w:rPr>
              <w:t>中国金融</w:t>
            </w:r>
            <w:r w:rsidRPr="00E10F00">
              <w:rPr>
                <w:rFonts w:hint="eastAsia"/>
                <w:sz w:val="21"/>
              </w:rPr>
              <w:t xml:space="preserve"> , 2016(16): 33-34.</w:t>
            </w:r>
          </w:p>
          <w:p w14:paraId="2F47AF2F" w14:textId="77777777" w:rsidR="00E10F00" w:rsidRPr="00E10F00" w:rsidRDefault="00E10F00" w:rsidP="00E10F00">
            <w:pPr>
              <w:numPr>
                <w:ilvl w:val="0"/>
                <w:numId w:val="3"/>
              </w:numPr>
              <w:spacing w:line="240" w:lineRule="auto"/>
              <w:rPr>
                <w:rFonts w:hint="eastAsia"/>
                <w:sz w:val="21"/>
              </w:rPr>
            </w:pPr>
            <w:r w:rsidRPr="00E10F00">
              <w:rPr>
                <w:rFonts w:hint="eastAsia"/>
                <w:sz w:val="21"/>
              </w:rPr>
              <w:t>中国工商银行绿色金融课题组</w:t>
            </w:r>
            <w:r w:rsidRPr="00E10F00">
              <w:rPr>
                <w:rFonts w:hint="eastAsia"/>
                <w:sz w:val="21"/>
              </w:rPr>
              <w:t xml:space="preserve"> , </w:t>
            </w:r>
            <w:proofErr w:type="gramStart"/>
            <w:r w:rsidRPr="00E10F00">
              <w:rPr>
                <w:rFonts w:hint="eastAsia"/>
                <w:sz w:val="21"/>
              </w:rPr>
              <w:t>张红力</w:t>
            </w:r>
            <w:proofErr w:type="gramEnd"/>
            <w:r w:rsidRPr="00E10F00">
              <w:rPr>
                <w:rFonts w:hint="eastAsia"/>
                <w:sz w:val="21"/>
              </w:rPr>
              <w:t xml:space="preserve"> , </w:t>
            </w:r>
            <w:proofErr w:type="gramStart"/>
            <w:r w:rsidRPr="00E10F00">
              <w:rPr>
                <w:rFonts w:hint="eastAsia"/>
                <w:sz w:val="21"/>
              </w:rPr>
              <w:t>周月秋</w:t>
            </w:r>
            <w:proofErr w:type="gramEnd"/>
            <w:r w:rsidRPr="00E10F00">
              <w:rPr>
                <w:rFonts w:hint="eastAsia"/>
                <w:sz w:val="21"/>
              </w:rPr>
              <w:t xml:space="preserve"> , </w:t>
            </w:r>
            <w:r w:rsidRPr="00E10F00">
              <w:rPr>
                <w:rFonts w:hint="eastAsia"/>
                <w:sz w:val="21"/>
              </w:rPr>
              <w:t>等</w:t>
            </w:r>
            <w:r w:rsidRPr="00E10F00">
              <w:rPr>
                <w:rFonts w:hint="eastAsia"/>
                <w:sz w:val="21"/>
              </w:rPr>
              <w:t xml:space="preserve"> . ESG </w:t>
            </w:r>
            <w:r w:rsidRPr="00E10F00">
              <w:rPr>
                <w:rFonts w:hint="eastAsia"/>
                <w:sz w:val="21"/>
              </w:rPr>
              <w:t>绿色评级及绿色指数研究</w:t>
            </w:r>
            <w:r w:rsidRPr="00E10F00">
              <w:rPr>
                <w:rFonts w:hint="eastAsia"/>
                <w:sz w:val="21"/>
              </w:rPr>
              <w:t xml:space="preserve"> [J]. </w:t>
            </w:r>
            <w:r w:rsidRPr="00E10F00">
              <w:rPr>
                <w:rFonts w:hint="eastAsia"/>
                <w:sz w:val="21"/>
              </w:rPr>
              <w:t>金融论坛</w:t>
            </w:r>
            <w:r w:rsidRPr="00E10F00">
              <w:rPr>
                <w:rFonts w:hint="eastAsia"/>
                <w:sz w:val="21"/>
              </w:rPr>
              <w:t xml:space="preserve"> , 2017, 22(9): 3-14.</w:t>
            </w:r>
          </w:p>
          <w:p w14:paraId="6C1859B7" w14:textId="77777777" w:rsidR="00E10F00" w:rsidRPr="00E10F00" w:rsidRDefault="00E10F00" w:rsidP="00E10F00">
            <w:pPr>
              <w:numPr>
                <w:ilvl w:val="0"/>
                <w:numId w:val="3"/>
              </w:numPr>
              <w:spacing w:line="240" w:lineRule="auto"/>
              <w:rPr>
                <w:rFonts w:hint="eastAsia"/>
                <w:sz w:val="21"/>
              </w:rPr>
            </w:pPr>
            <w:proofErr w:type="gramStart"/>
            <w:r w:rsidRPr="00E10F00">
              <w:rPr>
                <w:rFonts w:hint="eastAsia"/>
                <w:sz w:val="21"/>
              </w:rPr>
              <w:t>张巧良</w:t>
            </w:r>
            <w:proofErr w:type="gramEnd"/>
            <w:r w:rsidRPr="00E10F00">
              <w:rPr>
                <w:rFonts w:hint="eastAsia"/>
                <w:sz w:val="21"/>
              </w:rPr>
              <w:t xml:space="preserve"> , </w:t>
            </w:r>
            <w:r w:rsidRPr="00E10F00">
              <w:rPr>
                <w:rFonts w:hint="eastAsia"/>
                <w:sz w:val="21"/>
              </w:rPr>
              <w:t>孙蕊娟</w:t>
            </w:r>
            <w:r w:rsidRPr="00E10F00">
              <w:rPr>
                <w:rFonts w:hint="eastAsia"/>
                <w:sz w:val="21"/>
              </w:rPr>
              <w:t xml:space="preserve"> . ESG </w:t>
            </w:r>
            <w:r w:rsidRPr="00E10F00">
              <w:rPr>
                <w:rFonts w:hint="eastAsia"/>
                <w:sz w:val="21"/>
              </w:rPr>
              <w:t>信息披露模式与投资者决策中的锚定效应</w:t>
            </w:r>
            <w:r w:rsidRPr="00E10F00">
              <w:rPr>
                <w:rFonts w:hint="eastAsia"/>
                <w:sz w:val="21"/>
              </w:rPr>
              <w:t xml:space="preserve"> [J]. </w:t>
            </w:r>
            <w:r w:rsidRPr="00E10F00">
              <w:rPr>
                <w:rFonts w:hint="eastAsia"/>
                <w:sz w:val="21"/>
              </w:rPr>
              <w:t>财会通讯</w:t>
            </w:r>
            <w:r w:rsidRPr="00E10F00">
              <w:rPr>
                <w:rFonts w:hint="eastAsia"/>
                <w:sz w:val="21"/>
              </w:rPr>
              <w:t xml:space="preserve"> , 2015(29): 26-28, 129-129.</w:t>
            </w:r>
          </w:p>
        </w:tc>
      </w:tr>
      <w:tr w:rsidR="00E10F00" w:rsidRPr="00E10F00" w14:paraId="4BB6376F" w14:textId="77777777" w:rsidTr="0032251D">
        <w:trPr>
          <w:trHeight w:val="1974"/>
        </w:trPr>
        <w:tc>
          <w:tcPr>
            <w:tcW w:w="7938" w:type="dxa"/>
          </w:tcPr>
          <w:p w14:paraId="364FC3BD" w14:textId="77777777" w:rsidR="00E10F00" w:rsidRPr="00E10F00" w:rsidRDefault="00E10F00" w:rsidP="00E10F00">
            <w:pPr>
              <w:spacing w:line="240" w:lineRule="auto"/>
              <w:jc w:val="left"/>
              <w:rPr>
                <w:rFonts w:ascii="华文中宋" w:eastAsia="华文中宋" w:hAnsi="华文中宋" w:hint="eastAsia"/>
                <w:bCs/>
                <w:spacing w:val="-20"/>
                <w:sz w:val="21"/>
                <w:szCs w:val="21"/>
              </w:rPr>
            </w:pPr>
            <w:r w:rsidRPr="00E10F00">
              <w:rPr>
                <w:rFonts w:ascii="华文中宋" w:eastAsia="华文中宋" w:hint="eastAsia"/>
                <w:bCs/>
                <w:sz w:val="28"/>
              </w:rPr>
              <w:lastRenderedPageBreak/>
              <w:t>同组设计者：</w:t>
            </w:r>
          </w:p>
          <w:p w14:paraId="2D150167" w14:textId="77777777" w:rsidR="00E10F00" w:rsidRPr="00E10F00" w:rsidRDefault="00E10F00" w:rsidP="00E10F00">
            <w:pPr>
              <w:spacing w:line="600" w:lineRule="exact"/>
              <w:rPr>
                <w:rFonts w:ascii="宋体" w:hAnsi="宋体"/>
                <w:bCs/>
                <w:spacing w:val="-20"/>
                <w:sz w:val="21"/>
                <w:szCs w:val="21"/>
              </w:rPr>
            </w:pPr>
            <w:r w:rsidRPr="00E10F00">
              <w:rPr>
                <w:rFonts w:ascii="宋体" w:hAnsi="宋体" w:hint="eastAsia"/>
                <w:bCs/>
                <w:spacing w:val="-20"/>
                <w:sz w:val="21"/>
                <w:szCs w:val="21"/>
              </w:rPr>
              <w:t>无</w:t>
            </w:r>
          </w:p>
          <w:p w14:paraId="19E39ACC" w14:textId="77777777" w:rsidR="00E10F00" w:rsidRPr="00E10F00" w:rsidRDefault="00E10F00" w:rsidP="00E10F00">
            <w:pPr>
              <w:spacing w:line="600" w:lineRule="exact"/>
              <w:rPr>
                <w:rFonts w:ascii="华文中宋" w:eastAsia="华文中宋" w:hAnsi="华文中宋" w:hint="eastAsia"/>
                <w:bCs/>
                <w:spacing w:val="-20"/>
                <w:sz w:val="30"/>
                <w:szCs w:val="30"/>
              </w:rPr>
            </w:pPr>
          </w:p>
        </w:tc>
      </w:tr>
      <w:tr w:rsidR="00E10F00" w:rsidRPr="00E10F00" w14:paraId="7E32E11F" w14:textId="77777777" w:rsidTr="0032251D">
        <w:trPr>
          <w:trHeight w:val="983"/>
        </w:trPr>
        <w:tc>
          <w:tcPr>
            <w:tcW w:w="7938" w:type="dxa"/>
          </w:tcPr>
          <w:p w14:paraId="2879876D" w14:textId="77777777" w:rsidR="00E10F00" w:rsidRPr="00E10F00" w:rsidRDefault="00E10F00" w:rsidP="00E10F00">
            <w:pPr>
              <w:spacing w:line="240" w:lineRule="auto"/>
              <w:jc w:val="left"/>
              <w:rPr>
                <w:rFonts w:ascii="华文中宋" w:eastAsia="华文中宋"/>
                <w:bCs/>
                <w:sz w:val="28"/>
              </w:rPr>
            </w:pPr>
            <w:r w:rsidRPr="00E10F00">
              <w:rPr>
                <w:rFonts w:ascii="华文中宋" w:eastAsia="华文中宋" w:hint="eastAsia"/>
                <w:bCs/>
                <w:sz w:val="28"/>
              </w:rPr>
              <w:t>指导教师签名：</w:t>
            </w:r>
          </w:p>
          <w:p w14:paraId="594D1BDD" w14:textId="77777777" w:rsidR="00E10F00" w:rsidRPr="00E10F00" w:rsidRDefault="00E10F00" w:rsidP="00E10F00">
            <w:pPr>
              <w:spacing w:line="240" w:lineRule="auto"/>
              <w:jc w:val="left"/>
              <w:rPr>
                <w:rFonts w:ascii="华文中宋" w:eastAsia="华文中宋" w:hint="eastAsia"/>
                <w:bCs/>
                <w:sz w:val="28"/>
              </w:rPr>
            </w:pPr>
            <w:r w:rsidRPr="00E10F00">
              <w:rPr>
                <w:rFonts w:ascii="华文中宋" w:eastAsia="华文中宋" w:hint="eastAsia"/>
                <w:bCs/>
                <w:sz w:val="28"/>
              </w:rPr>
              <w:t xml:space="preserve"> </w:t>
            </w:r>
            <w:r w:rsidRPr="00E10F00">
              <w:rPr>
                <w:rFonts w:ascii="华文中宋" w:eastAsia="华文中宋"/>
                <w:bCs/>
                <w:sz w:val="28"/>
              </w:rPr>
              <w:t xml:space="preserve">                                      </w:t>
            </w:r>
            <w:r w:rsidRPr="00E10F00">
              <w:rPr>
                <w:rFonts w:ascii="华文中宋" w:eastAsia="华文中宋" w:hint="eastAsia"/>
                <w:bCs/>
                <w:sz w:val="28"/>
              </w:rPr>
              <w:t xml:space="preserve">年 </w:t>
            </w:r>
            <w:r w:rsidRPr="00E10F00">
              <w:rPr>
                <w:rFonts w:ascii="华文中宋" w:eastAsia="华文中宋"/>
                <w:bCs/>
                <w:sz w:val="28"/>
              </w:rPr>
              <w:t xml:space="preserve">   </w:t>
            </w:r>
            <w:r w:rsidRPr="00E10F00">
              <w:rPr>
                <w:rFonts w:ascii="华文中宋" w:eastAsia="华文中宋" w:hint="eastAsia"/>
                <w:bCs/>
                <w:sz w:val="28"/>
              </w:rPr>
              <w:t xml:space="preserve">月 </w:t>
            </w:r>
            <w:r w:rsidRPr="00E10F00">
              <w:rPr>
                <w:rFonts w:ascii="华文中宋" w:eastAsia="华文中宋"/>
                <w:bCs/>
                <w:sz w:val="28"/>
              </w:rPr>
              <w:t xml:space="preserve">   </w:t>
            </w:r>
            <w:r w:rsidRPr="00E10F00">
              <w:rPr>
                <w:rFonts w:ascii="华文中宋" w:eastAsia="华文中宋" w:hint="eastAsia"/>
                <w:bCs/>
                <w:sz w:val="28"/>
              </w:rPr>
              <w:t>日</w:t>
            </w:r>
          </w:p>
        </w:tc>
      </w:tr>
    </w:tbl>
    <w:p w14:paraId="5329F4FC" w14:textId="77777777" w:rsidR="00E10F00" w:rsidRPr="00E10F00" w:rsidRDefault="00E10F00" w:rsidP="00B07956">
      <w:pPr>
        <w:rPr>
          <w:rFonts w:ascii="楷体_GB2312" w:eastAsia="楷体_GB2312" w:hAnsi="宋体" w:hint="eastAsia"/>
          <w:color w:val="FF0000"/>
        </w:rPr>
      </w:pPr>
      <w:bookmarkStart w:id="167" w:name="_GoBack"/>
      <w:bookmarkEnd w:id="167"/>
    </w:p>
    <w:sectPr w:rsidR="00E10F00" w:rsidRPr="00E10F00" w:rsidSect="00EA58B0">
      <w:footerReference w:type="default" r:id="rId38"/>
      <w:pgSz w:w="11906" w:h="16838"/>
      <w:pgMar w:top="1418" w:right="1701" w:bottom="1134" w:left="1701" w:header="851" w:footer="0" w:gutter="0"/>
      <w:pgNumType w:start="1"/>
      <w:cols w:space="425"/>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B011B1" w14:textId="77777777" w:rsidR="00FB2F2B" w:rsidRDefault="00FB2F2B" w:rsidP="00445D8E">
      <w:pPr>
        <w:spacing w:line="240" w:lineRule="auto"/>
      </w:pPr>
      <w:r>
        <w:separator/>
      </w:r>
    </w:p>
  </w:endnote>
  <w:endnote w:type="continuationSeparator" w:id="0">
    <w:p w14:paraId="537B5807" w14:textId="77777777" w:rsidR="00FB2F2B" w:rsidRDefault="00FB2F2B" w:rsidP="00445D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仿宋_GB2312">
    <w:altName w:val="微软雅黑"/>
    <w:charset w:val="86"/>
    <w:family w:val="modern"/>
    <w:pitch w:val="default"/>
    <w:sig w:usb0="00000001" w:usb1="080E0000" w:usb2="00000000" w:usb3="00000000" w:csb0="00040000" w:csb1="00000000"/>
  </w:font>
  <w:font w:name="华文中宋">
    <w:panose1 w:val="02010600040101010101"/>
    <w:charset w:val="86"/>
    <w:family w:val="auto"/>
    <w:pitch w:val="variable"/>
    <w:sig w:usb0="00000287" w:usb1="080F0000" w:usb2="00000010" w:usb3="00000000" w:csb0="0004009F" w:csb1="00000000"/>
  </w:font>
  <w:font w:name="楷体_GB2312">
    <w:altName w:val="微软雅黑"/>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3968676"/>
      <w:docPartObj>
        <w:docPartGallery w:val="Page Numbers (Bottom of Page)"/>
        <w:docPartUnique/>
      </w:docPartObj>
    </w:sdtPr>
    <w:sdtEndPr/>
    <w:sdtContent>
      <w:p w14:paraId="68B0F850" w14:textId="3D2C6733" w:rsidR="002B6021" w:rsidRDefault="00FB2F2B">
        <w:pPr>
          <w:pStyle w:val="a8"/>
        </w:pPr>
      </w:p>
    </w:sdtContent>
  </w:sdt>
  <w:p w14:paraId="76C2E876" w14:textId="77777777" w:rsidR="002B6021" w:rsidRDefault="002B6021">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12DF4" w14:textId="3DA02EE9" w:rsidR="002B6021" w:rsidRDefault="002B6021">
    <w:pPr>
      <w:pStyle w:val="a8"/>
      <w:jc w:val="center"/>
    </w:pPr>
  </w:p>
  <w:p w14:paraId="22E34A73" w14:textId="7CA63EB9" w:rsidR="002B6021" w:rsidRDefault="002B6021" w:rsidP="005927CE">
    <w:pPr>
      <w:pStyle w:val="a8"/>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text" w:horzAnchor="margin" w:tblpY="1"/>
      <w:tblW w:w="5000" w:type="pct"/>
      <w:tblLook w:val="0000" w:firstRow="0" w:lastRow="0" w:firstColumn="0" w:lastColumn="0" w:noHBand="0" w:noVBand="0"/>
    </w:tblPr>
    <w:tblGrid>
      <w:gridCol w:w="3827"/>
      <w:gridCol w:w="850"/>
      <w:gridCol w:w="3827"/>
    </w:tblGrid>
    <w:tr w:rsidR="002B6021" w:rsidRPr="005927CE" w14:paraId="06558F9A" w14:textId="77777777" w:rsidTr="002B6021">
      <w:trPr>
        <w:trHeight w:val="151"/>
      </w:trPr>
      <w:tc>
        <w:tcPr>
          <w:tcW w:w="2250" w:type="pct"/>
          <w:tcBorders>
            <w:bottom w:val="single" w:sz="4" w:space="0" w:color="4F81BD"/>
          </w:tcBorders>
        </w:tcPr>
        <w:p w14:paraId="769C37F1" w14:textId="77777777" w:rsidR="002B6021" w:rsidRPr="005927CE" w:rsidRDefault="002B6021" w:rsidP="00CB2073">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rPr>
              <w:rFonts w:ascii="Cambria" w:hAnsi="Cambria"/>
              <w:b/>
              <w:bCs/>
              <w:sz w:val="18"/>
            </w:rPr>
          </w:pPr>
        </w:p>
      </w:tc>
      <w:tc>
        <w:tcPr>
          <w:tcW w:w="500" w:type="pct"/>
          <w:vMerge w:val="restart"/>
          <w:noWrap/>
          <w:vAlign w:val="center"/>
        </w:tcPr>
        <w:p w14:paraId="621AFFF3" w14:textId="77777777" w:rsidR="002B6021" w:rsidRPr="005927CE" w:rsidRDefault="002B6021" w:rsidP="00CB2073">
          <w:pPr>
            <w:widowControl/>
            <w:spacing w:line="240" w:lineRule="auto"/>
            <w:jc w:val="center"/>
            <w:rPr>
              <w:rFonts w:ascii="Cambria" w:hAnsi="Cambria"/>
              <w:kern w:val="0"/>
              <w:sz w:val="22"/>
              <w:szCs w:val="22"/>
            </w:rPr>
          </w:pPr>
          <w:r>
            <w:fldChar w:fldCharType="begin"/>
          </w:r>
          <w:r>
            <w:instrText>PAGE   \* MERGEFORMAT</w:instrText>
          </w:r>
          <w:r>
            <w:fldChar w:fldCharType="separate"/>
          </w:r>
          <w:r>
            <w:t>III</w:t>
          </w:r>
          <w:r>
            <w:fldChar w:fldCharType="end"/>
          </w:r>
        </w:p>
      </w:tc>
      <w:tc>
        <w:tcPr>
          <w:tcW w:w="2250" w:type="pct"/>
          <w:tcBorders>
            <w:bottom w:val="single" w:sz="4" w:space="0" w:color="4F81BD"/>
          </w:tcBorders>
        </w:tcPr>
        <w:p w14:paraId="40DA0098" w14:textId="77777777" w:rsidR="002B6021" w:rsidRPr="005927CE" w:rsidRDefault="002B6021" w:rsidP="00CB2073">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rPr>
              <w:rFonts w:ascii="Cambria" w:hAnsi="Cambria"/>
              <w:b/>
              <w:bCs/>
              <w:sz w:val="18"/>
            </w:rPr>
          </w:pPr>
        </w:p>
      </w:tc>
    </w:tr>
    <w:tr w:rsidR="002B6021" w:rsidRPr="005927CE" w14:paraId="4905CFF8" w14:textId="77777777" w:rsidTr="002B6021">
      <w:trPr>
        <w:trHeight w:val="150"/>
      </w:trPr>
      <w:tc>
        <w:tcPr>
          <w:tcW w:w="2250" w:type="pct"/>
          <w:tcBorders>
            <w:top w:val="single" w:sz="4" w:space="0" w:color="4F81BD"/>
          </w:tcBorders>
        </w:tcPr>
        <w:p w14:paraId="1B72CC42" w14:textId="77777777" w:rsidR="002B6021" w:rsidRPr="005927CE" w:rsidRDefault="002B6021" w:rsidP="00CB2073">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rPr>
              <w:rFonts w:ascii="Cambria" w:hAnsi="Cambria"/>
              <w:b/>
              <w:bCs/>
              <w:sz w:val="18"/>
            </w:rPr>
          </w:pPr>
        </w:p>
      </w:tc>
      <w:tc>
        <w:tcPr>
          <w:tcW w:w="500" w:type="pct"/>
          <w:vMerge/>
        </w:tcPr>
        <w:p w14:paraId="1E12B421" w14:textId="77777777" w:rsidR="002B6021" w:rsidRPr="005927CE" w:rsidRDefault="002B6021" w:rsidP="00CB2073">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jc w:val="center"/>
            <w:rPr>
              <w:rFonts w:ascii="Cambria" w:hAnsi="Cambria"/>
              <w:b/>
              <w:bCs/>
              <w:sz w:val="18"/>
            </w:rPr>
          </w:pPr>
        </w:p>
      </w:tc>
      <w:tc>
        <w:tcPr>
          <w:tcW w:w="2250" w:type="pct"/>
          <w:tcBorders>
            <w:top w:val="single" w:sz="4" w:space="0" w:color="4F81BD"/>
          </w:tcBorders>
        </w:tcPr>
        <w:p w14:paraId="4E9519A6" w14:textId="77777777" w:rsidR="002B6021" w:rsidRPr="005927CE" w:rsidRDefault="002B6021" w:rsidP="00CB2073">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rPr>
              <w:rFonts w:ascii="Cambria" w:hAnsi="Cambria"/>
              <w:b/>
              <w:bCs/>
              <w:sz w:val="18"/>
            </w:rPr>
          </w:pPr>
        </w:p>
      </w:tc>
    </w:tr>
  </w:tbl>
  <w:p w14:paraId="78DFB0A1" w14:textId="77777777" w:rsidR="002B6021" w:rsidRPr="00CB2073" w:rsidRDefault="002B6021" w:rsidP="00CB2073">
    <w:pPr>
      <w:pStyle w:val="a8"/>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5041651"/>
      <w:docPartObj>
        <w:docPartGallery w:val="Page Numbers (Bottom of Page)"/>
        <w:docPartUnique/>
      </w:docPartObj>
    </w:sdtPr>
    <w:sdtEndPr/>
    <w:sdtContent>
      <w:p w14:paraId="710CEF50" w14:textId="38B4DCC7" w:rsidR="002B6021" w:rsidRDefault="002B6021" w:rsidP="00703708">
        <w:pPr>
          <w:pStyle w:val="a8"/>
        </w:pPr>
      </w:p>
      <w:tbl>
        <w:tblPr>
          <w:tblpPr w:leftFromText="187" w:rightFromText="187" w:vertAnchor="text" w:horzAnchor="margin" w:tblpY="1"/>
          <w:tblW w:w="5000" w:type="pct"/>
          <w:tblLook w:val="0000" w:firstRow="0" w:lastRow="0" w:firstColumn="0" w:lastColumn="0" w:noHBand="0" w:noVBand="0"/>
        </w:tblPr>
        <w:tblGrid>
          <w:gridCol w:w="3827"/>
          <w:gridCol w:w="850"/>
          <w:gridCol w:w="3827"/>
        </w:tblGrid>
        <w:tr w:rsidR="002B6021" w:rsidRPr="005927CE" w14:paraId="013200A8" w14:textId="77777777" w:rsidTr="00A5632C">
          <w:trPr>
            <w:trHeight w:val="151"/>
          </w:trPr>
          <w:tc>
            <w:tcPr>
              <w:tcW w:w="2250" w:type="pct"/>
              <w:tcBorders>
                <w:bottom w:val="single" w:sz="4" w:space="0" w:color="4F81BD"/>
              </w:tcBorders>
            </w:tcPr>
            <w:p w14:paraId="1845BE82" w14:textId="77777777" w:rsidR="002B6021" w:rsidRPr="005927CE" w:rsidRDefault="002B6021" w:rsidP="005927CE">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rPr>
                  <w:rFonts w:ascii="Cambria" w:hAnsi="Cambria"/>
                  <w:b/>
                  <w:bCs/>
                  <w:sz w:val="18"/>
                </w:rPr>
              </w:pPr>
            </w:p>
          </w:tc>
          <w:tc>
            <w:tcPr>
              <w:tcW w:w="500" w:type="pct"/>
              <w:vMerge w:val="restart"/>
              <w:noWrap/>
              <w:vAlign w:val="center"/>
            </w:tcPr>
            <w:p w14:paraId="46AA512D" w14:textId="77777777" w:rsidR="002B6021" w:rsidRPr="005927CE" w:rsidRDefault="002B6021" w:rsidP="005927CE">
              <w:pPr>
                <w:widowControl/>
                <w:spacing w:line="240" w:lineRule="auto"/>
                <w:jc w:val="center"/>
                <w:rPr>
                  <w:rFonts w:ascii="Cambria" w:hAnsi="Cambria"/>
                  <w:kern w:val="0"/>
                  <w:sz w:val="22"/>
                  <w:szCs w:val="22"/>
                </w:rPr>
              </w:pPr>
              <w:r>
                <w:fldChar w:fldCharType="begin"/>
              </w:r>
              <w:r>
                <w:instrText>PAGE   \* MERGEFORMAT</w:instrText>
              </w:r>
              <w:r>
                <w:fldChar w:fldCharType="separate"/>
              </w:r>
              <w:r>
                <w:t>III</w:t>
              </w:r>
              <w:r>
                <w:fldChar w:fldCharType="end"/>
              </w:r>
            </w:p>
          </w:tc>
          <w:tc>
            <w:tcPr>
              <w:tcW w:w="2250" w:type="pct"/>
              <w:tcBorders>
                <w:bottom w:val="single" w:sz="4" w:space="0" w:color="4F81BD"/>
              </w:tcBorders>
            </w:tcPr>
            <w:p w14:paraId="0EF8FDEC" w14:textId="77777777" w:rsidR="002B6021" w:rsidRPr="005927CE" w:rsidRDefault="002B6021" w:rsidP="005927CE">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rPr>
                  <w:rFonts w:ascii="Cambria" w:hAnsi="Cambria"/>
                  <w:b/>
                  <w:bCs/>
                  <w:sz w:val="18"/>
                </w:rPr>
              </w:pPr>
            </w:p>
          </w:tc>
        </w:tr>
        <w:tr w:rsidR="002B6021" w:rsidRPr="005927CE" w14:paraId="6353348C" w14:textId="77777777" w:rsidTr="00A5632C">
          <w:trPr>
            <w:trHeight w:val="150"/>
          </w:trPr>
          <w:tc>
            <w:tcPr>
              <w:tcW w:w="2250" w:type="pct"/>
              <w:tcBorders>
                <w:top w:val="single" w:sz="4" w:space="0" w:color="4F81BD"/>
              </w:tcBorders>
            </w:tcPr>
            <w:p w14:paraId="764FF02A" w14:textId="77777777" w:rsidR="002B6021" w:rsidRPr="005927CE" w:rsidRDefault="002B6021" w:rsidP="005927CE">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rPr>
                  <w:rFonts w:ascii="Cambria" w:hAnsi="Cambria"/>
                  <w:b/>
                  <w:bCs/>
                  <w:sz w:val="18"/>
                </w:rPr>
              </w:pPr>
            </w:p>
          </w:tc>
          <w:tc>
            <w:tcPr>
              <w:tcW w:w="500" w:type="pct"/>
              <w:vMerge/>
            </w:tcPr>
            <w:p w14:paraId="73BD71DE" w14:textId="77777777" w:rsidR="002B6021" w:rsidRPr="005927CE" w:rsidRDefault="002B6021" w:rsidP="005927CE">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jc w:val="center"/>
                <w:rPr>
                  <w:rFonts w:ascii="Cambria" w:hAnsi="Cambria"/>
                  <w:b/>
                  <w:bCs/>
                  <w:sz w:val="18"/>
                </w:rPr>
              </w:pPr>
            </w:p>
          </w:tc>
          <w:tc>
            <w:tcPr>
              <w:tcW w:w="2250" w:type="pct"/>
              <w:tcBorders>
                <w:top w:val="single" w:sz="4" w:space="0" w:color="4F81BD"/>
              </w:tcBorders>
            </w:tcPr>
            <w:p w14:paraId="45C64BB5" w14:textId="77777777" w:rsidR="002B6021" w:rsidRPr="005927CE" w:rsidRDefault="002B6021" w:rsidP="005927CE">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rPr>
                  <w:rFonts w:ascii="Cambria" w:hAnsi="Cambria"/>
                  <w:b/>
                  <w:bCs/>
                  <w:sz w:val="18"/>
                </w:rPr>
              </w:pPr>
            </w:p>
          </w:tc>
        </w:tr>
      </w:tbl>
      <w:p w14:paraId="0A13B7E1" w14:textId="77777777" w:rsidR="002B6021" w:rsidRDefault="002B6021" w:rsidP="005927CE">
        <w:pPr>
          <w:pStyle w:val="a8"/>
          <w:jc w:val="center"/>
        </w:pPr>
      </w:p>
      <w:p w14:paraId="4AC9CB08" w14:textId="39E06845" w:rsidR="002B6021" w:rsidRDefault="00FB2F2B">
        <w:pPr>
          <w:pStyle w:val="a8"/>
          <w:jc w:val="center"/>
        </w:pPr>
      </w:p>
    </w:sdtContent>
  </w:sdt>
  <w:p w14:paraId="3A7ED2DD" w14:textId="77777777" w:rsidR="002B6021" w:rsidRDefault="002B6021">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769150" w14:textId="77777777" w:rsidR="00FB2F2B" w:rsidRDefault="00FB2F2B" w:rsidP="00445D8E">
      <w:pPr>
        <w:spacing w:line="240" w:lineRule="auto"/>
      </w:pPr>
      <w:r>
        <w:separator/>
      </w:r>
    </w:p>
  </w:footnote>
  <w:footnote w:type="continuationSeparator" w:id="0">
    <w:p w14:paraId="0A79AB6F" w14:textId="77777777" w:rsidR="00FB2F2B" w:rsidRDefault="00FB2F2B" w:rsidP="00445D8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70C5CE" w14:textId="77777777" w:rsidR="002B6021" w:rsidRDefault="002B6021" w:rsidP="00445D8E">
    <w:pPr>
      <w:pStyle w:val="aa"/>
      <w:pBdr>
        <w:bottom w:val="single" w:sz="6" w:space="0" w:color="auto"/>
      </w:pBdr>
      <w:spacing w:line="240" w:lineRule="auto"/>
      <w:jc w:val="center"/>
      <w:rPr>
        <w:rFonts w:ascii="华文中宋" w:eastAsia="华文中宋" w:hAnsi="华文中宋"/>
        <w:sz w:val="21"/>
        <w:szCs w:val="21"/>
      </w:rPr>
    </w:pPr>
    <w:r>
      <w:rPr>
        <w:rFonts w:ascii="华文中宋" w:eastAsia="华文中宋" w:hAnsi="华文中宋" w:hint="eastAsia"/>
        <w:sz w:val="21"/>
        <w:szCs w:val="21"/>
      </w:rPr>
      <w:t>华 中 科 技 大 学 本 科 毕 业 设 计（论 文）</w:t>
    </w:r>
  </w:p>
  <w:p w14:paraId="20605B51" w14:textId="77777777" w:rsidR="002B6021" w:rsidRPr="00445D8E" w:rsidRDefault="002B6021">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hybridMultilevel"/>
    <w:tmpl w:val="46E87CCC"/>
    <w:lvl w:ilvl="0" w:tplc="FFFFFFFF">
      <w:start w:val="1"/>
      <w:numFmt w:val="decimal"/>
      <w:lvlText w:val="%1."/>
      <w:lvlJc w:val="left"/>
    </w:lvl>
    <w:lvl w:ilvl="1" w:tplc="FFFFFFFF">
      <w:start w:val="10"/>
      <w:numFmt w:val="upp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28E63B8C"/>
    <w:multiLevelType w:val="hybridMultilevel"/>
    <w:tmpl w:val="7FB00FE2"/>
    <w:lvl w:ilvl="0" w:tplc="6C9AB3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B7D6E27"/>
    <w:multiLevelType w:val="hybridMultilevel"/>
    <w:tmpl w:val="1DC0AEF4"/>
    <w:lvl w:ilvl="0" w:tplc="CA42C24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FC2"/>
    <w:rsid w:val="000018E0"/>
    <w:rsid w:val="00001998"/>
    <w:rsid w:val="00022589"/>
    <w:rsid w:val="0002328C"/>
    <w:rsid w:val="000366B0"/>
    <w:rsid w:val="00047832"/>
    <w:rsid w:val="000573DA"/>
    <w:rsid w:val="00061EDB"/>
    <w:rsid w:val="0006680F"/>
    <w:rsid w:val="0006784E"/>
    <w:rsid w:val="000877B3"/>
    <w:rsid w:val="000B045E"/>
    <w:rsid w:val="000B1BE6"/>
    <w:rsid w:val="000C1775"/>
    <w:rsid w:val="000C3FFA"/>
    <w:rsid w:val="000C5BAB"/>
    <w:rsid w:val="000D4E94"/>
    <w:rsid w:val="000E13D3"/>
    <w:rsid w:val="000E7E30"/>
    <w:rsid w:val="000F37E5"/>
    <w:rsid w:val="000F68C3"/>
    <w:rsid w:val="00105698"/>
    <w:rsid w:val="00114605"/>
    <w:rsid w:val="001230DA"/>
    <w:rsid w:val="00131903"/>
    <w:rsid w:val="0013686D"/>
    <w:rsid w:val="00144F2B"/>
    <w:rsid w:val="00156946"/>
    <w:rsid w:val="001572A3"/>
    <w:rsid w:val="001646B8"/>
    <w:rsid w:val="001732B9"/>
    <w:rsid w:val="00181FC8"/>
    <w:rsid w:val="001856E6"/>
    <w:rsid w:val="001A4163"/>
    <w:rsid w:val="001B3F66"/>
    <w:rsid w:val="001B419B"/>
    <w:rsid w:val="001C66A9"/>
    <w:rsid w:val="001E34A0"/>
    <w:rsid w:val="001E4613"/>
    <w:rsid w:val="001F1A33"/>
    <w:rsid w:val="001F1BBC"/>
    <w:rsid w:val="0020375B"/>
    <w:rsid w:val="00207AFD"/>
    <w:rsid w:val="0021396F"/>
    <w:rsid w:val="002257B4"/>
    <w:rsid w:val="00226BA9"/>
    <w:rsid w:val="00235157"/>
    <w:rsid w:val="0025449B"/>
    <w:rsid w:val="0026782C"/>
    <w:rsid w:val="00276DD1"/>
    <w:rsid w:val="00282C54"/>
    <w:rsid w:val="002842D3"/>
    <w:rsid w:val="002A04DF"/>
    <w:rsid w:val="002A1DE1"/>
    <w:rsid w:val="002B6021"/>
    <w:rsid w:val="002C3414"/>
    <w:rsid w:val="002C4F52"/>
    <w:rsid w:val="00314077"/>
    <w:rsid w:val="00320427"/>
    <w:rsid w:val="00326904"/>
    <w:rsid w:val="00333260"/>
    <w:rsid w:val="00350A74"/>
    <w:rsid w:val="00350FFF"/>
    <w:rsid w:val="00360661"/>
    <w:rsid w:val="00371A21"/>
    <w:rsid w:val="0038098E"/>
    <w:rsid w:val="00386D8C"/>
    <w:rsid w:val="00391762"/>
    <w:rsid w:val="003C6C2B"/>
    <w:rsid w:val="003D0336"/>
    <w:rsid w:val="003E38D6"/>
    <w:rsid w:val="003E4086"/>
    <w:rsid w:val="003E7685"/>
    <w:rsid w:val="003E7A88"/>
    <w:rsid w:val="00402458"/>
    <w:rsid w:val="00420EA7"/>
    <w:rsid w:val="00421A92"/>
    <w:rsid w:val="00427667"/>
    <w:rsid w:val="00434193"/>
    <w:rsid w:val="00441C6C"/>
    <w:rsid w:val="00445D8E"/>
    <w:rsid w:val="00447037"/>
    <w:rsid w:val="00455DEF"/>
    <w:rsid w:val="00466080"/>
    <w:rsid w:val="00481278"/>
    <w:rsid w:val="00492B70"/>
    <w:rsid w:val="00495D36"/>
    <w:rsid w:val="004A07E6"/>
    <w:rsid w:val="004B148A"/>
    <w:rsid w:val="004C6E4A"/>
    <w:rsid w:val="004D263A"/>
    <w:rsid w:val="004D2CE9"/>
    <w:rsid w:val="004E7C53"/>
    <w:rsid w:val="00500368"/>
    <w:rsid w:val="005174C3"/>
    <w:rsid w:val="005229A3"/>
    <w:rsid w:val="00536B25"/>
    <w:rsid w:val="00537040"/>
    <w:rsid w:val="00542F0D"/>
    <w:rsid w:val="00567604"/>
    <w:rsid w:val="005834EE"/>
    <w:rsid w:val="0058675C"/>
    <w:rsid w:val="005870BF"/>
    <w:rsid w:val="005927CE"/>
    <w:rsid w:val="00595F9E"/>
    <w:rsid w:val="005B093F"/>
    <w:rsid w:val="005C535C"/>
    <w:rsid w:val="005D7DBB"/>
    <w:rsid w:val="005F208F"/>
    <w:rsid w:val="005F7E88"/>
    <w:rsid w:val="006055BE"/>
    <w:rsid w:val="006220DD"/>
    <w:rsid w:val="0062220C"/>
    <w:rsid w:val="00624D08"/>
    <w:rsid w:val="00624F3A"/>
    <w:rsid w:val="0063093B"/>
    <w:rsid w:val="00633CE3"/>
    <w:rsid w:val="00650D1A"/>
    <w:rsid w:val="0066471D"/>
    <w:rsid w:val="00666642"/>
    <w:rsid w:val="006723AC"/>
    <w:rsid w:val="00691E6B"/>
    <w:rsid w:val="0069325E"/>
    <w:rsid w:val="00694C0D"/>
    <w:rsid w:val="006A481C"/>
    <w:rsid w:val="006A5051"/>
    <w:rsid w:val="006A70FD"/>
    <w:rsid w:val="006A76E8"/>
    <w:rsid w:val="006A7B6E"/>
    <w:rsid w:val="006B1A98"/>
    <w:rsid w:val="006B5785"/>
    <w:rsid w:val="006C214C"/>
    <w:rsid w:val="006E5D3A"/>
    <w:rsid w:val="006E7CC2"/>
    <w:rsid w:val="006F3155"/>
    <w:rsid w:val="006F5FFC"/>
    <w:rsid w:val="006F624A"/>
    <w:rsid w:val="00703708"/>
    <w:rsid w:val="00710D3A"/>
    <w:rsid w:val="007337B6"/>
    <w:rsid w:val="00734AA3"/>
    <w:rsid w:val="00737A7A"/>
    <w:rsid w:val="00744163"/>
    <w:rsid w:val="007446FE"/>
    <w:rsid w:val="00767BA7"/>
    <w:rsid w:val="007738D1"/>
    <w:rsid w:val="0077427D"/>
    <w:rsid w:val="00777946"/>
    <w:rsid w:val="00783E9C"/>
    <w:rsid w:val="00784739"/>
    <w:rsid w:val="007E27EC"/>
    <w:rsid w:val="007F5173"/>
    <w:rsid w:val="008058A0"/>
    <w:rsid w:val="008071A9"/>
    <w:rsid w:val="00812EA7"/>
    <w:rsid w:val="00833B20"/>
    <w:rsid w:val="0084376C"/>
    <w:rsid w:val="00851C5A"/>
    <w:rsid w:val="00855C85"/>
    <w:rsid w:val="00867C63"/>
    <w:rsid w:val="00870FFD"/>
    <w:rsid w:val="00871FC2"/>
    <w:rsid w:val="00885E90"/>
    <w:rsid w:val="00896D17"/>
    <w:rsid w:val="008B5B04"/>
    <w:rsid w:val="008C3C54"/>
    <w:rsid w:val="008D0297"/>
    <w:rsid w:val="008F3BA7"/>
    <w:rsid w:val="009248CE"/>
    <w:rsid w:val="00937849"/>
    <w:rsid w:val="0094093E"/>
    <w:rsid w:val="00941F71"/>
    <w:rsid w:val="00965844"/>
    <w:rsid w:val="00972E87"/>
    <w:rsid w:val="009739EF"/>
    <w:rsid w:val="00993808"/>
    <w:rsid w:val="009A2758"/>
    <w:rsid w:val="009C7A7D"/>
    <w:rsid w:val="009D1197"/>
    <w:rsid w:val="009D2907"/>
    <w:rsid w:val="009F00C8"/>
    <w:rsid w:val="009F3EAD"/>
    <w:rsid w:val="009F43F9"/>
    <w:rsid w:val="00A0154C"/>
    <w:rsid w:val="00A03584"/>
    <w:rsid w:val="00A102C4"/>
    <w:rsid w:val="00A13378"/>
    <w:rsid w:val="00A160AF"/>
    <w:rsid w:val="00A212FD"/>
    <w:rsid w:val="00A23442"/>
    <w:rsid w:val="00A24F84"/>
    <w:rsid w:val="00A30AA6"/>
    <w:rsid w:val="00A34FD7"/>
    <w:rsid w:val="00A47178"/>
    <w:rsid w:val="00A505BD"/>
    <w:rsid w:val="00A520B8"/>
    <w:rsid w:val="00A539FB"/>
    <w:rsid w:val="00A54D1C"/>
    <w:rsid w:val="00A5632C"/>
    <w:rsid w:val="00A60E67"/>
    <w:rsid w:val="00A61216"/>
    <w:rsid w:val="00A70372"/>
    <w:rsid w:val="00A7156C"/>
    <w:rsid w:val="00AA0519"/>
    <w:rsid w:val="00AA0DDF"/>
    <w:rsid w:val="00AA4624"/>
    <w:rsid w:val="00AA5BEA"/>
    <w:rsid w:val="00AA60B4"/>
    <w:rsid w:val="00AB1F8E"/>
    <w:rsid w:val="00AB3307"/>
    <w:rsid w:val="00AB4AF9"/>
    <w:rsid w:val="00AF54ED"/>
    <w:rsid w:val="00B00E92"/>
    <w:rsid w:val="00B0361E"/>
    <w:rsid w:val="00B07956"/>
    <w:rsid w:val="00B15B20"/>
    <w:rsid w:val="00B22231"/>
    <w:rsid w:val="00B25C40"/>
    <w:rsid w:val="00B4357B"/>
    <w:rsid w:val="00B43D11"/>
    <w:rsid w:val="00B45778"/>
    <w:rsid w:val="00B52167"/>
    <w:rsid w:val="00B56077"/>
    <w:rsid w:val="00B63603"/>
    <w:rsid w:val="00B81A36"/>
    <w:rsid w:val="00B8615F"/>
    <w:rsid w:val="00B94D8D"/>
    <w:rsid w:val="00BA6130"/>
    <w:rsid w:val="00BB073C"/>
    <w:rsid w:val="00BB1D31"/>
    <w:rsid w:val="00BB6B5C"/>
    <w:rsid w:val="00BD4664"/>
    <w:rsid w:val="00BD7B5B"/>
    <w:rsid w:val="00BE3633"/>
    <w:rsid w:val="00BF556F"/>
    <w:rsid w:val="00BF558D"/>
    <w:rsid w:val="00C122EC"/>
    <w:rsid w:val="00C146EE"/>
    <w:rsid w:val="00C50280"/>
    <w:rsid w:val="00C53E21"/>
    <w:rsid w:val="00C758DF"/>
    <w:rsid w:val="00C94784"/>
    <w:rsid w:val="00CA5DBC"/>
    <w:rsid w:val="00CB1502"/>
    <w:rsid w:val="00CB2073"/>
    <w:rsid w:val="00CB6DEA"/>
    <w:rsid w:val="00CC6607"/>
    <w:rsid w:val="00CD3136"/>
    <w:rsid w:val="00D03F75"/>
    <w:rsid w:val="00D145E5"/>
    <w:rsid w:val="00D245C1"/>
    <w:rsid w:val="00D24831"/>
    <w:rsid w:val="00D42884"/>
    <w:rsid w:val="00D42E85"/>
    <w:rsid w:val="00D44468"/>
    <w:rsid w:val="00D63DDA"/>
    <w:rsid w:val="00D653D6"/>
    <w:rsid w:val="00D70BC4"/>
    <w:rsid w:val="00D9230D"/>
    <w:rsid w:val="00D93B25"/>
    <w:rsid w:val="00DA61C1"/>
    <w:rsid w:val="00DB27D7"/>
    <w:rsid w:val="00DB759E"/>
    <w:rsid w:val="00DC363D"/>
    <w:rsid w:val="00DC55C0"/>
    <w:rsid w:val="00DC5689"/>
    <w:rsid w:val="00DC6A6B"/>
    <w:rsid w:val="00DD16F4"/>
    <w:rsid w:val="00DF3DE7"/>
    <w:rsid w:val="00DF6104"/>
    <w:rsid w:val="00E06E89"/>
    <w:rsid w:val="00E10F00"/>
    <w:rsid w:val="00E2022F"/>
    <w:rsid w:val="00E272F1"/>
    <w:rsid w:val="00E32AAE"/>
    <w:rsid w:val="00E352E1"/>
    <w:rsid w:val="00E42086"/>
    <w:rsid w:val="00E56094"/>
    <w:rsid w:val="00E563F0"/>
    <w:rsid w:val="00E6266D"/>
    <w:rsid w:val="00E6281B"/>
    <w:rsid w:val="00E6717B"/>
    <w:rsid w:val="00E675BE"/>
    <w:rsid w:val="00E83AA6"/>
    <w:rsid w:val="00E84850"/>
    <w:rsid w:val="00E907F9"/>
    <w:rsid w:val="00E925BF"/>
    <w:rsid w:val="00EA14A9"/>
    <w:rsid w:val="00EA57B3"/>
    <w:rsid w:val="00EA58B0"/>
    <w:rsid w:val="00EC0B74"/>
    <w:rsid w:val="00ED276C"/>
    <w:rsid w:val="00EF27B2"/>
    <w:rsid w:val="00F12468"/>
    <w:rsid w:val="00F2659E"/>
    <w:rsid w:val="00F37A4B"/>
    <w:rsid w:val="00F5020B"/>
    <w:rsid w:val="00F5091E"/>
    <w:rsid w:val="00F71B0E"/>
    <w:rsid w:val="00F76208"/>
    <w:rsid w:val="00F765E9"/>
    <w:rsid w:val="00F82225"/>
    <w:rsid w:val="00F848E8"/>
    <w:rsid w:val="00F95FD7"/>
    <w:rsid w:val="00FA6D95"/>
    <w:rsid w:val="00FB2F2B"/>
    <w:rsid w:val="00FB6776"/>
    <w:rsid w:val="00FC05EB"/>
    <w:rsid w:val="00FE08B2"/>
    <w:rsid w:val="00FE1AC3"/>
    <w:rsid w:val="00FF02CA"/>
    <w:rsid w:val="00FF386C"/>
    <w:rsid w:val="00FF517A"/>
    <w:rsid w:val="00FF71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27FAE9"/>
  <w15:chartTrackingRefBased/>
  <w15:docId w15:val="{53191DE5-7A2C-49D7-A3CA-0470B002C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B6021"/>
    <w:pPr>
      <w:widowControl w:val="0"/>
      <w:spacing w:line="360" w:lineRule="auto"/>
      <w:jc w:val="both"/>
    </w:pPr>
    <w:rPr>
      <w:rFonts w:ascii="Times New Roman" w:eastAsia="宋体" w:hAnsi="Times New Roman" w:cs="Times New Roman"/>
      <w:sz w:val="24"/>
      <w:szCs w:val="20"/>
    </w:rPr>
  </w:style>
  <w:style w:type="paragraph" w:styleId="1">
    <w:name w:val="heading 1"/>
    <w:aliases w:val="标题3"/>
    <w:basedOn w:val="a"/>
    <w:next w:val="a"/>
    <w:link w:val="10"/>
    <w:qFormat/>
    <w:rsid w:val="008C3C54"/>
    <w:pPr>
      <w:keepNext/>
      <w:keepLines/>
      <w:spacing w:beforeLines="50" w:before="50" w:afterLines="50" w:after="50"/>
      <w:jc w:val="center"/>
      <w:outlineLvl w:val="0"/>
    </w:pPr>
    <w:rPr>
      <w:rFonts w:eastAsia="黑体"/>
      <w:b/>
      <w:bCs/>
      <w:kern w:val="44"/>
      <w:sz w:val="36"/>
      <w:szCs w:val="44"/>
    </w:rPr>
  </w:style>
  <w:style w:type="paragraph" w:styleId="2">
    <w:name w:val="heading 2"/>
    <w:basedOn w:val="a"/>
    <w:next w:val="a"/>
    <w:link w:val="20"/>
    <w:uiPriority w:val="9"/>
    <w:unhideWhenUsed/>
    <w:qFormat/>
    <w:rsid w:val="002B6021"/>
    <w:pPr>
      <w:keepNext/>
      <w:keepLines/>
      <w:spacing w:beforeLines="50" w:before="50" w:afterLines="50" w:after="50" w:line="240" w:lineRule="auto"/>
      <w:outlineLvl w:val="1"/>
    </w:pPr>
    <w:rPr>
      <w:rFonts w:eastAsia="黑体" w:cstheme="majorBidi"/>
      <w:b/>
      <w:bCs/>
      <w:sz w:val="28"/>
      <w:szCs w:val="32"/>
    </w:rPr>
  </w:style>
  <w:style w:type="paragraph" w:styleId="3">
    <w:name w:val="heading 3"/>
    <w:basedOn w:val="a"/>
    <w:next w:val="a"/>
    <w:link w:val="30"/>
    <w:uiPriority w:val="9"/>
    <w:unhideWhenUsed/>
    <w:qFormat/>
    <w:rsid w:val="00855C85"/>
    <w:pPr>
      <w:keepNext/>
      <w:keepLines/>
      <w:spacing w:before="260" w:after="260" w:line="416" w:lineRule="auto"/>
      <w:outlineLvl w:val="2"/>
    </w:pPr>
    <w:rPr>
      <w:rFonts w:eastAsia="黑体"/>
      <w:b/>
      <w:bCs/>
      <w:szCs w:val="32"/>
    </w:rPr>
  </w:style>
  <w:style w:type="paragraph" w:styleId="4">
    <w:name w:val="heading 4"/>
    <w:basedOn w:val="a"/>
    <w:next w:val="a"/>
    <w:link w:val="40"/>
    <w:uiPriority w:val="9"/>
    <w:unhideWhenUsed/>
    <w:qFormat/>
    <w:rsid w:val="005229A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71FC2"/>
    <w:pPr>
      <w:spacing w:before="240" w:after="60"/>
      <w:jc w:val="center"/>
      <w:outlineLvl w:val="0"/>
    </w:pPr>
    <w:rPr>
      <w:rFonts w:ascii="等线 Light" w:eastAsia="黑体" w:hAnsi="等线 Light"/>
      <w:b/>
      <w:bCs/>
      <w:sz w:val="36"/>
      <w:szCs w:val="32"/>
    </w:rPr>
  </w:style>
  <w:style w:type="character" w:customStyle="1" w:styleId="a4">
    <w:name w:val="标题 字符"/>
    <w:basedOn w:val="a0"/>
    <w:link w:val="a3"/>
    <w:uiPriority w:val="10"/>
    <w:rsid w:val="00871FC2"/>
    <w:rPr>
      <w:rFonts w:ascii="等线 Light" w:eastAsia="黑体" w:hAnsi="等线 Light" w:cs="Times New Roman"/>
      <w:b/>
      <w:bCs/>
      <w:sz w:val="36"/>
      <w:szCs w:val="32"/>
    </w:rPr>
  </w:style>
  <w:style w:type="paragraph" w:customStyle="1" w:styleId="a5">
    <w:name w:val="二级标题"/>
    <w:basedOn w:val="a"/>
    <w:link w:val="a6"/>
    <w:qFormat/>
    <w:rsid w:val="00871FC2"/>
    <w:pPr>
      <w:spacing w:beforeLines="50" w:before="156" w:afterLines="50" w:after="156"/>
    </w:pPr>
    <w:rPr>
      <w:b/>
      <w:sz w:val="28"/>
      <w:szCs w:val="28"/>
    </w:rPr>
  </w:style>
  <w:style w:type="character" w:customStyle="1" w:styleId="a6">
    <w:name w:val="二级标题 字符"/>
    <w:link w:val="a5"/>
    <w:rsid w:val="00871FC2"/>
    <w:rPr>
      <w:rFonts w:ascii="Times New Roman" w:eastAsia="宋体" w:hAnsi="Times New Roman" w:cs="Times New Roman"/>
      <w:b/>
      <w:sz w:val="28"/>
      <w:szCs w:val="28"/>
    </w:rPr>
  </w:style>
  <w:style w:type="character" w:customStyle="1" w:styleId="10">
    <w:name w:val="标题 1 字符"/>
    <w:aliases w:val="标题3 字符"/>
    <w:basedOn w:val="a0"/>
    <w:link w:val="1"/>
    <w:rsid w:val="008C3C54"/>
    <w:rPr>
      <w:rFonts w:ascii="Times New Roman" w:eastAsia="黑体" w:hAnsi="Times New Roman" w:cs="Times New Roman"/>
      <w:b/>
      <w:bCs/>
      <w:kern w:val="44"/>
      <w:sz w:val="36"/>
      <w:szCs w:val="44"/>
    </w:rPr>
  </w:style>
  <w:style w:type="character" w:customStyle="1" w:styleId="20">
    <w:name w:val="标题 2 字符"/>
    <w:basedOn w:val="a0"/>
    <w:link w:val="2"/>
    <w:uiPriority w:val="9"/>
    <w:rsid w:val="002B6021"/>
    <w:rPr>
      <w:rFonts w:ascii="Times New Roman" w:eastAsia="黑体" w:hAnsi="Times New Roman" w:cstheme="majorBidi"/>
      <w:b/>
      <w:bCs/>
      <w:sz w:val="28"/>
      <w:szCs w:val="32"/>
    </w:rPr>
  </w:style>
  <w:style w:type="character" w:customStyle="1" w:styleId="30">
    <w:name w:val="标题 3 字符"/>
    <w:basedOn w:val="a0"/>
    <w:link w:val="3"/>
    <w:uiPriority w:val="9"/>
    <w:rsid w:val="00855C85"/>
    <w:rPr>
      <w:rFonts w:ascii="Times New Roman" w:eastAsia="黑体" w:hAnsi="Times New Roman" w:cs="Times New Roman"/>
      <w:b/>
      <w:bCs/>
      <w:sz w:val="24"/>
      <w:szCs w:val="32"/>
    </w:rPr>
  </w:style>
  <w:style w:type="paragraph" w:styleId="TOC">
    <w:name w:val="TOC Heading"/>
    <w:basedOn w:val="1"/>
    <w:next w:val="a"/>
    <w:uiPriority w:val="39"/>
    <w:unhideWhenUsed/>
    <w:qFormat/>
    <w:rsid w:val="00871FC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0018E0"/>
    <w:pPr>
      <w:tabs>
        <w:tab w:val="right" w:leader="dot" w:pos="8296"/>
      </w:tabs>
    </w:pPr>
    <w:rPr>
      <w:b/>
      <w:bCs/>
      <w:noProof/>
      <w:szCs w:val="24"/>
    </w:rPr>
  </w:style>
  <w:style w:type="paragraph" w:styleId="TOC2">
    <w:name w:val="toc 2"/>
    <w:basedOn w:val="a"/>
    <w:next w:val="a"/>
    <w:autoRedefine/>
    <w:uiPriority w:val="39"/>
    <w:unhideWhenUsed/>
    <w:rsid w:val="00F2659E"/>
    <w:pPr>
      <w:tabs>
        <w:tab w:val="right" w:leader="dot" w:pos="8296"/>
      </w:tabs>
      <w:ind w:leftChars="200" w:left="420"/>
    </w:pPr>
    <w:rPr>
      <w:noProof/>
    </w:rPr>
  </w:style>
  <w:style w:type="paragraph" w:styleId="TOC3">
    <w:name w:val="toc 3"/>
    <w:basedOn w:val="a"/>
    <w:next w:val="a"/>
    <w:autoRedefine/>
    <w:uiPriority w:val="39"/>
    <w:unhideWhenUsed/>
    <w:rsid w:val="00871FC2"/>
    <w:pPr>
      <w:ind w:leftChars="400" w:left="840"/>
    </w:pPr>
  </w:style>
  <w:style w:type="character" w:styleId="a7">
    <w:name w:val="Hyperlink"/>
    <w:basedOn w:val="a0"/>
    <w:uiPriority w:val="99"/>
    <w:unhideWhenUsed/>
    <w:rsid w:val="00871FC2"/>
    <w:rPr>
      <w:color w:val="0563C1" w:themeColor="hyperlink"/>
      <w:u w:val="single"/>
    </w:rPr>
  </w:style>
  <w:style w:type="paragraph" w:styleId="a8">
    <w:name w:val="footer"/>
    <w:basedOn w:val="a"/>
    <w:link w:val="a9"/>
    <w:uiPriority w:val="99"/>
    <w:rsid w:val="00B07956"/>
    <w:pPr>
      <w:tabs>
        <w:tab w:val="center" w:pos="4153"/>
        <w:tab w:val="right" w:pos="8306"/>
      </w:tabs>
      <w:snapToGrid w:val="0"/>
      <w:jc w:val="left"/>
    </w:pPr>
    <w:rPr>
      <w:sz w:val="18"/>
    </w:rPr>
  </w:style>
  <w:style w:type="character" w:customStyle="1" w:styleId="a9">
    <w:name w:val="页脚 字符"/>
    <w:basedOn w:val="a0"/>
    <w:link w:val="a8"/>
    <w:uiPriority w:val="99"/>
    <w:rsid w:val="00B07956"/>
    <w:rPr>
      <w:rFonts w:ascii="Times New Roman" w:eastAsia="宋体" w:hAnsi="Times New Roman" w:cs="Times New Roman"/>
      <w:sz w:val="18"/>
      <w:szCs w:val="20"/>
    </w:rPr>
  </w:style>
  <w:style w:type="paragraph" w:styleId="aa">
    <w:name w:val="header"/>
    <w:basedOn w:val="a"/>
    <w:link w:val="ab"/>
    <w:uiPriority w:val="99"/>
    <w:rsid w:val="00B07956"/>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ab">
    <w:name w:val="页眉 字符"/>
    <w:basedOn w:val="a0"/>
    <w:link w:val="aa"/>
    <w:uiPriority w:val="99"/>
    <w:rsid w:val="00B07956"/>
    <w:rPr>
      <w:rFonts w:ascii="Times New Roman" w:eastAsia="宋体" w:hAnsi="Times New Roman" w:cs="Times New Roman"/>
      <w:sz w:val="18"/>
      <w:szCs w:val="20"/>
    </w:rPr>
  </w:style>
  <w:style w:type="table" w:styleId="ac">
    <w:name w:val="Table Grid"/>
    <w:basedOn w:val="a1"/>
    <w:uiPriority w:val="59"/>
    <w:rsid w:val="00B07956"/>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d">
    <w:name w:val="Balloon Text"/>
    <w:basedOn w:val="a"/>
    <w:link w:val="ae"/>
    <w:uiPriority w:val="99"/>
    <w:semiHidden/>
    <w:unhideWhenUsed/>
    <w:rsid w:val="00B07956"/>
    <w:rPr>
      <w:sz w:val="18"/>
      <w:szCs w:val="18"/>
    </w:rPr>
  </w:style>
  <w:style w:type="character" w:customStyle="1" w:styleId="ae">
    <w:name w:val="批注框文本 字符"/>
    <w:basedOn w:val="a0"/>
    <w:link w:val="ad"/>
    <w:uiPriority w:val="99"/>
    <w:semiHidden/>
    <w:rsid w:val="00B07956"/>
    <w:rPr>
      <w:rFonts w:ascii="Times New Roman" w:eastAsia="宋体" w:hAnsi="Times New Roman" w:cs="Times New Roman"/>
      <w:sz w:val="18"/>
      <w:szCs w:val="18"/>
    </w:rPr>
  </w:style>
  <w:style w:type="paragraph" w:customStyle="1" w:styleId="Default">
    <w:name w:val="Default"/>
    <w:rsid w:val="00B07956"/>
    <w:pPr>
      <w:widowControl w:val="0"/>
      <w:autoSpaceDE w:val="0"/>
      <w:autoSpaceDN w:val="0"/>
      <w:adjustRightInd w:val="0"/>
    </w:pPr>
    <w:rPr>
      <w:rFonts w:ascii="宋体" w:eastAsia="宋体" w:hAnsi="Times New Roman" w:cs="宋体"/>
      <w:color w:val="000000"/>
      <w:kern w:val="0"/>
      <w:sz w:val="24"/>
      <w:szCs w:val="24"/>
    </w:rPr>
  </w:style>
  <w:style w:type="paragraph" w:styleId="af">
    <w:name w:val="No Spacing"/>
    <w:link w:val="af0"/>
    <w:qFormat/>
    <w:rsid w:val="00B07956"/>
    <w:rPr>
      <w:rFonts w:ascii="Calibri" w:eastAsia="宋体" w:hAnsi="Calibri" w:cs="Times New Roman"/>
      <w:kern w:val="0"/>
      <w:sz w:val="22"/>
    </w:rPr>
  </w:style>
  <w:style w:type="character" w:customStyle="1" w:styleId="af0">
    <w:name w:val="无间隔 字符"/>
    <w:link w:val="af"/>
    <w:rsid w:val="00B07956"/>
    <w:rPr>
      <w:rFonts w:ascii="Calibri" w:eastAsia="宋体" w:hAnsi="Calibri" w:cs="Times New Roman"/>
      <w:kern w:val="0"/>
      <w:sz w:val="22"/>
    </w:rPr>
  </w:style>
  <w:style w:type="paragraph" w:customStyle="1" w:styleId="MTDisplayEquation">
    <w:name w:val="MTDisplayEquation"/>
    <w:basedOn w:val="a"/>
    <w:next w:val="a"/>
    <w:link w:val="MTDisplayEquation0"/>
    <w:rsid w:val="00B07956"/>
    <w:pPr>
      <w:tabs>
        <w:tab w:val="center" w:pos="4160"/>
        <w:tab w:val="right" w:pos="8300"/>
      </w:tabs>
    </w:pPr>
    <w:rPr>
      <w:rFonts w:ascii="宋体" w:hAnsi="宋体"/>
    </w:rPr>
  </w:style>
  <w:style w:type="character" w:customStyle="1" w:styleId="MTDisplayEquation0">
    <w:name w:val="MTDisplayEquation 字符"/>
    <w:link w:val="MTDisplayEquation"/>
    <w:rsid w:val="00B07956"/>
    <w:rPr>
      <w:rFonts w:ascii="宋体" w:eastAsia="宋体" w:hAnsi="宋体" w:cs="Times New Roman"/>
      <w:sz w:val="24"/>
      <w:szCs w:val="20"/>
    </w:rPr>
  </w:style>
  <w:style w:type="paragraph" w:styleId="af1">
    <w:name w:val="List Paragraph"/>
    <w:basedOn w:val="a"/>
    <w:uiPriority w:val="34"/>
    <w:qFormat/>
    <w:rsid w:val="00E2022F"/>
    <w:pPr>
      <w:ind w:firstLineChars="200" w:firstLine="420"/>
    </w:pPr>
  </w:style>
  <w:style w:type="character" w:styleId="af2">
    <w:name w:val="Unresolved Mention"/>
    <w:basedOn w:val="a0"/>
    <w:uiPriority w:val="99"/>
    <w:semiHidden/>
    <w:unhideWhenUsed/>
    <w:rsid w:val="00666642"/>
    <w:rPr>
      <w:color w:val="605E5C"/>
      <w:shd w:val="clear" w:color="auto" w:fill="E1DFDD"/>
    </w:rPr>
  </w:style>
  <w:style w:type="character" w:customStyle="1" w:styleId="40">
    <w:name w:val="标题 4 字符"/>
    <w:basedOn w:val="a0"/>
    <w:link w:val="4"/>
    <w:uiPriority w:val="9"/>
    <w:rsid w:val="005229A3"/>
    <w:rPr>
      <w:rFonts w:asciiTheme="majorHAnsi" w:eastAsiaTheme="majorEastAsia" w:hAnsiTheme="majorHAnsi" w:cstheme="majorBidi"/>
      <w:b/>
      <w:bCs/>
      <w:sz w:val="28"/>
      <w:szCs w:val="28"/>
    </w:rPr>
  </w:style>
  <w:style w:type="character" w:styleId="af3">
    <w:name w:val="Placeholder Text"/>
    <w:basedOn w:val="a0"/>
    <w:uiPriority w:val="99"/>
    <w:semiHidden/>
    <w:rsid w:val="00E6717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62570">
      <w:bodyDiv w:val="1"/>
      <w:marLeft w:val="0"/>
      <w:marRight w:val="0"/>
      <w:marTop w:val="0"/>
      <w:marBottom w:val="0"/>
      <w:divBdr>
        <w:top w:val="none" w:sz="0" w:space="0" w:color="auto"/>
        <w:left w:val="none" w:sz="0" w:space="0" w:color="auto"/>
        <w:bottom w:val="none" w:sz="0" w:space="0" w:color="auto"/>
        <w:right w:val="none" w:sz="0" w:space="0" w:color="auto"/>
      </w:divBdr>
    </w:div>
    <w:div w:id="96096270">
      <w:bodyDiv w:val="1"/>
      <w:marLeft w:val="0"/>
      <w:marRight w:val="0"/>
      <w:marTop w:val="0"/>
      <w:marBottom w:val="0"/>
      <w:divBdr>
        <w:top w:val="none" w:sz="0" w:space="0" w:color="auto"/>
        <w:left w:val="none" w:sz="0" w:space="0" w:color="auto"/>
        <w:bottom w:val="none" w:sz="0" w:space="0" w:color="auto"/>
        <w:right w:val="none" w:sz="0" w:space="0" w:color="auto"/>
      </w:divBdr>
      <w:divsChild>
        <w:div w:id="259065800">
          <w:marLeft w:val="0"/>
          <w:marRight w:val="0"/>
          <w:marTop w:val="0"/>
          <w:marBottom w:val="0"/>
          <w:divBdr>
            <w:top w:val="none" w:sz="0" w:space="0" w:color="auto"/>
            <w:left w:val="none" w:sz="0" w:space="0" w:color="auto"/>
            <w:bottom w:val="none" w:sz="0" w:space="0" w:color="auto"/>
            <w:right w:val="none" w:sz="0" w:space="0" w:color="auto"/>
          </w:divBdr>
        </w:div>
      </w:divsChild>
    </w:div>
    <w:div w:id="619070881">
      <w:bodyDiv w:val="1"/>
      <w:marLeft w:val="0"/>
      <w:marRight w:val="0"/>
      <w:marTop w:val="0"/>
      <w:marBottom w:val="0"/>
      <w:divBdr>
        <w:top w:val="none" w:sz="0" w:space="0" w:color="auto"/>
        <w:left w:val="none" w:sz="0" w:space="0" w:color="auto"/>
        <w:bottom w:val="none" w:sz="0" w:space="0" w:color="auto"/>
        <w:right w:val="none" w:sz="0" w:space="0" w:color="auto"/>
      </w:divBdr>
    </w:div>
    <w:div w:id="664285129">
      <w:bodyDiv w:val="1"/>
      <w:marLeft w:val="0"/>
      <w:marRight w:val="0"/>
      <w:marTop w:val="0"/>
      <w:marBottom w:val="0"/>
      <w:divBdr>
        <w:top w:val="none" w:sz="0" w:space="0" w:color="auto"/>
        <w:left w:val="none" w:sz="0" w:space="0" w:color="auto"/>
        <w:bottom w:val="none" w:sz="0" w:space="0" w:color="auto"/>
        <w:right w:val="none" w:sz="0" w:space="0" w:color="auto"/>
      </w:divBdr>
    </w:div>
    <w:div w:id="834421228">
      <w:bodyDiv w:val="1"/>
      <w:marLeft w:val="0"/>
      <w:marRight w:val="0"/>
      <w:marTop w:val="0"/>
      <w:marBottom w:val="0"/>
      <w:divBdr>
        <w:top w:val="none" w:sz="0" w:space="0" w:color="auto"/>
        <w:left w:val="none" w:sz="0" w:space="0" w:color="auto"/>
        <w:bottom w:val="none" w:sz="0" w:space="0" w:color="auto"/>
        <w:right w:val="none" w:sz="0" w:space="0" w:color="auto"/>
      </w:divBdr>
    </w:div>
    <w:div w:id="993416791">
      <w:bodyDiv w:val="1"/>
      <w:marLeft w:val="0"/>
      <w:marRight w:val="0"/>
      <w:marTop w:val="0"/>
      <w:marBottom w:val="0"/>
      <w:divBdr>
        <w:top w:val="none" w:sz="0" w:space="0" w:color="auto"/>
        <w:left w:val="none" w:sz="0" w:space="0" w:color="auto"/>
        <w:bottom w:val="none" w:sz="0" w:space="0" w:color="auto"/>
        <w:right w:val="none" w:sz="0" w:space="0" w:color="auto"/>
      </w:divBdr>
      <w:divsChild>
        <w:div w:id="1963733043">
          <w:marLeft w:val="0"/>
          <w:marRight w:val="0"/>
          <w:marTop w:val="0"/>
          <w:marBottom w:val="0"/>
          <w:divBdr>
            <w:top w:val="none" w:sz="0" w:space="0" w:color="auto"/>
            <w:left w:val="none" w:sz="0" w:space="0" w:color="auto"/>
            <w:bottom w:val="none" w:sz="0" w:space="0" w:color="auto"/>
            <w:right w:val="none" w:sz="0" w:space="0" w:color="auto"/>
          </w:divBdr>
        </w:div>
      </w:divsChild>
    </w:div>
    <w:div w:id="1471552329">
      <w:bodyDiv w:val="1"/>
      <w:marLeft w:val="0"/>
      <w:marRight w:val="0"/>
      <w:marTop w:val="0"/>
      <w:marBottom w:val="0"/>
      <w:divBdr>
        <w:top w:val="none" w:sz="0" w:space="0" w:color="auto"/>
        <w:left w:val="none" w:sz="0" w:space="0" w:color="auto"/>
        <w:bottom w:val="none" w:sz="0" w:space="0" w:color="auto"/>
        <w:right w:val="none" w:sz="0" w:space="0" w:color="auto"/>
      </w:divBdr>
      <w:divsChild>
        <w:div w:id="250967030">
          <w:marLeft w:val="0"/>
          <w:marRight w:val="0"/>
          <w:marTop w:val="0"/>
          <w:marBottom w:val="0"/>
          <w:divBdr>
            <w:top w:val="none" w:sz="0" w:space="0" w:color="auto"/>
            <w:left w:val="none" w:sz="0" w:space="0" w:color="auto"/>
            <w:bottom w:val="none" w:sz="0" w:space="0" w:color="auto"/>
            <w:right w:val="none" w:sz="0" w:space="0" w:color="auto"/>
          </w:divBdr>
        </w:div>
      </w:divsChild>
    </w:div>
    <w:div w:id="1759017467">
      <w:bodyDiv w:val="1"/>
      <w:marLeft w:val="0"/>
      <w:marRight w:val="0"/>
      <w:marTop w:val="0"/>
      <w:marBottom w:val="0"/>
      <w:divBdr>
        <w:top w:val="none" w:sz="0" w:space="0" w:color="auto"/>
        <w:left w:val="none" w:sz="0" w:space="0" w:color="auto"/>
        <w:bottom w:val="none" w:sz="0" w:space="0" w:color="auto"/>
        <w:right w:val="none" w:sz="0" w:space="0" w:color="auto"/>
      </w:divBdr>
      <w:divsChild>
        <w:div w:id="788739385">
          <w:marLeft w:val="0"/>
          <w:marRight w:val="0"/>
          <w:marTop w:val="0"/>
          <w:marBottom w:val="0"/>
          <w:divBdr>
            <w:top w:val="none" w:sz="0" w:space="0" w:color="auto"/>
            <w:left w:val="none" w:sz="0" w:space="0" w:color="auto"/>
            <w:bottom w:val="none" w:sz="0" w:space="0" w:color="auto"/>
            <w:right w:val="none" w:sz="0" w:space="0" w:color="auto"/>
          </w:divBdr>
        </w:div>
      </w:divsChild>
    </w:div>
    <w:div w:id="1849056196">
      <w:bodyDiv w:val="1"/>
      <w:marLeft w:val="0"/>
      <w:marRight w:val="0"/>
      <w:marTop w:val="0"/>
      <w:marBottom w:val="0"/>
      <w:divBdr>
        <w:top w:val="none" w:sz="0" w:space="0" w:color="auto"/>
        <w:left w:val="none" w:sz="0" w:space="0" w:color="auto"/>
        <w:bottom w:val="none" w:sz="0" w:space="0" w:color="auto"/>
        <w:right w:val="none" w:sz="0" w:space="0" w:color="auto"/>
      </w:divBdr>
    </w:div>
    <w:div w:id="1919434039">
      <w:bodyDiv w:val="1"/>
      <w:marLeft w:val="0"/>
      <w:marRight w:val="0"/>
      <w:marTop w:val="0"/>
      <w:marBottom w:val="0"/>
      <w:divBdr>
        <w:top w:val="none" w:sz="0" w:space="0" w:color="auto"/>
        <w:left w:val="none" w:sz="0" w:space="0" w:color="auto"/>
        <w:bottom w:val="none" w:sz="0" w:space="0" w:color="auto"/>
        <w:right w:val="none" w:sz="0" w:space="0" w:color="auto"/>
      </w:divBdr>
      <w:divsChild>
        <w:div w:id="108402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oleObject" Target="embeddings/oleObject3.bin"/><Relationship Id="rId26" Type="http://schemas.openxmlformats.org/officeDocument/2006/relationships/oleObject" Target="embeddings/oleObject7.bin"/><Relationship Id="rId39" Type="http://schemas.openxmlformats.org/officeDocument/2006/relationships/fontTable" Target="fontTable.xml"/><Relationship Id="rId21" Type="http://schemas.openxmlformats.org/officeDocument/2006/relationships/image" Target="media/image6.wmf"/><Relationship Id="rId34" Type="http://schemas.openxmlformats.org/officeDocument/2006/relationships/oleObject" Target="embeddings/oleObject11.bin"/><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wmf"/><Relationship Id="rId25" Type="http://schemas.openxmlformats.org/officeDocument/2006/relationships/image" Target="media/image8.wmf"/><Relationship Id="rId33" Type="http://schemas.openxmlformats.org/officeDocument/2006/relationships/image" Target="media/image12.wmf"/><Relationship Id="rId38"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image" Target="media/image10.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image" Target="media/image14.emf"/><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wmf"/><Relationship Id="rId23" Type="http://schemas.openxmlformats.org/officeDocument/2006/relationships/image" Target="media/image7.wmf"/><Relationship Id="rId28" Type="http://schemas.openxmlformats.org/officeDocument/2006/relationships/oleObject" Target="embeddings/oleObject8.bin"/><Relationship Id="rId36" Type="http://schemas.openxmlformats.org/officeDocument/2006/relationships/oleObject" Target="embeddings/oleObject12.bin"/><Relationship Id="rId10" Type="http://schemas.openxmlformats.org/officeDocument/2006/relationships/header" Target="header1.xml"/><Relationship Id="rId19" Type="http://schemas.openxmlformats.org/officeDocument/2006/relationships/image" Target="media/image5.wmf"/><Relationship Id="rId31" Type="http://schemas.openxmlformats.org/officeDocument/2006/relationships/image" Target="media/image11.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2.png"/><Relationship Id="rId22" Type="http://schemas.openxmlformats.org/officeDocument/2006/relationships/oleObject" Target="embeddings/oleObject5.bin"/><Relationship Id="rId27" Type="http://schemas.openxmlformats.org/officeDocument/2006/relationships/image" Target="media/image9.wmf"/><Relationship Id="rId30" Type="http://schemas.openxmlformats.org/officeDocument/2006/relationships/oleObject" Target="embeddings/oleObject9.bin"/><Relationship Id="rId35" Type="http://schemas.openxmlformats.org/officeDocument/2006/relationships/image" Target="media/image13.wmf"/><Relationship Id="rId8" Type="http://schemas.openxmlformats.org/officeDocument/2006/relationships/image" Target="media/image1.wmf"/><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99ECBA-7570-453E-B78A-743CE5A19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948</TotalTime>
  <Pages>46</Pages>
  <Words>5979</Words>
  <Characters>34083</Characters>
  <Application>Microsoft Office Word</Application>
  <DocSecurity>0</DocSecurity>
  <Lines>284</Lines>
  <Paragraphs>79</Paragraphs>
  <ScaleCrop>false</ScaleCrop>
  <Company/>
  <LinksUpToDate>false</LinksUpToDate>
  <CharactersWithSpaces>39983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 shaw</dc:creator>
  <cp:keywords/>
  <dc:description/>
  <cp:lastModifiedBy>丁 璇</cp:lastModifiedBy>
  <cp:revision>56</cp:revision>
  <cp:lastPrinted>2022-06-01T05:18:00Z</cp:lastPrinted>
  <dcterms:created xsi:type="dcterms:W3CDTF">2022-05-10T06:39:00Z</dcterms:created>
  <dcterms:modified xsi:type="dcterms:W3CDTF">2022-06-12T09:30:00Z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