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64" w:name="_Toc686745564"/><w:bookmarkStart w:name="第五章 结论 " w:id="141"/><w:bookmarkEnd w:id="141"/><w:r></w:r><w:bookmarkStart w:name="_bookmark79" w:id="142"/><w:bookmarkEnd w:id="142"/><w:r></w:r><w:r><w:t>第五章</w:t></w:r><w:r><w:t xml:space="preserve">  </w:t></w:r><w:r w:rsidRPr="00DB64CE"><w:t>结论</w:t></w:r><w:bookmarkEnd w:id="745564"/></w:p><w:p w:rsidR="0018722C"><w:pPr><w:pStyle w:val="Heading2"/><w:topLinePunct/><w:ind w:left="171" w:hangingChars="171" w:hanging="171"/></w:pPr><w:bookmarkStart w:id="745565" w:name="_Toc686745565"/><w:bookmarkStart w:name="5.1本文主要工作与创新点 " w:id="143"/><w:bookmarkEnd w:id="143"/><w:r><w:t>5.1</w:t></w:r><w:r><w:t xml:space="preserve"> </w:t></w:r><w:r></w:r><w:bookmarkStart w:name="_bookmark80" w:id="144"/><w:bookmarkEnd w:id="144"/><w:r></w:r><w:bookmarkStart w:name="_bookmark80" w:id="145"/><w:bookmarkEnd w:id="145"/><w:r><w:t>本文主要工作与创新点</w:t></w:r><w:bookmarkEnd w:id="745565"/></w:p><w:p w:rsidR="0018722C"><w:pPr><w:pStyle w:val="Heading3"/><w:topLinePunct/><w:ind w:left="200" w:hangingChars="200" w:hanging="200"/></w:pPr><w:bookmarkStart w:name="_bookmark81" w:id="146"/><w:bookmarkEnd w:id="146"/><w:r><w:t>5.1.1</w:t></w:r><w:r><w:t xml:space="preserve"> </w:t></w:r><w:bookmarkStart w:name="_bookmark81" w:id="147"/><w:bookmarkEnd w:id="147"/><w:r><w:t>本文主要工作</w:t></w:r></w:p><w:p w:rsidR="0018722C"><w:pPr><w:pStyle w:val="BodyText"/><w:ind w:leftChars="0" w:left="673"/><w:topLinePunct/></w:pPr><w:r><w:t>本文的主要工作有</w:t></w:r></w:p><w:p w:rsidR="0018722C"><w:pPr><w:topLinePunct/></w:pPr><w:r><w:rPr><w:rFonts w:ascii="Times New Roman" w:eastAsia="Times New Roman"/></w:rPr><w:t>1.</w:t></w:r><w:r><w:t>本文分析了俄罗斯的贸易规模和贸易结构。俄罗斯近</w:t></w:r><w:r><w:rPr><w:rFonts w:ascii="Times New Roman" w:eastAsia="Times New Roman"/></w:rPr><w:t>20</w:t></w:r><w:r><w:t>年来的进出口贸易额在不断增长，并且出口一直大于进口，呈现了明显的不平衡。同时其出口结构</w:t></w:r><w:r><w:t>以石油、矿石产品等原材料为主，进口以制成品为主，占比分别都在</w:t></w:r><w:r><w:rPr><w:rFonts w:ascii="Times New Roman" w:eastAsia="Times New Roman"/></w:rPr><w:t>60%</w:t></w:r><w:r><w:t>以上。</w:t></w:r></w:p><w:p w:rsidR="0018722C"><w:pPr><w:topLinePunct/></w:pPr><w:r><w:rPr><w:rFonts w:ascii="Times New Roman" w:eastAsia="Times New Roman"/></w:rPr><w:t>2.</w:t></w:r><w:r><w:t>通过创立对比干预模型，进行俄罗斯进出口贸易额预测。俄罗斯入世事件对于俄罗斯和世界经济的发展都是一个重要的节点，通过建立对比干预模型，从中国入世前后的贸易变化情况来对比分析俄罗斯未来的贸易额规模。</w:t></w:r></w:p><w:p w:rsidR="0018722C"><w:pPr><w:topLinePunct/></w:pPr><w:r><w:rPr><w:rFonts w:ascii="Times New Roman" w:eastAsia="Times New Roman"/></w:rPr><w:t>3.</w:t></w:r><w:r><w:t>预测了入世影响后的俄罗斯港口集装箱吞吐量。通过建立贸易与港口集装</w:t></w:r><w:r><w:t>箱吞吐量之间的对数拟合曲线，从而预测了未来几年俄罗斯的港口集装箱吞吐量。</w:t></w:r></w:p><w:p w:rsidR="0018722C"><w:pPr><w:topLinePunct/></w:pPr><w:r><w:rPr><w:rFonts w:ascii="Times New Roman" w:eastAsia="Times New Roman"/></w:rPr><w:t>4.</w:t></w:r><w:r><w:t>分析了入世后的俄罗斯班轮市场。建立在俄罗斯未来贸易进出口规模和进出口贸易结构的基础上，分析了其入世对于国际班轮运输市场的影响。分别从港口建设情况、集装箱船舶需求、国际及区域集装箱航线调整、航运金融刺激等几个方面分析了俄罗斯入世影响，并且针对中国航运相关企业提出了利用此次机会发展本国航运及相关产业的建议。</w:t></w:r></w:p><w:p w:rsidR="0018722C"><w:pPr><w:pStyle w:val="Heading3"/><w:topLinePunct/><w:ind w:left="200" w:hangingChars="200" w:hanging="200"/></w:pPr><w:bookmarkStart w:name="_bookmark82" w:id="148"/><w:bookmarkEnd w:id="148"/><w:r><w:t>5.1.2</w:t></w:r><w:r><w:t xml:space="preserve"> </w:t></w:r><w:bookmarkStart w:name="_bookmark82" w:id="149"/><w:bookmarkEnd w:id="149"/><w:r><w:t>创新点</w:t></w:r></w:p><w:p w:rsidR="0018722C"><w:pPr><w:topLinePunct/></w:pPr><w:r><w:t>本文的创新点主要有以下几个方面：</w:t></w:r></w:p><w:p w:rsidR="0018722C"><w:pPr><w:topLinePunct/></w:pPr><w:r><w:rPr><w:rFonts w:ascii="Times New Roman" w:eastAsia="Times New Roman"/></w:rPr><w:t>1.</w:t></w:r><w:r><w:t>研究课题属于前沿课题。俄罗斯于</w:t></w:r><w:r><w:rPr><w:rFonts w:ascii="Times New Roman" w:eastAsia="Times New Roman"/></w:rPr><w:t>2012</w:t></w:r><w:r><w:t>年</w:t></w:r><w:r><w:rPr><w:rFonts w:ascii="Times New Roman" w:eastAsia="Times New Roman"/></w:rPr><w:t>8</w:t></w:r><w:r><w:t>月才加入世界贸易组织，关于其入世影响的分析，国内外学者的研究都还在起步当中，这使得本文的选题本身就是一个很具有创新意义的课题。</w:t></w:r></w:p><w:p w:rsidR="0018722C"><w:pPr><w:topLinePunct/></w:pPr><w:r><w:rPr><w:rFonts w:ascii="Times New Roman" w:eastAsia="Times New Roman"/></w:rPr><w:t>2.</w:t></w:r><w:r><w:t>建立对比干预模型分析干预事件对于班轮市场的影响。一个时间序列数据往往由连续性因素决定其预测的合理性，而入世对于俄罗斯进出口贸易的发展可以说是一个突发事件，那么如何衡量突发事件对于连续时间序列的影响呢。本文开创性得使用了对比干预模型，通过分析中国入世前后的进出口贸易规模变化情况来得到衡量入世这一突发事件的影响因子，从而作为俄罗斯入世分析的衡量</w:t></w:r><w:r><w:t>标</w:t></w:r></w:p><w:p w:rsidR="0018722C"><w:pPr><w:topLinePunct/></w:pPr><w:r><w:t>准进行未来进出口规模的预测。并将该模型引入到班轮市场分析领域。</w:t></w:r></w:p><w:p w:rsidR="0018722C"><w:pPr><w:topLinePunct/></w:pPr><w:r><w:rPr><w:rFonts w:ascii="Times New Roman" w:eastAsia="Times New Roman"/></w:rPr><w:t>3.</w:t></w:r><w:r><w:t>最终的影响分析结论具有一定的新意。分析完基础数据和建立模型后，得到的结论非常具有新意。能够结合俄罗斯的集装箱港口建设进度、条件、政策，</w:t></w:r><w:r w:rsidR="001852F3"><w:t xml:space="preserve">俄罗斯造船业的发展程度、政策支持，以及国际航线上的船舶配置布局来得到相关结论，并且给出港口建设加速和国际航线调整这样的结论非常具有新意。</w:t></w:r></w:p><w:p w:rsidR="0018722C"><w:pPr><w:pStyle w:val="Heading2"/><w:topLinePunct/><w:ind w:left="171" w:hangingChars="171" w:hanging="171"/></w:pPr><w:bookmarkStart w:id="745566" w:name="_Toc686745566"/><w:bookmarkStart w:name="5.2后续研究工作 " w:id="150"/><w:bookmarkEnd w:id="150"/><w:r><w:t>5.2</w:t></w:r><w:r><w:t xml:space="preserve"> </w:t></w:r><w:r></w:r><w:bookmarkStart w:name="_bookmark83" w:id="151"/><w:bookmarkEnd w:id="151"/><w:r></w:r><w:bookmarkStart w:name="_bookmark83" w:id="152"/><w:bookmarkEnd w:id="152"/><w:r><w:t>后续研究工作</w:t></w:r><w:bookmarkEnd w:id="745566"/></w:p><w:p w:rsidR="0018722C"><w:pPr><w:topLinePunct/></w:pPr><w:r><w:t>本文的工作具有很高的开创性，所以有些观点和结论以及分析过程也同样会具有不确定性和有待进一步加强的地方，希望得到各位同仁的指导帮助，不吝赐教。另外，在以下几个方面还可以进行进一步的后续研究工作：</w:t></w:r></w:p><w:p w:rsidR="0018722C"><w:pPr><w:topLinePunct/></w:pPr><w:r><w:rPr><w:rFonts w:ascii="Times New Roman" w:eastAsia="Times New Roman"/></w:rPr><w:t>1.</w:t></w:r><w:r><w:t>预测模型</w:t></w:r></w:p><w:p w:rsidR="0018722C"><w:pPr><w:topLinePunct/></w:pPr><w:r><w:t>本文采用的预测模型为对比干预模型，该模型很好的结合了已有的实际案例，</w:t></w:r><w:r w:rsidR="001852F3"><w:t xml:space="preserve">具有一定的逻辑性。后续工作中可以围绕该模型中的影响因子设置进行研究，是否有比比率变化更好的因子设置方法来进行对比。</w:t></w:r></w:p><w:p w:rsidR="0018722C"><w:pPr><w:topLinePunct/></w:pPr><w:r><w:rPr><w:rFonts w:ascii="Times New Roman" w:eastAsia="Times New Roman"/></w:rPr><w:t>2.</w:t></w:r><w:r><w:t>细分贸易产品来预测规模</w:t></w:r></w:p><w:p w:rsidR="0018722C"><w:pPr><w:topLinePunct/></w:pPr><w:r><w:t>本文采用的是总量预测的方法，即只从总体上考量未来的贸易规模会有什么样的变化，后续工作中，可以通过不同的产品来进行未来的规模预测，因为进口和出口以及国家在该产品生产领域的竞争力、劳动力水平、人口红利等因素都会影响单个品种产品的进出口规模变化，所以细分研究会是一个很好的方向。</w:t></w:r></w:p><w:p w:rsidR="0018722C"><w:pPr><w:topLinePunct/></w:pPr><w:r><w:rPr><w:rFonts w:ascii="Times New Roman" w:eastAsia="Times New Roman"/></w:rPr><w:t>3.</w:t></w:r><w:r><w:t>从关税角度着手</w:t></w:r></w:p><w:p w:rsidR="0018722C"><w:pPr><w:topLinePunct/></w:pPr><w:r><w:t>所谓入世议定书，其主要的可见内容就是进口关税的降低，以及同样享受最惠国待遇。对于透明度、进入门槛等角度的分析，往往只能定性难以定量。所以后续研究中，可以从关税角度结合相关理论进行未来进出口规模变化预测。</w:t></w:r></w:p><w:p w:rsidR="0018722C"><w:pPr><w:topLinePunct/></w:pPr><w:r><w:rPr><w:rFonts w:ascii="Times New Roman" w:eastAsia="Times New Roman"/></w:rPr><w:t>4.</w:t></w:r><w:r><w:t>分析俄罗斯入世对于油轮运输市场和干散货运输市场的影响</w:t></w:r></w:p><w:p w:rsidR="0018722C"><w:pPr><w:topLinePunct/></w:pPr><w:r><w:t>本文分析的是俄罗斯入世对于国际班轮运输市场的影响。而俄罗斯出口中的绝大部分为原油和矿物燃料，其主要运输方式为油轮和干散货运输。这使得分析俄罗斯入世对于国际油轮运输和干散货运输具有很重要的意义。当然这样的分析仍然应该首先着眼于未来的原油、成品油、</w:t></w:r><w:r><w:rPr><w:rFonts w:ascii="Times New Roman" w:eastAsia="Times New Roman"/></w:rPr><w:t>LNG</w:t></w:r><w:r><w:t>、煤炭、化肥、矿石的增长变化情况。</w:t></w:r></w:p><w:p w:rsidR="0018722C"><w:pPr><w:topLinePunct/></w:pPr><w:r><w:rPr><w:rFonts w:ascii="Times New Roman" w:eastAsia="Times New Roman"/></w:rPr><w:t>5.</w:t></w:r><w:r><w:t>站在俄罗斯国家、国际班轮运输公司等不同的角度看俄罗斯入世带来的机遇与挑战</w:t></w:r></w:p><w:p w:rsidR="0018722C"><w:pPr><w:topLinePunct/></w:pPr><w:r><w:t>本文的分析主要着眼于现实情况和未来的变化，很客观，没有站在某一个角色的角度来单独看。未来的研究可以着眼于俄罗斯国家的航运公司、港口企业、造船厂等如何来利用这次入世的机遇发展自己，同样也可以站在国际班轮运输公司如马士基、中海等的角度来看如何利用这次机遇发展自己。另外一个角度是航运金融，航运是一个与金融紧密相连的产业，俄罗斯在入世议定书中对于服务业里面的金融给予了一定的政策支持。航运金融企业如何看待这样的变化，以及如何利用这样的机遇将是一个很好的研究角度。</w:t></w:r></w:p><w:p w:rsidR="0018722C"><w:pPr><w:topLinePunct/></w:pPr><w:r><w:t>本文的分析还很初步，在很多方面还有较大的改进空间，希望得到各位学界同仁的指正批评，不甚感激。</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T Extra">
    <w:altName w:val="MT Extra"/>
    <w:charset w:val="2"/>
    <w:family w:val="roman"/>
    <w:pitch w:val="variable"/>
  </w:font>
  <w:font w:name="Symbol">
    <w:altName w:val="Symbol"/>
    <w:charset w:val="2"/>
    <w:family w:val="roman"/>
    <w:pitch w:val="variable"/>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920013pt;margin-top:745.649048pt;width:9.8pt;height:12.1pt;mso-position-horizontal-relative:page;mso-position-vertical-relative:page;z-index:-68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19995pt;margin-top:745.649048pt;width:19.55pt;height:12.1pt;mso-position-horizontal-relative:page;mso-position-vertical-relative:page;z-index:-68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00012pt;margin-top:745.649048pt;width:21.85pt;height:12.1pt;mso-position-horizontal-relative:page;mso-position-vertical-relative:page;z-index:-68272"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00012pt;margin-top:745.649048pt;width:21.85pt;height:12.1pt;mso-position-horizontal-relative:page;mso-position-vertical-relative:page;z-index:-68272"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44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58.779999pt;margin-top:71.102486pt;width:110.3pt;height:11.15pt;mso-position-horizontal-relative:page;mso-position-vertical-relative:page;z-index:-6841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03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08"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84"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796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7936"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1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224"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0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36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152"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12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8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7936"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1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_Ref665119108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32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9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24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224"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0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17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152"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12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104"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8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52"/>
      <w:numFmt w:val="decimal"/>
      <w:lvlText w:val="[%1]"/>
      <w:lvlJc w:val="left"/>
      <w:pPr>
        <w:ind w:left="673"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90" w:hanging="524"/>
      </w:pPr>
      <w:rPr>
        <w:rFonts w:hint="default"/>
      </w:rPr>
    </w:lvl>
    <w:lvl w:ilvl="2">
      <w:start w:val="0"/>
      <w:numFmt w:val="bullet"/>
      <w:lvlText w:val="•"/>
      <w:lvlJc w:val="left"/>
      <w:pPr>
        <w:ind w:left="2300" w:hanging="524"/>
      </w:pPr>
      <w:rPr>
        <w:rFonts w:hint="default"/>
      </w:rPr>
    </w:lvl>
    <w:lvl w:ilvl="3">
      <w:start w:val="0"/>
      <w:numFmt w:val="bullet"/>
      <w:lvlText w:val="•"/>
      <w:lvlJc w:val="left"/>
      <w:pPr>
        <w:ind w:left="3111" w:hanging="524"/>
      </w:pPr>
      <w:rPr>
        <w:rFonts w:hint="default"/>
      </w:rPr>
    </w:lvl>
    <w:lvl w:ilvl="4">
      <w:start w:val="0"/>
      <w:numFmt w:val="bullet"/>
      <w:lvlText w:val="•"/>
      <w:lvlJc w:val="left"/>
      <w:pPr>
        <w:ind w:left="3921" w:hanging="524"/>
      </w:pPr>
      <w:rPr>
        <w:rFonts w:hint="default"/>
      </w:rPr>
    </w:lvl>
    <w:lvl w:ilvl="5">
      <w:start w:val="0"/>
      <w:numFmt w:val="bullet"/>
      <w:lvlText w:val="•"/>
      <w:lvlJc w:val="left"/>
      <w:pPr>
        <w:ind w:left="4732" w:hanging="524"/>
      </w:pPr>
      <w:rPr>
        <w:rFonts w:hint="default"/>
      </w:rPr>
    </w:lvl>
    <w:lvl w:ilvl="6">
      <w:start w:val="0"/>
      <w:numFmt w:val="bullet"/>
      <w:lvlText w:val="•"/>
      <w:lvlJc w:val="left"/>
      <w:pPr>
        <w:ind w:left="5542" w:hanging="524"/>
      </w:pPr>
      <w:rPr>
        <w:rFonts w:hint="default"/>
      </w:rPr>
    </w:lvl>
    <w:lvl w:ilvl="7">
      <w:start w:val="0"/>
      <w:numFmt w:val="bullet"/>
      <w:lvlText w:val="•"/>
      <w:lvlJc w:val="left"/>
      <w:pPr>
        <w:ind w:left="6352" w:hanging="524"/>
      </w:pPr>
      <w:rPr>
        <w:rFonts w:hint="default"/>
      </w:rPr>
    </w:lvl>
    <w:lvl w:ilvl="8">
      <w:start w:val="0"/>
      <w:numFmt w:val="bullet"/>
      <w:lvlText w:val="•"/>
      <w:lvlJc w:val="left"/>
      <w:pPr>
        <w:ind w:left="7163" w:hanging="524"/>
      </w:pPr>
      <w:rPr>
        <w:rFonts w:hint="default"/>
      </w:rPr>
    </w:lvl>
  </w:abstractNum>
  <w:abstractNum w:abstractNumId="10">
    <w:multiLevelType w:val="hybridMultilevel"/>
    <w:lvl w:ilvl="0">
      <w:start w:val="44"/>
      <w:numFmt w:val="decimal"/>
      <w:lvlText w:val="[%1]"/>
      <w:lvlJc w:val="left"/>
      <w:pPr>
        <w:ind w:left="673" w:hanging="543"/>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90" w:hanging="543"/>
      </w:pPr>
      <w:rPr>
        <w:rFonts w:hint="default"/>
      </w:rPr>
    </w:lvl>
    <w:lvl w:ilvl="2">
      <w:start w:val="0"/>
      <w:numFmt w:val="bullet"/>
      <w:lvlText w:val="•"/>
      <w:lvlJc w:val="left"/>
      <w:pPr>
        <w:ind w:left="2300" w:hanging="543"/>
      </w:pPr>
      <w:rPr>
        <w:rFonts w:hint="default"/>
      </w:rPr>
    </w:lvl>
    <w:lvl w:ilvl="3">
      <w:start w:val="0"/>
      <w:numFmt w:val="bullet"/>
      <w:lvlText w:val="•"/>
      <w:lvlJc w:val="left"/>
      <w:pPr>
        <w:ind w:left="3111" w:hanging="543"/>
      </w:pPr>
      <w:rPr>
        <w:rFonts w:hint="default"/>
      </w:rPr>
    </w:lvl>
    <w:lvl w:ilvl="4">
      <w:start w:val="0"/>
      <w:numFmt w:val="bullet"/>
      <w:lvlText w:val="•"/>
      <w:lvlJc w:val="left"/>
      <w:pPr>
        <w:ind w:left="3921" w:hanging="543"/>
      </w:pPr>
      <w:rPr>
        <w:rFonts w:hint="default"/>
      </w:rPr>
    </w:lvl>
    <w:lvl w:ilvl="5">
      <w:start w:val="0"/>
      <w:numFmt w:val="bullet"/>
      <w:lvlText w:val="•"/>
      <w:lvlJc w:val="left"/>
      <w:pPr>
        <w:ind w:left="4732" w:hanging="543"/>
      </w:pPr>
      <w:rPr>
        <w:rFonts w:hint="default"/>
      </w:rPr>
    </w:lvl>
    <w:lvl w:ilvl="6">
      <w:start w:val="0"/>
      <w:numFmt w:val="bullet"/>
      <w:lvlText w:val="•"/>
      <w:lvlJc w:val="left"/>
      <w:pPr>
        <w:ind w:left="5542" w:hanging="543"/>
      </w:pPr>
      <w:rPr>
        <w:rFonts w:hint="default"/>
      </w:rPr>
    </w:lvl>
    <w:lvl w:ilvl="7">
      <w:start w:val="0"/>
      <w:numFmt w:val="bullet"/>
      <w:lvlText w:val="•"/>
      <w:lvlJc w:val="left"/>
      <w:pPr>
        <w:ind w:left="6352" w:hanging="543"/>
      </w:pPr>
      <w:rPr>
        <w:rFonts w:hint="default"/>
      </w:rPr>
    </w:lvl>
    <w:lvl w:ilvl="8">
      <w:start w:val="0"/>
      <w:numFmt w:val="bullet"/>
      <w:lvlText w:val="•"/>
      <w:lvlJc w:val="left"/>
      <w:pPr>
        <w:ind w:left="7163" w:hanging="543"/>
      </w:pPr>
      <w:rPr>
        <w:rFonts w:hint="default"/>
      </w:rPr>
    </w:lvl>
  </w:abstractNum>
  <w:abstractNum w:abstractNumId="9">
    <w:multiLevelType w:val="hybridMultilevel"/>
    <w:lvl w:ilvl="0">
      <w:start w:val="39"/>
      <w:numFmt w:val="decimal"/>
      <w:lvlText w:val="[%1]"/>
      <w:lvlJc w:val="left"/>
      <w:pPr>
        <w:ind w:left="716"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526" w:hanging="524"/>
      </w:pPr>
      <w:rPr>
        <w:rFonts w:hint="default"/>
      </w:rPr>
    </w:lvl>
    <w:lvl w:ilvl="2">
      <w:start w:val="0"/>
      <w:numFmt w:val="bullet"/>
      <w:lvlText w:val="•"/>
      <w:lvlJc w:val="left"/>
      <w:pPr>
        <w:ind w:left="2332" w:hanging="524"/>
      </w:pPr>
      <w:rPr>
        <w:rFonts w:hint="default"/>
      </w:rPr>
    </w:lvl>
    <w:lvl w:ilvl="3">
      <w:start w:val="0"/>
      <w:numFmt w:val="bullet"/>
      <w:lvlText w:val="•"/>
      <w:lvlJc w:val="left"/>
      <w:pPr>
        <w:ind w:left="3139" w:hanging="524"/>
      </w:pPr>
      <w:rPr>
        <w:rFonts w:hint="default"/>
      </w:rPr>
    </w:lvl>
    <w:lvl w:ilvl="4">
      <w:start w:val="0"/>
      <w:numFmt w:val="bullet"/>
      <w:lvlText w:val="•"/>
      <w:lvlJc w:val="left"/>
      <w:pPr>
        <w:ind w:left="3945" w:hanging="524"/>
      </w:pPr>
      <w:rPr>
        <w:rFonts w:hint="default"/>
      </w:rPr>
    </w:lvl>
    <w:lvl w:ilvl="5">
      <w:start w:val="0"/>
      <w:numFmt w:val="bullet"/>
      <w:lvlText w:val="•"/>
      <w:lvlJc w:val="left"/>
      <w:pPr>
        <w:ind w:left="4752" w:hanging="524"/>
      </w:pPr>
      <w:rPr>
        <w:rFonts w:hint="default"/>
      </w:rPr>
    </w:lvl>
    <w:lvl w:ilvl="6">
      <w:start w:val="0"/>
      <w:numFmt w:val="bullet"/>
      <w:lvlText w:val="•"/>
      <w:lvlJc w:val="left"/>
      <w:pPr>
        <w:ind w:left="5558" w:hanging="524"/>
      </w:pPr>
      <w:rPr>
        <w:rFonts w:hint="default"/>
      </w:rPr>
    </w:lvl>
    <w:lvl w:ilvl="7">
      <w:start w:val="0"/>
      <w:numFmt w:val="bullet"/>
      <w:lvlText w:val="•"/>
      <w:lvlJc w:val="left"/>
      <w:pPr>
        <w:ind w:left="6364" w:hanging="524"/>
      </w:pPr>
      <w:rPr>
        <w:rFonts w:hint="default"/>
      </w:rPr>
    </w:lvl>
    <w:lvl w:ilvl="8">
      <w:start w:val="0"/>
      <w:numFmt w:val="bullet"/>
      <w:lvlText w:val="•"/>
      <w:lvlJc w:val="left"/>
      <w:pPr>
        <w:ind w:left="7171" w:hanging="524"/>
      </w:pPr>
      <w:rPr>
        <w:rFonts w:hint="default"/>
      </w:rPr>
    </w:lvl>
  </w:abstractNum>
  <w:abstractNum w:abstractNumId="8">
    <w:multiLevelType w:val="hybridMultilevel"/>
    <w:lvl w:ilvl="0">
      <w:start w:val="36"/>
      <w:numFmt w:val="decimal"/>
      <w:lvlText w:val="[%1]"/>
      <w:lvlJc w:val="left"/>
      <w:pPr>
        <w:ind w:left="716" w:hanging="52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526" w:hanging="524"/>
      </w:pPr>
      <w:rPr>
        <w:rFonts w:hint="default"/>
      </w:rPr>
    </w:lvl>
    <w:lvl w:ilvl="2">
      <w:start w:val="0"/>
      <w:numFmt w:val="bullet"/>
      <w:lvlText w:val="•"/>
      <w:lvlJc w:val="left"/>
      <w:pPr>
        <w:ind w:left="2332" w:hanging="524"/>
      </w:pPr>
      <w:rPr>
        <w:rFonts w:hint="default"/>
      </w:rPr>
    </w:lvl>
    <w:lvl w:ilvl="3">
      <w:start w:val="0"/>
      <w:numFmt w:val="bullet"/>
      <w:lvlText w:val="•"/>
      <w:lvlJc w:val="left"/>
      <w:pPr>
        <w:ind w:left="3139" w:hanging="524"/>
      </w:pPr>
      <w:rPr>
        <w:rFonts w:hint="default"/>
      </w:rPr>
    </w:lvl>
    <w:lvl w:ilvl="4">
      <w:start w:val="0"/>
      <w:numFmt w:val="bullet"/>
      <w:lvlText w:val="•"/>
      <w:lvlJc w:val="left"/>
      <w:pPr>
        <w:ind w:left="3945" w:hanging="524"/>
      </w:pPr>
      <w:rPr>
        <w:rFonts w:hint="default"/>
      </w:rPr>
    </w:lvl>
    <w:lvl w:ilvl="5">
      <w:start w:val="0"/>
      <w:numFmt w:val="bullet"/>
      <w:lvlText w:val="•"/>
      <w:lvlJc w:val="left"/>
      <w:pPr>
        <w:ind w:left="4752" w:hanging="524"/>
      </w:pPr>
      <w:rPr>
        <w:rFonts w:hint="default"/>
      </w:rPr>
    </w:lvl>
    <w:lvl w:ilvl="6">
      <w:start w:val="0"/>
      <w:numFmt w:val="bullet"/>
      <w:lvlText w:val="•"/>
      <w:lvlJc w:val="left"/>
      <w:pPr>
        <w:ind w:left="5558" w:hanging="524"/>
      </w:pPr>
      <w:rPr>
        <w:rFonts w:hint="default"/>
      </w:rPr>
    </w:lvl>
    <w:lvl w:ilvl="7">
      <w:start w:val="0"/>
      <w:numFmt w:val="bullet"/>
      <w:lvlText w:val="•"/>
      <w:lvlJc w:val="left"/>
      <w:pPr>
        <w:ind w:left="6364" w:hanging="524"/>
      </w:pPr>
      <w:rPr>
        <w:rFonts w:hint="default"/>
      </w:rPr>
    </w:lvl>
    <w:lvl w:ilvl="8">
      <w:start w:val="0"/>
      <w:numFmt w:val="bullet"/>
      <w:lvlText w:val="•"/>
      <w:lvlJc w:val="left"/>
      <w:pPr>
        <w:ind w:left="7171" w:hanging="524"/>
      </w:pPr>
      <w:rPr>
        <w:rFonts w:hint="default"/>
      </w:rPr>
    </w:lvl>
  </w:abstractNum>
  <w:abstractNum w:abstractNumId="7">
    <w:multiLevelType w:val="hybridMultilevel"/>
    <w:lvl w:ilvl="0">
      <w:start w:val="32"/>
      <w:numFmt w:val="decimal"/>
      <w:lvlText w:val="[%1]"/>
      <w:lvlJc w:val="left"/>
      <w:pPr>
        <w:ind w:left="673" w:hanging="524"/>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490" w:hanging="524"/>
      </w:pPr>
      <w:rPr>
        <w:rFonts w:hint="default"/>
      </w:rPr>
    </w:lvl>
    <w:lvl w:ilvl="2">
      <w:start w:val="0"/>
      <w:numFmt w:val="bullet"/>
      <w:lvlText w:val="•"/>
      <w:lvlJc w:val="left"/>
      <w:pPr>
        <w:ind w:left="2300" w:hanging="524"/>
      </w:pPr>
      <w:rPr>
        <w:rFonts w:hint="default"/>
      </w:rPr>
    </w:lvl>
    <w:lvl w:ilvl="3">
      <w:start w:val="0"/>
      <w:numFmt w:val="bullet"/>
      <w:lvlText w:val="•"/>
      <w:lvlJc w:val="left"/>
      <w:pPr>
        <w:ind w:left="3111" w:hanging="524"/>
      </w:pPr>
      <w:rPr>
        <w:rFonts w:hint="default"/>
      </w:rPr>
    </w:lvl>
    <w:lvl w:ilvl="4">
      <w:start w:val="0"/>
      <w:numFmt w:val="bullet"/>
      <w:lvlText w:val="•"/>
      <w:lvlJc w:val="left"/>
      <w:pPr>
        <w:ind w:left="3921" w:hanging="524"/>
      </w:pPr>
      <w:rPr>
        <w:rFonts w:hint="default"/>
      </w:rPr>
    </w:lvl>
    <w:lvl w:ilvl="5">
      <w:start w:val="0"/>
      <w:numFmt w:val="bullet"/>
      <w:lvlText w:val="•"/>
      <w:lvlJc w:val="left"/>
      <w:pPr>
        <w:ind w:left="4732" w:hanging="524"/>
      </w:pPr>
      <w:rPr>
        <w:rFonts w:hint="default"/>
      </w:rPr>
    </w:lvl>
    <w:lvl w:ilvl="6">
      <w:start w:val="0"/>
      <w:numFmt w:val="bullet"/>
      <w:lvlText w:val="•"/>
      <w:lvlJc w:val="left"/>
      <w:pPr>
        <w:ind w:left="5542" w:hanging="524"/>
      </w:pPr>
      <w:rPr>
        <w:rFonts w:hint="default"/>
      </w:rPr>
    </w:lvl>
    <w:lvl w:ilvl="7">
      <w:start w:val="0"/>
      <w:numFmt w:val="bullet"/>
      <w:lvlText w:val="•"/>
      <w:lvlJc w:val="left"/>
      <w:pPr>
        <w:ind w:left="6352" w:hanging="524"/>
      </w:pPr>
      <w:rPr>
        <w:rFonts w:hint="default"/>
      </w:rPr>
    </w:lvl>
    <w:lvl w:ilvl="8">
      <w:start w:val="0"/>
      <w:numFmt w:val="bullet"/>
      <w:lvlText w:val="•"/>
      <w:lvlJc w:val="left"/>
      <w:pPr>
        <w:ind w:left="7163" w:hanging="524"/>
      </w:pPr>
      <w:rPr>
        <w:rFonts w:hint="default"/>
      </w:rPr>
    </w:lvl>
  </w:abstractNum>
  <w:abstractNum w:abstractNumId="6">
    <w:multiLevelType w:val="hybridMultilevel"/>
    <w:lvl w:ilvl="0">
      <w:start w:val="16"/>
      <w:numFmt w:val="decimal"/>
      <w:lvlText w:val="[%1]"/>
      <w:lvlJc w:val="left"/>
      <w:pPr>
        <w:ind w:left="673" w:hanging="46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7"/>
      </w:pPr>
      <w:rPr>
        <w:rFonts w:hint="default"/>
      </w:rPr>
    </w:lvl>
    <w:lvl w:ilvl="2">
      <w:start w:val="0"/>
      <w:numFmt w:val="bullet"/>
      <w:lvlText w:val="•"/>
      <w:lvlJc w:val="left"/>
      <w:pPr>
        <w:ind w:left="2304" w:hanging="467"/>
      </w:pPr>
      <w:rPr>
        <w:rFonts w:hint="default"/>
      </w:rPr>
    </w:lvl>
    <w:lvl w:ilvl="3">
      <w:start w:val="0"/>
      <w:numFmt w:val="bullet"/>
      <w:lvlText w:val="•"/>
      <w:lvlJc w:val="left"/>
      <w:pPr>
        <w:ind w:left="3117" w:hanging="467"/>
      </w:pPr>
      <w:rPr>
        <w:rFonts w:hint="default"/>
      </w:rPr>
    </w:lvl>
    <w:lvl w:ilvl="4">
      <w:start w:val="0"/>
      <w:numFmt w:val="bullet"/>
      <w:lvlText w:val="•"/>
      <w:lvlJc w:val="left"/>
      <w:pPr>
        <w:ind w:left="3929" w:hanging="467"/>
      </w:pPr>
      <w:rPr>
        <w:rFonts w:hint="default"/>
      </w:rPr>
    </w:lvl>
    <w:lvl w:ilvl="5">
      <w:start w:val="0"/>
      <w:numFmt w:val="bullet"/>
      <w:lvlText w:val="•"/>
      <w:lvlJc w:val="left"/>
      <w:pPr>
        <w:ind w:left="4742" w:hanging="467"/>
      </w:pPr>
      <w:rPr>
        <w:rFonts w:hint="default"/>
      </w:rPr>
    </w:lvl>
    <w:lvl w:ilvl="6">
      <w:start w:val="0"/>
      <w:numFmt w:val="bullet"/>
      <w:lvlText w:val="•"/>
      <w:lvlJc w:val="left"/>
      <w:pPr>
        <w:ind w:left="5554" w:hanging="467"/>
      </w:pPr>
      <w:rPr>
        <w:rFonts w:hint="default"/>
      </w:rPr>
    </w:lvl>
    <w:lvl w:ilvl="7">
      <w:start w:val="0"/>
      <w:numFmt w:val="bullet"/>
      <w:lvlText w:val="•"/>
      <w:lvlJc w:val="left"/>
      <w:pPr>
        <w:ind w:left="6366" w:hanging="467"/>
      </w:pPr>
      <w:rPr>
        <w:rFonts w:hint="default"/>
      </w:rPr>
    </w:lvl>
    <w:lvl w:ilvl="8">
      <w:start w:val="0"/>
      <w:numFmt w:val="bullet"/>
      <w:lvlText w:val="•"/>
      <w:lvlJc w:val="left"/>
      <w:pPr>
        <w:ind w:left="7179" w:hanging="467"/>
      </w:pPr>
      <w:rPr>
        <w:rFonts w:hint="default"/>
      </w:rPr>
    </w:lvl>
  </w:abstractNum>
  <w:abstractNum w:abstractNumId="5">
    <w:multiLevelType w:val="hybridMultilevel"/>
    <w:lvl w:ilvl="0">
      <w:start w:val="1"/>
      <w:numFmt w:val="decimal"/>
      <w:lvlText w:val="[%1]"/>
      <w:lvlJc w:val="left"/>
      <w:pPr>
        <w:ind w:left="553" w:hanging="404"/>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384" w:hanging="404"/>
      </w:pPr>
      <w:rPr>
        <w:rFonts w:hint="default"/>
      </w:rPr>
    </w:lvl>
    <w:lvl w:ilvl="2">
      <w:start w:val="0"/>
      <w:numFmt w:val="bullet"/>
      <w:lvlText w:val="•"/>
      <w:lvlJc w:val="left"/>
      <w:pPr>
        <w:ind w:left="2208" w:hanging="404"/>
      </w:pPr>
      <w:rPr>
        <w:rFonts w:hint="default"/>
      </w:rPr>
    </w:lvl>
    <w:lvl w:ilvl="3">
      <w:start w:val="0"/>
      <w:numFmt w:val="bullet"/>
      <w:lvlText w:val="•"/>
      <w:lvlJc w:val="left"/>
      <w:pPr>
        <w:ind w:left="3033" w:hanging="404"/>
      </w:pPr>
      <w:rPr>
        <w:rFonts w:hint="default"/>
      </w:rPr>
    </w:lvl>
    <w:lvl w:ilvl="4">
      <w:start w:val="0"/>
      <w:numFmt w:val="bullet"/>
      <w:lvlText w:val="•"/>
      <w:lvlJc w:val="left"/>
      <w:pPr>
        <w:ind w:left="3857" w:hanging="404"/>
      </w:pPr>
      <w:rPr>
        <w:rFonts w:hint="default"/>
      </w:rPr>
    </w:lvl>
    <w:lvl w:ilvl="5">
      <w:start w:val="0"/>
      <w:numFmt w:val="bullet"/>
      <w:lvlText w:val="•"/>
      <w:lvlJc w:val="left"/>
      <w:pPr>
        <w:ind w:left="4682" w:hanging="404"/>
      </w:pPr>
      <w:rPr>
        <w:rFonts w:hint="default"/>
      </w:rPr>
    </w:lvl>
    <w:lvl w:ilvl="6">
      <w:start w:val="0"/>
      <w:numFmt w:val="bullet"/>
      <w:lvlText w:val="•"/>
      <w:lvlJc w:val="left"/>
      <w:pPr>
        <w:ind w:left="5506" w:hanging="404"/>
      </w:pPr>
      <w:rPr>
        <w:rFonts w:hint="default"/>
      </w:rPr>
    </w:lvl>
    <w:lvl w:ilvl="7">
      <w:start w:val="0"/>
      <w:numFmt w:val="bullet"/>
      <w:lvlText w:val="•"/>
      <w:lvlJc w:val="left"/>
      <w:pPr>
        <w:ind w:left="6330" w:hanging="404"/>
      </w:pPr>
      <w:rPr>
        <w:rFonts w:hint="default"/>
      </w:rPr>
    </w:lvl>
    <w:lvl w:ilvl="8">
      <w:start w:val="0"/>
      <w:numFmt w:val="bullet"/>
      <w:lvlText w:val="•"/>
      <w:lvlJc w:val="left"/>
      <w:pPr>
        <w:ind w:left="7155" w:hanging="404"/>
      </w:pPr>
      <w:rPr>
        <w:rFonts w:hint="default"/>
      </w:rPr>
    </w:lvl>
  </w:abstractNum>
  <w:abstractNum w:abstractNumId="4">
    <w:multiLevelType w:val="hybridMultilevel"/>
    <w:lvl w:ilvl="0">
      <w:start w:val="5"/>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3">
    <w:multiLevelType w:val="hybridMultilevel"/>
    <w:lvl w:ilvl="0">
      <w:start w:val="4"/>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20" w:hanging="548"/>
      </w:pPr>
      <w:rPr>
        <w:rFonts w:hint="default"/>
      </w:rPr>
    </w:lvl>
    <w:lvl w:ilvl="4">
      <w:start w:val="0"/>
      <w:numFmt w:val="bullet"/>
      <w:lvlText w:val="•"/>
      <w:lvlJc w:val="left"/>
      <w:pPr>
        <w:ind w:left="3340" w:hanging="548"/>
      </w:pPr>
      <w:rPr>
        <w:rFonts w:hint="default"/>
      </w:rPr>
    </w:lvl>
    <w:lvl w:ilvl="5">
      <w:start w:val="0"/>
      <w:numFmt w:val="bullet"/>
      <w:lvlText w:val="•"/>
      <w:lvlJc w:val="left"/>
      <w:pPr>
        <w:ind w:left="3548" w:hanging="548"/>
      </w:pPr>
      <w:rPr>
        <w:rFonts w:hint="default"/>
      </w:rPr>
    </w:lvl>
    <w:lvl w:ilvl="6">
      <w:start w:val="0"/>
      <w:numFmt w:val="bullet"/>
      <w:lvlText w:val="•"/>
      <w:lvlJc w:val="left"/>
      <w:pPr>
        <w:ind w:left="3756" w:hanging="548"/>
      </w:pPr>
      <w:rPr>
        <w:rFonts w:hint="default"/>
      </w:rPr>
    </w:lvl>
    <w:lvl w:ilvl="7">
      <w:start w:val="0"/>
      <w:numFmt w:val="bullet"/>
      <w:lvlText w:val="•"/>
      <w:lvlJc w:val="left"/>
      <w:pPr>
        <w:ind w:left="3964" w:hanging="548"/>
      </w:pPr>
      <w:rPr>
        <w:rFonts w:hint="default"/>
      </w:rPr>
    </w:lvl>
    <w:lvl w:ilvl="8">
      <w:start w:val="0"/>
      <w:numFmt w:val="bullet"/>
      <w:lvlText w:val="•"/>
      <w:lvlJc w:val="left"/>
      <w:pPr>
        <w:ind w:left="4173" w:hanging="548"/>
      </w:pPr>
      <w:rPr>
        <w:rFonts w:hint="default"/>
      </w:rPr>
    </w:lvl>
  </w:abstractNum>
  <w:abstractNum w:abstractNumId="2">
    <w:multiLevelType w:val="hybridMultilevel"/>
    <w:lvl w:ilvl="0">
      <w:start w:val="3"/>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1">
    <w:multiLevelType w:val="hybridMultilevel"/>
    <w:lvl w:ilvl="0">
      <w:start w:val="2"/>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0">
    <w:multiLevelType w:val="hybridMultilevel"/>
    <w:lvl w:ilvl="0">
      <w:start w:val="1"/>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09" w:hanging="548"/>
      </w:pPr>
      <w:rPr>
        <w:rFonts w:hint="default"/>
      </w:rPr>
    </w:lvl>
    <w:lvl w:ilvl="4">
      <w:start w:val="0"/>
      <w:numFmt w:val="bullet"/>
      <w:lvlText w:val="•"/>
      <w:lvlJc w:val="left"/>
      <w:pPr>
        <w:ind w:left="3754" w:hanging="548"/>
      </w:pPr>
      <w:rPr>
        <w:rFonts w:hint="default"/>
      </w:rPr>
    </w:lvl>
    <w:lvl w:ilvl="5">
      <w:start w:val="0"/>
      <w:numFmt w:val="bullet"/>
      <w:lvlText w:val="•"/>
      <w:lvlJc w:val="left"/>
      <w:pPr>
        <w:ind w:left="4599" w:hanging="548"/>
      </w:pPr>
      <w:rPr>
        <w:rFonts w:hint="default"/>
      </w:rPr>
    </w:lvl>
    <w:lvl w:ilvl="6">
      <w:start w:val="0"/>
      <w:numFmt w:val="bullet"/>
      <w:lvlText w:val="•"/>
      <w:lvlJc w:val="left"/>
      <w:pPr>
        <w:ind w:left="5444" w:hanging="548"/>
      </w:pPr>
      <w:rPr>
        <w:rFonts w:hint="default"/>
      </w:rPr>
    </w:lvl>
    <w:lvl w:ilvl="7">
      <w:start w:val="0"/>
      <w:numFmt w:val="bullet"/>
      <w:lvlText w:val="•"/>
      <w:lvlJc w:val="left"/>
      <w:pPr>
        <w:ind w:left="6289" w:hanging="548"/>
      </w:pPr>
      <w:rPr>
        <w:rFonts w:hint="default"/>
      </w:rPr>
    </w:lvl>
    <w:lvl w:ilvl="8">
      <w:start w:val="0"/>
      <w:numFmt w:val="bullet"/>
      <w:lvlText w:val="•"/>
      <w:lvlJc w:val="left"/>
      <w:pPr>
        <w:ind w:left="7134" w:hanging="548"/>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20" w:hanging="54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6.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7.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header" Target="header11.xml"/><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header" Target="header12.xml"/><Relationship Id="rId55" Type="http://schemas.openxmlformats.org/officeDocument/2006/relationships/hyperlink" Target="http://www.wto.org/english/news_e/news11_e/acc_rus_10nov11_e.htm" TargetMode="External"/><Relationship Id="rId56" Type="http://schemas.openxmlformats.org/officeDocument/2006/relationships/hyperlink" Target="http://www.022net.com/2012/8-24/531636342980708.html" TargetMode="Externa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footer" Target="footer4.xml"/><Relationship Id="rId61" Type="http://schemas.openxmlformats.org/officeDocument/2006/relationships/header" Target="header15.xml"/><Relationship Id="rId62" Type="http://schemas.openxmlformats.org/officeDocument/2006/relationships/footer" Target="footer5.xml"/><Relationship Id="rId64" Type="http://schemas.openxmlformats.org/officeDocument/2006/relationships/header" Target="header16.xml"/><Relationship Id="rId65" Type="http://schemas.openxmlformats.org/officeDocument/2006/relationships/footer" Target="footer6.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17.xml"/><Relationship Id="rId70" Type="http://schemas.openxmlformats.org/officeDocument/2006/relationships/header" Target="header18.xml"/><Relationship Id="rId71" Type="http://schemas.openxmlformats.org/officeDocument/2006/relationships/footer" Target="footer7.xml"/><Relationship Id="rId72" Type="http://schemas.openxmlformats.org/officeDocument/2006/relationships/footer" Target="footer8.xml"/><Relationship Id="rId73" Type="http://schemas.openxmlformats.org/officeDocument/2006/relationships/footer" Target="footer9.xml"/><Relationship Id="rId74" Type="http://schemas.openxmlformats.org/officeDocument/2006/relationships/header" Target="header19.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header" Target="header22.xml"/><Relationship Id="rId79" Type="http://schemas.openxmlformats.org/officeDocument/2006/relationships/footer" Target="footer10.xml"/><Relationship Id="rId80" Type="http://schemas.openxmlformats.org/officeDocument/2006/relationships/header" Target="header23.xml"/><Relationship Id="rId81" Type="http://schemas.openxmlformats.org/officeDocument/2006/relationships/footer" Target="footer11.xml"/><Relationship Id="rId82" Type="http://schemas.openxmlformats.org/officeDocument/2006/relationships/footer" Target="footer12.xml"/><Relationship Id="rId83" Type="http://schemas.openxmlformats.org/officeDocument/2006/relationships/footer" Target="footer13.xml"/><Relationship Id="rId84" Type="http://schemas.openxmlformats.org/officeDocument/2006/relationships/footer" Target="footer14.xml"/><Relationship Id="rId85" Type="http://schemas.openxmlformats.org/officeDocument/2006/relationships/header" Target="header24.xml"/><Relationship Id="rId86" Type="http://schemas.openxmlformats.org/officeDocument/2006/relationships/header" Target="header25.xml"/><Relationship Id="rId87" Type="http://schemas.openxmlformats.org/officeDocument/2006/relationships/footer" Target="footer1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dc:title>上海交通大学硕士学位论文</dc:title>
  <dcterms:created xsi:type="dcterms:W3CDTF">2017-03-14T19:19:59Z</dcterms:created>
  <dcterms:modified xsi:type="dcterms:W3CDTF">2017-03-14T19:19:59Z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2017-03-14T00:00:00Z</vt:filetime>
  </property>
</Properties>
</file>