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354455" w:name="_Ref665354455"/>
      <w:bookmarkStart w:id="569906" w:name="_Toc686569906"/>
      <w:r>
        <w:t>摘</w:t>
      </w:r>
      <w:r w:rsidRPr="00000000">
        <w:tab/>
        <w:t>要</w:t>
      </w:r>
      <w:bookmarkEnd w:id="569906"/>
    </w:p>
    <w:p w:rsidR="0018722C">
      <w:pPr>
        <w:pStyle w:val="题附段落"/>
        <w:topLinePunct/>
      </w:pPr>
      <w:r>
        <w:t>我国城镇基本医疗保险制度及新型农村合作医疗制度的建立提高了医疗健</w:t>
      </w:r>
      <w:r>
        <w:t>康水平，促进了经济与社会进一步的发展。医疗保险基金收支平衡是我国医疗保障制度可持续发展的基础，基金的适度结余对于保障参保人员的基本医疗权益， </w:t>
      </w:r>
      <w:r>
        <w:t>减轻群众医疗费用负担有着重要的意义。如何既保证参保人员“病有所医，医有</w:t>
      </w:r>
      <w:r>
        <w:t>所报”，又保证医保基金收支平衡、略有结余，成为基本医疗保险改革及发展所面临的重要课题。</w:t>
      </w:r>
    </w:p>
    <w:p w:rsidR="0018722C">
      <w:pPr>
        <w:topLinePunct/>
      </w:pPr>
      <w:r>
        <w:t>本文主要研究北京市城镇职工基本医疗保险、城镇居民基本医疗保险、新型</w:t>
      </w:r>
      <w:r>
        <w:t>农村合作医疗三项医疗保险制度的历史沿革，参保率及基金收入与支出情况，累</w:t>
      </w:r>
      <w:r>
        <w:t>计结余情况，从基金收入方面选取了参保人数、职工平均工资、缴费比例、在职</w:t>
      </w:r>
      <w:r>
        <w:t>职工比例、死亡率、政府补助和人口老龄化程度七个因素，从基金支出方面选取</w:t>
      </w:r>
      <w:r>
        <w:t>了预期寿命、起付标准和最高支付限额、医疗费用报销标准、疾病谱的变化、居</w:t>
      </w:r>
      <w:r>
        <w:t>民健康和保健意识、医疗科技的进步六个因素，对影响医疗保险基金收支的主要</w:t>
      </w:r>
      <w:r>
        <w:t>因素进行了分析。通过借鉴国外以及我国大连、云南等地区的医疗保险基金收支平衡管理经验，从基金管理、基金收入、基金支出三个方面对北京市医疗保险基金收支平衡管理提出对策建议。</w:t>
      </w:r>
    </w:p>
    <w:p w:rsidR="0018722C">
      <w:pPr>
        <w:pStyle w:val="aff"/>
        <w:topLinePunct/>
      </w:pPr>
      <w:r>
        <w:rPr>
          <w:rStyle w:val="afe"/>
          <w:rFonts w:ascii="Times New Roman" w:eastAsia="黑体" w:hint="eastAsia"/>
        </w:rPr>
        <w:t>关键词：</w:t>
      </w:r>
      <w:r>
        <w:t>医疗保险</w:t>
      </w:r>
      <w:r>
        <w:t xml:space="preserve">； </w:t>
      </w:r>
      <w:r>
        <w:t>基金管理</w:t>
      </w:r>
      <w:r>
        <w:t xml:space="preserve">； </w:t>
      </w:r>
      <w:r>
        <w:t>收支平衡</w:t>
      </w:r>
    </w:p>
    <w:p w:rsidR="0018722C">
      <w:pPr>
        <w:pStyle w:val="Heading1"/>
        <w:topLinePunct/>
      </w:pPr>
      <w:bookmarkStart w:id="569908" w:name="_Toc686569908"/>
      <w:bookmarkStart w:name="_bookmark0" w:id="1"/>
      <w:bookmarkEnd w:id="1"/>
      <w:bookmarkStart w:name="_bookmark1" w:id="2"/>
      <w:bookmarkEnd w:id="2"/>
      <w:r>
        <w:t>第 1 章</w:t>
      </w:r>
      <w:r>
        <w:t xml:space="preserve">  </w:t>
      </w:r>
      <w:r w:rsidRPr="00DB64CE">
        <w:t>导论</w:t>
      </w:r>
      <w:bookmarkEnd w:id="569908"/>
    </w:p>
    <w:p w:rsidR="0018722C">
      <w:pPr>
        <w:pStyle w:val="Heading2"/>
        <w:topLinePunct/>
        <w:ind w:left="171" w:hangingChars="171" w:hanging="171"/>
      </w:pPr>
      <w:bookmarkStart w:id="569909" w:name="_Toc686569909"/>
      <w:r>
        <w:t>1.1</w:t>
      </w:r>
      <w:r>
        <w:t xml:space="preserve"> </w:t>
      </w:r>
      <w:r>
        <w:t>研究背景</w:t>
      </w:r>
      <w:bookmarkEnd w:id="569909"/>
    </w:p>
    <w:p w:rsidR="0018722C">
      <w:pPr>
        <w:topLinePunct/>
      </w:pPr>
      <w:r>
        <w:t>随着我国城镇职工基本医疗保险、新型农村合作医疗和城镇居民基本医疗保</w:t>
      </w:r>
      <w:r>
        <w:t>险制度的出台及实施，目前我国已经实现基本医疗保险全覆盖，筹资水平也有了</w:t>
      </w:r>
      <w:r>
        <w:t>很大提高。但是，我国一方面“看病贵、看病难”的问题仍然存在，医疗保险保障水平较低，另一方面，现收现付制下的医疗保险统筹基金却表现出结余过高的问题。</w:t>
      </w:r>
    </w:p>
    <w:p w:rsidR="0018722C">
      <w:pPr>
        <w:topLinePunct/>
      </w:pPr>
      <w:r>
        <w:t>我国医疗保险统筹基金实行的是现收现付制</w:t>
      </w:r>
      <w:r>
        <w:t>（</w:t>
      </w:r>
      <w:r>
        <w:rPr>
          <w:rFonts w:ascii="Times New Roman" w:eastAsia="Times New Roman"/>
        </w:rPr>
        <w:t>p</w:t>
      </w:r>
      <w:r>
        <w:rPr>
          <w:rFonts w:ascii="Times New Roman" w:eastAsia="Times New Roman"/>
        </w:rPr>
        <w:t>a</w:t>
      </w:r>
      <w:r>
        <w:rPr>
          <w:rFonts w:ascii="Times New Roman" w:eastAsia="Times New Roman"/>
        </w:rPr>
        <w:t>y</w:t>
      </w:r>
      <w:r>
        <w:rPr>
          <w:rFonts w:ascii="Times New Roman" w:eastAsia="Times New Roman"/>
        </w:rPr>
        <w:t> a</w:t>
      </w:r>
      <w:r>
        <w:rPr>
          <w:rFonts w:ascii="Times New Roman" w:eastAsia="Times New Roman"/>
        </w:rPr>
        <w:t>s</w:t>
      </w:r>
      <w:r>
        <w:rPr>
          <w:rFonts w:ascii="Times New Roman" w:eastAsia="Times New Roman"/>
        </w:rPr>
        <w:t> </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 </w:t>
      </w:r>
      <w:r>
        <w:rPr>
          <w:rFonts w:ascii="Times New Roman" w:eastAsia="Times New Roman"/>
        </w:rPr>
        <w:t>g</w:t>
      </w:r>
      <w:r>
        <w:rPr>
          <w:rFonts w:ascii="Times New Roman" w:eastAsia="Times New Roman"/>
        </w:rPr>
        <w:t>o</w:t>
      </w:r>
      <w:r w:rsidR="001852F3">
        <w:rPr>
          <w:rFonts w:ascii="Times New Roman" w:eastAsia="Times New Roman"/>
        </w:rPr>
        <w:t xml:space="preserve"> </w:t>
      </w:r>
      <w:r>
        <w:t>）</w:t>
      </w:r>
      <w:r>
        <w:t>，这种模式是</w:t>
      </w:r>
    </w:p>
    <w:p w:rsidR="0018722C">
      <w:pPr>
        <w:topLinePunct/>
      </w:pPr>
      <w:r>
        <w:t>“按照一个较短的时期</w:t>
      </w:r>
      <w:r>
        <w:t>（</w:t>
      </w:r>
      <w:r>
        <w:t>通常为一年</w:t>
      </w:r>
      <w:r>
        <w:t>）</w:t>
      </w:r>
      <w:r>
        <w:t>内收支平衡的原则确定费率，筹集社会保</w:t>
      </w:r>
      <w:r>
        <w:t>险基金，即本预算期内社会保险费收入仅仅满足本预算内社会保险金给付的需</w:t>
      </w:r>
      <w:r>
        <w:t>要。当然，为了避免费率调整过于频繁，防止短期内经济或其他突发事件可能出</w:t>
      </w:r>
      <w:r>
        <w:t>现的基金收支波动，一般保留有小额的流动储备金。即所谓，以支定收、收支平</w:t>
      </w:r>
      <w:r>
        <w:t>衡、略有结余。”</w:t>
      </w:r>
      <w:hyperlink w:history="true" w:anchor="_bookmark2">
        <w:r>
          <w:rPr>
            <w:vertAlign w:val="superscript"/>
            /&gt;
          </w:rPr>
          <w:t>1</w:t>
        </w:r>
      </w:hyperlink>
      <w:r>
        <w:t>而截止到</w:t>
      </w:r>
      <w:r>
        <w:rPr>
          <w:rFonts w:ascii="Times New Roman" w:hAnsi="Times New Roman" w:eastAsia="宋体"/>
        </w:rPr>
        <w:t>2012</w:t>
      </w:r>
      <w:r>
        <w:t>年年末，北京市城镇职工基本医疗统筹基金累</w:t>
      </w:r>
      <w:r>
        <w:t>计结余</w:t>
      </w:r>
      <w:r>
        <w:rPr>
          <w:rFonts w:ascii="Times New Roman" w:hAnsi="Times New Roman" w:eastAsia="宋体"/>
        </w:rPr>
        <w:t>189</w:t>
      </w:r>
      <w:r>
        <w:rPr>
          <w:rFonts w:ascii="Times New Roman" w:hAnsi="Times New Roman" w:eastAsia="宋体"/>
        </w:rPr>
        <w:t>.</w:t>
      </w:r>
      <w:r>
        <w:rPr>
          <w:rFonts w:ascii="Times New Roman" w:hAnsi="Times New Roman" w:eastAsia="宋体"/>
        </w:rPr>
        <w:t>3702</w:t>
      </w:r>
      <w:r>
        <w:t>亿元，城镇居民基本医疗保险基金累计结余</w:t>
      </w:r>
      <w:r>
        <w:rPr>
          <w:rFonts w:ascii="Times New Roman" w:hAnsi="Times New Roman" w:eastAsia="宋体"/>
        </w:rPr>
        <w:t>9</w:t>
      </w:r>
      <w:r>
        <w:rPr>
          <w:rFonts w:ascii="Times New Roman" w:hAnsi="Times New Roman" w:eastAsia="宋体"/>
        </w:rPr>
        <w:t>.</w:t>
      </w:r>
      <w:r>
        <w:rPr>
          <w:rFonts w:ascii="Times New Roman" w:hAnsi="Times New Roman" w:eastAsia="宋体"/>
        </w:rPr>
        <w:t>0213</w:t>
      </w:r>
      <w:r>
        <w:t>亿元。</w:t>
      </w:r>
    </w:p>
    <w:p w:rsidR="0018722C">
      <w:pPr>
        <w:topLinePunct/>
      </w:pPr>
      <w:r>
        <w:t>医疗保险统筹基金的结余，在制度设计初期有利于维护制度的稳定性，但由</w:t>
      </w:r>
      <w:r>
        <w:t>于我国社会保障总体水平较低，当前的工作主要是如何利用有限的医疗保险基</w:t>
      </w:r>
      <w:r>
        <w:t>金，切实保障参保人的利益，防止资金浪费，避免参保职工待遇水平及参保居民</w:t>
      </w:r>
      <w:r>
        <w:t>和农民生活水平的降低。北京市医疗保险统筹基金如此巨额结余，一是会令参保</w:t>
      </w:r>
      <w:r>
        <w:t>人员和医疗机构对基本医疗保险制度产生质疑，从而导致参保积极性下降，并将进一步加剧基金的不平衡。二是会加重企业缴费负担及财政压力，目前，北京市</w:t>
      </w:r>
      <w:r>
        <w:t>中小企业参加五项社会保险需要缴纳职工工资总额</w:t>
      </w:r>
      <w:r>
        <w:rPr>
          <w:rFonts w:ascii="Times New Roman" w:eastAsia="Times New Roman"/>
        </w:rPr>
        <w:t>32</w:t>
      </w:r>
      <w:r>
        <w:rPr>
          <w:rFonts w:ascii="Times New Roman" w:eastAsia="Times New Roman"/>
        </w:rPr>
        <w:t>.</w:t>
      </w:r>
      <w:r>
        <w:rPr>
          <w:rFonts w:ascii="Times New Roman" w:eastAsia="Times New Roman"/>
        </w:rPr>
        <w:t>28%</w:t>
      </w:r>
      <w:r>
        <w:t>的社会保险费。养老</w:t>
      </w:r>
      <w:r>
        <w:t>保险缴纳</w:t>
      </w:r>
      <w:r>
        <w:rPr>
          <w:rFonts w:ascii="Times New Roman" w:eastAsia="Times New Roman"/>
        </w:rPr>
        <w:t>20%</w:t>
      </w:r>
      <w:r>
        <w:t>，医疗保险缴纳</w:t>
      </w:r>
      <w:r>
        <w:rPr>
          <w:rFonts w:ascii="Times New Roman" w:eastAsia="Times New Roman"/>
        </w:rPr>
        <w:t>10%</w:t>
      </w:r>
      <w:r>
        <w:t>，失业保险缴纳</w:t>
      </w:r>
      <w:r>
        <w:rPr>
          <w:rFonts w:ascii="Times New Roman" w:eastAsia="Times New Roman"/>
        </w:rPr>
        <w:t>1%</w:t>
      </w:r>
      <w:r>
        <w:t>，工伤保险缴纳</w:t>
      </w:r>
      <w:r>
        <w:rPr>
          <w:rFonts w:ascii="Times New Roman" w:eastAsia="Times New Roman"/>
        </w:rPr>
        <w:t>0</w:t>
      </w:r>
      <w:r>
        <w:rPr>
          <w:rFonts w:ascii="Times New Roman" w:eastAsia="Times New Roman"/>
        </w:rPr>
        <w:t>.</w:t>
      </w:r>
      <w:r>
        <w:rPr>
          <w:rFonts w:ascii="Times New Roman" w:eastAsia="Times New Roman"/>
        </w:rPr>
        <w:t>48%</w:t>
      </w:r>
      <w:r>
        <w:t>，</w:t>
      </w:r>
      <w:r>
        <w:t>生育保险缴纳</w:t>
      </w:r>
      <w:r>
        <w:rPr>
          <w:rFonts w:ascii="Times New Roman" w:eastAsia="Times New Roman"/>
        </w:rPr>
        <w:t>0</w:t>
      </w:r>
      <w:r>
        <w:rPr>
          <w:rFonts w:ascii="Times New Roman" w:eastAsia="Times New Roman"/>
        </w:rPr>
        <w:t>.</w:t>
      </w:r>
      <w:r>
        <w:rPr>
          <w:rFonts w:ascii="Times New Roman" w:eastAsia="Times New Roman"/>
        </w:rPr>
        <w:t>8%</w:t>
      </w:r>
      <w:r>
        <w:t>。</w:t>
      </w:r>
      <w:hyperlink w:history="true" w:anchor="_bookmark3">
        <w:r>
          <w:rPr>
            <w:vertAlign w:val="superscript"/>
            /&gt;
          </w:rPr>
          <w:t>2</w:t>
        </w:r>
      </w:hyperlink>
      <w:r>
        <w:t>企业本身缴费压力过大，加上医疗保险基金过度结余，将</w:t>
      </w:r>
      <w:r>
        <w:t>影响中小企业医疗保险缴费意愿，也不利于企业发展。三是会加大医疗保险基金</w:t>
      </w:r>
      <w:r>
        <w:t>的管理风险。医疗保险基金结余过多容易带来政府部门挪用基金及贪腐问题。四</w:t>
      </w:r>
      <w:r>
        <w:t>是会造成基金贬值，医疗保险基金结余过多对基金的投资运营提出了更高的要</w:t>
      </w:r>
      <w:r>
        <w:t>求。如果不能很好地实现保值增值，在通货膨胀的情况下，医疗保险基金会严重贬值。</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林义，社会保险基金管理，中国劳动社会保障出版社，第</w:t>
      </w:r>
      <w:r>
        <w:rPr>
          <w:rFonts w:ascii="Times New Roman" w:eastAsia="Times New Roman" w:cstheme="minorBidi" w:hAnsiTheme="minorHAnsi"/>
        </w:rPr>
        <w:t>56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数据来源：北京市人力资源和社会保障局网站</w:t>
      </w:r>
    </w:p>
    <w:p w:rsidR="0018722C">
      <w:pPr>
        <w:topLinePunct/>
      </w:pPr>
      <w:bookmarkStart w:name="_bookmark4" w:id="3"/>
      <w:bookmarkEnd w:id="3"/>
      <w:r/>
      <w:r>
        <w:t>金波动程度、当期提取比例和基金管理水平等因素的影响，一般在年支出的</w:t>
      </w:r>
      <w:r>
        <w:rPr>
          <w:rFonts w:ascii="Times New Roman" w:eastAsia="Times New Roman"/>
        </w:rPr>
        <w:t>25%</w:t>
      </w:r>
      <w:r>
        <w:t>至</w:t>
      </w:r>
      <w:r>
        <w:rPr>
          <w:rFonts w:ascii="Times New Roman" w:eastAsia="Times New Roman"/>
        </w:rPr>
        <w:t>100%</w:t>
      </w:r>
      <w:r>
        <w:t>之间，发达国家一般不超过</w:t>
      </w:r>
      <w:r>
        <w:rPr>
          <w:rFonts w:ascii="Times New Roman" w:eastAsia="Times New Roman"/>
        </w:rPr>
        <w:t>15%</w:t>
      </w:r>
      <w:r>
        <w:t>。北京市目前对城镇职工基本医疗、新农合、居民医保的风险储备金提取尚无明确规定，是政策盲区。</w:t>
      </w:r>
    </w:p>
    <w:p w:rsidR="0018722C">
      <w:pPr>
        <w:topLinePunct/>
      </w:pPr>
      <w:r>
        <w:t>我国医疗保险制度平稳运行的关键在于医疗保险基金是否能够收支平衡，一</w:t>
      </w:r>
      <w:r>
        <w:t>定程度的结余率对参保者的医疗卫生保障与费用负担减轻有很大的作用，如何既</w:t>
      </w:r>
      <w:r>
        <w:t>保证参保人员“病有所医，医有所报”，又保证医保基金收支平衡、略有结余，</w:t>
      </w:r>
      <w:r>
        <w:t>成为基本医疗保险改革及发展所面临的重要课题。所以研究北京市医疗保险统筹基金收支平衡这一课题具有很重要的理论及现实意义。</w:t>
      </w:r>
    </w:p>
    <w:p w:rsidR="0018722C">
      <w:pPr>
        <w:pStyle w:val="Heading2"/>
        <w:topLinePunct/>
        <w:ind w:left="171" w:hangingChars="171" w:hanging="171"/>
      </w:pPr>
      <w:bookmarkStart w:id="569910" w:name="_Toc686569910"/>
      <w:r>
        <w:t>1.2</w:t>
      </w:r>
      <w:r>
        <w:t xml:space="preserve"> </w:t>
      </w:r>
      <w:r>
        <w:t>文献综述</w:t>
      </w:r>
      <w:bookmarkEnd w:id="569910"/>
    </w:p>
    <w:p w:rsidR="0018722C">
      <w:pPr>
        <w:pStyle w:val="Heading3"/>
        <w:topLinePunct/>
        <w:ind w:left="200" w:hangingChars="200" w:hanging="200"/>
      </w:pPr>
      <w:bookmarkStart w:id="569911" w:name="_Toc686569911"/>
      <w:r>
        <w:t>1.2.1</w:t>
      </w:r>
      <w:r>
        <w:t xml:space="preserve"> </w:t>
      </w:r>
      <w:r>
        <w:t>国内研究</w:t>
      </w:r>
      <w:bookmarkEnd w:id="569911"/>
    </w:p>
    <w:p w:rsidR="0018722C">
      <w:pPr>
        <w:topLinePunct/>
      </w:pPr>
      <w:r>
        <w:t>近年</w:t>
      </w:r>
      <w:r>
        <w:t>来，国内有学者对我国医疗保险基金结余适宜度进行了研究。顾昕</w:t>
      </w:r>
    </w:p>
    <w:p w:rsidR="0018722C">
      <w:pPr>
        <w:topLinePunct/>
      </w:pPr>
      <w:r>
        <w:t>（</w:t>
      </w:r>
      <w:r>
        <w:rPr>
          <w:rFonts w:ascii="Times New Roman" w:hAnsi="Times New Roman" w:eastAsia="Times New Roman"/>
        </w:rPr>
        <w:t>2010</w:t>
      </w:r>
      <w:r>
        <w:t>）</w:t>
      </w:r>
      <w:r>
        <w:t>分别分析了我国新型农村合作医疗、城镇居民基本医疗保险、城镇职工</w:t>
      </w:r>
      <w:r>
        <w:t>基本医疗保险基金结余情况及原因，对盘活医保沉淀基金提出政策建议，一是国</w:t>
      </w:r>
      <w:r>
        <w:t>有企业困难职工和离退休者参保费用由财政预算来补贴而不应该靠对现在的参</w:t>
      </w:r>
      <w:r>
        <w:t>保人“多征少给”来为这类困难人群筹资，二是参保者可以使用个人账户资金为</w:t>
      </w:r>
      <w:r>
        <w:t>直系亲属缴纳保费。吕国营、</w:t>
      </w:r>
      <w:r w:rsidR="001852F3">
        <w:t xml:space="preserve">徐丽军</w:t>
      </w:r>
      <w:r>
        <w:t>（</w:t>
      </w:r>
      <w:r>
        <w:rPr>
          <w:rFonts w:ascii="Times New Roman" w:hAnsi="Times New Roman" w:eastAsia="Times New Roman"/>
        </w:rPr>
        <w:t>2012</w:t>
      </w:r>
      <w:r>
        <w:t>）</w:t>
      </w:r>
      <w:r>
        <w:t>通过论证医疗保险与养老保险及</w:t>
      </w:r>
      <w:r>
        <w:t>公共医疗的关系，得出确定合理的医疗基金结余标准应该考虑的三个方面分别是</w:t>
      </w:r>
      <w:r>
        <w:t>医疗保险基金的统筹层次、承担养老责任的大小、公共卫生项目的覆盖程度。李</w:t>
      </w:r>
      <w:r>
        <w:t>常印、郝春彭等</w:t>
      </w:r>
      <w:r>
        <w:t>（</w:t>
      </w:r>
      <w:r>
        <w:rPr>
          <w:rFonts w:ascii="Times New Roman" w:hAnsi="Times New Roman" w:eastAsia="Times New Roman"/>
          <w:spacing w:val="-2"/>
        </w:rPr>
        <w:t>2012</w:t>
      </w:r>
      <w:r>
        <w:t>）</w:t>
      </w:r>
      <w:r>
        <w:t>通过对国家社保中心历年运行分析数据，提出在较短的</w:t>
      </w:r>
      <w:r>
        <w:t>时间里，影响医疗保险基金收入的因素主要有经济发展水平、费率、参保人数等，</w:t>
      </w:r>
      <w:r>
        <w:t>而医疗保险的支出与付费标准和付费方式等有关，提出要合理控制基金适度结</w:t>
      </w:r>
      <w:r>
        <w:t>余、建立基金预警机制、降低基金风险。沈焕根、张磊</w:t>
      </w:r>
      <w:r>
        <w:t>（</w:t>
      </w:r>
      <w:r>
        <w:rPr>
          <w:rFonts w:ascii="Times New Roman" w:hAnsi="Times New Roman" w:eastAsia="Times New Roman"/>
          <w:spacing w:val="-2"/>
        </w:rPr>
        <w:t>2012</w:t>
      </w:r>
      <w:r>
        <w:t>）</w:t>
      </w:r>
      <w:r>
        <w:t>归纳出影响医疗保险基金长期平衡的风险因素有制度风险、经济风险、社会风险和技术风险等，</w:t>
      </w:r>
      <w:r>
        <w:t>提出调整基金结余结构，将结余率维持在合理水平、从横纵两方面提高统筹层次与建立风险预警机制等建议。</w:t>
      </w:r>
    </w:p>
    <w:p w:rsidR="0018722C">
      <w:pPr>
        <w:topLinePunct/>
      </w:pPr>
      <w:r>
        <w:t>有学者就城镇职工基本医疗保险进行专题研究。卢驰文、王钦池</w:t>
      </w:r>
      <w:r>
        <w:t>（</w:t>
      </w:r>
      <w:r>
        <w:rPr>
          <w:rFonts w:ascii="Times New Roman" w:eastAsia="Times New Roman"/>
          <w:spacing w:val="-8"/>
        </w:rPr>
        <w:t>2010</w:t>
      </w:r>
      <w:r>
        <w:t>）</w:t>
      </w:r>
      <w:r>
        <w:t>认</w:t>
      </w:r>
      <w:r>
        <w:t>为我国城镇职工基本医疗保险基金结余过多的原因各个地区不尽相同，有些地区</w:t>
      </w:r>
      <w:r>
        <w:t>医疗保险经办管理机构尽可能多的积累医疗保险基金，因为其负责人以为医疗保</w:t>
      </w:r>
      <w:r>
        <w:t>险基金如果出现收不抵支的情况会影响自己的政绩，有些地区医疗保险经办管理机构由于技术水平较低，无法准确测算基金支出而导致医疗保险基金结余过多，</w:t>
      </w:r>
      <w:r>
        <w:t>有些地区筹资水平逐年提高，而给付标准多年不调整导致结余过多，他建议建立</w:t>
      </w:r>
      <w:r>
        <w:t>相机调整基金结余率的制度。黎友隆、罗顺均</w:t>
      </w:r>
      <w:r>
        <w:t>（</w:t>
      </w:r>
      <w:r>
        <w:rPr>
          <w:rFonts w:ascii="Times New Roman" w:eastAsia="Times New Roman"/>
          <w:spacing w:val="-2"/>
        </w:rPr>
        <w:t>2010</w:t>
      </w:r>
      <w:r>
        <w:t>）</w:t>
      </w:r>
      <w:r>
        <w:t>对</w:t>
      </w:r>
      <w:r>
        <w:rPr>
          <w:rFonts w:ascii="Times New Roman" w:eastAsia="Times New Roman"/>
        </w:rPr>
        <w:t>2002-2009</w:t>
      </w:r>
      <w:r>
        <w:t>年我国城镇</w:t>
      </w:r>
      <w:r>
        <w:t>职工医疗保险基金各年结余情况、累计结余情况、基金使用效率情况，城镇职工</w:t>
      </w:r>
      <w:r>
        <w:t>人均医疗费用与基金人均支出、基金人均支出变化率、基金人均支出差额、人</w:t>
      </w:r>
      <w:r>
        <w:t>均</w:t>
      </w:r>
    </w:p>
    <w:p w:rsidR="0018722C">
      <w:pPr>
        <w:topLinePunct/>
      </w:pPr>
      <w:bookmarkStart w:name="_bookmark5" w:id="4"/>
      <w:bookmarkEnd w:id="4"/>
      <w:r/>
      <w:r>
        <w:t>可支配收入等的关系进行了分析。并分别测算了在结余率为</w:t>
      </w:r>
      <w:r>
        <w:rPr>
          <w:rFonts w:ascii="Times New Roman" w:eastAsia="Times New Roman"/>
        </w:rPr>
        <w:t>15%</w:t>
      </w:r>
      <w:r>
        <w:t>、</w:t>
      </w:r>
      <w:r>
        <w:rPr>
          <w:rFonts w:ascii="Times New Roman" w:eastAsia="Times New Roman"/>
        </w:rPr>
        <w:t>5%</w:t>
      </w:r>
      <w:r>
        <w:t>、</w:t>
      </w:r>
      <w:r>
        <w:rPr>
          <w:rFonts w:ascii="Times New Roman" w:eastAsia="Times New Roman"/>
        </w:rPr>
        <w:t>-5%</w:t>
      </w:r>
      <w:r>
        <w:t>时未</w:t>
      </w:r>
      <w:r>
        <w:t>来</w:t>
      </w:r>
      <w:r>
        <w:rPr>
          <w:rFonts w:ascii="Times New Roman" w:eastAsia="Times New Roman"/>
        </w:rPr>
        <w:t>10</w:t>
      </w:r>
      <w:r>
        <w:t>年城镇职工医保基金保障水平。建议调整门诊自负比例及住院起付线等医</w:t>
      </w:r>
      <w:r>
        <w:t>疗，充分发挥个人账户基金使用率，使医疗保险能够全面保障城镇职工医疗服务。</w:t>
      </w:r>
    </w:p>
    <w:p w:rsidR="0018722C">
      <w:pPr>
        <w:topLinePunct/>
      </w:pPr>
      <w:r>
        <w:t>还有学者结合地区实际案例及数据，对该问题进行研究。彭俊、宋世斌</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通过运用精算方法研究广东省珠海市社会医疗保险基金的运行情况及收支平衡</w:t>
      </w:r>
      <w:r>
        <w:t>情况，并且预测，珠海市医疗保险基金以目前老龄化的发展速度，按照现在的制</w:t>
      </w:r>
      <w:r>
        <w:t>度体系，会在</w:t>
      </w:r>
      <w:r>
        <w:rPr>
          <w:rFonts w:ascii="Times New Roman" w:eastAsia="Times New Roman"/>
        </w:rPr>
        <w:t>2020</w:t>
      </w:r>
      <w:r>
        <w:t>年到</w:t>
      </w:r>
      <w:r>
        <w:rPr>
          <w:rFonts w:ascii="Times New Roman" w:eastAsia="Times New Roman"/>
        </w:rPr>
        <w:t>2025</w:t>
      </w:r>
      <w:r>
        <w:t>年之间出现入不敷出的局面，提出要改变个人帐户</w:t>
      </w:r>
      <w:r>
        <w:t>划拨比例。朱彪、袁长海</w:t>
      </w:r>
      <w:r>
        <w:t>（</w:t>
      </w:r>
      <w:r>
        <w:rPr>
          <w:rFonts w:ascii="Times New Roman" w:eastAsia="Times New Roman"/>
          <w:spacing w:val="-2"/>
        </w:rPr>
        <w:t>2010</w:t>
      </w:r>
      <w:r>
        <w:t>）</w:t>
      </w:r>
      <w:r>
        <w:t>通过研究ft东省部分地区医疗保险制度及基金</w:t>
      </w:r>
      <w:r>
        <w:t>结余情况，分析了城镇职工及居民基本医疗保险结余过高以及新型农村合作医疗</w:t>
      </w:r>
      <w:r>
        <w:t>赤字的原因，提出要完善医疗保险费用结算方式及支付制度，加强基金监督管理并且充分发挥ft东省基层卫生机构的作用。</w:t>
      </w:r>
    </w:p>
    <w:p w:rsidR="0018722C">
      <w:pPr>
        <w:pStyle w:val="Heading3"/>
        <w:topLinePunct/>
        <w:ind w:left="200" w:hangingChars="200" w:hanging="200"/>
      </w:pPr>
      <w:bookmarkStart w:id="569912" w:name="_Toc686569912"/>
      <w:r>
        <w:t>1.2.2</w:t>
      </w:r>
      <w:r>
        <w:t xml:space="preserve"> </w:t>
      </w:r>
      <w:r>
        <w:t>国外研究</w:t>
      </w:r>
      <w:bookmarkEnd w:id="569912"/>
    </w:p>
    <w:p w:rsidR="0018722C">
      <w:pPr>
        <w:topLinePunct/>
      </w:pPr>
      <w:r>
        <w:t>国外学者的研究主要</w:t>
      </w:r>
      <w:r>
        <w:rPr>
          <w:rFonts w:ascii="Times New Roman" w:eastAsia="Times New Roman"/>
        </w:rPr>
        <w:t>Axel </w:t>
      </w:r>
      <w:r>
        <w:rPr>
          <w:rFonts w:ascii="Times New Roman" w:eastAsia="Times New Roman"/>
        </w:rPr>
        <w:t>Reimann</w:t>
      </w:r>
      <w:r>
        <w:t>（</w:t>
      </w:r>
      <w:r>
        <w:rPr>
          <w:rFonts w:ascii="Times New Roman" w:eastAsia="Times New Roman"/>
          <w:spacing w:val="-2"/>
        </w:rPr>
        <w:t>2003</w:t>
      </w:r>
      <w:r>
        <w:t>）</w:t>
      </w:r>
      <w:r>
        <w:t>从组织机构、监督制度、预算和</w:t>
      </w:r>
      <w:r>
        <w:t>审计制度、融资原则、财产管理等方面对中国和德国的医疗保险基金管理办法进</w:t>
      </w:r>
      <w:r>
        <w:t>行了比较研究。</w:t>
      </w:r>
      <w:r>
        <w:rPr>
          <w:rFonts w:ascii="Times New Roman" w:eastAsia="Times New Roman"/>
        </w:rPr>
        <w:t>Steinmann</w:t>
      </w:r>
      <w:r>
        <w:t>（</w:t>
      </w:r>
      <w:r>
        <w:rPr>
          <w:rFonts w:ascii="Times New Roman" w:eastAsia="Times New Roman"/>
        </w:rPr>
        <w:t>2005</w:t>
      </w:r>
      <w:r>
        <w:t>）</w:t>
      </w:r>
      <w:r>
        <w:t>研究表明人口老龄化是目前世界医疗费用迅速增长的主要因素，</w:t>
      </w:r>
      <w:r>
        <w:rPr>
          <w:rFonts w:ascii="Times New Roman" w:eastAsia="Times New Roman"/>
        </w:rPr>
        <w:t>65</w:t>
      </w:r>
      <w:r>
        <w:t>岁以上人口占总人口的比重对医疗卫生费用变化有重要影响。</w:t>
      </w:r>
      <w:r>
        <w:rPr>
          <w:rFonts w:ascii="Times New Roman" w:eastAsia="Times New Roman"/>
        </w:rPr>
        <w:t>Ma C.</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2007</w:t>
      </w:r>
      <w:r>
        <w:t>）</w:t>
      </w:r>
      <w:r>
        <w:t>提出医疗保险经办部门的支付方式会影响医疗机构采用的诊疗手段与医疗花费的程度。</w:t>
      </w:r>
      <w:r>
        <w:rPr>
          <w:rFonts w:ascii="Times New Roman" w:eastAsia="Times New Roman"/>
        </w:rPr>
        <w:t>Markv.</w:t>
      </w:r>
      <w:r w:rsidR="004B696B">
        <w:rPr>
          <w:rFonts w:ascii="Times New Roman" w:eastAsia="Times New Roman"/>
        </w:rPr>
        <w:t xml:space="preserve"> </w:t>
      </w:r>
      <w:r w:rsidR="004B696B">
        <w:rPr>
          <w:rFonts w:ascii="Times New Roman" w:eastAsia="Times New Roman"/>
        </w:rPr>
        <w:t>Pauly</w:t>
      </w:r>
      <w:r>
        <w:t>从筹资和医疗费用支付方式的设计</w:t>
      </w:r>
      <w:r>
        <w:t>方面进行研究，提出最优的医疗保障制度应该是由病人和政府共同付费，并且要设立一定的自付比例，病人需要承担一定的费用。</w:t>
      </w:r>
      <w:r>
        <w:rPr>
          <w:rFonts w:ascii="Times New Roman" w:eastAsia="Times New Roman"/>
        </w:rPr>
        <w:t>Cagatay </w:t>
      </w:r>
      <w:r>
        <w:rPr>
          <w:rFonts w:ascii="Times New Roman" w:eastAsia="Times New Roman"/>
        </w:rPr>
        <w:t>K.</w:t>
      </w:r>
      <w:r>
        <w:t>（</w:t>
      </w:r>
      <w:r>
        <w:rPr>
          <w:rFonts w:ascii="Times New Roman" w:eastAsia="Times New Roman"/>
        </w:rPr>
        <w:t>2008</w:t>
      </w:r>
      <w:r>
        <w:t>）</w:t>
      </w:r>
      <w:r>
        <w:t xml:space="preserve">提出医疗保险制度本身问题，比如因为第三方付费的模式也使得医疗保险存在道德风险，</w:t>
      </w:r>
      <w:r>
        <w:t>导致医疗保险支出增加。</w:t>
      </w:r>
      <w:r>
        <w:rPr>
          <w:rFonts w:ascii="Times New Roman" w:eastAsia="Times New Roman"/>
        </w:rPr>
        <w:t>Posnett J.</w:t>
      </w:r>
      <w:r>
        <w:t>和</w:t>
      </w:r>
      <w:r>
        <w:rPr>
          <w:rFonts w:ascii="Times New Roman" w:eastAsia="Times New Roman"/>
        </w:rPr>
        <w:t>Hitiris </w:t>
      </w:r>
      <w:r>
        <w:rPr>
          <w:rFonts w:ascii="Times New Roman" w:eastAsia="Times New Roman"/>
        </w:rPr>
        <w:t>T.</w:t>
      </w:r>
      <w:r>
        <w:t>通过对比研究欧共体中不同国家的</w:t>
      </w:r>
      <w:r>
        <w:t>医疗费用支出情况，利用老年人口赡养系数、人均收入、通货膨胀率、医疗费用在政府全部公共性支出中所占比例等参数建立了欧共体的医疗费用预测模型。</w:t>
      </w:r>
    </w:p>
    <w:p w:rsidR="0018722C">
      <w:pPr>
        <w:pStyle w:val="Heading2"/>
        <w:topLinePunct/>
        <w:ind w:left="171" w:hangingChars="171" w:hanging="171"/>
      </w:pPr>
      <w:bookmarkStart w:id="569913" w:name="_Toc686569913"/>
      <w:r>
        <w:t>1.3</w:t>
      </w:r>
      <w:r>
        <w:t xml:space="preserve"> </w:t>
      </w:r>
      <w:r>
        <w:t>研究内容</w:t>
      </w:r>
      <w:bookmarkEnd w:id="569913"/>
    </w:p>
    <w:p w:rsidR="0018722C">
      <w:pPr>
        <w:topLinePunct/>
      </w:pPr>
      <w:r>
        <w:t>第一部分：导论。</w:t>
      </w:r>
    </w:p>
    <w:p w:rsidR="0018722C">
      <w:pPr>
        <w:topLinePunct/>
      </w:pPr>
      <w:bookmarkStart w:id="569972" w:name="_cwCmt1"/>
      <w:r>
        <w:t>第二部分：全面分析研究北京市医疗保险运行情况，包括医保政策、覆盖范</w:t>
      </w:r>
      <w:r>
        <w:t>围、筹资标准、缴费年限、待遇水平等。利用相关数据，对北京市城镇职工基本</w:t>
      </w:r>
      <w:r>
        <w:t>医疗保险、城镇居民医疗保险和新型农村合作医疗三项医保基金结余情况进行评估。</w:t>
      </w:r>
      <w:bookmarkEnd w:id="569972"/>
    </w:p>
    <w:p w:rsidR="0018722C">
      <w:pPr>
        <w:topLinePunct/>
      </w:pPr>
      <w:r>
        <w:t>第三部分：分析影响北京市基本医疗保险基金收支平衡的主要因素，基金收</w:t>
      </w:r>
      <w:r>
        <w:t>入方面，选取参保人数、职工平均工资、缴费比例、在职职工比例、死亡率、政</w:t>
      </w:r>
      <w:r>
        <w:t>府补助和人口老龄化程度等因素进行分析；基金支出方面选取预期寿命、起付标准和最高支付限额、医疗费用报销标准、疾病谱的变化、居民健康和保健意识</w:t>
      </w:r>
      <w:r>
        <w:t>、</w:t>
      </w:r>
    </w:p>
    <w:p w:rsidR="0018722C">
      <w:pPr>
        <w:pStyle w:val="Heading2"/>
        <w:topLinePunct/>
        <w:ind w:left="171" w:hangingChars="171" w:hanging="171"/>
      </w:pPr>
      <w:bookmarkStart w:id="569914" w:name="_Toc686569914"/>
      <w:bookmarkStart w:name="_bookmark6" w:id="5"/>
      <w:bookmarkEnd w:id="5"/>
      <w:r/>
      <w:r>
        <w:t>医疗科技的进步等因素进行分析。</w:t>
      </w:r>
      <w:bookmarkEnd w:id="569914"/>
    </w:p>
    <w:p w:rsidR="0018722C">
      <w:pPr>
        <w:topLinePunct/>
      </w:pPr>
      <w:r>
        <w:t>第四部分：借鉴国际上主要国家及国际组织如国际劳工组织对现收现付制医疗保险基金结余与收支平衡的相关制度及我国其他地区的先进经验。</w:t>
      </w:r>
    </w:p>
    <w:p w:rsidR="0018722C">
      <w:pPr>
        <w:topLinePunct/>
      </w:pPr>
      <w:r>
        <w:t>第五部分：构建北京市医疗保险基金结余适宜度与动态平衡机制的思路与对策，为相关政府部门提供参考。</w:t>
      </w:r>
    </w:p>
    <w:p w:rsidR="0018722C">
      <w:pPr>
        <w:topLinePunct/>
      </w:pPr>
      <w:r>
        <w:t>第六部分：参考文献</w:t>
      </w:r>
    </w:p>
    <w:p w:rsidR="0018722C">
      <w:pPr>
        <w:pStyle w:val="Heading2"/>
        <w:topLinePunct/>
        <w:ind w:left="171" w:hangingChars="171" w:hanging="171"/>
      </w:pPr>
      <w:bookmarkStart w:id="569915" w:name="_Toc686569915"/>
      <w:r>
        <w:t>1.4</w:t>
      </w:r>
      <w:r>
        <w:t xml:space="preserve"> </w:t>
      </w:r>
      <w:r>
        <w:t>本文的创新与不足</w:t>
      </w:r>
      <w:bookmarkEnd w:id="569915"/>
    </w:p>
    <w:p w:rsidR="0018722C">
      <w:pPr>
        <w:topLinePunct/>
      </w:pPr>
      <w:r>
        <w:t>创新之处：</w:t>
      </w:r>
    </w:p>
    <w:p w:rsidR="0018722C">
      <w:pPr>
        <w:topLinePunct/>
      </w:pPr>
      <w:r>
        <w:t>第一，运用案例分析的方法。通过查阅统计年鉴及报告数据，访谈北京市医</w:t>
      </w:r>
      <w:r>
        <w:t>保局工作人员，对该地区的医疗保险基金管理实践情况进行专题调研，运用</w:t>
      </w:r>
      <w:r>
        <w:t>一手</w:t>
      </w:r>
      <w:r>
        <w:t>资料，分析其医疗保险基金的收支平衡问题。</w:t>
      </w:r>
    </w:p>
    <w:p w:rsidR="0018722C">
      <w:pPr>
        <w:topLinePunct/>
      </w:pPr>
      <w:r>
        <w:t>第二，采取数据分析与因素分析的研究方法。本文主要分析计算了北京市医</w:t>
      </w:r>
      <w:r>
        <w:t>疗保险参保人数、参保率、基金收入、基金支出、基金当期与累计结余情况。数</w:t>
      </w:r>
      <w:r>
        <w:t>据来源为人力资源与社会保障部、北京市医保局、各统计机构公开数据。并且分析了影响医疗保险基金收入与支出的各种因素。</w:t>
      </w:r>
    </w:p>
    <w:p w:rsidR="0018722C">
      <w:pPr>
        <w:topLinePunct/>
      </w:pPr>
      <w:r>
        <w:t>第三，采用比较研究的手段。世界上很多国家都利用医疗保险制度进行卫生</w:t>
      </w:r>
      <w:r>
        <w:t>费用的管理，很多发达国家有着十分丰富的管理经验。本文通过研究法国、德国</w:t>
      </w:r>
      <w:r>
        <w:t>等国家以及我国大连、云南等地区的医保基金收支情况，比较他们在医保基金管</w:t>
      </w:r>
      <w:r>
        <w:t>理尤其是如何有效控制医疗费用上的方法，为北京市医保基金管理提供一定的借鉴意义。</w:t>
      </w:r>
    </w:p>
    <w:p w:rsidR="0018722C">
      <w:pPr>
        <w:topLinePunct/>
      </w:pPr>
      <w:r>
        <w:t>本文不足：</w:t>
      </w:r>
    </w:p>
    <w:p w:rsidR="0018722C">
      <w:pPr>
        <w:topLinePunct/>
      </w:pPr>
      <w:r>
        <w:t>受相关数据资源的限制，本文对与北京市医疗保险基金平衡问题研究仍处于</w:t>
      </w:r>
      <w:r>
        <w:t>一般性的理论探讨层面，如何结合有效的数据展开更为深入的实证分析是下一步有待努力的方向。</w:t>
      </w:r>
    </w:p>
    <w:p w:rsidR="0018722C">
      <w:pPr>
        <w:pStyle w:val="Heading1"/>
        <w:topLinePunct/>
      </w:pPr>
      <w:bookmarkStart w:id="569916" w:name="_Toc686569916"/>
      <w:bookmarkStart w:name="_bookmark7" w:id="6"/>
      <w:bookmarkEnd w:id="6"/>
      <w:bookmarkStart w:name="_bookmark8" w:id="7"/>
      <w:bookmarkEnd w:id="7"/>
      <w:r>
        <w:t>第 2 章</w:t>
      </w:r>
      <w:r>
        <w:t xml:space="preserve">  </w:t>
      </w:r>
      <w:r w:rsidRPr="00DB64CE">
        <w:t>北京市医疗保险运行情况</w:t>
      </w:r>
      <w:bookmarkEnd w:id="569916"/>
    </w:p>
    <w:p w:rsidR="0018722C">
      <w:pPr>
        <w:pStyle w:val="Heading2"/>
        <w:topLinePunct/>
        <w:ind w:left="171" w:hangingChars="171" w:hanging="171"/>
      </w:pPr>
      <w:bookmarkStart w:id="569917" w:name="_Toc686569917"/>
      <w:r>
        <w:t>2.1</w:t>
      </w:r>
      <w:r>
        <w:t xml:space="preserve"> </w:t>
      </w:r>
      <w:r w:rsidRPr="00DB64CE">
        <w:t>北京市基本情况介绍</w:t>
      </w:r>
      <w:bookmarkEnd w:id="569917"/>
    </w:p>
    <w:p w:rsidR="0018722C">
      <w:pPr>
        <w:topLinePunct/>
      </w:pPr>
      <w:r>
        <w:t>北京是中华人民共和国的首都，也是政治、文化中心。北京市面积</w:t>
      </w:r>
      <w:r>
        <w:rPr>
          <w:rFonts w:ascii="Times New Roman" w:eastAsia="Times New Roman"/>
        </w:rPr>
        <w:t>16410</w:t>
      </w:r>
      <w:r>
        <w:rPr>
          <w:rFonts w:ascii="Times New Roman" w:eastAsia="Times New Roman"/>
        </w:rPr>
        <w:t>.</w:t>
      </w:r>
      <w:r>
        <w:rPr>
          <w:rFonts w:ascii="Times New Roman" w:eastAsia="Times New Roman"/>
        </w:rPr>
        <w:t>54</w:t>
      </w:r>
      <w:r>
        <w:t>平方公里，下辖</w:t>
      </w:r>
      <w:r>
        <w:rPr>
          <w:rFonts w:ascii="Times New Roman" w:eastAsia="Times New Roman"/>
        </w:rPr>
        <w:t>16</w:t>
      </w:r>
      <w:r>
        <w:t>个区县，分别是东城区、西城区、朝阳区、海淀区、丰台区、石景ft区、门头沟区、房ft</w:t>
      </w:r>
      <w:r>
        <w:t>区、大兴区、通州区、顺义区、昌平区、平谷区、怀柔区、密云县、延庆县。</w:t>
      </w:r>
    </w:p>
    <w:p w:rsidR="0018722C">
      <w:pPr>
        <w:topLinePunct/>
      </w:pPr>
      <w:r>
        <w:rPr>
          <w:rFonts w:ascii="Times New Roman" w:eastAsia="Times New Roman"/>
        </w:rPr>
        <w:t>2013</w:t>
      </w:r>
      <w:r>
        <w:t>年末北京市常住人口数为</w:t>
      </w:r>
      <w:r>
        <w:rPr>
          <w:rFonts w:ascii="Times New Roman" w:eastAsia="Times New Roman"/>
        </w:rPr>
        <w:t>2114</w:t>
      </w:r>
      <w:r>
        <w:rPr>
          <w:rFonts w:ascii="Times New Roman" w:eastAsia="Times New Roman"/>
        </w:rPr>
        <w:t>.</w:t>
      </w:r>
      <w:r>
        <w:rPr>
          <w:rFonts w:ascii="Times New Roman" w:eastAsia="Times New Roman"/>
        </w:rPr>
        <w:t>8</w:t>
      </w:r>
      <w:r>
        <w:t>万，其中城镇人口</w:t>
      </w:r>
      <w:r>
        <w:rPr>
          <w:rFonts w:ascii="Times New Roman" w:eastAsia="Times New Roman"/>
        </w:rPr>
        <w:t>1825</w:t>
      </w:r>
      <w:r>
        <w:rPr>
          <w:rFonts w:ascii="Times New Roman" w:eastAsia="Times New Roman"/>
        </w:rPr>
        <w:t>.</w:t>
      </w:r>
      <w:r>
        <w:rPr>
          <w:rFonts w:ascii="Times New Roman" w:eastAsia="Times New Roman"/>
        </w:rPr>
        <w:t>1</w:t>
      </w:r>
      <w:r>
        <w:t>万人，占常</w:t>
      </w:r>
      <w:r>
        <w:t>住人口的</w:t>
      </w:r>
      <w:r>
        <w:rPr>
          <w:rFonts w:ascii="Times New Roman" w:eastAsia="Times New Roman"/>
        </w:rPr>
        <w:t>86</w:t>
      </w:r>
      <w:r>
        <w:rPr>
          <w:rFonts w:ascii="Times New Roman" w:eastAsia="Times New Roman"/>
        </w:rPr>
        <w:t>.</w:t>
      </w:r>
      <w:r>
        <w:rPr>
          <w:rFonts w:ascii="Times New Roman" w:eastAsia="Times New Roman"/>
        </w:rPr>
        <w:t>3%</w:t>
      </w:r>
      <w:r>
        <w:t>。全市</w:t>
      </w:r>
      <w:r>
        <w:rPr>
          <w:rFonts w:ascii="Times New Roman" w:eastAsia="Times New Roman"/>
        </w:rPr>
        <w:t>2013</w:t>
      </w:r>
      <w:r>
        <w:t>年全年生产总值为</w:t>
      </w:r>
      <w:r>
        <w:rPr>
          <w:rFonts w:ascii="Times New Roman" w:eastAsia="Times New Roman"/>
        </w:rPr>
        <w:t>19500</w:t>
      </w:r>
      <w:r>
        <w:rPr>
          <w:rFonts w:ascii="Times New Roman" w:eastAsia="Times New Roman"/>
        </w:rPr>
        <w:t>.</w:t>
      </w:r>
      <w:r>
        <w:rPr>
          <w:rFonts w:ascii="Times New Roman" w:eastAsia="Times New Roman"/>
        </w:rPr>
        <w:t>6</w:t>
      </w:r>
      <w:r>
        <w:t>亿元，城镇居民人均可支</w:t>
      </w:r>
      <w:r>
        <w:t>配收入为</w:t>
      </w:r>
      <w:r>
        <w:rPr>
          <w:rFonts w:ascii="Times New Roman" w:eastAsia="Times New Roman"/>
        </w:rPr>
        <w:t>40321</w:t>
      </w:r>
      <w:r>
        <w:t>元，农村居民人均纯收入为</w:t>
      </w:r>
      <w:r>
        <w:rPr>
          <w:rFonts w:ascii="Times New Roman" w:eastAsia="Times New Roman"/>
        </w:rPr>
        <w:t>18337</w:t>
      </w:r>
      <w:r>
        <w:t>元。北京市参加基本养老保险、</w:t>
      </w:r>
      <w:r>
        <w:t>基本医疗保险、失业保险、工伤保险和生育保险人数分别为</w:t>
      </w:r>
      <w:r>
        <w:rPr>
          <w:rFonts w:ascii="Times New Roman" w:eastAsia="Times New Roman"/>
        </w:rPr>
        <w:t>1311</w:t>
      </w:r>
      <w:r>
        <w:rPr>
          <w:rFonts w:ascii="Times New Roman" w:eastAsia="Times New Roman"/>
        </w:rPr>
        <w:t>.</w:t>
      </w:r>
      <w:r>
        <w:rPr>
          <w:rFonts w:ascii="Times New Roman" w:eastAsia="Times New Roman"/>
        </w:rPr>
        <w:t>3</w:t>
      </w:r>
      <w:r>
        <w:t>万人、</w:t>
      </w:r>
      <w:r>
        <w:rPr>
          <w:rFonts w:ascii="Times New Roman" w:eastAsia="Times New Roman"/>
        </w:rPr>
        <w:t>1354.8</w:t>
      </w:r>
      <w:r>
        <w:t>万人、</w:t>
      </w:r>
      <w:r>
        <w:rPr>
          <w:rFonts w:ascii="Times New Roman" w:eastAsia="Times New Roman"/>
        </w:rPr>
        <w:t>1025.1</w:t>
      </w:r>
      <w:r>
        <w:t>万人、</w:t>
      </w:r>
      <w:r>
        <w:rPr>
          <w:rFonts w:ascii="Times New Roman" w:eastAsia="Times New Roman"/>
        </w:rPr>
        <w:t>920.3</w:t>
      </w:r>
      <w:r>
        <w:t>万人和</w:t>
      </w:r>
      <w:r>
        <w:rPr>
          <w:rFonts w:ascii="Times New Roman" w:eastAsia="Times New Roman"/>
        </w:rPr>
        <w:t>883</w:t>
      </w:r>
      <w:r>
        <w:rPr>
          <w:rFonts w:ascii="Times New Roman" w:eastAsia="Times New Roman"/>
        </w:rPr>
        <w:t>.</w:t>
      </w:r>
      <w:r>
        <w:rPr>
          <w:rFonts w:ascii="Times New Roman" w:eastAsia="Times New Roman"/>
        </w:rPr>
        <w:t>2</w:t>
      </w:r>
      <w:r>
        <w:t>万人。参加新型农村合作医疗的人数</w:t>
      </w:r>
      <w:r>
        <w:t>为</w:t>
      </w:r>
    </w:p>
    <w:p w:rsidR="0018722C">
      <w:pPr>
        <w:topLinePunct/>
      </w:pPr>
      <w:r>
        <w:rPr>
          <w:rFonts w:ascii="Times New Roman" w:eastAsia="Times New Roman"/>
        </w:rPr>
        <w:t>254.3</w:t>
      </w:r>
      <w:r>
        <w:t>万人，参合率为</w:t>
      </w:r>
      <w:r>
        <w:rPr>
          <w:rFonts w:ascii="Times New Roman" w:eastAsia="Times New Roman"/>
        </w:rPr>
        <w:t>98%</w:t>
      </w:r>
      <w:r>
        <w:t>。全市卫生机构共有</w:t>
      </w:r>
      <w:r>
        <w:rPr>
          <w:rFonts w:ascii="Times New Roman" w:eastAsia="Times New Roman"/>
        </w:rPr>
        <w:t>10126</w:t>
      </w:r>
      <w:r>
        <w:t>个，其中医院有</w:t>
      </w:r>
      <w:r>
        <w:rPr>
          <w:rFonts w:ascii="Times New Roman" w:eastAsia="Times New Roman"/>
        </w:rPr>
        <w:t>632</w:t>
      </w:r>
      <w:r>
        <w:t>个，</w:t>
      </w:r>
      <w:r>
        <w:t>卫生机构共有床位</w:t>
      </w:r>
      <w:r>
        <w:rPr>
          <w:rFonts w:ascii="Times New Roman" w:eastAsia="Times New Roman"/>
        </w:rPr>
        <w:t>10</w:t>
      </w:r>
      <w:r>
        <w:rPr>
          <w:rFonts w:ascii="Times New Roman" w:eastAsia="Times New Roman"/>
        </w:rPr>
        <w:t>.</w:t>
      </w:r>
      <w:r>
        <w:rPr>
          <w:rFonts w:ascii="Times New Roman" w:eastAsia="Times New Roman"/>
        </w:rPr>
        <w:t>4</w:t>
      </w:r>
      <w:r>
        <w:t>万张。卫生技术人员有</w:t>
      </w:r>
      <w:r>
        <w:rPr>
          <w:rFonts w:ascii="Times New Roman" w:eastAsia="Times New Roman"/>
        </w:rPr>
        <w:t>21</w:t>
      </w:r>
      <w:r>
        <w:t>万人，其中执业</w:t>
      </w:r>
      <w:r>
        <w:t>（</w:t>
      </w:r>
      <w:r>
        <w:t>助理</w:t>
      </w:r>
      <w:r>
        <w:t>）</w:t>
      </w:r>
      <w:r>
        <w:t>医</w:t>
      </w:r>
      <w:r>
        <w:t>师</w:t>
      </w:r>
    </w:p>
    <w:p w:rsidR="0018722C">
      <w:pPr>
        <w:topLinePunct/>
      </w:pPr>
      <w:r>
        <w:rPr>
          <w:rFonts w:ascii="Times New Roman" w:eastAsia="Times New Roman"/>
        </w:rPr>
        <w:t>7.9</w:t>
      </w:r>
      <w:r>
        <w:t>万人，注册护士</w:t>
      </w:r>
      <w:r>
        <w:rPr>
          <w:rFonts w:ascii="Times New Roman" w:eastAsia="Times New Roman"/>
        </w:rPr>
        <w:t>8</w:t>
      </w:r>
      <w:r>
        <w:rPr>
          <w:rFonts w:ascii="Times New Roman" w:eastAsia="Times New Roman"/>
        </w:rPr>
        <w:t>.</w:t>
      </w:r>
      <w:r>
        <w:rPr>
          <w:rFonts w:ascii="Times New Roman" w:eastAsia="Times New Roman"/>
        </w:rPr>
        <w:t>7</w:t>
      </w:r>
      <w:r>
        <w:t>万人。</w:t>
      </w:r>
      <w:r>
        <w:rPr>
          <w:rFonts w:ascii="Times New Roman" w:eastAsia="Times New Roman"/>
        </w:rPr>
        <w:t>2013</w:t>
      </w:r>
      <w:r>
        <w:t>年全年医疗机构总诊疗</w:t>
      </w:r>
      <w:r>
        <w:rPr>
          <w:rFonts w:ascii="Times New Roman" w:eastAsia="Times New Roman"/>
        </w:rPr>
        <w:t>19895</w:t>
      </w:r>
      <w:r>
        <w:rPr>
          <w:rFonts w:ascii="Times New Roman" w:eastAsia="Times New Roman"/>
        </w:rPr>
        <w:t>.</w:t>
      </w:r>
      <w:r>
        <w:rPr>
          <w:rFonts w:ascii="Times New Roman" w:eastAsia="Times New Roman"/>
        </w:rPr>
        <w:t>2</w:t>
      </w:r>
      <w:r>
        <w:t>万人次。</w:t>
      </w:r>
      <w:hyperlink w:history="true" w:anchor="_bookmark9">
        <w:r>
          <w:rPr>
            <w:vertAlign w:val="superscript"/>
            /&gt;
          </w:rPr>
          <w:t>3</w:t>
        </w:r>
      </w:hyperlink>
    </w:p>
    <w:p w:rsidR="0018722C">
      <w:pPr>
        <w:pStyle w:val="Heading2"/>
        <w:topLinePunct/>
        <w:ind w:left="171" w:hangingChars="171" w:hanging="171"/>
      </w:pPr>
      <w:bookmarkStart w:id="569918" w:name="_Toc686569918"/>
      <w:r>
        <w:t>2.2</w:t>
      </w:r>
      <w:r>
        <w:t xml:space="preserve"> </w:t>
      </w:r>
      <w:r>
        <w:t>北京市医疗保险制度历史沿革</w:t>
      </w:r>
      <w:bookmarkEnd w:id="569918"/>
    </w:p>
    <w:p w:rsidR="0018722C">
      <w:pPr>
        <w:topLinePunct/>
      </w:pPr>
      <w:r>
        <w:t>北京市医疗保险制度与国家基本医疗保险制度一样，按照不同群体分为：城</w:t>
      </w:r>
      <w:r>
        <w:t>镇职工基本医疗保险、城镇居民基本医疗保险和新型农村合作医疗三项制度，其历史沿革将在下文中简单分别介绍。</w:t>
      </w:r>
    </w:p>
    <w:p w:rsidR="0018722C">
      <w:pPr>
        <w:pStyle w:val="Heading3"/>
        <w:topLinePunct/>
        <w:ind w:left="200" w:hangingChars="200" w:hanging="200"/>
      </w:pPr>
      <w:bookmarkStart w:id="569919" w:name="_Toc686569919"/>
      <w:r>
        <w:t>2.2.1</w:t>
      </w:r>
      <w:r>
        <w:t xml:space="preserve"> </w:t>
      </w:r>
      <w:r>
        <w:t>城镇职工基本医疗保险制度</w:t>
      </w:r>
      <w:bookmarkEnd w:id="569919"/>
    </w:p>
    <w:p w:rsidR="0018722C">
      <w:pPr>
        <w:topLinePunct/>
      </w:pPr>
      <w:r>
        <w:rPr>
          <w:rFonts w:ascii="Times New Roman" w:eastAsia="Times New Roman"/>
        </w:rPr>
        <w:t>1994</w:t>
      </w:r>
      <w:r>
        <w:t>年，我国开始在江苏省镇江市和江西省九江市两个地区进行城镇职工</w:t>
      </w:r>
    </w:p>
    <w:p w:rsidR="0018722C">
      <w:pPr>
        <w:topLinePunct/>
      </w:pPr>
      <w:r>
        <w:t>基本医疗保险制度改革试点，到</w:t>
      </w:r>
      <w:r>
        <w:rPr>
          <w:rFonts w:ascii="Times New Roman" w:eastAsia="Times New Roman"/>
        </w:rPr>
        <w:t>1996</w:t>
      </w:r>
      <w:r>
        <w:t>年，试点地区扩大至</w:t>
      </w:r>
      <w:r>
        <w:rPr>
          <w:rFonts w:ascii="Times New Roman" w:eastAsia="Times New Roman"/>
        </w:rPr>
        <w:t>38</w:t>
      </w:r>
      <w:r>
        <w:t>个。</w:t>
      </w:r>
      <w:r>
        <w:rPr>
          <w:rFonts w:ascii="Times New Roman" w:eastAsia="Times New Roman"/>
        </w:rPr>
        <w:t>1998</w:t>
      </w:r>
      <w:r>
        <w:t>年，随</w:t>
      </w:r>
      <w:r>
        <w:t>着《关于建设城镇职工基本医疗保险制度的决定》</w:t>
      </w:r>
      <w:r>
        <w:t>（</w:t>
      </w:r>
      <w:r>
        <w:t>国发</w:t>
      </w:r>
      <w:r>
        <w:rPr>
          <w:rFonts w:ascii="Times New Roman" w:eastAsia="Times New Roman"/>
        </w:rPr>
        <w:t>[</w:t>
      </w:r>
      <w:r>
        <w:rPr>
          <w:rFonts w:ascii="Times New Roman" w:eastAsia="Times New Roman"/>
        </w:rPr>
        <w:t xml:space="preserve">1998</w:t>
      </w:r>
      <w:r>
        <w:rPr>
          <w:rFonts w:ascii="Times New Roman" w:eastAsia="Times New Roman"/>
        </w:rPr>
        <w:t>]</w:t>
      </w:r>
      <w:r w:rsidR="004B696B">
        <w:rPr>
          <w:rFonts w:ascii="Times New Roman" w:eastAsia="Times New Roman"/>
        </w:rPr>
        <w:t xml:space="preserve"> </w:t>
      </w:r>
      <w:r>
        <w:rPr>
          <w:rFonts w:ascii="Times New Roman" w:eastAsia="Times New Roman"/>
        </w:rPr>
        <w:t xml:space="preserve">44</w:t>
      </w:r>
      <w:r>
        <w:t>号</w:t>
      </w:r>
      <w:r>
        <w:t>）</w:t>
      </w:r>
      <w:r>
        <w:t>的印发，</w:t>
      </w:r>
      <w:r w:rsidR="001852F3">
        <w:t xml:space="preserve">城镇职工基本医疗保险开始在我国全国地区推行。</w:t>
      </w:r>
    </w:p>
    <w:p w:rsidR="0018722C">
      <w:pPr>
        <w:topLinePunct/>
      </w:pPr>
      <w:r>
        <w:rPr>
          <w:rFonts w:ascii="Times New Roman" w:eastAsia="Times New Roman"/>
        </w:rPr>
        <w:t>2000</w:t>
      </w:r>
      <w:r>
        <w:t>年，北京市城镇职工基本医疗保险制度开始建立，并在西城区、宣武区、海淀区进行试点，该项制度是以社会统筹与个人账户相结合的方式开展的。</w:t>
      </w:r>
    </w:p>
    <w:p w:rsidR="0018722C">
      <w:pPr>
        <w:topLinePunct/>
      </w:pPr>
      <w:r>
        <w:rPr>
          <w:rFonts w:ascii="Times New Roman" w:eastAsia="Times New Roman"/>
        </w:rPr>
        <w:t>2001</w:t>
      </w:r>
      <w:r>
        <w:t>年</w:t>
      </w:r>
      <w:r>
        <w:rPr>
          <w:rFonts w:ascii="Times New Roman" w:eastAsia="Times New Roman"/>
        </w:rPr>
        <w:t>4</w:t>
      </w:r>
      <w:r>
        <w:t>月，北京市出台了《北京市基本医疗保险规定》</w:t>
      </w:r>
      <w:r>
        <w:t>（</w:t>
      </w:r>
      <w:r>
        <w:t>市政府第</w:t>
      </w:r>
      <w:r>
        <w:rPr>
          <w:rFonts w:ascii="Times New Roman" w:eastAsia="Times New Roman"/>
        </w:rPr>
        <w:t>68</w:t>
      </w:r>
      <w:r>
        <w:t>号令</w:t>
      </w:r>
      <w:r>
        <w:t>）</w:t>
      </w:r>
      <w:r>
        <w:t>，</w:t>
      </w:r>
      <w:r>
        <w:t>从此，北京市城镇职工基本医疗保险制度开始拉开帷幕。制度规定：北京市机关、企事业单位、社会团体、民办非企业单位及其职工与退休人员均需参加城镇职工</w:t>
      </w:r>
      <w:r>
        <w:t>基本医疗保险。另外，北京市政府于</w:t>
      </w:r>
      <w:r>
        <w:rPr>
          <w:rFonts w:ascii="Times New Roman" w:eastAsia="Times New Roman"/>
        </w:rPr>
        <w:t>2003</w:t>
      </w:r>
      <w:r>
        <w:t>年以及</w:t>
      </w:r>
      <w:r>
        <w:rPr>
          <w:rFonts w:ascii="Times New Roman" w:eastAsia="Times New Roman"/>
        </w:rPr>
        <w:t>2005</w:t>
      </w:r>
      <w:r>
        <w:t>年对该项规定分别作了两次修改。</w:t>
      </w:r>
    </w:p>
    <w:p w:rsidR="0018722C">
      <w:pPr>
        <w:pStyle w:val="Heading3"/>
        <w:topLinePunct/>
        <w:ind w:left="200" w:hangingChars="200" w:hanging="200"/>
      </w:pPr>
      <w:bookmarkStart w:id="569920" w:name="_Toc686569920"/>
      <w:r>
        <w:t>2.2.2</w:t>
      </w:r>
      <w:r>
        <w:t xml:space="preserve"> </w:t>
      </w:r>
      <w:r>
        <w:t>新型农村合作医疗制度</w:t>
      </w:r>
      <w:bookmarkEnd w:id="569920"/>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w:t>
      </w:r>
      <w:r>
        <w:rPr>
          <w:rFonts w:ascii="Times New Roman" w:eastAsia="Times New Roman" w:cstheme="minorBidi" w:hAnsiTheme="minorHAnsi"/>
        </w:rPr>
        <w:t>2013</w:t>
      </w:r>
      <w:r>
        <w:rPr>
          <w:rFonts w:cstheme="minorBidi" w:hAnsiTheme="minorHAnsi" w:eastAsiaTheme="minorHAnsi" w:asciiTheme="minorHAnsi"/>
        </w:rPr>
        <w:t>年国民经济和社会发展统计公报</w:t>
      </w:r>
    </w:p>
    <w:p w:rsidR="0018722C">
      <w:pPr>
        <w:topLinePunct/>
      </w:pPr>
      <w:bookmarkStart w:name="_bookmark10" w:id="8"/>
      <w:bookmarkEnd w:id="8"/>
      <w:r/>
      <w:r>
        <w:rPr>
          <w:rFonts w:ascii="Times New Roman" w:eastAsia="Times New Roman"/>
        </w:rPr>
        <w:t>2003</w:t>
      </w:r>
      <w:r>
        <w:t>年</w:t>
      </w:r>
      <w:r>
        <w:rPr>
          <w:rFonts w:ascii="Times New Roman" w:eastAsia="Times New Roman"/>
        </w:rPr>
        <w:t>1</w:t>
      </w:r>
      <w:r>
        <w:t>月，随着《关于建立新型农村合作医疗制度的意见》的发布，我</w:t>
      </w:r>
      <w:r>
        <w:t>国新型农村合作医疗开始正式试点运行。上世纪</w:t>
      </w:r>
      <w:r>
        <w:rPr>
          <w:rFonts w:ascii="Times New Roman" w:eastAsia="Times New Roman"/>
        </w:rPr>
        <w:t>50</w:t>
      </w:r>
      <w:r>
        <w:t>年代，北京市开始推行传统</w:t>
      </w:r>
      <w:r>
        <w:t>农村合作医疗，上世纪</w:t>
      </w:r>
      <w:r>
        <w:rPr>
          <w:rFonts w:ascii="Times New Roman" w:eastAsia="Times New Roman"/>
        </w:rPr>
        <w:t>70</w:t>
      </w:r>
      <w:r>
        <w:t>年代末覆盖率已经从最初的</w:t>
      </w:r>
      <w:r>
        <w:rPr>
          <w:rFonts w:ascii="Times New Roman" w:eastAsia="Times New Roman"/>
        </w:rPr>
        <w:t>40%</w:t>
      </w:r>
      <w:r>
        <w:t>迅速发展为</w:t>
      </w:r>
      <w:r>
        <w:rPr>
          <w:rFonts w:ascii="Times New Roman" w:eastAsia="Times New Roman"/>
        </w:rPr>
        <w:t>90%</w:t>
      </w:r>
      <w:r>
        <w:t>，但</w:t>
      </w:r>
      <w:r>
        <w:t>是，到了</w:t>
      </w:r>
      <w:r>
        <w:rPr>
          <w:rFonts w:ascii="Times New Roman" w:eastAsia="Times New Roman"/>
        </w:rPr>
        <w:t>80</w:t>
      </w:r>
      <w:r>
        <w:t>年代，我国集体经济开始解体，北京传统农村合作医疗也逐渐退出</w:t>
      </w:r>
      <w:r>
        <w:t>历史舞台。</w:t>
      </w:r>
      <w:r>
        <w:rPr>
          <w:rFonts w:ascii="Times New Roman" w:eastAsia="Times New Roman"/>
        </w:rPr>
        <w:t>2002</w:t>
      </w:r>
      <w:r>
        <w:t>年，北京市大兴区在全国率先开展新型农村合作医疗制度试点，</w:t>
      </w:r>
      <w:r>
        <w:t>为全市推广进行了先行探索，</w:t>
      </w:r>
      <w:r>
        <w:rPr>
          <w:rFonts w:ascii="Times New Roman" w:eastAsia="Times New Roman"/>
        </w:rPr>
        <w:t>2003</w:t>
      </w:r>
      <w:r>
        <w:t>年</w:t>
      </w:r>
      <w:r>
        <w:rPr>
          <w:rFonts w:ascii="Times New Roman" w:eastAsia="Times New Roman"/>
        </w:rPr>
        <w:t>8</w:t>
      </w:r>
      <w:r>
        <w:t>月，北京市召开了农村卫生工作会议市，</w:t>
      </w:r>
      <w:r>
        <w:t>市政府发布了《关于建立新型农村合作医疗制度实施意见的通知》，市卫生局《关</w:t>
      </w:r>
      <w:r>
        <w:t>于进一步做好本市新型农村合作医疗工作意见的通知》，各区县开始积极开展新型农村合作医疗试点工作。</w:t>
      </w:r>
    </w:p>
    <w:p w:rsidR="0018722C">
      <w:pPr>
        <w:topLinePunct/>
      </w:pPr>
      <w:r>
        <w:rPr>
          <w:rFonts w:ascii="Times New Roman" w:hAnsi="Times New Roman" w:eastAsia="Times New Roman"/>
        </w:rPr>
        <w:t>2003-2004</w:t>
      </w:r>
      <w:r>
        <w:t>年，北京市</w:t>
      </w:r>
      <w:r>
        <w:rPr>
          <w:rFonts w:ascii="Times New Roman" w:hAnsi="Times New Roman" w:eastAsia="Times New Roman"/>
        </w:rPr>
        <w:t>13</w:t>
      </w:r>
      <w:r>
        <w:t>个涉农区县全部实施了新农合制度。</w:t>
      </w:r>
      <w:r>
        <w:rPr>
          <w:rFonts w:ascii="Times New Roman" w:hAnsi="Times New Roman" w:eastAsia="Times New Roman"/>
        </w:rPr>
        <w:t>2005-2007</w:t>
      </w:r>
      <w:r>
        <w:t>年，</w:t>
      </w:r>
      <w:r>
        <w:t>新农合实现区县统筹，成立新农合管理机构、经办机构，建立了新农合筹资增长机制。</w:t>
      </w:r>
      <w:r>
        <w:rPr>
          <w:rFonts w:ascii="Times New Roman" w:hAnsi="Times New Roman" w:eastAsia="Times New Roman"/>
        </w:rPr>
        <w:t>2008</w:t>
      </w:r>
      <w:r>
        <w:t>年以来，实现了“四个统一”，即：统一筹资最低标准，统一制度框架，统一补偿项目，统一工作目标。</w:t>
      </w:r>
    </w:p>
    <w:p w:rsidR="0018722C">
      <w:pPr>
        <w:pStyle w:val="Heading3"/>
        <w:topLinePunct/>
        <w:ind w:left="200" w:hangingChars="200" w:hanging="200"/>
      </w:pPr>
      <w:bookmarkStart w:id="569921" w:name="_Toc686569921"/>
      <w:r>
        <w:t>2.2.3</w:t>
      </w:r>
      <w:r>
        <w:t xml:space="preserve"> </w:t>
      </w:r>
      <w:r>
        <w:t>城镇居民基本医疗保险制度</w:t>
      </w:r>
      <w:bookmarkEnd w:id="569921"/>
    </w:p>
    <w:p w:rsidR="0018722C">
      <w:pPr>
        <w:topLinePunct/>
      </w:pPr>
      <w:r>
        <w:rPr>
          <w:rFonts w:ascii="Times New Roman" w:eastAsia="Times New Roman"/>
        </w:rPr>
        <w:t>2007</w:t>
      </w:r>
      <w:r>
        <w:t>年</w:t>
      </w:r>
      <w:r>
        <w:rPr>
          <w:rFonts w:ascii="Times New Roman" w:eastAsia="Times New Roman"/>
        </w:rPr>
        <w:t>7</w:t>
      </w:r>
      <w:r>
        <w:t>月，随着《关于开展城镇居民基本医疗保险试点工作的指导意见》</w:t>
      </w:r>
    </w:p>
    <w:p w:rsidR="0018722C">
      <w:pPr>
        <w:topLinePunct/>
      </w:pPr>
      <w:r>
        <w:t>（</w:t>
      </w:r>
      <w:r>
        <w:t>国发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20</w:t>
      </w:r>
      <w:r>
        <w:t>号</w:t>
      </w:r>
      <w:r>
        <w:t>）</w:t>
      </w:r>
      <w:r>
        <w:t>的印发，我国城镇居民基本医疗保险试点工作正式启动，第</w:t>
      </w:r>
      <w:r>
        <w:t>一批共有</w:t>
      </w:r>
      <w:r>
        <w:rPr>
          <w:rFonts w:ascii="Times New Roman" w:eastAsia="Times New Roman"/>
        </w:rPr>
        <w:t>88</w:t>
      </w:r>
      <w:r>
        <w:t>个试点城市，到</w:t>
      </w:r>
      <w:r>
        <w:rPr>
          <w:rFonts w:ascii="Times New Roman" w:eastAsia="Times New Roman"/>
        </w:rPr>
        <w:t>2008</w:t>
      </w:r>
      <w:r>
        <w:t>年试点城市扩大至</w:t>
      </w:r>
      <w:r>
        <w:rPr>
          <w:rFonts w:ascii="Times New Roman" w:eastAsia="Times New Roman"/>
        </w:rPr>
        <w:t>229</w:t>
      </w:r>
      <w:r>
        <w:t>个，</w:t>
      </w:r>
      <w:r>
        <w:rPr>
          <w:rFonts w:ascii="Times New Roman" w:eastAsia="Times New Roman"/>
        </w:rPr>
        <w:t>2009</w:t>
      </w:r>
      <w:r>
        <w:t>年该项医疗</w:t>
      </w:r>
      <w:r>
        <w:t>保险制度在全国全面推开。北京市在</w:t>
      </w:r>
      <w:r>
        <w:rPr>
          <w:rFonts w:ascii="Times New Roman" w:eastAsia="Times New Roman"/>
        </w:rPr>
        <w:t>2007</w:t>
      </w:r>
      <w:r>
        <w:t>年就作为国家首批试点省市开展了试点工作。</w:t>
      </w:r>
    </w:p>
    <w:p w:rsidR="0018722C">
      <w:pPr>
        <w:topLinePunct/>
      </w:pPr>
      <w:r>
        <w:t>北京市城镇居民基本医疗保险制度主要是大病保险，分为保障老年人及学生</w:t>
      </w:r>
      <w:r>
        <w:t>儿童的“一老一小”政策和保障无业居民的两项制度。其中“一老一小”政策是</w:t>
      </w:r>
      <w:r>
        <w:t>由北京市政府于</w:t>
      </w:r>
      <w:r>
        <w:rPr>
          <w:rFonts w:ascii="Times New Roman" w:hAnsi="Times New Roman" w:eastAsia="宋体"/>
        </w:rPr>
        <w:t>2007</w:t>
      </w:r>
      <w:r>
        <w:t>年</w:t>
      </w:r>
      <w:r>
        <w:rPr>
          <w:rFonts w:ascii="Times New Roman" w:hAnsi="Times New Roman" w:eastAsia="宋体"/>
        </w:rPr>
        <w:t>6</w:t>
      </w:r>
      <w:r>
        <w:t>月发布的《关于建立北京市城镇无医疗保障老年人和</w:t>
      </w:r>
      <w:r>
        <w:t>学生儿童大病医疗保险制度的实施意见</w:t>
      </w:r>
      <w:r>
        <w:t>》</w:t>
      </w:r>
      <w:r>
        <w:t>（</w:t>
      </w:r>
      <w:r>
        <w:t>京政发</w:t>
      </w:r>
      <w:r>
        <w:rPr>
          <w:rFonts w:ascii="Times New Roman" w:hAnsi="Times New Roman" w:eastAsia="宋体"/>
          <w:spacing w:val="0"/>
        </w:rPr>
        <w:t>[</w:t>
      </w:r>
      <w:r>
        <w:rPr>
          <w:rFonts w:ascii="Times New Roman" w:hAnsi="Times New Roman" w:eastAsia="宋体"/>
        </w:rPr>
        <w:t>2007</w:t>
      </w:r>
      <w:r>
        <w:rPr>
          <w:rFonts w:ascii="Times New Roman" w:hAnsi="Times New Roman" w:eastAsia="宋体"/>
          <w:spacing w:val="0"/>
        </w:rPr>
        <w:t>]</w:t>
      </w:r>
      <w:r w:rsidR="004B696B">
        <w:rPr>
          <w:rFonts w:ascii="Times New Roman" w:hAnsi="Times New Roman" w:eastAsia="宋体"/>
          <w:spacing w:val="0"/>
        </w:rPr>
        <w:t xml:space="preserve"> </w:t>
      </w:r>
      <w:r>
        <w:rPr>
          <w:rFonts w:ascii="Times New Roman" w:hAnsi="Times New Roman" w:eastAsia="宋体"/>
          <w:spacing w:val="-4"/>
        </w:rPr>
        <w:t>1</w:t>
      </w:r>
      <w:r>
        <w:rPr>
          <w:rFonts w:ascii="Times New Roman" w:hAnsi="Times New Roman" w:eastAsia="宋体"/>
        </w:rPr>
        <w:t>1</w:t>
      </w:r>
      <w:r>
        <w:t>号</w:t>
      </w:r>
      <w:r>
        <w:t>）</w:t>
      </w:r>
      <w:r>
        <w:t>，制度中规定“无</w:t>
      </w:r>
      <w:r>
        <w:t>医疗保障老年人是指具有北京市非农业户籍但是未纳入北京市城镇职工基本医</w:t>
      </w:r>
      <w:r>
        <w:t>疗保险，并且男年满</w:t>
      </w:r>
      <w:r>
        <w:rPr>
          <w:rFonts w:ascii="Times New Roman" w:hAnsi="Times New Roman" w:eastAsia="宋体"/>
        </w:rPr>
        <w:t>60</w:t>
      </w:r>
      <w:r>
        <w:t>周岁，女年满</w:t>
      </w:r>
      <w:r>
        <w:rPr>
          <w:rFonts w:ascii="Times New Roman" w:hAnsi="Times New Roman" w:eastAsia="宋体"/>
        </w:rPr>
        <w:t>50</w:t>
      </w:r>
      <w:r>
        <w:t>周岁的居民。学生儿童是指具有北京市</w:t>
      </w:r>
      <w:r>
        <w:t>非农业户籍且在本市行政区域内的小学、初中、高中、中等专业学校、技工学校、</w:t>
      </w:r>
      <w:r>
        <w:t>中等职业技术学校、特殊学校、工读学校和各类普通高等院校</w:t>
      </w:r>
      <w:r>
        <w:t>（</w:t>
      </w:r>
      <w:r>
        <w:t xml:space="preserve">全日制学历教育</w:t>
      </w:r>
      <w:r>
        <w:t>）</w:t>
      </w:r>
      <w:r>
        <w:t>就读的在册学生，以及参保缴费当年年龄在</w:t>
      </w:r>
      <w:r>
        <w:rPr>
          <w:rFonts w:ascii="Times New Roman" w:hAnsi="Times New Roman" w:eastAsia="宋体"/>
        </w:rPr>
        <w:t>16</w:t>
      </w:r>
      <w:r>
        <w:t>周岁以下非在校少年儿童、托幼</w:t>
      </w:r>
      <w:r>
        <w:t>机构儿童和散居婴幼儿。”该项政策主要帮助参保的老人和学生儿童支付大病医</w:t>
      </w:r>
      <w:r>
        <w:t>疗费用，同时兼顾小病与慢性病费用。另外一项保障无业居民的制度是又北京市</w:t>
      </w:r>
      <w:r>
        <w:t>政府于</w:t>
      </w:r>
      <w:r>
        <w:rPr>
          <w:rFonts w:ascii="Times New Roman" w:hAnsi="Times New Roman" w:eastAsia="宋体"/>
        </w:rPr>
        <w:t>2008</w:t>
      </w:r>
      <w:r>
        <w:t>年</w:t>
      </w:r>
      <w:r>
        <w:rPr>
          <w:rFonts w:ascii="Times New Roman" w:hAnsi="Times New Roman" w:eastAsia="宋体"/>
        </w:rPr>
        <w:t>7</w:t>
      </w:r>
      <w:r>
        <w:t>月发布的《关于建立北京市城镇劳动年龄内无业居民大病医疗</w:t>
      </w:r>
      <w:r>
        <w:t>保险制度的实施意见》，该项制度规定“无业居民是指北京市城镇中在劳动</w:t>
      </w:r>
      <w:r>
        <w:t>年</w:t>
      </w:r>
      <w:r>
        <w:t>龄</w:t>
      </w:r>
    </w:p>
    <w:p w:rsidR="0018722C">
      <w:pPr>
        <w:pStyle w:val="Heading2"/>
        <w:topLinePunct/>
        <w:ind w:left="171" w:hangingChars="171" w:hanging="171"/>
      </w:pPr>
      <w:bookmarkStart w:id="569922" w:name="_Toc686569922"/>
      <w:bookmarkStart w:name="_bookmark11" w:id="9"/>
      <w:bookmarkEnd w:id="9"/>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bookmarkEnd w:id="569922"/>
    </w:p>
    <w:p w:rsidR="0018722C">
      <w:pPr>
        <w:topLinePunct/>
      </w:pPr>
      <w:r>
        <w:t>这两项制度的建立，填补了原来城镇职工基本医疗保险中未包括人群的空白，提高了北京市医疗保险覆盖率。</w:t>
      </w:r>
    </w:p>
    <w:p w:rsidR="0018722C">
      <w:pPr>
        <w:topLinePunct/>
      </w:pPr>
      <w:r>
        <w:t>随着北京市城镇职工基本医疗保险、城镇居民基本医疗保险及新型农村合作</w:t>
      </w:r>
      <w:r>
        <w:t>医疗制度的建立，北京市医疗保险的覆盖率达到了基本全覆盖的水平。下</w:t>
      </w:r>
      <w:r>
        <w:t>表</w:t>
      </w:r>
      <w:r>
        <w:rPr>
          <w:rFonts w:ascii="Times New Roman" w:eastAsia="Times New Roman"/>
        </w:rPr>
        <w:t>2</w:t>
      </w:r>
      <w:r>
        <w:rPr>
          <w:rFonts w:ascii="Times New Roman" w:eastAsia="Times New Roman"/>
        </w:rPr>
        <w:t>.</w:t>
      </w:r>
      <w:r>
        <w:rPr>
          <w:rFonts w:ascii="Times New Roman" w:eastAsia="Times New Roman"/>
        </w:rPr>
        <w:t>1</w:t>
      </w:r>
      <w:r>
        <w:t>反映了北京市以上三项医疗保险制度的基本情况。</w:t>
      </w:r>
    </w:p>
    <w:p w:rsidR="0018722C">
      <w:pPr>
        <w:pStyle w:val="a8"/>
        <w:topLinePunct/>
      </w:pPr>
      <w:r>
        <w:t>表</w:t>
      </w:r>
      <w:r>
        <w:t>2</w:t>
      </w:r>
      <w:r>
        <w:t>.</w:t>
      </w:r>
      <w:r>
        <w:t>1</w:t>
      </w:r>
      <w:r>
        <w:t xml:space="preserve">  </w:t>
      </w:r>
      <w:r>
        <w:t>北京市三项医疗保险制度对比表</w:t>
      </w:r>
    </w:p>
    <w:tbl>
      <w:tblPr>
        <w:tblW w:w="5000" w:type="pct"/>
        <w:tblInd w:w="9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2748"/>
        <w:gridCol w:w="2269"/>
        <w:gridCol w:w="2833"/>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城镇职工基本医疗保险</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新型农村合作医疗</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2.3.3</w:t>
            </w:r>
            <w:r>
              <w:t xml:space="preserve"> </w:t>
            </w:r>
            <w:r>
              <w:t>城镇居民基本医疗保险</w:t>
            </w:r>
          </w:p>
        </w:tc>
      </w:tr>
      <w:tr>
        <w:tc>
          <w:tcPr>
            <w:tcW w:w="657" w:type="pct"/>
            <w:vAlign w:val="center"/>
          </w:tcPr>
          <w:p w:rsidR="0018722C">
            <w:pPr>
              <w:pStyle w:val="ac"/>
              <w:topLinePunct/>
              <w:ind w:leftChars="0" w:left="0" w:rightChars="0" w:right="0" w:firstLineChars="0" w:firstLine="0"/>
              <w:spacing w:line="240" w:lineRule="atLeast"/>
            </w:pPr>
            <w:r>
              <w:t>实施时间</w:t>
            </w:r>
          </w:p>
        </w:tc>
        <w:tc>
          <w:tcPr>
            <w:tcW w:w="1520" w:type="pct"/>
            <w:vAlign w:val="center"/>
          </w:tcPr>
          <w:p w:rsidR="0018722C">
            <w:pPr>
              <w:pStyle w:val="a5"/>
              <w:topLinePunct/>
              <w:ind w:leftChars="0" w:left="0" w:rightChars="0" w:right="0" w:firstLineChars="0" w:firstLine="0"/>
              <w:spacing w:line="240" w:lineRule="atLeast"/>
            </w:pPr>
            <w:r>
              <w:t>2001 </w:t>
            </w:r>
            <w:r>
              <w:t>年</w:t>
            </w:r>
          </w:p>
        </w:tc>
        <w:tc>
          <w:tcPr>
            <w:tcW w:w="1255" w:type="pct"/>
            <w:vAlign w:val="center"/>
          </w:tcPr>
          <w:p w:rsidR="0018722C">
            <w:pPr>
              <w:pStyle w:val="a5"/>
              <w:topLinePunct/>
              <w:ind w:leftChars="0" w:left="0" w:rightChars="0" w:right="0" w:firstLineChars="0" w:firstLine="0"/>
              <w:spacing w:line="240" w:lineRule="atLeast"/>
            </w:pPr>
            <w:r>
              <w:t>2003 </w:t>
            </w:r>
            <w:r>
              <w:t>年</w:t>
            </w:r>
          </w:p>
        </w:tc>
        <w:tc>
          <w:tcPr>
            <w:tcW w:w="1567" w:type="pct"/>
            <w:vAlign w:val="center"/>
          </w:tcPr>
          <w:p w:rsidR="0018722C">
            <w:pPr>
              <w:pStyle w:val="ad"/>
              <w:topLinePunct/>
              <w:ind w:leftChars="0" w:left="0" w:rightChars="0" w:right="0" w:firstLineChars="0" w:firstLine="0"/>
              <w:spacing w:line="240" w:lineRule="atLeast"/>
            </w:pPr>
            <w:r>
              <w:t>2007 </w:t>
            </w:r>
            <w:r>
              <w:t>年</w:t>
            </w:r>
          </w:p>
        </w:tc>
      </w:tr>
      <w:tr>
        <w:tc>
          <w:tcPr>
            <w:tcW w:w="657" w:type="pct"/>
            <w:vAlign w:val="center"/>
          </w:tcPr>
          <w:p w:rsidR="0018722C">
            <w:pPr>
              <w:pStyle w:val="ac"/>
              <w:topLinePunct/>
              <w:ind w:leftChars="0" w:left="0" w:rightChars="0" w:right="0" w:firstLineChars="0" w:firstLine="0"/>
              <w:spacing w:line="240" w:lineRule="atLeast"/>
            </w:pPr>
            <w:r>
              <w:t>保障对象</w:t>
            </w:r>
          </w:p>
        </w:tc>
        <w:tc>
          <w:tcPr>
            <w:tcW w:w="1520" w:type="pct"/>
            <w:vAlign w:val="center"/>
          </w:tcPr>
          <w:p w:rsidR="0018722C">
            <w:pPr>
              <w:pStyle w:val="a5"/>
              <w:topLinePunct/>
              <w:ind w:leftChars="0" w:left="0" w:rightChars="0" w:right="0" w:firstLineChars="0" w:firstLine="0"/>
              <w:spacing w:line="240" w:lineRule="atLeast"/>
            </w:pPr>
            <w:r>
              <w:t>城镇在职与退休职工</w:t>
            </w:r>
          </w:p>
        </w:tc>
        <w:tc>
          <w:tcPr>
            <w:tcW w:w="1255" w:type="pct"/>
            <w:vAlign w:val="center"/>
          </w:tcPr>
          <w:p w:rsidR="0018722C">
            <w:pPr>
              <w:pStyle w:val="a5"/>
              <w:topLinePunct/>
              <w:ind w:leftChars="0" w:left="0" w:rightChars="0" w:right="0" w:firstLineChars="0" w:firstLine="0"/>
              <w:spacing w:line="240" w:lineRule="atLeast"/>
            </w:pPr>
            <w:r>
              <w:t>农民</w:t>
            </w:r>
          </w:p>
        </w:tc>
        <w:tc>
          <w:tcPr>
            <w:tcW w:w="1567" w:type="pct"/>
            <w:vAlign w:val="center"/>
          </w:tcPr>
          <w:p w:rsidR="0018722C">
            <w:pPr>
              <w:pStyle w:val="ad"/>
              <w:topLinePunct/>
              <w:ind w:leftChars="0" w:left="0" w:rightChars="0" w:right="0" w:firstLineChars="0" w:firstLine="0"/>
              <w:spacing w:line="240" w:lineRule="atLeast"/>
            </w:pPr>
            <w:r>
              <w:t>城镇居民</w:t>
            </w:r>
          </w:p>
        </w:tc>
      </w:tr>
      <w:tr>
        <w:tc>
          <w:tcPr>
            <w:tcW w:w="657" w:type="pct"/>
            <w:vAlign w:val="center"/>
          </w:tcPr>
          <w:p w:rsidR="0018722C">
            <w:pPr>
              <w:pStyle w:val="ac"/>
              <w:topLinePunct/>
              <w:ind w:leftChars="0" w:left="0" w:rightChars="0" w:right="0" w:firstLineChars="0" w:firstLine="0"/>
              <w:spacing w:line="240" w:lineRule="atLeast"/>
            </w:pPr>
            <w:r>
              <w:t>统筹层次</w:t>
            </w:r>
          </w:p>
        </w:tc>
        <w:tc>
          <w:tcPr>
            <w:tcW w:w="1520" w:type="pct"/>
            <w:vAlign w:val="center"/>
          </w:tcPr>
          <w:p w:rsidR="0018722C">
            <w:pPr>
              <w:pStyle w:val="a5"/>
              <w:topLinePunct/>
              <w:ind w:leftChars="0" w:left="0" w:rightChars="0" w:right="0" w:firstLineChars="0" w:firstLine="0"/>
              <w:spacing w:line="240" w:lineRule="atLeast"/>
            </w:pPr>
            <w:r>
              <w:t>市级</w:t>
            </w:r>
          </w:p>
        </w:tc>
        <w:tc>
          <w:tcPr>
            <w:tcW w:w="1255" w:type="pct"/>
            <w:vAlign w:val="center"/>
          </w:tcPr>
          <w:p w:rsidR="0018722C">
            <w:pPr>
              <w:pStyle w:val="a5"/>
              <w:topLinePunct/>
              <w:ind w:leftChars="0" w:left="0" w:rightChars="0" w:right="0" w:firstLineChars="0" w:firstLine="0"/>
              <w:spacing w:line="240" w:lineRule="atLeast"/>
            </w:pPr>
            <w:r>
              <w:t>区县级</w:t>
            </w:r>
          </w:p>
        </w:tc>
        <w:tc>
          <w:tcPr>
            <w:tcW w:w="1567" w:type="pct"/>
            <w:vAlign w:val="center"/>
          </w:tcPr>
          <w:p w:rsidR="0018722C">
            <w:pPr>
              <w:pStyle w:val="ad"/>
              <w:topLinePunct/>
              <w:ind w:leftChars="0" w:left="0" w:rightChars="0" w:right="0" w:firstLineChars="0" w:firstLine="0"/>
              <w:spacing w:line="240" w:lineRule="atLeast"/>
            </w:pPr>
            <w:r>
              <w:t>市级</w:t>
            </w:r>
          </w:p>
        </w:tc>
      </w:tr>
      <w:tr>
        <w:tc>
          <w:tcPr>
            <w:tcW w:w="657" w:type="pct"/>
            <w:vAlign w:val="center"/>
          </w:tcPr>
          <w:p w:rsidR="0018722C">
            <w:pPr>
              <w:pStyle w:val="ac"/>
              <w:topLinePunct/>
              <w:ind w:leftChars="0" w:left="0" w:rightChars="0" w:right="0" w:firstLineChars="0" w:firstLine="0"/>
              <w:spacing w:line="240" w:lineRule="atLeast"/>
            </w:pPr>
            <w:r>
              <w:t>管理机构</w:t>
            </w:r>
          </w:p>
        </w:tc>
        <w:tc>
          <w:tcPr>
            <w:tcW w:w="1520" w:type="pct"/>
            <w:vAlign w:val="center"/>
          </w:tcPr>
          <w:p w:rsidR="0018722C">
            <w:pPr>
              <w:pStyle w:val="a5"/>
              <w:topLinePunct/>
              <w:ind w:leftChars="0" w:left="0" w:rightChars="0" w:right="0" w:firstLineChars="0" w:firstLine="0"/>
              <w:spacing w:line="240" w:lineRule="atLeast"/>
            </w:pPr>
            <w:r>
              <w:t>北京市人社局</w:t>
            </w:r>
          </w:p>
        </w:tc>
        <w:tc>
          <w:tcPr>
            <w:tcW w:w="1255" w:type="pct"/>
            <w:vAlign w:val="center"/>
          </w:tcPr>
          <w:p w:rsidR="0018722C">
            <w:pPr>
              <w:pStyle w:val="a5"/>
              <w:topLinePunct/>
              <w:ind w:leftChars="0" w:left="0" w:rightChars="0" w:right="0" w:firstLineChars="0" w:firstLine="0"/>
              <w:spacing w:line="240" w:lineRule="atLeast"/>
            </w:pPr>
            <w:r>
              <w:t>北京市卫生局</w:t>
            </w:r>
          </w:p>
        </w:tc>
        <w:tc>
          <w:tcPr>
            <w:tcW w:w="1567" w:type="pct"/>
            <w:vAlign w:val="center"/>
          </w:tcPr>
          <w:p w:rsidR="0018722C">
            <w:pPr>
              <w:pStyle w:val="ad"/>
              <w:topLinePunct/>
              <w:ind w:leftChars="0" w:left="0" w:rightChars="0" w:right="0" w:firstLineChars="0" w:firstLine="0"/>
              <w:spacing w:line="240" w:lineRule="atLeast"/>
            </w:pPr>
            <w:r>
              <w:t>北京市人社局</w:t>
            </w:r>
          </w:p>
        </w:tc>
      </w:tr>
      <w:tr>
        <w:tc>
          <w:tcPr>
            <w:tcW w:w="657" w:type="pct"/>
            <w:vAlign w:val="center"/>
          </w:tcPr>
          <w:p w:rsidR="0018722C">
            <w:pPr>
              <w:pStyle w:val="ac"/>
              <w:topLinePunct/>
              <w:ind w:leftChars="0" w:left="0" w:rightChars="0" w:right="0" w:firstLineChars="0" w:firstLine="0"/>
              <w:spacing w:line="240" w:lineRule="atLeast"/>
            </w:pPr>
            <w:r>
              <w:t>参加原则</w:t>
            </w:r>
          </w:p>
        </w:tc>
        <w:tc>
          <w:tcPr>
            <w:tcW w:w="1520" w:type="pct"/>
            <w:vAlign w:val="center"/>
          </w:tcPr>
          <w:p w:rsidR="0018722C">
            <w:pPr>
              <w:pStyle w:val="a5"/>
              <w:topLinePunct/>
              <w:ind w:leftChars="0" w:left="0" w:rightChars="0" w:right="0" w:firstLineChars="0" w:firstLine="0"/>
              <w:spacing w:line="240" w:lineRule="atLeast"/>
            </w:pPr>
            <w:r>
              <w:t>强制</w:t>
            </w:r>
          </w:p>
        </w:tc>
        <w:tc>
          <w:tcPr>
            <w:tcW w:w="1255" w:type="pct"/>
            <w:vAlign w:val="center"/>
          </w:tcPr>
          <w:p w:rsidR="0018722C">
            <w:pPr>
              <w:pStyle w:val="a5"/>
              <w:topLinePunct/>
              <w:ind w:leftChars="0" w:left="0" w:rightChars="0" w:right="0" w:firstLineChars="0" w:firstLine="0"/>
              <w:spacing w:line="240" w:lineRule="atLeast"/>
            </w:pPr>
            <w:r>
              <w:t>自愿</w:t>
            </w:r>
          </w:p>
        </w:tc>
        <w:tc>
          <w:tcPr>
            <w:tcW w:w="1567" w:type="pct"/>
            <w:vAlign w:val="center"/>
          </w:tcPr>
          <w:p w:rsidR="0018722C">
            <w:pPr>
              <w:pStyle w:val="ad"/>
              <w:topLinePunct/>
              <w:ind w:leftChars="0" w:left="0" w:rightChars="0" w:right="0" w:firstLineChars="0" w:firstLine="0"/>
              <w:spacing w:line="240" w:lineRule="atLeast"/>
            </w:pPr>
            <w:r>
              <w:t>自愿</w:t>
            </w:r>
          </w:p>
        </w:tc>
      </w:tr>
      <w:tr>
        <w:tc>
          <w:tcPr>
            <w:tcW w:w="657" w:type="pct"/>
            <w:vAlign w:val="center"/>
          </w:tcPr>
          <w:p w:rsidR="0018722C">
            <w:pPr>
              <w:pStyle w:val="ac"/>
              <w:topLinePunct/>
              <w:ind w:leftChars="0" w:left="0" w:rightChars="0" w:right="0" w:firstLineChars="0" w:firstLine="0"/>
              <w:spacing w:line="240" w:lineRule="atLeast"/>
            </w:pPr>
            <w:r>
              <w:t>资金来源</w:t>
            </w:r>
          </w:p>
        </w:tc>
        <w:tc>
          <w:tcPr>
            <w:tcW w:w="1520" w:type="pct"/>
            <w:vAlign w:val="center"/>
          </w:tcPr>
          <w:p w:rsidR="0018722C">
            <w:pPr>
              <w:pStyle w:val="a5"/>
              <w:topLinePunct/>
              <w:ind w:leftChars="0" w:left="0" w:rightChars="0" w:right="0" w:firstLineChars="0" w:firstLine="0"/>
              <w:spacing w:line="240" w:lineRule="atLeast"/>
            </w:pPr>
            <w:r>
              <w:t>个人</w:t>
            </w:r>
            <w:r>
              <w:t>+</w:t>
            </w:r>
            <w:r>
              <w:t>单位</w:t>
            </w:r>
          </w:p>
        </w:tc>
        <w:tc>
          <w:tcPr>
            <w:tcW w:w="1255" w:type="pct"/>
            <w:vAlign w:val="center"/>
          </w:tcPr>
          <w:p w:rsidR="0018722C">
            <w:pPr>
              <w:pStyle w:val="a5"/>
              <w:topLinePunct/>
              <w:ind w:leftChars="0" w:left="0" w:rightChars="0" w:right="0" w:firstLineChars="0" w:firstLine="0"/>
              <w:spacing w:line="240" w:lineRule="atLeast"/>
            </w:pPr>
            <w:r>
              <w:t>个人</w:t>
            </w:r>
            <w:r>
              <w:t>+</w:t>
            </w:r>
            <w:r>
              <w:t>集体</w:t>
            </w:r>
            <w:r>
              <w:t>+</w:t>
            </w:r>
            <w:r>
              <w:t>财政</w:t>
            </w:r>
          </w:p>
        </w:tc>
        <w:tc>
          <w:tcPr>
            <w:tcW w:w="1567" w:type="pct"/>
            <w:vAlign w:val="center"/>
          </w:tcPr>
          <w:p w:rsidR="0018722C">
            <w:pPr>
              <w:pStyle w:val="ad"/>
              <w:topLinePunct/>
              <w:ind w:leftChars="0" w:left="0" w:rightChars="0" w:right="0" w:firstLineChars="0" w:firstLine="0"/>
              <w:spacing w:line="240" w:lineRule="atLeast"/>
            </w:pPr>
            <w:r>
              <w:t>个人</w:t>
            </w:r>
            <w:r>
              <w:t>+</w:t>
            </w:r>
            <w:r>
              <w:t>集体</w:t>
            </w:r>
            <w:r>
              <w:t>+</w:t>
            </w:r>
            <w:r>
              <w:t>财政</w:t>
            </w:r>
          </w:p>
        </w:tc>
      </w:tr>
      <w:tr>
        <w:tc>
          <w:tcPr>
            <w:tcW w:w="657" w:type="pct"/>
            <w:vAlign w:val="center"/>
          </w:tcPr>
          <w:p w:rsidR="0018722C">
            <w:pPr>
              <w:pStyle w:val="ac"/>
              <w:topLinePunct/>
              <w:ind w:leftChars="0" w:left="0" w:rightChars="0" w:right="0" w:firstLineChars="0" w:firstLine="0"/>
              <w:spacing w:line="240" w:lineRule="atLeast"/>
            </w:pPr>
            <w:r>
              <w:t>基金构成</w:t>
            </w:r>
          </w:p>
        </w:tc>
        <w:tc>
          <w:tcPr>
            <w:tcW w:w="1520" w:type="pct"/>
            <w:vAlign w:val="center"/>
          </w:tcPr>
          <w:p w:rsidR="0018722C">
            <w:pPr>
              <w:pStyle w:val="a5"/>
              <w:topLinePunct/>
              <w:ind w:leftChars="0" w:left="0" w:rightChars="0" w:right="0" w:firstLineChars="0" w:firstLine="0"/>
              <w:spacing w:line="240" w:lineRule="atLeast"/>
            </w:pPr>
            <w:r>
              <w:t>个人账户</w:t>
            </w:r>
            <w:r>
              <w:t>+</w:t>
            </w:r>
            <w:r>
              <w:t>统筹基金</w:t>
            </w:r>
          </w:p>
        </w:tc>
        <w:tc>
          <w:tcPr>
            <w:tcW w:w="1255" w:type="pct"/>
            <w:vAlign w:val="center"/>
          </w:tcPr>
          <w:p w:rsidR="0018722C">
            <w:pPr>
              <w:pStyle w:val="a5"/>
              <w:topLinePunct/>
              <w:ind w:leftChars="0" w:left="0" w:rightChars="0" w:right="0" w:firstLineChars="0" w:firstLine="0"/>
              <w:spacing w:line="240" w:lineRule="atLeast"/>
            </w:pPr>
            <w:r>
              <w:t>统筹基金</w:t>
            </w:r>
          </w:p>
        </w:tc>
        <w:tc>
          <w:tcPr>
            <w:tcW w:w="1567" w:type="pct"/>
            <w:vAlign w:val="center"/>
          </w:tcPr>
          <w:p w:rsidR="0018722C">
            <w:pPr>
              <w:pStyle w:val="ad"/>
              <w:topLinePunct/>
              <w:ind w:leftChars="0" w:left="0" w:rightChars="0" w:right="0" w:firstLineChars="0" w:firstLine="0"/>
              <w:spacing w:line="240" w:lineRule="atLeast"/>
            </w:pPr>
            <w:r>
              <w:t>统筹基金</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保障范围</w:t>
            </w:r>
          </w:p>
        </w:tc>
        <w:tc>
          <w:tcPr>
            <w:tcW w:w="1520" w:type="pct"/>
            <w:vAlign w:val="center"/>
            <w:tcBorders>
              <w:top w:val="single" w:sz="4" w:space="0" w:color="auto"/>
            </w:tcBorders>
          </w:tcPr>
          <w:p w:rsidR="0018722C">
            <w:pPr>
              <w:pStyle w:val="aff1"/>
              <w:topLinePunct/>
              <w:ind w:leftChars="0" w:left="0" w:rightChars="0" w:right="0" w:firstLineChars="0" w:firstLine="0"/>
              <w:spacing w:line="240" w:lineRule="atLeast"/>
            </w:pPr>
            <w:r>
              <w:t>门诊、住院</w:t>
            </w: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大病为主</w:t>
            </w:r>
          </w:p>
        </w:tc>
        <w:tc>
          <w:tcPr>
            <w:tcW w:w="1567" w:type="pct"/>
            <w:vAlign w:val="center"/>
            <w:tcBorders>
              <w:top w:val="single" w:sz="4" w:space="0" w:color="auto"/>
            </w:tcBorders>
          </w:tcPr>
          <w:p w:rsidR="0018722C">
            <w:pPr>
              <w:pStyle w:val="ad"/>
              <w:topLinePunct/>
              <w:ind w:leftChars="0" w:left="0" w:rightChars="0" w:right="0" w:firstLineChars="0" w:firstLine="0"/>
              <w:spacing w:line="240" w:lineRule="atLeast"/>
            </w:pPr>
            <w:r>
              <w:t>大病为主</w:t>
            </w:r>
          </w:p>
        </w:tc>
      </w:tr>
    </w:tbl>
    <w:p w:rsidR="0018722C">
      <w:pPr>
        <w:pStyle w:val="Heading2"/>
        <w:topLinePunct/>
        <w:ind w:left="171" w:hangingChars="171" w:hanging="171"/>
      </w:pPr>
      <w:bookmarkStart w:id="569923" w:name="_Toc686569923"/>
      <w:r>
        <w:t>2.3</w:t>
      </w:r>
      <w:r>
        <w:t xml:space="preserve"> </w:t>
      </w:r>
      <w:r>
        <w:t>北京市医疗保险的参保情况</w:t>
      </w:r>
      <w:bookmarkEnd w:id="569923"/>
    </w:p>
    <w:p w:rsidR="0018722C">
      <w:pPr>
        <w:pStyle w:val="Heading3"/>
        <w:topLinePunct/>
        <w:ind w:left="200" w:hangingChars="200" w:hanging="200"/>
      </w:pPr>
      <w:bookmarkStart w:id="569924" w:name="_Toc686569924"/>
      <w:r>
        <w:t>2.3.1</w:t>
      </w:r>
      <w:r>
        <w:t xml:space="preserve"> </w:t>
      </w:r>
      <w:r>
        <w:t>城镇职工基本医疗保险</w:t>
      </w:r>
      <w:bookmarkEnd w:id="569924"/>
    </w:p>
    <w:p w:rsidR="0018722C">
      <w:pPr>
        <w:topLinePunct/>
      </w:pPr>
      <w:r>
        <w:t/>
      </w:r>
      <w:r>
        <w:t>近年</w:t>
      </w:r>
      <w:r>
        <w:t>来，北京市城镇职工基本医疗保险、城镇居民基本医疗保险及新型农村</w:t>
      </w:r>
      <w:r>
        <w:t>合作医疗制度都取得了很好的效果，三项医疗保险参保率均不断提高的。下</w:t>
      </w:r>
      <w:r>
        <w:t>表</w:t>
      </w:r>
      <w:r>
        <w:rPr>
          <w:rFonts w:ascii="Times New Roman" w:eastAsia="Times New Roman"/>
        </w:rPr>
        <w:t>2</w:t>
      </w:r>
      <w:r>
        <w:rPr>
          <w:rFonts w:ascii="Times New Roman" w:eastAsia="Times New Roman"/>
        </w:rPr>
        <w:t>.</w:t>
      </w:r>
      <w:r>
        <w:rPr>
          <w:rFonts w:ascii="Times New Roman" w:eastAsia="Times New Roman"/>
        </w:rPr>
        <w:t>2</w:t>
      </w:r>
    </w:p>
    <w:p w:rsidR="0018722C">
      <w:pPr>
        <w:topLinePunct/>
      </w:pPr>
      <w:r>
        <w:t>反映了</w:t>
      </w:r>
      <w:r>
        <w:t>近年</w:t>
      </w:r>
      <w:r>
        <w:t>来北京市城镇职工基本医保参保情况。截止到</w:t>
      </w:r>
      <w:r>
        <w:rPr>
          <w:rFonts w:ascii="Times New Roman" w:eastAsia="Times New Roman"/>
        </w:rPr>
        <w:t>2012</w:t>
      </w:r>
      <w:r>
        <w:t>年年末，参加北京市城镇职工基本医疗保险的共计</w:t>
      </w:r>
      <w:r>
        <w:rPr>
          <w:rFonts w:ascii="Times New Roman" w:eastAsia="Times New Roman"/>
        </w:rPr>
        <w:t>1279</w:t>
      </w:r>
      <w:r>
        <w:rPr>
          <w:rFonts w:ascii="Times New Roman" w:eastAsia="Times New Roman"/>
        </w:rPr>
        <w:t>.</w:t>
      </w:r>
      <w:r>
        <w:rPr>
          <w:rFonts w:ascii="Times New Roman" w:eastAsia="Times New Roman"/>
        </w:rPr>
        <w:t>7</w:t>
      </w:r>
      <w:r>
        <w:t>万人，占当年城镇人口的</w:t>
      </w:r>
      <w:r>
        <w:rPr>
          <w:rFonts w:ascii="Times New Roman" w:eastAsia="Times New Roman"/>
        </w:rPr>
        <w:t>71</w:t>
      </w:r>
      <w:r>
        <w:rPr>
          <w:rFonts w:ascii="Times New Roman" w:eastAsia="Times New Roman"/>
        </w:rPr>
        <w:t>.</w:t>
      </w:r>
      <w:r>
        <w:rPr>
          <w:rFonts w:ascii="Times New Roman" w:eastAsia="Times New Roman"/>
        </w:rPr>
        <w:t>74%</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北京市历年城镇职工医保参保人数情况</w:t>
      </w:r>
      <w:hyperlink w:history="true" w:anchor="_bookmark12">
        <w:r>
          <w:rPr>
            <w:rFonts w:ascii="Times New Roman" w:eastAsia="Times New Roman" w:cstheme="minorBidi" w:hAnsiTheme="minorHAnsi"/>
          </w:rPr>
          <w:t>4</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2001</w:t>
            </w:r>
          </w:p>
        </w:tc>
        <w:tc>
          <w:tcPr>
            <w:tcW w:w="809" w:type="dxa"/>
          </w:tcPr>
          <w:p w:rsidR="0018722C">
            <w:pPr>
              <w:topLinePunct/>
              <w:ind w:leftChars="0" w:left="0" w:rightChars="0" w:right="0" w:firstLineChars="0" w:firstLine="0"/>
              <w:spacing w:line="240" w:lineRule="atLeast"/>
            </w:pPr>
            <w:r w:rsidRPr="00000000">
              <w:rPr>
                <w:sz w:val="24"/>
                <w:szCs w:val="24"/>
              </w:rPr>
              <w:t>2002</w:t>
            </w:r>
          </w:p>
        </w:tc>
        <w:tc>
          <w:tcPr>
            <w:tcW w:w="809" w:type="dxa"/>
          </w:tcPr>
          <w:p w:rsidR="0018722C">
            <w:pPr>
              <w:topLinePunct/>
              <w:ind w:leftChars="0" w:left="0" w:rightChars="0" w:right="0" w:firstLineChars="0" w:firstLine="0"/>
              <w:spacing w:line="240" w:lineRule="atLeast"/>
            </w:pPr>
            <w:r w:rsidRPr="00000000">
              <w:rPr>
                <w:sz w:val="24"/>
                <w:szCs w:val="24"/>
              </w:rPr>
              <w:t>2003</w:t>
            </w:r>
          </w:p>
        </w:tc>
        <w:tc>
          <w:tcPr>
            <w:tcW w:w="809" w:type="dxa"/>
          </w:tcPr>
          <w:p w:rsidR="0018722C">
            <w:pPr>
              <w:topLinePunct/>
              <w:ind w:leftChars="0" w:left="0" w:rightChars="0" w:right="0" w:firstLineChars="0" w:firstLine="0"/>
              <w:spacing w:line="240" w:lineRule="atLeast"/>
            </w:pPr>
            <w:r w:rsidRPr="00000000">
              <w:rPr>
                <w:sz w:val="24"/>
                <w:szCs w:val="24"/>
              </w:rPr>
              <w:t>2004</w:t>
            </w:r>
          </w:p>
        </w:tc>
        <w:tc>
          <w:tcPr>
            <w:tcW w:w="809" w:type="dxa"/>
          </w:tcPr>
          <w:p w:rsidR="0018722C">
            <w:pPr>
              <w:topLinePunct/>
              <w:ind w:leftChars="0" w:left="0" w:rightChars="0" w:right="0" w:firstLineChars="0" w:firstLine="0"/>
              <w:spacing w:line="240" w:lineRule="atLeast"/>
            </w:pPr>
            <w:r w:rsidRPr="00000000">
              <w:rPr>
                <w:sz w:val="24"/>
                <w:szCs w:val="24"/>
              </w:rPr>
              <w:t>2005</w:t>
            </w:r>
          </w:p>
        </w:tc>
        <w:tc>
          <w:tcPr>
            <w:tcW w:w="809" w:type="dxa"/>
          </w:tcPr>
          <w:p w:rsidR="0018722C">
            <w:pPr>
              <w:topLinePunct/>
              <w:ind w:leftChars="0" w:left="0" w:rightChars="0" w:right="0" w:firstLineChars="0" w:firstLine="0"/>
              <w:spacing w:line="240" w:lineRule="atLeast"/>
            </w:pPr>
            <w:r w:rsidRPr="00000000">
              <w:rPr>
                <w:sz w:val="24"/>
                <w:szCs w:val="24"/>
              </w:rPr>
              <w:t>2006</w:t>
            </w:r>
          </w:p>
        </w:tc>
        <w:tc>
          <w:tcPr>
            <w:tcW w:w="809" w:type="dxa"/>
          </w:tcPr>
          <w:p w:rsidR="0018722C">
            <w:pPr>
              <w:topLinePunct/>
              <w:ind w:leftChars="0" w:left="0" w:rightChars="0" w:right="0" w:firstLineChars="0" w:firstLine="0"/>
              <w:spacing w:line="240" w:lineRule="atLeast"/>
            </w:pPr>
            <w:r w:rsidRPr="00000000">
              <w:rPr>
                <w:sz w:val="24"/>
                <w:szCs w:val="24"/>
              </w:rPr>
              <w:t>2007</w:t>
            </w:r>
          </w:p>
        </w:tc>
        <w:tc>
          <w:tcPr>
            <w:tcW w:w="809" w:type="dxa"/>
          </w:tcPr>
          <w:p w:rsidR="0018722C">
            <w:pPr>
              <w:topLinePunct/>
              <w:ind w:leftChars="0" w:left="0" w:rightChars="0" w:right="0" w:firstLineChars="0" w:firstLine="0"/>
              <w:spacing w:line="240" w:lineRule="atLeast"/>
            </w:pPr>
            <w:r w:rsidRPr="00000000">
              <w:rPr>
                <w:sz w:val="24"/>
                <w:szCs w:val="24"/>
              </w:rPr>
              <w:t>2008</w:t>
            </w:r>
          </w:p>
        </w:tc>
        <w:tc>
          <w:tcPr>
            <w:tcW w:w="809" w:type="dxa"/>
          </w:tcPr>
          <w:p w:rsidR="0018722C">
            <w:pPr>
              <w:topLinePunct/>
              <w:ind w:leftChars="0" w:left="0" w:rightChars="0" w:right="0" w:firstLineChars="0" w:firstLine="0"/>
              <w:spacing w:line="240" w:lineRule="atLeast"/>
            </w:pPr>
            <w:r w:rsidRPr="00000000">
              <w:rPr>
                <w:sz w:val="24"/>
                <w:szCs w:val="24"/>
              </w:rPr>
              <w:t>2009</w:t>
            </w:r>
          </w:p>
        </w:tc>
        <w:tc>
          <w:tcPr>
            <w:tcW w:w="809" w:type="dxa"/>
          </w:tcPr>
          <w:p w:rsidR="0018722C">
            <w:pPr>
              <w:topLinePunct/>
              <w:ind w:leftChars="0" w:left="0" w:rightChars="0" w:right="0" w:firstLineChars="0" w:firstLine="0"/>
              <w:spacing w:line="240" w:lineRule="atLeast"/>
            </w:pPr>
            <w:r w:rsidRPr="00000000">
              <w:rPr>
                <w:sz w:val="24"/>
                <w:szCs w:val="24"/>
              </w:rPr>
              <w:t>2010</w:t>
            </w:r>
          </w:p>
        </w:tc>
        <w:tc>
          <w:tcPr>
            <w:tcW w:w="809" w:type="dxa"/>
          </w:tcPr>
          <w:p w:rsidR="0018722C">
            <w:pPr>
              <w:topLinePunct/>
              <w:ind w:leftChars="0" w:left="0" w:rightChars="0" w:right="0" w:firstLineChars="0" w:firstLine="0"/>
              <w:spacing w:line="240" w:lineRule="atLeast"/>
            </w:pPr>
            <w:r w:rsidRPr="00000000">
              <w:rPr>
                <w:sz w:val="24"/>
                <w:szCs w:val="24"/>
              </w:rPr>
              <w:t>2011</w:t>
            </w:r>
          </w:p>
        </w:tc>
        <w:tc>
          <w:tcPr>
            <w:tcW w:w="809" w:type="dxa"/>
          </w:tcPr>
          <w:p w:rsidR="0018722C">
            <w:pPr>
              <w:topLinePunct/>
              <w:ind w:leftChars="0" w:left="0" w:rightChars="0" w:right="0" w:firstLineChars="0" w:firstLine="0"/>
              <w:spacing w:line="240" w:lineRule="atLeast"/>
            </w:pPr>
            <w:r w:rsidRPr="00000000">
              <w:rPr>
                <w:sz w:val="24"/>
                <w:szCs w:val="24"/>
              </w:rPr>
              <w:t>2012</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w:t>
            </w:r>
          </w:p>
          <w:p w:rsidR="0018722C">
            <w:pPr>
              <w:topLinePunct/>
              <w:ind w:leftChars="0" w:left="0" w:rightChars="0" w:right="0" w:firstLineChars="0" w:firstLine="0"/>
              <w:spacing w:line="240" w:lineRule="atLeast"/>
            </w:pPr>
            <w:r w:rsidRPr="00000000">
              <w:rPr>
                <w:rFonts w:ascii="宋体" w:eastAsia="宋体" w:hint="eastAsia"/>
                <w:sz w:val="24"/>
                <w:szCs w:val="24"/>
              </w:rPr>
              <w:t>人数</w:t>
            </w:r>
          </w:p>
        </w:tc>
        <w:tc>
          <w:tcPr>
            <w:tcW w:w="809" w:type="dxa"/>
          </w:tcPr>
          <w:p w:rsidR="0018722C">
            <w:pPr>
              <w:topLinePunct/>
              <w:ind w:leftChars="0" w:left="0" w:rightChars="0" w:right="0" w:firstLineChars="0" w:firstLine="0"/>
              <w:spacing w:line="240" w:lineRule="atLeast"/>
            </w:pPr>
            <w:r w:rsidRPr="00000000">
              <w:rPr>
                <w:sz w:val="24"/>
                <w:szCs w:val="24"/>
              </w:rPr>
              <w:t>210.2</w:t>
            </w:r>
          </w:p>
        </w:tc>
        <w:tc>
          <w:tcPr>
            <w:tcW w:w="809" w:type="dxa"/>
          </w:tcPr>
          <w:p w:rsidR="0018722C">
            <w:pPr>
              <w:topLinePunct/>
              <w:ind w:leftChars="0" w:left="0" w:rightChars="0" w:right="0" w:firstLineChars="0" w:firstLine="0"/>
              <w:spacing w:line="240" w:lineRule="atLeast"/>
            </w:pPr>
            <w:r w:rsidRPr="00000000">
              <w:rPr>
                <w:sz w:val="24"/>
                <w:szCs w:val="24"/>
              </w:rPr>
              <w:t>353.8</w:t>
            </w:r>
          </w:p>
        </w:tc>
        <w:tc>
          <w:tcPr>
            <w:tcW w:w="809" w:type="dxa"/>
          </w:tcPr>
          <w:p w:rsidR="0018722C">
            <w:pPr>
              <w:topLinePunct/>
              <w:ind w:leftChars="0" w:left="0" w:rightChars="0" w:right="0" w:firstLineChars="0" w:firstLine="0"/>
              <w:spacing w:line="240" w:lineRule="atLeast"/>
            </w:pPr>
            <w:r w:rsidRPr="00000000">
              <w:rPr>
                <w:sz w:val="24"/>
                <w:szCs w:val="24"/>
              </w:rPr>
              <w:t>436.1</w:t>
            </w:r>
          </w:p>
        </w:tc>
        <w:tc>
          <w:tcPr>
            <w:tcW w:w="809" w:type="dxa"/>
          </w:tcPr>
          <w:p w:rsidR="0018722C">
            <w:pPr>
              <w:topLinePunct/>
              <w:ind w:leftChars="0" w:left="0" w:rightChars="0" w:right="0" w:firstLineChars="0" w:firstLine="0"/>
              <w:spacing w:line="240" w:lineRule="atLeast"/>
            </w:pPr>
            <w:r w:rsidRPr="00000000">
              <w:rPr>
                <w:sz w:val="24"/>
                <w:szCs w:val="24"/>
              </w:rPr>
              <w:t>484</w:t>
            </w:r>
          </w:p>
        </w:tc>
        <w:tc>
          <w:tcPr>
            <w:tcW w:w="809" w:type="dxa"/>
          </w:tcPr>
          <w:p w:rsidR="0018722C">
            <w:pPr>
              <w:topLinePunct/>
              <w:ind w:leftChars="0" w:left="0" w:rightChars="0" w:right="0" w:firstLineChars="0" w:firstLine="0"/>
              <w:spacing w:line="240" w:lineRule="atLeast"/>
            </w:pPr>
            <w:r w:rsidRPr="00000000">
              <w:rPr>
                <w:sz w:val="24"/>
                <w:szCs w:val="24"/>
              </w:rPr>
              <w:t>574.8</w:t>
            </w:r>
          </w:p>
        </w:tc>
        <w:tc>
          <w:tcPr>
            <w:tcW w:w="809" w:type="dxa"/>
          </w:tcPr>
          <w:p w:rsidR="0018722C">
            <w:pPr>
              <w:topLinePunct/>
              <w:ind w:leftChars="0" w:left="0" w:rightChars="0" w:right="0" w:firstLineChars="0" w:firstLine="0"/>
              <w:spacing w:line="240" w:lineRule="atLeast"/>
            </w:pPr>
            <w:r w:rsidRPr="00000000">
              <w:rPr>
                <w:sz w:val="24"/>
                <w:szCs w:val="24"/>
              </w:rPr>
              <w:t>679.5</w:t>
            </w:r>
          </w:p>
        </w:tc>
        <w:tc>
          <w:tcPr>
            <w:tcW w:w="809" w:type="dxa"/>
          </w:tcPr>
          <w:p w:rsidR="0018722C">
            <w:pPr>
              <w:topLinePunct/>
              <w:ind w:leftChars="0" w:left="0" w:rightChars="0" w:right="0" w:firstLineChars="0" w:firstLine="0"/>
              <w:spacing w:line="240" w:lineRule="atLeast"/>
            </w:pPr>
            <w:r w:rsidRPr="00000000">
              <w:rPr>
                <w:sz w:val="24"/>
                <w:szCs w:val="24"/>
              </w:rPr>
              <w:t>783</w:t>
            </w:r>
          </w:p>
        </w:tc>
        <w:tc>
          <w:tcPr>
            <w:tcW w:w="809" w:type="dxa"/>
          </w:tcPr>
          <w:p w:rsidR="0018722C">
            <w:pPr>
              <w:topLinePunct/>
              <w:ind w:leftChars="0" w:left="0" w:rightChars="0" w:right="0" w:firstLineChars="0" w:firstLine="0"/>
              <w:spacing w:line="240" w:lineRule="atLeast"/>
            </w:pPr>
            <w:r w:rsidRPr="00000000">
              <w:rPr>
                <w:sz w:val="24"/>
                <w:szCs w:val="24"/>
              </w:rPr>
              <w:t>871</w:t>
            </w:r>
          </w:p>
        </w:tc>
        <w:tc>
          <w:tcPr>
            <w:tcW w:w="809" w:type="dxa"/>
          </w:tcPr>
          <w:p w:rsidR="0018722C">
            <w:pPr>
              <w:topLinePunct/>
              <w:ind w:leftChars="0" w:left="0" w:rightChars="0" w:right="0" w:firstLineChars="0" w:firstLine="0"/>
              <w:spacing w:line="240" w:lineRule="atLeast"/>
            </w:pPr>
            <w:r w:rsidRPr="00000000">
              <w:rPr>
                <w:sz w:val="24"/>
                <w:szCs w:val="24"/>
              </w:rPr>
              <w:t>938.4</w:t>
            </w:r>
          </w:p>
        </w:tc>
        <w:tc>
          <w:tcPr>
            <w:tcW w:w="809" w:type="dxa"/>
          </w:tcPr>
          <w:p w:rsidR="0018722C">
            <w:pPr>
              <w:topLinePunct/>
              <w:ind w:leftChars="0" w:left="0" w:rightChars="0" w:right="0" w:firstLineChars="0" w:firstLine="0"/>
              <w:spacing w:line="240" w:lineRule="atLeast"/>
            </w:pPr>
            <w:r w:rsidRPr="00000000">
              <w:rPr>
                <w:sz w:val="24"/>
                <w:szCs w:val="24"/>
              </w:rPr>
              <w:t>1063.7</w:t>
            </w:r>
          </w:p>
        </w:tc>
        <w:tc>
          <w:tcPr>
            <w:tcW w:w="809" w:type="dxa"/>
          </w:tcPr>
          <w:p w:rsidR="0018722C">
            <w:pPr>
              <w:topLinePunct/>
              <w:ind w:leftChars="0" w:left="0" w:rightChars="0" w:right="0" w:firstLineChars="0" w:firstLine="0"/>
              <w:spacing w:line="240" w:lineRule="atLeast"/>
            </w:pPr>
            <w:r w:rsidRPr="00000000">
              <w:rPr>
                <w:sz w:val="24"/>
                <w:szCs w:val="24"/>
              </w:rPr>
              <w:t>1188</w:t>
            </w:r>
          </w:p>
        </w:tc>
        <w:tc>
          <w:tcPr>
            <w:tcW w:w="809" w:type="dxa"/>
          </w:tcPr>
          <w:p w:rsidR="0018722C">
            <w:pPr>
              <w:topLinePunct/>
              <w:ind w:leftChars="0" w:left="0" w:rightChars="0" w:right="0" w:firstLineChars="0" w:firstLine="0"/>
              <w:spacing w:line="240" w:lineRule="atLeast"/>
            </w:pPr>
            <w:r w:rsidRPr="00000000">
              <w:rPr>
                <w:sz w:val="24"/>
                <w:szCs w:val="24"/>
              </w:rPr>
              <w:t>1279.7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比上年</w:t>
            </w:r>
          </w:p>
          <w:p w:rsidR="0018722C">
            <w:pPr>
              <w:topLinePunct/>
              <w:ind w:leftChars="0" w:left="0" w:rightChars="0" w:right="0" w:firstLineChars="0" w:firstLine="0"/>
              <w:spacing w:line="240" w:lineRule="atLeast"/>
            </w:pPr>
            <w:r w:rsidRPr="00000000">
              <w:rPr>
                <w:rFonts w:ascii="宋体" w:eastAsia="宋体" w:hint="eastAsia"/>
                <w:sz w:val="24"/>
                <w:szCs w:val="24"/>
              </w:rPr>
              <w:t>增加人数</w:t>
            </w:r>
          </w:p>
        </w:tc>
        <w:tc>
          <w:tcPr>
            <w:tcW w:w="809"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143.6</w:t>
            </w:r>
          </w:p>
        </w:tc>
        <w:tc>
          <w:tcPr>
            <w:tcW w:w="809" w:type="dxa"/>
          </w:tcPr>
          <w:p w:rsidR="0018722C">
            <w:pPr>
              <w:topLinePunct/>
              <w:ind w:leftChars="0" w:left="0" w:rightChars="0" w:right="0" w:firstLineChars="0" w:firstLine="0"/>
              <w:spacing w:line="240" w:lineRule="atLeast"/>
            </w:pPr>
            <w:r w:rsidRPr="00000000">
              <w:rPr>
                <w:sz w:val="24"/>
                <w:szCs w:val="24"/>
              </w:rPr>
              <w:t>82.3</w:t>
            </w:r>
          </w:p>
        </w:tc>
        <w:tc>
          <w:tcPr>
            <w:tcW w:w="809" w:type="dxa"/>
          </w:tcPr>
          <w:p w:rsidR="0018722C">
            <w:pPr>
              <w:topLinePunct/>
              <w:ind w:leftChars="0" w:left="0" w:rightChars="0" w:right="0" w:firstLineChars="0" w:firstLine="0"/>
              <w:spacing w:line="240" w:lineRule="atLeast"/>
            </w:pPr>
            <w:r w:rsidRPr="00000000">
              <w:rPr>
                <w:sz w:val="24"/>
                <w:szCs w:val="24"/>
              </w:rPr>
              <w:t>47.9</w:t>
            </w:r>
          </w:p>
        </w:tc>
        <w:tc>
          <w:tcPr>
            <w:tcW w:w="809" w:type="dxa"/>
          </w:tcPr>
          <w:p w:rsidR="0018722C">
            <w:pPr>
              <w:topLinePunct/>
              <w:ind w:leftChars="0" w:left="0" w:rightChars="0" w:right="0" w:firstLineChars="0" w:firstLine="0"/>
              <w:spacing w:line="240" w:lineRule="atLeast"/>
            </w:pPr>
            <w:r w:rsidRPr="00000000">
              <w:rPr>
                <w:sz w:val="24"/>
                <w:szCs w:val="24"/>
              </w:rPr>
              <w:t>90.8</w:t>
            </w:r>
          </w:p>
        </w:tc>
        <w:tc>
          <w:tcPr>
            <w:tcW w:w="809" w:type="dxa"/>
          </w:tcPr>
          <w:p w:rsidR="0018722C">
            <w:pPr>
              <w:topLinePunct/>
              <w:ind w:leftChars="0" w:left="0" w:rightChars="0" w:right="0" w:firstLineChars="0" w:firstLine="0"/>
              <w:spacing w:line="240" w:lineRule="atLeast"/>
            </w:pPr>
            <w:r w:rsidRPr="00000000">
              <w:rPr>
                <w:sz w:val="24"/>
                <w:szCs w:val="24"/>
              </w:rPr>
              <w:t>104.7</w:t>
            </w:r>
          </w:p>
        </w:tc>
        <w:tc>
          <w:tcPr>
            <w:tcW w:w="809" w:type="dxa"/>
          </w:tcPr>
          <w:p w:rsidR="0018722C">
            <w:pPr>
              <w:topLinePunct/>
              <w:ind w:leftChars="0" w:left="0" w:rightChars="0" w:right="0" w:firstLineChars="0" w:firstLine="0"/>
              <w:spacing w:line="240" w:lineRule="atLeast"/>
            </w:pPr>
            <w:r w:rsidRPr="00000000">
              <w:rPr>
                <w:sz w:val="24"/>
                <w:szCs w:val="24"/>
              </w:rPr>
              <w:t>103.5</w:t>
            </w:r>
          </w:p>
        </w:tc>
        <w:tc>
          <w:tcPr>
            <w:tcW w:w="809" w:type="dxa"/>
          </w:tcPr>
          <w:p w:rsidR="0018722C">
            <w:pPr>
              <w:topLinePunct/>
              <w:ind w:leftChars="0" w:left="0" w:rightChars="0" w:right="0" w:firstLineChars="0" w:firstLine="0"/>
              <w:spacing w:line="240" w:lineRule="atLeast"/>
            </w:pPr>
            <w:r w:rsidRPr="00000000">
              <w:rPr>
                <w:sz w:val="24"/>
                <w:szCs w:val="24"/>
              </w:rPr>
              <w:t>88</w:t>
            </w:r>
          </w:p>
        </w:tc>
        <w:tc>
          <w:tcPr>
            <w:tcW w:w="809" w:type="dxa"/>
          </w:tcPr>
          <w:p w:rsidR="0018722C">
            <w:pPr>
              <w:topLinePunct/>
              <w:ind w:leftChars="0" w:left="0" w:rightChars="0" w:right="0" w:firstLineChars="0" w:firstLine="0"/>
              <w:spacing w:line="240" w:lineRule="atLeast"/>
            </w:pPr>
            <w:r w:rsidRPr="00000000">
              <w:rPr>
                <w:sz w:val="24"/>
                <w:szCs w:val="24"/>
              </w:rPr>
              <w:t>67.4</w:t>
            </w:r>
          </w:p>
        </w:tc>
        <w:tc>
          <w:tcPr>
            <w:tcW w:w="809" w:type="dxa"/>
          </w:tcPr>
          <w:p w:rsidR="0018722C">
            <w:pPr>
              <w:topLinePunct/>
              <w:ind w:leftChars="0" w:left="0" w:rightChars="0" w:right="0" w:firstLineChars="0" w:firstLine="0"/>
              <w:spacing w:line="240" w:lineRule="atLeast"/>
            </w:pPr>
            <w:r w:rsidRPr="00000000">
              <w:rPr>
                <w:sz w:val="24"/>
                <w:szCs w:val="24"/>
              </w:rPr>
              <w:t>125.3</w:t>
            </w:r>
          </w:p>
        </w:tc>
        <w:tc>
          <w:tcPr>
            <w:tcW w:w="809" w:type="dxa"/>
          </w:tcPr>
          <w:p w:rsidR="0018722C">
            <w:pPr>
              <w:topLinePunct/>
              <w:ind w:leftChars="0" w:left="0" w:rightChars="0" w:right="0" w:firstLineChars="0" w:firstLine="0"/>
              <w:spacing w:line="240" w:lineRule="atLeast"/>
            </w:pPr>
            <w:r w:rsidRPr="00000000">
              <w:rPr>
                <w:sz w:val="24"/>
                <w:szCs w:val="24"/>
              </w:rPr>
              <w:t>124.3</w:t>
            </w:r>
          </w:p>
        </w:tc>
        <w:tc>
          <w:tcPr>
            <w:tcW w:w="809" w:type="dxa"/>
          </w:tcPr>
          <w:p w:rsidR="0018722C">
            <w:pPr>
              <w:topLinePunct/>
              <w:ind w:leftChars="0" w:left="0" w:rightChars="0" w:right="0" w:firstLineChars="0" w:firstLine="0"/>
              <w:spacing w:line="240" w:lineRule="atLeast"/>
            </w:pPr>
            <w:r w:rsidRPr="00000000">
              <w:rPr>
                <w:sz w:val="24"/>
                <w:szCs w:val="24"/>
              </w:rPr>
              <w:t>91.7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城镇</w:t>
            </w:r>
          </w:p>
          <w:p w:rsidR="0018722C">
            <w:pPr>
              <w:topLinePunct/>
              <w:ind w:leftChars="0" w:left="0" w:rightChars="0" w:right="0" w:firstLineChars="0" w:firstLine="0"/>
              <w:spacing w:line="240" w:lineRule="atLeast"/>
            </w:pPr>
            <w:r w:rsidRPr="00000000">
              <w:rPr>
                <w:rFonts w:ascii="宋体" w:eastAsia="宋体" w:hint="eastAsia"/>
                <w:sz w:val="24"/>
                <w:szCs w:val="24"/>
              </w:rPr>
              <w:t>人口数</w:t>
            </w:r>
          </w:p>
        </w:tc>
        <w:tc>
          <w:tcPr>
            <w:tcW w:w="809" w:type="dxa"/>
          </w:tcPr>
          <w:p w:rsidR="0018722C">
            <w:pPr>
              <w:topLinePunct/>
              <w:ind w:leftChars="0" w:left="0" w:rightChars="0" w:right="0" w:firstLineChars="0" w:firstLine="0"/>
              <w:spacing w:line="240" w:lineRule="atLeast"/>
            </w:pPr>
            <w:r w:rsidRPr="00000000">
              <w:rPr>
                <w:sz w:val="24"/>
                <w:szCs w:val="24"/>
              </w:rPr>
              <w:t>1081.2</w:t>
            </w:r>
          </w:p>
        </w:tc>
        <w:tc>
          <w:tcPr>
            <w:tcW w:w="809" w:type="dxa"/>
          </w:tcPr>
          <w:p w:rsidR="0018722C">
            <w:pPr>
              <w:topLinePunct/>
              <w:ind w:leftChars="0" w:left="0" w:rightChars="0" w:right="0" w:firstLineChars="0" w:firstLine="0"/>
              <w:spacing w:line="240" w:lineRule="atLeast"/>
            </w:pPr>
            <w:r w:rsidRPr="00000000">
              <w:rPr>
                <w:sz w:val="24"/>
                <w:szCs w:val="24"/>
              </w:rPr>
              <w:t>1118</w:t>
            </w:r>
          </w:p>
        </w:tc>
        <w:tc>
          <w:tcPr>
            <w:tcW w:w="809" w:type="dxa"/>
          </w:tcPr>
          <w:p w:rsidR="0018722C">
            <w:pPr>
              <w:topLinePunct/>
              <w:ind w:leftChars="0" w:left="0" w:rightChars="0" w:right="0" w:firstLineChars="0" w:firstLine="0"/>
              <w:spacing w:line="240" w:lineRule="atLeast"/>
            </w:pPr>
            <w:r w:rsidRPr="00000000">
              <w:rPr>
                <w:sz w:val="24"/>
                <w:szCs w:val="24"/>
              </w:rPr>
              <w:t>1151.3</w:t>
            </w:r>
          </w:p>
        </w:tc>
        <w:tc>
          <w:tcPr>
            <w:tcW w:w="809" w:type="dxa"/>
          </w:tcPr>
          <w:p w:rsidR="0018722C">
            <w:pPr>
              <w:topLinePunct/>
              <w:ind w:leftChars="0" w:left="0" w:rightChars="0" w:right="0" w:firstLineChars="0" w:firstLine="0"/>
              <w:spacing w:line="240" w:lineRule="atLeast"/>
            </w:pPr>
            <w:r w:rsidRPr="00000000">
              <w:rPr>
                <w:sz w:val="24"/>
                <w:szCs w:val="24"/>
              </w:rPr>
              <w:t>1187.2</w:t>
            </w:r>
          </w:p>
        </w:tc>
        <w:tc>
          <w:tcPr>
            <w:tcW w:w="809" w:type="dxa"/>
          </w:tcPr>
          <w:p w:rsidR="0018722C">
            <w:pPr>
              <w:topLinePunct/>
              <w:ind w:leftChars="0" w:left="0" w:rightChars="0" w:right="0" w:firstLineChars="0" w:firstLine="0"/>
              <w:spacing w:line="240" w:lineRule="atLeast"/>
            </w:pPr>
            <w:r w:rsidRPr="00000000">
              <w:rPr>
                <w:sz w:val="24"/>
                <w:szCs w:val="24"/>
              </w:rPr>
              <w:t>1286.1</w:t>
            </w:r>
          </w:p>
        </w:tc>
        <w:tc>
          <w:tcPr>
            <w:tcW w:w="809" w:type="dxa"/>
          </w:tcPr>
          <w:p w:rsidR="0018722C">
            <w:pPr>
              <w:topLinePunct/>
              <w:ind w:leftChars="0" w:left="0" w:rightChars="0" w:right="0" w:firstLineChars="0" w:firstLine="0"/>
              <w:spacing w:line="240" w:lineRule="atLeast"/>
            </w:pPr>
            <w:r w:rsidRPr="00000000">
              <w:rPr>
                <w:sz w:val="24"/>
                <w:szCs w:val="24"/>
              </w:rPr>
              <w:t>1350.2</w:t>
            </w:r>
          </w:p>
        </w:tc>
        <w:tc>
          <w:tcPr>
            <w:tcW w:w="809" w:type="dxa"/>
          </w:tcPr>
          <w:p w:rsidR="0018722C">
            <w:pPr>
              <w:topLinePunct/>
              <w:ind w:leftChars="0" w:left="0" w:rightChars="0" w:right="0" w:firstLineChars="0" w:firstLine="0"/>
              <w:spacing w:line="240" w:lineRule="atLeast"/>
            </w:pPr>
            <w:r w:rsidRPr="00000000">
              <w:rPr>
                <w:sz w:val="24"/>
                <w:szCs w:val="24"/>
              </w:rPr>
              <w:t>1416.2</w:t>
            </w:r>
          </w:p>
        </w:tc>
        <w:tc>
          <w:tcPr>
            <w:tcW w:w="809" w:type="dxa"/>
          </w:tcPr>
          <w:p w:rsidR="0018722C">
            <w:pPr>
              <w:topLinePunct/>
              <w:ind w:leftChars="0" w:left="0" w:rightChars="0" w:right="0" w:firstLineChars="0" w:firstLine="0"/>
              <w:spacing w:line="240" w:lineRule="atLeast"/>
            </w:pPr>
            <w:r w:rsidRPr="00000000">
              <w:rPr>
                <w:sz w:val="24"/>
                <w:szCs w:val="24"/>
              </w:rPr>
              <w:t>1503.6</w:t>
            </w:r>
          </w:p>
        </w:tc>
        <w:tc>
          <w:tcPr>
            <w:tcW w:w="809" w:type="dxa"/>
          </w:tcPr>
          <w:p w:rsidR="0018722C">
            <w:pPr>
              <w:topLinePunct/>
              <w:ind w:leftChars="0" w:left="0" w:rightChars="0" w:right="0" w:firstLineChars="0" w:firstLine="0"/>
              <w:spacing w:line="240" w:lineRule="atLeast"/>
            </w:pPr>
            <w:r w:rsidRPr="00000000">
              <w:rPr>
                <w:sz w:val="24"/>
                <w:szCs w:val="24"/>
              </w:rPr>
              <w:t>1581.1</w:t>
            </w:r>
          </w:p>
        </w:tc>
        <w:tc>
          <w:tcPr>
            <w:tcW w:w="809" w:type="dxa"/>
          </w:tcPr>
          <w:p w:rsidR="0018722C">
            <w:pPr>
              <w:topLinePunct/>
              <w:ind w:leftChars="0" w:left="0" w:rightChars="0" w:right="0" w:firstLineChars="0" w:firstLine="0"/>
              <w:spacing w:line="240" w:lineRule="atLeast"/>
            </w:pPr>
            <w:r w:rsidRPr="00000000">
              <w:rPr>
                <w:sz w:val="24"/>
                <w:szCs w:val="24"/>
              </w:rPr>
              <w:t>1686.4</w:t>
            </w:r>
          </w:p>
        </w:tc>
        <w:tc>
          <w:tcPr>
            <w:tcW w:w="809" w:type="dxa"/>
          </w:tcPr>
          <w:p w:rsidR="0018722C">
            <w:pPr>
              <w:topLinePunct/>
              <w:ind w:leftChars="0" w:left="0" w:rightChars="0" w:right="0" w:firstLineChars="0" w:firstLine="0"/>
              <w:spacing w:line="240" w:lineRule="atLeast"/>
            </w:pPr>
            <w:r w:rsidRPr="00000000">
              <w:rPr>
                <w:sz w:val="24"/>
                <w:szCs w:val="24"/>
              </w:rPr>
              <w:t>1740.7</w:t>
            </w:r>
          </w:p>
        </w:tc>
        <w:tc>
          <w:tcPr>
            <w:tcW w:w="809" w:type="dxa"/>
          </w:tcPr>
          <w:p w:rsidR="0018722C">
            <w:pPr>
              <w:topLinePunct/>
              <w:ind w:leftChars="0" w:left="0" w:rightChars="0" w:right="0" w:firstLineChars="0" w:firstLine="0"/>
              <w:spacing w:line="240" w:lineRule="atLeast"/>
            </w:pPr>
            <w:r w:rsidRPr="00000000">
              <w:rPr>
                <w:sz w:val="24"/>
                <w:szCs w:val="24"/>
              </w:rPr>
              <w:t>1783.7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参保率</w:t>
            </w:r>
            <w:hyperlink w:history="true" w:anchor="_bookmark13">
              <w:r w:rsidRPr="00000000">
                <w:rPr>
                  <w:sz w:val="24"/>
                  <w:szCs w:val="24"/>
                </w:rPr>
                <w:t>5</w:t>
              </w:r>
            </w:hyperlink>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809" w:type="dxa"/>
          </w:tcPr>
          <w:p w:rsidR="0018722C">
            <w:pPr>
              <w:topLinePunct/>
              <w:ind w:leftChars="0" w:left="0" w:rightChars="0" w:right="0" w:firstLineChars="0" w:firstLine="0"/>
              <w:spacing w:line="240" w:lineRule="atLeast"/>
            </w:pPr>
            <w:r w:rsidRPr="00000000">
              <w:rPr>
                <w:sz w:val="24"/>
                <w:szCs w:val="24"/>
              </w:rPr>
              <w:t>19.44</w:t>
            </w:r>
          </w:p>
        </w:tc>
        <w:tc>
          <w:tcPr>
            <w:tcW w:w="809" w:type="dxa"/>
          </w:tcPr>
          <w:p w:rsidR="0018722C">
            <w:pPr>
              <w:topLinePunct/>
              <w:ind w:leftChars="0" w:left="0" w:rightChars="0" w:right="0" w:firstLineChars="0" w:firstLine="0"/>
              <w:spacing w:line="240" w:lineRule="atLeast"/>
            </w:pPr>
            <w:r w:rsidRPr="00000000">
              <w:rPr>
                <w:sz w:val="24"/>
                <w:szCs w:val="24"/>
              </w:rPr>
              <w:t>31.65</w:t>
            </w:r>
          </w:p>
        </w:tc>
        <w:tc>
          <w:tcPr>
            <w:tcW w:w="809" w:type="dxa"/>
          </w:tcPr>
          <w:p w:rsidR="0018722C">
            <w:pPr>
              <w:topLinePunct/>
              <w:ind w:leftChars="0" w:left="0" w:rightChars="0" w:right="0" w:firstLineChars="0" w:firstLine="0"/>
              <w:spacing w:line="240" w:lineRule="atLeast"/>
            </w:pPr>
            <w:r w:rsidRPr="00000000">
              <w:rPr>
                <w:sz w:val="24"/>
                <w:szCs w:val="24"/>
              </w:rPr>
              <w:t>37.88</w:t>
            </w:r>
          </w:p>
        </w:tc>
        <w:tc>
          <w:tcPr>
            <w:tcW w:w="809" w:type="dxa"/>
          </w:tcPr>
          <w:p w:rsidR="0018722C">
            <w:pPr>
              <w:topLinePunct/>
              <w:ind w:leftChars="0" w:left="0" w:rightChars="0" w:right="0" w:firstLineChars="0" w:firstLine="0"/>
              <w:spacing w:line="240" w:lineRule="atLeast"/>
            </w:pPr>
            <w:r w:rsidRPr="00000000">
              <w:rPr>
                <w:sz w:val="24"/>
                <w:szCs w:val="24"/>
              </w:rPr>
              <w:t>40.77</w:t>
            </w:r>
          </w:p>
        </w:tc>
        <w:tc>
          <w:tcPr>
            <w:tcW w:w="809" w:type="dxa"/>
          </w:tcPr>
          <w:p w:rsidR="0018722C">
            <w:pPr>
              <w:topLinePunct/>
              <w:ind w:leftChars="0" w:left="0" w:rightChars="0" w:right="0" w:firstLineChars="0" w:firstLine="0"/>
              <w:spacing w:line="240" w:lineRule="atLeast"/>
            </w:pPr>
            <w:r w:rsidRPr="00000000">
              <w:rPr>
                <w:sz w:val="24"/>
                <w:szCs w:val="24"/>
              </w:rPr>
              <w:t>44.69</w:t>
            </w:r>
          </w:p>
        </w:tc>
        <w:tc>
          <w:tcPr>
            <w:tcW w:w="809" w:type="dxa"/>
          </w:tcPr>
          <w:p w:rsidR="0018722C">
            <w:pPr>
              <w:topLinePunct/>
              <w:ind w:leftChars="0" w:left="0" w:rightChars="0" w:right="0" w:firstLineChars="0" w:firstLine="0"/>
              <w:spacing w:line="240" w:lineRule="atLeast"/>
            </w:pPr>
            <w:r w:rsidRPr="00000000">
              <w:rPr>
                <w:sz w:val="24"/>
                <w:szCs w:val="24"/>
              </w:rPr>
              <w:t>50.33</w:t>
            </w:r>
          </w:p>
        </w:tc>
        <w:tc>
          <w:tcPr>
            <w:tcW w:w="809" w:type="dxa"/>
          </w:tcPr>
          <w:p w:rsidR="0018722C">
            <w:pPr>
              <w:topLinePunct/>
              <w:ind w:leftChars="0" w:left="0" w:rightChars="0" w:right="0" w:firstLineChars="0" w:firstLine="0"/>
              <w:spacing w:line="240" w:lineRule="atLeast"/>
            </w:pPr>
            <w:r w:rsidRPr="00000000">
              <w:rPr>
                <w:sz w:val="24"/>
                <w:szCs w:val="24"/>
              </w:rPr>
              <w:t>55.29</w:t>
            </w:r>
          </w:p>
        </w:tc>
        <w:tc>
          <w:tcPr>
            <w:tcW w:w="809" w:type="dxa"/>
          </w:tcPr>
          <w:p w:rsidR="0018722C">
            <w:pPr>
              <w:topLinePunct/>
              <w:ind w:leftChars="0" w:left="0" w:rightChars="0" w:right="0" w:firstLineChars="0" w:firstLine="0"/>
              <w:spacing w:line="240" w:lineRule="atLeast"/>
            </w:pPr>
            <w:r w:rsidRPr="00000000">
              <w:rPr>
                <w:sz w:val="24"/>
                <w:szCs w:val="24"/>
              </w:rPr>
              <w:t>57.93</w:t>
            </w:r>
          </w:p>
        </w:tc>
        <w:tc>
          <w:tcPr>
            <w:tcW w:w="809" w:type="dxa"/>
          </w:tcPr>
          <w:p w:rsidR="0018722C">
            <w:pPr>
              <w:topLinePunct/>
              <w:ind w:leftChars="0" w:left="0" w:rightChars="0" w:right="0" w:firstLineChars="0" w:firstLine="0"/>
              <w:spacing w:line="240" w:lineRule="atLeast"/>
            </w:pPr>
            <w:r w:rsidRPr="00000000">
              <w:rPr>
                <w:sz w:val="24"/>
                <w:szCs w:val="24"/>
              </w:rPr>
              <w:t>59.35</w:t>
            </w:r>
          </w:p>
        </w:tc>
        <w:tc>
          <w:tcPr>
            <w:tcW w:w="809" w:type="dxa"/>
          </w:tcPr>
          <w:p w:rsidR="0018722C">
            <w:pPr>
              <w:topLinePunct/>
              <w:ind w:leftChars="0" w:left="0" w:rightChars="0" w:right="0" w:firstLineChars="0" w:firstLine="0"/>
              <w:spacing w:line="240" w:lineRule="atLeast"/>
            </w:pPr>
            <w:r w:rsidRPr="00000000">
              <w:rPr>
                <w:sz w:val="24"/>
                <w:szCs w:val="24"/>
              </w:rPr>
              <w:t>63.08</w:t>
            </w:r>
          </w:p>
        </w:tc>
        <w:tc>
          <w:tcPr>
            <w:tcW w:w="809" w:type="dxa"/>
          </w:tcPr>
          <w:p w:rsidR="0018722C">
            <w:pPr>
              <w:topLinePunct/>
              <w:ind w:leftChars="0" w:left="0" w:rightChars="0" w:right="0" w:firstLineChars="0" w:firstLine="0"/>
              <w:spacing w:line="240" w:lineRule="atLeast"/>
            </w:pPr>
            <w:r w:rsidRPr="00000000">
              <w:rPr>
                <w:sz w:val="24"/>
                <w:szCs w:val="24"/>
              </w:rPr>
              <w:t>68.25</w:t>
            </w:r>
          </w:p>
        </w:tc>
        <w:tc>
          <w:tcPr>
            <w:tcW w:w="809" w:type="dxa"/>
          </w:tcPr>
          <w:p w:rsidR="0018722C">
            <w:pPr>
              <w:topLinePunct/>
              <w:ind w:leftChars="0" w:left="0" w:rightChars="0" w:right="0" w:firstLineChars="0" w:firstLine="0"/>
              <w:spacing w:line="240" w:lineRule="atLeast"/>
            </w:pPr>
            <w:r w:rsidRPr="00000000">
              <w:rPr>
                <w:sz w:val="24"/>
                <w:szCs w:val="24"/>
              </w:rPr>
              <w:t>71.74</w:t>
            </w:r>
          </w:p>
        </w:tc>
      </w:tr>
    </w:tbl>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41" w:lineRule="exact" w:before="0"/>
        <w:ind w:leftChars="0" w:left="1360" w:rightChars="0" w:right="0" w:firstLineChars="0" w:firstLine="0"/>
        <w:jc w:val="left"/>
        <w:rPr>
          <w:sz w:val="18"/>
        </w:rPr>
      </w:pPr>
      <w:r>
        <w:rPr>
          <w:rFonts w:ascii="Times New Roman" w:eastAsia="Times New Roman"/>
          <w:position w:val="6"/>
          <w:sz w:val="11"/>
        </w:rPr>
        <w:t>5   </w:t>
      </w:r>
      <w:r>
        <w:rPr>
          <w:sz w:val="18"/>
        </w:rPr>
        <w:t>参保率</w:t>
      </w:r>
      <w:r>
        <w:rPr>
          <w:rFonts w:ascii="Times New Roman" w:eastAsia="Times New Roman"/>
          <w:sz w:val="18"/>
        </w:rPr>
        <w:t>=</w:t>
      </w:r>
      <w:r>
        <w:rPr>
          <w:sz w:val="18"/>
        </w:rPr>
        <w:t>参保人数</w:t>
      </w:r>
      <w:r>
        <w:rPr>
          <w:rFonts w:ascii="Times New Roman" w:eastAsia="Times New Roman"/>
          <w:sz w:val="18"/>
        </w:rPr>
        <w:t>/</w:t>
      </w:r>
      <w:r>
        <w:rPr>
          <w:sz w:val="18"/>
        </w:rPr>
        <w:t>城镇人口数</w:t>
      </w:r>
    </w:p>
    <w:p w:rsidR="0018722C">
      <w:pPr>
        <w:topLinePunct/>
      </w:pPr>
      <w:bookmarkStart w:name="_bookmark14" w:id="10"/>
      <w:bookmarkEnd w:id="10"/>
      <w:r>
        <w:t>北京市城镇职工基本医疗保险制度是在相关部门充分的调研的基础上出台</w:t>
      </w:r>
      <w:r>
        <w:t>的。缴费比例的确定是综合了北京市企业承受能力，职工平均工资、医疗费用等</w:t>
      </w:r>
      <w:r>
        <w:t>各个因素。具体规定如下：“首先，城镇职工基本医疗保险的个人缴费基数定为</w:t>
      </w:r>
      <w:r>
        <w:t>本人上一年度月平均工资，需要特别注意的是城镇职工的上一年度月平均工资低</w:t>
      </w:r>
      <w:r>
        <w:t>于北京市上一年度职工月平均工资</w:t>
      </w:r>
      <w:r>
        <w:rPr>
          <w:rFonts w:ascii="Times New Roman" w:hAnsi="Times New Roman" w:eastAsia="Times New Roman"/>
        </w:rPr>
        <w:t>60%</w:t>
      </w:r>
      <w:r>
        <w:t>的，应按北京市上一年度职工月平均工资</w:t>
      </w:r>
      <w:r>
        <w:t>的</w:t>
      </w:r>
      <w:r>
        <w:rPr>
          <w:rFonts w:ascii="Times New Roman" w:hAnsi="Times New Roman" w:eastAsia="Times New Roman"/>
        </w:rPr>
        <w:t>60%</w:t>
      </w:r>
      <w:r>
        <w:t>作为缴费基数；城镇职工的上一年度月平均工资高于北京市上一年度职工月平均工资</w:t>
      </w:r>
      <w:r>
        <w:rPr>
          <w:rFonts w:ascii="Times New Roman" w:hAnsi="Times New Roman" w:eastAsia="Times New Roman"/>
        </w:rPr>
        <w:t>300%</w:t>
      </w:r>
      <w:r>
        <w:t>的，应以北京市上一年度职工月平均工资</w:t>
      </w:r>
      <w:r>
        <w:rPr>
          <w:rFonts w:ascii="Times New Roman" w:hAnsi="Times New Roman" w:eastAsia="Times New Roman"/>
        </w:rPr>
        <w:t>300%</w:t>
      </w:r>
      <w:r>
        <w:t>为基数缴纳，</w:t>
      </w:r>
      <w:r>
        <w:t>超过部分不作为缴费基数；无法确定职工本人上一年月平均工资的，以上一年本</w:t>
      </w:r>
      <w:r>
        <w:t>市职工月平均工资为缴费工资基数，缴纳基本医疗保险费。单位缴费基数为本单</w:t>
      </w:r>
      <w:r>
        <w:t>位中全体职工缴费基数之和。其次，确定缴费比例，单位缴纳</w:t>
      </w:r>
      <w:r>
        <w:rPr>
          <w:rFonts w:ascii="Times New Roman" w:hAnsi="Times New Roman" w:eastAsia="Times New Roman"/>
        </w:rPr>
        <w:t>10%</w:t>
      </w:r>
      <w:r>
        <w:t>，职工个人缴</w:t>
      </w:r>
      <w:r>
        <w:t>纳</w:t>
      </w:r>
      <w:r>
        <w:rPr>
          <w:rFonts w:ascii="Times New Roman" w:hAnsi="Times New Roman" w:eastAsia="Times New Roman"/>
        </w:rPr>
        <w:t>2%</w:t>
      </w:r>
      <w:r>
        <w:t>并且缴纳</w:t>
      </w:r>
      <w:r>
        <w:rPr>
          <w:rFonts w:ascii="Times New Roman" w:hAnsi="Times New Roman" w:eastAsia="Times New Roman"/>
        </w:rPr>
        <w:t>3</w:t>
      </w:r>
      <w:r>
        <w:t>元大额医疗费用互助金，退休职工个人不缴费，每月划入个人</w:t>
      </w:r>
      <w:r>
        <w:t>账户资金的基数为上一年本市职工月平均工资。最后，确定个人账户与社会统筹</w:t>
      </w:r>
      <w:r>
        <w:t>账户的划分比例，个人单位缴纳的</w:t>
      </w:r>
      <w:r>
        <w:rPr>
          <w:rFonts w:ascii="Times New Roman" w:hAnsi="Times New Roman" w:eastAsia="Times New Roman"/>
        </w:rPr>
        <w:t>10%</w:t>
      </w:r>
      <w:r>
        <w:t>中，</w:t>
      </w:r>
      <w:r>
        <w:rPr>
          <w:rFonts w:ascii="Times New Roman" w:hAnsi="Times New Roman" w:eastAsia="Times New Roman"/>
        </w:rPr>
        <w:t>1%</w:t>
      </w:r>
      <w:r>
        <w:t>纳入大额医疗费用互助，根据参</w:t>
      </w:r>
      <w:r>
        <w:t>保者年龄不同，有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2%</w:t>
      </w:r>
      <w:r>
        <w:t>不等的部分划入个人账户，其余部分全部划入统筹</w:t>
      </w:r>
      <w:r>
        <w:t>账户。职工个人缴纳的</w:t>
      </w:r>
      <w:r>
        <w:rPr>
          <w:rFonts w:ascii="Times New Roman" w:hAnsi="Times New Roman" w:eastAsia="Times New Roman"/>
        </w:rPr>
        <w:t>2%</w:t>
      </w:r>
      <w:r>
        <w:t>全部划入个人账户。”</w:t>
      </w:r>
      <w:r>
        <w:rPr>
          <w:rFonts w:ascii="Times New Roman" w:hAnsi="Times New Roman" w:eastAsia="Times New Roman"/>
        </w:rPr>
        <w:t>2008</w:t>
      </w:r>
      <w:r>
        <w:t>年</w:t>
      </w:r>
      <w:r>
        <w:rPr>
          <w:rFonts w:ascii="Times New Roman" w:hAnsi="Times New Roman" w:eastAsia="Times New Roman"/>
        </w:rPr>
        <w:t>12</w:t>
      </w:r>
      <w:r>
        <w:t>月，北京市针对灵活</w:t>
      </w:r>
      <w:r>
        <w:t>就业人员出台了《北京市灵活就业人员参加职工基本医疗保险办法》，规定灵活</w:t>
      </w:r>
      <w:r>
        <w:t>就业人员不设立个人账户，将上年度北京市职工月平均工资的</w:t>
      </w:r>
      <w:r>
        <w:rPr>
          <w:rFonts w:ascii="Times New Roman" w:hAnsi="Times New Roman" w:eastAsia="Times New Roman"/>
        </w:rPr>
        <w:t>70%</w:t>
      </w:r>
      <w:r>
        <w:t>作为缴费基</w:t>
      </w:r>
      <w:r>
        <w:t>数，按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的比例缴费，全部统筹账户。</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放映了各群体参保的缴费标准。</w:t>
      </w:r>
    </w:p>
    <w:p w:rsidR="0018722C">
      <w:pPr>
        <w:pStyle w:val="a8"/>
        <w:topLinePunct/>
      </w:pPr>
      <w:r>
        <w:t>表</w:t>
      </w:r>
      <w:r>
        <w:t>2</w:t>
      </w:r>
      <w:r>
        <w:t>.</w:t>
      </w:r>
      <w:r>
        <w:t>3</w:t>
      </w:r>
      <w:r>
        <w:t xml:space="preserve">  </w:t>
      </w:r>
      <w:r>
        <w:t>北京市城镇职工基本医疗保险缴费标准</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1646"/>
        <w:gridCol w:w="1701"/>
        <w:gridCol w:w="1701"/>
        <w:gridCol w:w="1275"/>
        <w:gridCol w:w="1134"/>
        <w:gridCol w:w="181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0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在职职工</w:t>
            </w:r>
          </w:p>
        </w:tc>
        <w:tc>
          <w:tcPr>
            <w:tcW w:w="11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退休职工</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灵活就业人员</w:t>
            </w:r>
          </w:p>
        </w:tc>
      </w:tr>
      <w:tr>
        <w:tc>
          <w:tcPr>
            <w:tcW w:w="394" w:type="pct"/>
            <w:vAlign w:val="center"/>
          </w:tcPr>
          <w:p w:rsidR="0018722C">
            <w:pPr>
              <w:pStyle w:val="ac"/>
              <w:topLinePunct/>
              <w:ind w:leftChars="0" w:left="0" w:rightChars="0" w:right="0" w:firstLineChars="0" w:firstLine="0"/>
              <w:spacing w:line="240" w:lineRule="atLeast"/>
            </w:pPr>
            <w:r>
              <w:t>年龄</w:t>
            </w:r>
          </w:p>
        </w:tc>
        <w:tc>
          <w:tcPr>
            <w:tcW w:w="818" w:type="pct"/>
            <w:vAlign w:val="center"/>
          </w:tcPr>
          <w:p w:rsidR="0018722C">
            <w:pPr>
              <w:pStyle w:val="a5"/>
              <w:topLinePunct/>
              <w:ind w:leftChars="0" w:left="0" w:rightChars="0" w:right="0" w:firstLineChars="0" w:firstLine="0"/>
              <w:spacing w:line="240" w:lineRule="atLeast"/>
            </w:pPr>
            <w:r>
              <w:t>≤</w:t>
            </w:r>
            <w:r>
              <w:t>35 </w:t>
            </w:r>
            <w:r>
              <w:t>周岁</w:t>
            </w:r>
          </w:p>
        </w:tc>
        <w:tc>
          <w:tcPr>
            <w:tcW w:w="845" w:type="pct"/>
            <w:vAlign w:val="center"/>
          </w:tcPr>
          <w:p w:rsidR="0018722C">
            <w:pPr>
              <w:pStyle w:val="a5"/>
              <w:topLinePunct/>
              <w:ind w:leftChars="0" w:left="0" w:rightChars="0" w:right="0" w:firstLineChars="0" w:firstLine="0"/>
              <w:spacing w:line="240" w:lineRule="atLeast"/>
            </w:pPr>
            <w:r>
              <w:t>35</w:t>
            </w:r>
            <w:r>
              <w:t>— </w:t>
            </w:r>
            <w:r>
              <w:t>45 </w:t>
            </w:r>
            <w:r>
              <w:t>周岁</w:t>
            </w:r>
          </w:p>
        </w:tc>
        <w:tc>
          <w:tcPr>
            <w:tcW w:w="845" w:type="pct"/>
            <w:vAlign w:val="center"/>
          </w:tcPr>
          <w:p w:rsidR="0018722C">
            <w:pPr>
              <w:pStyle w:val="a5"/>
              <w:topLinePunct/>
              <w:ind w:leftChars="0" w:left="0" w:rightChars="0" w:right="0" w:firstLineChars="0" w:firstLine="0"/>
              <w:spacing w:line="240" w:lineRule="atLeast"/>
            </w:pPr>
            <w:r>
              <w:t>≥</w:t>
            </w:r>
            <w:r>
              <w:t>45 </w:t>
            </w:r>
            <w:r>
              <w:t>周岁</w:t>
            </w:r>
          </w:p>
        </w:tc>
        <w:tc>
          <w:tcPr>
            <w:tcW w:w="633" w:type="pct"/>
            <w:vAlign w:val="center"/>
          </w:tcPr>
          <w:p w:rsidR="0018722C">
            <w:pPr>
              <w:pStyle w:val="a5"/>
              <w:topLinePunct/>
              <w:ind w:leftChars="0" w:left="0" w:rightChars="0" w:right="0" w:firstLineChars="0" w:firstLine="0"/>
              <w:spacing w:line="240" w:lineRule="atLeast"/>
            </w:pPr>
            <w:r>
              <w:t>≤</w:t>
            </w:r>
            <w:r>
              <w:t>70 </w:t>
            </w:r>
            <w:r>
              <w:t>周岁</w:t>
            </w:r>
          </w:p>
        </w:tc>
        <w:tc>
          <w:tcPr>
            <w:tcW w:w="563" w:type="pct"/>
            <w:vAlign w:val="center"/>
          </w:tcPr>
          <w:p w:rsidR="0018722C">
            <w:pPr>
              <w:pStyle w:val="a5"/>
              <w:topLinePunct/>
              <w:ind w:leftChars="0" w:left="0" w:rightChars="0" w:right="0" w:firstLineChars="0" w:firstLine="0"/>
              <w:spacing w:line="240" w:lineRule="atLeast"/>
            </w:pPr>
            <w:r>
              <w:t>＞</w:t>
            </w:r>
            <w:r>
              <w:t>70 </w:t>
            </w:r>
            <w:r>
              <w:t>周岁</w:t>
            </w:r>
          </w:p>
        </w:tc>
        <w:tc>
          <w:tcPr>
            <w:tcW w:w="901" w:type="pct"/>
            <w:vAlign w:val="center"/>
          </w:tcPr>
          <w:p w:rsidR="0018722C">
            <w:pPr>
              <w:pStyle w:val="ad"/>
              <w:topLinePunct/>
              <w:ind w:leftChars="0" w:left="0" w:rightChars="0" w:right="0" w:firstLineChars="0" w:firstLine="0"/>
              <w:spacing w:line="240" w:lineRule="atLeast"/>
            </w:pPr>
          </w:p>
        </w:tc>
      </w:tr>
      <w:tr>
        <w:tc>
          <w:tcPr>
            <w:tcW w:w="394" w:type="pct"/>
            <w:vAlign w:val="center"/>
          </w:tcPr>
          <w:p w:rsidR="0018722C">
            <w:pPr>
              <w:pStyle w:val="ac"/>
              <w:topLinePunct/>
              <w:ind w:leftChars="0" w:left="0" w:rightChars="0" w:right="0" w:firstLineChars="0" w:firstLine="0"/>
              <w:spacing w:line="240" w:lineRule="atLeast"/>
            </w:pPr>
            <w:r>
              <w:t>个人</w:t>
            </w:r>
          </w:p>
          <w:p w:rsidR="0018722C">
            <w:pPr>
              <w:pStyle w:val="a5"/>
              <w:topLinePunct/>
              <w:ind w:leftChars="0" w:left="0" w:rightChars="0" w:right="0" w:firstLineChars="0" w:firstLine="0"/>
              <w:spacing w:line="240" w:lineRule="atLeast"/>
            </w:pPr>
            <w:r>
              <w:t>账户</w:t>
            </w:r>
          </w:p>
        </w:tc>
        <w:tc>
          <w:tcPr>
            <w:tcW w:w="818"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0.8%</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1%</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2%</w:t>
            </w:r>
          </w:p>
        </w:tc>
        <w:tc>
          <w:tcPr>
            <w:tcW w:w="633" w:type="pct"/>
            <w:vAlign w:val="center"/>
          </w:tcPr>
          <w:p w:rsidR="0018722C">
            <w:pPr>
              <w:pStyle w:val="affff9"/>
              <w:topLinePunct/>
              <w:ind w:leftChars="0" w:left="0" w:rightChars="0" w:right="0" w:firstLineChars="0" w:firstLine="0"/>
              <w:spacing w:line="240" w:lineRule="atLeast"/>
            </w:pPr>
            <w:r>
              <w:t>4.3%</w:t>
            </w:r>
          </w:p>
        </w:tc>
        <w:tc>
          <w:tcPr>
            <w:tcW w:w="563" w:type="pct"/>
            <w:vAlign w:val="center"/>
          </w:tcPr>
          <w:p w:rsidR="0018722C">
            <w:pPr>
              <w:pStyle w:val="affff9"/>
              <w:topLinePunct/>
              <w:ind w:leftChars="0" w:left="0" w:rightChars="0" w:right="0" w:firstLineChars="0" w:firstLine="0"/>
              <w:spacing w:line="240" w:lineRule="atLeast"/>
            </w:pPr>
            <w:r>
              <w:t>4.8%</w:t>
            </w:r>
          </w:p>
        </w:tc>
        <w:tc>
          <w:tcPr>
            <w:tcW w:w="901" w:type="pct"/>
            <w:vAlign w:val="center"/>
          </w:tcPr>
          <w:p w:rsidR="0018722C">
            <w:pPr>
              <w:pStyle w:val="ad"/>
              <w:topLinePunct/>
              <w:ind w:leftChars="0" w:left="0" w:rightChars="0" w:right="0" w:firstLineChars="0" w:firstLine="0"/>
              <w:spacing w:line="240" w:lineRule="atLeast"/>
            </w:pPr>
            <w:r>
              <w:t>不设立</w:t>
            </w:r>
          </w:p>
        </w:tc>
      </w:tr>
      <w:tr>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t>社会统筹</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7%</w:t>
            </w:r>
          </w:p>
        </w:tc>
        <w:tc>
          <w:tcPr>
            <w:tcW w:w="119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不缴费</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上年度北京市职工月平均工资</w:t>
            </w:r>
          </w:p>
          <w:p w:rsidR="0018722C">
            <w:pPr>
              <w:pStyle w:val="ad"/>
              <w:topLinePunct/>
              <w:ind w:leftChars="0" w:left="0" w:rightChars="0" w:right="0" w:firstLineChars="0" w:firstLine="0"/>
              <w:spacing w:line="240" w:lineRule="atLeast"/>
            </w:pPr>
            <w:r>
              <w:t>*4.5%</w:t>
            </w:r>
          </w:p>
        </w:tc>
      </w:tr>
    </w:tbl>
    <w:p w:rsidR="0018722C">
      <w:pPr>
        <w:pStyle w:val="Heading3"/>
        <w:topLinePunct/>
        <w:ind w:left="200" w:hangingChars="200" w:hanging="200"/>
      </w:pPr>
      <w:bookmarkStart w:id="569925" w:name="_Toc686569925"/>
      <w:r>
        <w:t>2.3.2</w:t>
      </w:r>
      <w:r>
        <w:t xml:space="preserve"> </w:t>
      </w:r>
      <w:r>
        <w:t>新型农村合作医疗</w:t>
      </w:r>
      <w:bookmarkEnd w:id="569925"/>
    </w:p>
    <w:p w:rsidR="0018722C">
      <w:pPr>
        <w:topLinePunct/>
      </w:pPr>
      <w:r>
        <w:t>自</w:t>
      </w:r>
      <w:r>
        <w:rPr>
          <w:rFonts w:ascii="Times New Roman" w:hAnsi="Times New Roman" w:eastAsia="Times New Roman"/>
        </w:rPr>
        <w:t>2003</w:t>
      </w:r>
      <w:r>
        <w:t>年北京市新型农村合作医疗制度出台以来，新农合参合率基本呈现</w:t>
      </w:r>
      <w:r>
        <w:t>逐年上涨的趋势，新型农村合作医疗基金筹资总额、人均筹资额及补偿收益水平</w:t>
      </w:r>
      <w:r>
        <w:t>也不断提高，在一定程度上减少了农民“因病致贫、因病返贫”现象的发生。</w:t>
      </w:r>
      <w:r>
        <w:t>表</w:t>
      </w:r>
    </w:p>
    <w:p w:rsidR="0018722C">
      <w:pPr>
        <w:pStyle w:val="cw20"/>
        <w:topLinePunct/>
      </w:pPr>
      <w:r>
        <w:rPr>
          <w:rFonts w:ascii="Times New Roman" w:eastAsia="宋体"/>
        </w:rPr>
        <w:t>2.4</w:t>
      </w:r>
      <w:r>
        <w:t>反映了</w:t>
      </w:r>
      <w:r>
        <w:rPr>
          <w:rFonts w:ascii="Times New Roman" w:eastAsia="宋体"/>
        </w:rPr>
        <w:t>2004</w:t>
      </w:r>
      <w:r>
        <w:t>年到</w:t>
      </w:r>
      <w:r>
        <w:rPr>
          <w:rFonts w:ascii="Times New Roman" w:eastAsia="宋体"/>
        </w:rPr>
        <w:t>2012</w:t>
      </w:r>
      <w:r>
        <w:t>年北京市新型农村合作医疗参合人数和参合率的变化</w:t>
      </w:r>
      <w:r>
        <w:t>情况。截止到</w:t>
      </w:r>
      <w:r>
        <w:rPr>
          <w:rFonts w:ascii="Times New Roman" w:eastAsia="宋体"/>
        </w:rPr>
        <w:t>2012</w:t>
      </w:r>
      <w:r>
        <w:t>年年末，北京市农村新型合作医疗参合人数为</w:t>
      </w:r>
      <w:r>
        <w:rPr>
          <w:rFonts w:ascii="Times New Roman" w:eastAsia="宋体"/>
        </w:rPr>
        <w:t>267</w:t>
      </w:r>
      <w:r>
        <w:rPr>
          <w:rFonts w:ascii="Times New Roman" w:eastAsia="宋体"/>
        </w:rPr>
        <w:t>.</w:t>
      </w:r>
      <w:r>
        <w:rPr>
          <w:rFonts w:ascii="Times New Roman" w:eastAsia="宋体"/>
        </w:rPr>
        <w:t>5</w:t>
      </w:r>
      <w:r>
        <w:t>万人，</w:t>
      </w:r>
      <w:r>
        <w:t>参合率为</w:t>
      </w:r>
      <w:r>
        <w:rPr>
          <w:rFonts w:ascii="Times New Roman" w:eastAsia="宋体"/>
        </w:rPr>
        <w:t>98</w:t>
      </w:r>
      <w:r>
        <w:rPr>
          <w:rFonts w:ascii="Times New Roman" w:eastAsia="宋体"/>
        </w:rPr>
        <w:t>.</w:t>
      </w:r>
      <w:r>
        <w:rPr>
          <w:rFonts w:ascii="Times New Roman" w:eastAsia="宋体"/>
        </w:rPr>
        <w:t>1%</w:t>
      </w:r>
      <w:r>
        <w:t>。</w:t>
      </w:r>
    </w:p>
    <w:p w:rsidR="0018722C">
      <w:pPr>
        <w:topLinePunct/>
      </w:pPr>
      <w:bookmarkStart w:name="_bookmark15" w:id="11"/>
      <w:bookmarkEnd w:id="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北京市历年新农合参合人数情况</w:t>
      </w:r>
      <w:hyperlink w:history="true" w:anchor="_bookmark16">
        <w:r>
          <w:rPr>
            <w:vertAlign w:val="superscript"/>
            /&gt;
          </w:rPr>
          <w:t>6</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t>2004</w:t>
            </w:r>
          </w:p>
        </w:tc>
        <w:tc>
          <w:tcPr>
            <w:tcW w:w="809" w:type="dxa"/>
          </w:tcPr>
          <w:p w:rsidR="0018722C">
            <w:pPr>
              <w:topLinePunct/>
              <w:ind w:leftChars="0" w:left="0" w:rightChars="0" w:right="0" w:firstLineChars="0" w:firstLine="0"/>
              <w:spacing w:line="240" w:lineRule="atLeast"/>
            </w:pPr>
            <w:r>
              <w:t>2005</w:t>
            </w:r>
          </w:p>
        </w:tc>
        <w:tc>
          <w:tcPr>
            <w:tcW w:w="809" w:type="dxa"/>
          </w:tcPr>
          <w:p w:rsidR="0018722C">
            <w:pPr>
              <w:topLinePunct/>
              <w:ind w:leftChars="0" w:left="0" w:rightChars="0" w:right="0" w:firstLineChars="0" w:firstLine="0"/>
              <w:spacing w:line="240" w:lineRule="atLeast"/>
            </w:pPr>
            <w:r>
              <w:t>2006</w:t>
            </w:r>
          </w:p>
        </w:tc>
        <w:tc>
          <w:tcPr>
            <w:tcW w:w="809" w:type="dxa"/>
          </w:tcPr>
          <w:p w:rsidR="0018722C">
            <w:pPr>
              <w:topLinePunct/>
              <w:ind w:leftChars="0" w:left="0" w:rightChars="0" w:right="0" w:firstLineChars="0" w:firstLine="0"/>
              <w:spacing w:line="240" w:lineRule="atLeast"/>
            </w:pPr>
            <w:r>
              <w:t>2007</w:t>
            </w:r>
          </w:p>
        </w:tc>
        <w:tc>
          <w:tcPr>
            <w:tcW w:w="809" w:type="dxa"/>
          </w:tcPr>
          <w:p w:rsidR="0018722C">
            <w:pPr>
              <w:topLinePunct/>
              <w:ind w:leftChars="0" w:left="0" w:rightChars="0" w:right="0" w:firstLineChars="0" w:firstLine="0"/>
              <w:spacing w:line="240" w:lineRule="atLeast"/>
            </w:pPr>
            <w:r>
              <w:t>2008</w:t>
            </w:r>
          </w:p>
        </w:tc>
        <w:tc>
          <w:tcPr>
            <w:tcW w:w="809" w:type="dxa"/>
          </w:tcPr>
          <w:p w:rsidR="0018722C">
            <w:pPr>
              <w:topLinePunct/>
              <w:ind w:leftChars="0" w:left="0" w:rightChars="0" w:right="0" w:firstLineChars="0" w:firstLine="0"/>
              <w:spacing w:line="240" w:lineRule="atLeast"/>
            </w:pPr>
            <w:r>
              <w:t>2009</w:t>
            </w:r>
          </w:p>
        </w:tc>
        <w:tc>
          <w:tcPr>
            <w:tcW w:w="809" w:type="dxa"/>
          </w:tcPr>
          <w:p w:rsidR="0018722C">
            <w:pPr>
              <w:topLinePunct/>
              <w:ind w:leftChars="0" w:left="0" w:rightChars="0" w:right="0" w:firstLineChars="0" w:firstLine="0"/>
              <w:spacing w:line="240" w:lineRule="atLeast"/>
            </w:pPr>
            <w:r>
              <w:t>2010</w:t>
            </w:r>
          </w:p>
        </w:tc>
        <w:tc>
          <w:tcPr>
            <w:tcW w:w="809" w:type="dxa"/>
          </w:tcPr>
          <w:p w:rsidR="0018722C">
            <w:pPr>
              <w:topLinePunct/>
              <w:ind w:leftChars="0" w:left="0" w:rightChars="0" w:right="0" w:firstLineChars="0" w:firstLine="0"/>
              <w:spacing w:line="240" w:lineRule="atLeast"/>
            </w:pPr>
            <w:r>
              <w:t>2011</w:t>
            </w:r>
          </w:p>
        </w:tc>
        <w:tc>
          <w:tcPr>
            <w:tcW w:w="809" w:type="dxa"/>
          </w:tcPr>
          <w:p w:rsidR="0018722C">
            <w:pPr>
              <w:topLinePunct/>
              <w:ind w:leftChars="0" w:left="0" w:rightChars="0" w:right="0" w:firstLineChars="0" w:firstLine="0"/>
              <w:spacing w:line="240" w:lineRule="atLeast"/>
            </w:pPr>
            <w:r>
              <w:t>2012</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w:t>
            </w:r>
          </w:p>
          <w:p w:rsidR="0018722C">
            <w:pPr>
              <w:topLinePunct/>
              <w:ind w:leftChars="0" w:left="0" w:rightChars="0" w:right="0" w:firstLineChars="0" w:firstLine="0"/>
              <w:spacing w:line="240" w:lineRule="atLeast"/>
            </w:pPr>
            <w:r>
              <w:rPr>
                <w:rFonts w:ascii="宋体" w:eastAsia="宋体" w:hint="eastAsia"/>
              </w:rPr>
              <w:t>人数</w:t>
            </w:r>
          </w:p>
        </w:tc>
        <w:tc>
          <w:tcPr>
            <w:tcW w:w="809" w:type="dxa"/>
          </w:tcPr>
          <w:p w:rsidR="0018722C">
            <w:pPr>
              <w:topLinePunct/>
              <w:ind w:leftChars="0" w:left="0" w:rightChars="0" w:right="0" w:firstLineChars="0" w:firstLine="0"/>
              <w:spacing w:line="240" w:lineRule="atLeast"/>
            </w:pPr>
            <w:r>
              <w:t>234</w:t>
            </w:r>
          </w:p>
        </w:tc>
        <w:tc>
          <w:tcPr>
            <w:tcW w:w="809" w:type="dxa"/>
          </w:tcPr>
          <w:p w:rsidR="0018722C">
            <w:pPr>
              <w:topLinePunct/>
              <w:ind w:leftChars="0" w:left="0" w:rightChars="0" w:right="0" w:firstLineChars="0" w:firstLine="0"/>
              <w:spacing w:line="240" w:lineRule="atLeast"/>
            </w:pPr>
            <w:r>
              <w:t>250.4</w:t>
            </w:r>
          </w:p>
        </w:tc>
        <w:tc>
          <w:tcPr>
            <w:tcW w:w="809" w:type="dxa"/>
          </w:tcPr>
          <w:p w:rsidR="0018722C">
            <w:pPr>
              <w:topLinePunct/>
              <w:ind w:leftChars="0" w:left="0" w:rightChars="0" w:right="0" w:firstLineChars="0" w:firstLine="0"/>
              <w:spacing w:line="240" w:lineRule="atLeast"/>
            </w:pPr>
            <w:r>
              <w:t>261</w:t>
            </w:r>
          </w:p>
        </w:tc>
        <w:tc>
          <w:tcPr>
            <w:tcW w:w="809" w:type="dxa"/>
          </w:tcPr>
          <w:p w:rsidR="0018722C">
            <w:pPr>
              <w:topLinePunct/>
              <w:ind w:leftChars="0" w:left="0" w:rightChars="0" w:right="0" w:firstLineChars="0" w:firstLine="0"/>
              <w:spacing w:line="240" w:lineRule="atLeast"/>
            </w:pPr>
            <w:r>
              <w:t>268.5</w:t>
            </w:r>
          </w:p>
        </w:tc>
        <w:tc>
          <w:tcPr>
            <w:tcW w:w="809" w:type="dxa"/>
          </w:tcPr>
          <w:p w:rsidR="0018722C">
            <w:pPr>
              <w:topLinePunct/>
              <w:ind w:leftChars="0" w:left="0" w:rightChars="0" w:right="0" w:firstLineChars="0" w:firstLine="0"/>
              <w:spacing w:line="240" w:lineRule="atLeast"/>
            </w:pPr>
            <w:r>
              <w:t>272.5</w:t>
            </w:r>
          </w:p>
        </w:tc>
        <w:tc>
          <w:tcPr>
            <w:tcW w:w="809" w:type="dxa"/>
          </w:tcPr>
          <w:p w:rsidR="0018722C">
            <w:pPr>
              <w:topLinePunct/>
              <w:ind w:leftChars="0" w:left="0" w:rightChars="0" w:right="0" w:firstLineChars="0" w:firstLine="0"/>
              <w:spacing w:line="240" w:lineRule="atLeast"/>
            </w:pPr>
            <w:r>
              <w:t>274.9</w:t>
            </w:r>
          </w:p>
        </w:tc>
        <w:tc>
          <w:tcPr>
            <w:tcW w:w="809" w:type="dxa"/>
          </w:tcPr>
          <w:p w:rsidR="0018722C">
            <w:pPr>
              <w:topLinePunct/>
              <w:ind w:leftChars="0" w:left="0" w:rightChars="0" w:right="0" w:firstLineChars="0" w:firstLine="0"/>
              <w:spacing w:line="240" w:lineRule="atLeast"/>
            </w:pPr>
            <w:r>
              <w:t>278.5</w:t>
            </w:r>
          </w:p>
        </w:tc>
        <w:tc>
          <w:tcPr>
            <w:tcW w:w="809" w:type="dxa"/>
          </w:tcPr>
          <w:p w:rsidR="0018722C">
            <w:pPr>
              <w:topLinePunct/>
              <w:ind w:leftChars="0" w:left="0" w:rightChars="0" w:right="0" w:firstLineChars="0" w:firstLine="0"/>
              <w:spacing w:line="240" w:lineRule="atLeast"/>
            </w:pPr>
            <w:r>
              <w:t>276.8</w:t>
            </w:r>
          </w:p>
        </w:tc>
        <w:tc>
          <w:tcPr>
            <w:tcW w:w="809" w:type="dxa"/>
          </w:tcPr>
          <w:p w:rsidR="0018722C">
            <w:pPr>
              <w:topLinePunct/>
              <w:ind w:leftChars="0" w:left="0" w:rightChars="0" w:right="0" w:firstLineChars="0" w:firstLine="0"/>
              <w:spacing w:line="240" w:lineRule="atLeast"/>
            </w:pPr>
            <w:r>
              <w:t>267.5</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09" w:type="dxa"/>
          </w:tcPr>
          <w:p w:rsidR="0018722C">
            <w:pPr>
              <w:topLinePunct/>
              <w:ind w:leftChars="0" w:left="0" w:rightChars="0" w:right="0" w:firstLineChars="0" w:firstLine="0"/>
              <w:spacing w:line="240" w:lineRule="atLeast"/>
            </w:pPr>
            <w:r>
              <w:t>71.9</w:t>
            </w:r>
          </w:p>
        </w:tc>
        <w:tc>
          <w:tcPr>
            <w:tcW w:w="809" w:type="dxa"/>
          </w:tcPr>
          <w:p w:rsidR="0018722C">
            <w:pPr>
              <w:topLinePunct/>
              <w:ind w:leftChars="0" w:left="0" w:rightChars="0" w:right="0" w:firstLineChars="0" w:firstLine="0"/>
              <w:spacing w:line="240" w:lineRule="atLeast"/>
            </w:pPr>
            <w:r>
              <w:t>80.3</w:t>
            </w:r>
          </w:p>
        </w:tc>
        <w:tc>
          <w:tcPr>
            <w:tcW w:w="809" w:type="dxa"/>
          </w:tcPr>
          <w:p w:rsidR="0018722C">
            <w:pPr>
              <w:topLinePunct/>
              <w:ind w:leftChars="0" w:left="0" w:rightChars="0" w:right="0" w:firstLineChars="0" w:firstLine="0"/>
              <w:spacing w:line="240" w:lineRule="atLeast"/>
            </w:pPr>
            <w:r>
              <w:t>86.9</w:t>
            </w:r>
          </w:p>
        </w:tc>
        <w:tc>
          <w:tcPr>
            <w:tcW w:w="809" w:type="dxa"/>
          </w:tcPr>
          <w:p w:rsidR="0018722C">
            <w:pPr>
              <w:topLinePunct/>
              <w:ind w:leftChars="0" w:left="0" w:rightChars="0" w:right="0" w:firstLineChars="0" w:firstLine="0"/>
              <w:spacing w:line="240" w:lineRule="atLeast"/>
            </w:pPr>
            <w:r>
              <w:t>88.9</w:t>
            </w:r>
          </w:p>
        </w:tc>
        <w:tc>
          <w:tcPr>
            <w:tcW w:w="809" w:type="dxa"/>
          </w:tcPr>
          <w:p w:rsidR="0018722C">
            <w:pPr>
              <w:topLinePunct/>
              <w:ind w:leftChars="0" w:left="0" w:rightChars="0" w:right="0" w:firstLineChars="0" w:firstLine="0"/>
              <w:spacing w:line="240" w:lineRule="atLeast"/>
            </w:pPr>
            <w:r>
              <w:t>92.9</w:t>
            </w:r>
          </w:p>
        </w:tc>
        <w:tc>
          <w:tcPr>
            <w:tcW w:w="809" w:type="dxa"/>
          </w:tcPr>
          <w:p w:rsidR="0018722C">
            <w:pPr>
              <w:topLinePunct/>
              <w:ind w:leftChars="0" w:left="0" w:rightChars="0" w:right="0" w:firstLineChars="0" w:firstLine="0"/>
              <w:spacing w:line="240" w:lineRule="atLeast"/>
            </w:pPr>
            <w:r>
              <w:t>95.7</w:t>
            </w:r>
          </w:p>
        </w:tc>
        <w:tc>
          <w:tcPr>
            <w:tcW w:w="809" w:type="dxa"/>
          </w:tcPr>
          <w:p w:rsidR="0018722C">
            <w:pPr>
              <w:topLinePunct/>
              <w:ind w:leftChars="0" w:left="0" w:rightChars="0" w:right="0" w:firstLineChars="0" w:firstLine="0"/>
              <w:spacing w:line="240" w:lineRule="atLeast"/>
            </w:pPr>
            <w:r>
              <w:t>96.7</w:t>
            </w:r>
          </w:p>
        </w:tc>
        <w:tc>
          <w:tcPr>
            <w:tcW w:w="809" w:type="dxa"/>
          </w:tcPr>
          <w:p w:rsidR="0018722C">
            <w:pPr>
              <w:topLinePunct/>
              <w:ind w:leftChars="0" w:left="0" w:rightChars="0" w:right="0" w:firstLineChars="0" w:firstLine="0"/>
              <w:spacing w:line="240" w:lineRule="atLeast"/>
            </w:pPr>
            <w:r>
              <w:t>97.7</w:t>
            </w:r>
          </w:p>
        </w:tc>
        <w:tc>
          <w:tcPr>
            <w:tcW w:w="809" w:type="dxa"/>
          </w:tcPr>
          <w:p w:rsidR="0018722C">
            <w:pPr>
              <w:topLinePunct/>
              <w:ind w:leftChars="0" w:left="0" w:rightChars="0" w:right="0" w:firstLineChars="0" w:firstLine="0"/>
              <w:spacing w:line="240" w:lineRule="atLeast"/>
            </w:pPr>
            <w:r>
              <w:t>98.1</w:t>
            </w:r>
          </w:p>
        </w:tc>
      </w:tr>
    </w:tbl>
    <w:p w:rsidR="0018722C">
      <w:pPr>
        <w:pStyle w:val="Heading3"/>
        <w:topLinePunct/>
        <w:ind w:left="200" w:hangingChars="200" w:hanging="200"/>
      </w:pPr>
      <w:bookmarkStart w:id="569926" w:name="_Toc686569926"/>
      <w:r>
        <w:t>2.3.3</w:t>
      </w:r>
      <w:r>
        <w:t xml:space="preserve"> </w:t>
      </w:r>
      <w:r w:rsidRPr="00DB64CE">
        <w:t>城镇居民基本医疗保险</w:t>
      </w:r>
      <w:bookmarkEnd w:id="569926"/>
    </w:p>
    <w:p w:rsidR="0018722C">
      <w:pPr>
        <w:topLinePunct/>
      </w:pPr>
      <w:r>
        <w:t>北京市城镇居民基本医疗保险自</w:t>
      </w:r>
      <w:r>
        <w:rPr>
          <w:rFonts w:ascii="Times New Roman" w:eastAsia="Times New Roman"/>
        </w:rPr>
        <w:t>2007</w:t>
      </w:r>
      <w:r>
        <w:t>年正式启动以来，参保人数稳步增加，</w:t>
      </w:r>
      <w:r>
        <w:t>具体情况如</w:t>
      </w:r>
      <w:r>
        <w:t>表</w:t>
      </w:r>
      <w:r>
        <w:rPr>
          <w:rFonts w:ascii="Times New Roman" w:eastAsia="Times New Roman"/>
        </w:rPr>
        <w:t>2</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北京市历年城镇居民参保人数情况</w:t>
      </w:r>
      <w:hyperlink w:history="true" w:anchor="_bookmark17">
        <w:r>
          <w:rPr>
            <w:rFonts w:ascii="Times New Roman" w:eastAsia="Times New Roman" w:cstheme="minorBidi" w:hAnsiTheme="minorHAnsi"/>
          </w:rPr>
          <w:t>7</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7"/>
        <w:gridCol w:w="1160"/>
        <w:gridCol w:w="1161"/>
        <w:gridCol w:w="1161"/>
        <w:gridCol w:w="1161"/>
        <w:gridCol w:w="1161"/>
        <w:gridCol w:w="1161"/>
      </w:tblGrid>
      <w:tr>
        <w:trPr>
          <w:trHeight w:val="300" w:hRule="atLeast"/>
        </w:trPr>
        <w:tc>
          <w:tcPr>
            <w:tcW w:w="1557"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r>
              <w:t>2007</w:t>
            </w:r>
          </w:p>
        </w:tc>
        <w:tc>
          <w:tcPr>
            <w:tcW w:w="1161" w:type="dxa"/>
          </w:tcPr>
          <w:p w:rsidR="0018722C">
            <w:pPr>
              <w:topLinePunct/>
              <w:ind w:leftChars="0" w:left="0" w:rightChars="0" w:right="0" w:firstLineChars="0" w:firstLine="0"/>
              <w:spacing w:line="240" w:lineRule="atLeast"/>
            </w:pPr>
            <w:r>
              <w:t>2008</w:t>
            </w:r>
          </w:p>
        </w:tc>
        <w:tc>
          <w:tcPr>
            <w:tcW w:w="1161"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61" w:type="dxa"/>
          </w:tcPr>
          <w:p w:rsidR="0018722C">
            <w:pPr>
              <w:topLinePunct/>
              <w:ind w:leftChars="0" w:left="0" w:rightChars="0" w:right="0" w:firstLineChars="0" w:firstLine="0"/>
              <w:spacing w:line="240" w:lineRule="atLeast"/>
            </w:pPr>
            <w:r>
              <w:t>2011</w:t>
            </w:r>
          </w:p>
        </w:tc>
        <w:tc>
          <w:tcPr>
            <w:tcW w:w="1161" w:type="dxa"/>
          </w:tcPr>
          <w:p w:rsidR="0018722C">
            <w:pPr>
              <w:topLinePunct/>
              <w:ind w:leftChars="0" w:left="0" w:rightChars="0" w:right="0" w:firstLineChars="0" w:firstLine="0"/>
              <w:spacing w:line="240" w:lineRule="atLeast"/>
            </w:pPr>
            <w:r>
              <w:t>2012</w:t>
            </w:r>
          </w:p>
        </w:tc>
      </w:tr>
      <w:tr>
        <w:trPr>
          <w:trHeight w:val="300" w:hRule="atLeast"/>
        </w:trPr>
        <w:tc>
          <w:tcPr>
            <w:tcW w:w="1557" w:type="dxa"/>
          </w:tcPr>
          <w:p w:rsidR="0018722C">
            <w:pPr>
              <w:topLinePunct/>
              <w:ind w:leftChars="0" w:left="0" w:rightChars="0" w:right="0" w:firstLineChars="0" w:firstLine="0"/>
              <w:spacing w:line="240" w:lineRule="atLeast"/>
            </w:pPr>
            <w:r>
              <w:rPr>
                <w:rFonts w:ascii="宋体" w:eastAsia="宋体" w:hint="eastAsia"/>
              </w:rPr>
              <w:t>3.1.1</w:t>
            </w:r>
            <w:r>
              <w:t xml:space="preserve"> </w:t>
            </w:r>
            <w:r>
              <w:rPr>
                <w:rFonts w:ascii="宋体" w:eastAsia="宋体" w:hint="eastAsia"/>
              </w:rPr>
              <w:t>参保人数</w:t>
            </w:r>
          </w:p>
        </w:tc>
        <w:tc>
          <w:tcPr>
            <w:tcW w:w="1160" w:type="dxa"/>
          </w:tcPr>
          <w:p w:rsidR="0018722C">
            <w:pPr>
              <w:topLinePunct/>
              <w:ind w:leftChars="0" w:left="0" w:rightChars="0" w:right="0" w:firstLineChars="0" w:firstLine="0"/>
              <w:spacing w:line="240" w:lineRule="atLeast"/>
            </w:pPr>
            <w:r>
              <w:t>146.4</w:t>
            </w:r>
          </w:p>
        </w:tc>
        <w:tc>
          <w:tcPr>
            <w:tcW w:w="1161" w:type="dxa"/>
          </w:tcPr>
          <w:p w:rsidR="0018722C">
            <w:pPr>
              <w:topLinePunct/>
              <w:ind w:leftChars="0" w:left="0" w:rightChars="0" w:right="0" w:firstLineChars="0" w:firstLine="0"/>
              <w:spacing w:line="240" w:lineRule="atLeast"/>
            </w:pPr>
            <w:r>
              <w:t>146.1</w:t>
            </w:r>
          </w:p>
        </w:tc>
        <w:tc>
          <w:tcPr>
            <w:tcW w:w="1161" w:type="dxa"/>
          </w:tcPr>
          <w:p w:rsidR="0018722C">
            <w:pPr>
              <w:topLinePunct/>
              <w:ind w:leftChars="0" w:left="0" w:rightChars="0" w:right="0" w:firstLineChars="0" w:firstLine="0"/>
              <w:spacing w:line="240" w:lineRule="atLeast"/>
            </w:pPr>
            <w:r>
              <w:t>145.5</w:t>
            </w:r>
          </w:p>
        </w:tc>
        <w:tc>
          <w:tcPr>
            <w:tcW w:w="1161" w:type="dxa"/>
          </w:tcPr>
          <w:p w:rsidR="0018722C">
            <w:pPr>
              <w:topLinePunct/>
              <w:ind w:leftChars="0" w:left="0" w:rightChars="0" w:right="0" w:firstLineChars="0" w:firstLine="0"/>
              <w:spacing w:line="240" w:lineRule="atLeast"/>
            </w:pPr>
            <w:r>
              <w:t>143.7</w:t>
            </w:r>
          </w:p>
        </w:tc>
        <w:tc>
          <w:tcPr>
            <w:tcW w:w="1161" w:type="dxa"/>
          </w:tcPr>
          <w:p w:rsidR="0018722C">
            <w:pPr>
              <w:topLinePunct/>
              <w:ind w:leftChars="0" w:left="0" w:rightChars="0" w:right="0" w:firstLineChars="0" w:firstLine="0"/>
              <w:spacing w:line="240" w:lineRule="atLeast"/>
            </w:pPr>
            <w:r>
              <w:t>159.9</w:t>
            </w:r>
          </w:p>
        </w:tc>
        <w:tc>
          <w:tcPr>
            <w:tcW w:w="1161" w:type="dxa"/>
          </w:tcPr>
          <w:p w:rsidR="0018722C">
            <w:pPr>
              <w:topLinePunct/>
              <w:ind w:leftChars="0" w:left="0" w:rightChars="0" w:right="0" w:firstLineChars="0" w:firstLine="0"/>
              <w:spacing w:line="240" w:lineRule="atLeast"/>
            </w:pPr>
            <w:r>
              <w:t>151.9</w:t>
            </w:r>
          </w:p>
        </w:tc>
      </w:tr>
    </w:tbl>
    <w:p w:rsidR="0018722C">
      <w:pPr>
        <w:topLinePunct/>
      </w:pPr>
      <w:r>
        <w:rPr>
          <w:rFonts w:ascii="Times New Roman" w:eastAsia="Times New Roman"/>
        </w:rPr>
        <w:t>2013</w:t>
      </w:r>
      <w:r>
        <w:t>年北京市城镇居民基本医疗保险个人缴费标准为：城镇无业居民个人</w:t>
      </w:r>
    </w:p>
    <w:p w:rsidR="0018722C">
      <w:pPr>
        <w:topLinePunct/>
      </w:pPr>
      <w:r>
        <w:t>缴费</w:t>
      </w:r>
      <w:r>
        <w:rPr>
          <w:rFonts w:ascii="Times New Roman" w:eastAsia="Times New Roman"/>
        </w:rPr>
        <w:t>600</w:t>
      </w:r>
      <w:r>
        <w:t>元，城镇老年人及残疾无业居民个人缴费</w:t>
      </w:r>
      <w:r>
        <w:rPr>
          <w:rFonts w:ascii="Times New Roman" w:eastAsia="Times New Roman"/>
        </w:rPr>
        <w:t>300</w:t>
      </w:r>
      <w:r>
        <w:t>元，学生儿童个人缴费</w:t>
      </w:r>
    </w:p>
    <w:p w:rsidR="0018722C">
      <w:pPr>
        <w:topLinePunct/>
      </w:pPr>
      <w:r>
        <w:rPr>
          <w:rFonts w:ascii="Times New Roman" w:eastAsia="Times New Roman"/>
        </w:rPr>
        <w:t>100</w:t>
      </w:r>
      <w:r>
        <w:t>元。医疗保险基金具体支付标准为：门诊治疗起付线为</w:t>
      </w:r>
      <w:r>
        <w:rPr>
          <w:rFonts w:ascii="Times New Roman" w:eastAsia="Times New Roman"/>
        </w:rPr>
        <w:t>650</w:t>
      </w:r>
      <w:r>
        <w:t>元，起付线以上</w:t>
      </w:r>
      <w:r>
        <w:t>部分医疗保险报销</w:t>
      </w:r>
      <w:r>
        <w:rPr>
          <w:rFonts w:ascii="Times New Roman" w:eastAsia="Times New Roman"/>
        </w:rPr>
        <w:t>50%</w:t>
      </w:r>
      <w:r>
        <w:t>，</w:t>
      </w:r>
      <w:r>
        <w:rPr>
          <w:rFonts w:ascii="Times New Roman" w:eastAsia="Times New Roman"/>
        </w:rPr>
        <w:t>2000</w:t>
      </w:r>
      <w:r>
        <w:t>元封顶。住院治疗，城镇老年人、无业居民起付</w:t>
      </w:r>
      <w:r>
        <w:t>线为</w:t>
      </w:r>
      <w:r>
        <w:rPr>
          <w:rFonts w:ascii="Times New Roman" w:eastAsia="Times New Roman"/>
        </w:rPr>
        <w:t>1300</w:t>
      </w:r>
      <w:r>
        <w:t>元，起付线以上部分医疗保险报销</w:t>
      </w:r>
      <w:r>
        <w:rPr>
          <w:rFonts w:ascii="Times New Roman" w:eastAsia="Times New Roman"/>
        </w:rPr>
        <w:t>60%</w:t>
      </w:r>
      <w:r>
        <w:t>，</w:t>
      </w:r>
      <w:r>
        <w:rPr>
          <w:rFonts w:ascii="Times New Roman" w:eastAsia="Times New Roman"/>
        </w:rPr>
        <w:t>15</w:t>
      </w:r>
      <w:r>
        <w:t>万元封顶。学生儿童起付</w:t>
      </w:r>
      <w:r>
        <w:t>线为</w:t>
      </w:r>
      <w:r>
        <w:rPr>
          <w:rFonts w:ascii="Times New Roman" w:eastAsia="Times New Roman"/>
        </w:rPr>
        <w:t>650</w:t>
      </w:r>
      <w:r>
        <w:t>元，起付线以上部分医疗保险报销</w:t>
      </w:r>
      <w:r>
        <w:rPr>
          <w:rFonts w:ascii="Times New Roman" w:eastAsia="Times New Roman"/>
        </w:rPr>
        <w:t>70%</w:t>
      </w:r>
      <w:r>
        <w:t>，</w:t>
      </w:r>
      <w:r>
        <w:rPr>
          <w:rFonts w:ascii="Times New Roman" w:eastAsia="Times New Roman"/>
        </w:rPr>
        <w:t>17</w:t>
      </w:r>
      <w:r>
        <w:t>万元封顶。</w:t>
      </w:r>
    </w:p>
    <w:p w:rsidR="0018722C">
      <w:pPr>
        <w:pStyle w:val="Heading2"/>
        <w:topLinePunct/>
        <w:ind w:left="171" w:hangingChars="171" w:hanging="171"/>
      </w:pPr>
      <w:bookmarkStart w:id="569927" w:name="_Toc686569927"/>
      <w:r>
        <w:t>2.4</w:t>
      </w:r>
      <w:r>
        <w:t xml:space="preserve"> </w:t>
      </w:r>
      <w:r w:rsidRPr="00DB64CE">
        <w:t>北京市医疗保险基金收支情况</w:t>
      </w:r>
      <w:bookmarkEnd w:id="569927"/>
    </w:p>
    <w:p w:rsidR="0018722C">
      <w:pPr>
        <w:pStyle w:val="Heading3"/>
        <w:topLinePunct/>
        <w:ind w:left="200" w:hangingChars="200" w:hanging="200"/>
      </w:pPr>
      <w:bookmarkStart w:id="569928" w:name="_Toc686569928"/>
      <w:r>
        <w:t>2.4.1</w:t>
      </w:r>
      <w:r>
        <w:t xml:space="preserve"> </w:t>
      </w:r>
      <w:r w:rsidRPr="00DB64CE">
        <w:t>城镇职工基本医疗保险基金收支情况</w:t>
      </w:r>
      <w:bookmarkEnd w:id="569928"/>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6</w:t>
      </w:r>
      <w:r>
        <w:t>反映了自</w:t>
      </w:r>
      <w:r>
        <w:rPr>
          <w:rFonts w:ascii="Times New Roman" w:eastAsia="Times New Roman"/>
        </w:rPr>
        <w:t>2007</w:t>
      </w:r>
      <w:r>
        <w:t>年以来北京市城镇职工基本医疗保险基金收入、支</w:t>
      </w:r>
    </w:p>
    <w:p w:rsidR="0018722C">
      <w:pPr>
        <w:topLinePunct/>
      </w:pPr>
      <w:r>
        <w:t>出、当期结余及累计结余的情况。截止</w:t>
      </w:r>
      <w:r>
        <w:rPr>
          <w:rFonts w:ascii="Times New Roman" w:eastAsia="Times New Roman"/>
        </w:rPr>
        <w:t>2012</w:t>
      </w:r>
      <w:r>
        <w:t>年年末，北京市城镇职工基本医疗</w:t>
      </w:r>
    </w:p>
    <w:p w:rsidR="0018722C">
      <w:pPr>
        <w:topLinePunct/>
      </w:pPr>
      <w:r>
        <w:t>保险统筹基金收入</w:t>
      </w:r>
      <w:r>
        <w:rPr>
          <w:rFonts w:ascii="Times New Roman" w:eastAsia="Times New Roman"/>
        </w:rPr>
        <w:t>506</w:t>
      </w:r>
      <w:r>
        <w:rPr>
          <w:rFonts w:ascii="Times New Roman" w:eastAsia="Times New Roman"/>
        </w:rPr>
        <w:t>.</w:t>
      </w:r>
      <w:r>
        <w:rPr>
          <w:rFonts w:ascii="Times New Roman" w:eastAsia="Times New Roman"/>
        </w:rPr>
        <w:t>9</w:t>
      </w:r>
      <w:r>
        <w:t>亿元，支出</w:t>
      </w:r>
      <w:r>
        <w:rPr>
          <w:rFonts w:ascii="Times New Roman" w:eastAsia="Times New Roman"/>
        </w:rPr>
        <w:t>500</w:t>
      </w:r>
      <w:r>
        <w:rPr>
          <w:rFonts w:ascii="Times New Roman" w:eastAsia="Times New Roman"/>
        </w:rPr>
        <w:t>.</w:t>
      </w:r>
      <w:r>
        <w:rPr>
          <w:rFonts w:ascii="Times New Roman" w:eastAsia="Times New Roman"/>
        </w:rPr>
        <w:t>4</w:t>
      </w:r>
      <w:r>
        <w:t>亿元，当年结余</w:t>
      </w:r>
      <w:r>
        <w:rPr>
          <w:rFonts w:ascii="Times New Roman" w:eastAsia="Times New Roman"/>
        </w:rPr>
        <w:t>6</w:t>
      </w:r>
      <w:r>
        <w:rPr>
          <w:rFonts w:ascii="Times New Roman" w:eastAsia="Times New Roman"/>
        </w:rPr>
        <w:t>.</w:t>
      </w:r>
      <w:r>
        <w:rPr>
          <w:rFonts w:ascii="Times New Roman" w:eastAsia="Times New Roman"/>
        </w:rPr>
        <w:t>5</w:t>
      </w:r>
      <w:r>
        <w:t>亿元，累计结余</w:t>
      </w:r>
    </w:p>
    <w:p w:rsidR="0018722C">
      <w:pPr>
        <w:topLinePunct/>
      </w:pPr>
      <w:r>
        <w:rPr>
          <w:rFonts w:ascii="Times New Roman" w:eastAsia="Times New Roman"/>
        </w:rPr>
        <w:t>189.4</w:t>
      </w: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 xml:space="preserve"> 2007-2012</w:t>
      </w:r>
      <w:r>
        <w:rPr>
          <w:rFonts w:cstheme="minorBidi" w:hAnsiTheme="minorHAnsi" w:eastAsiaTheme="minorHAnsi" w:asciiTheme="minorHAnsi"/>
        </w:rPr>
        <w:t>年北京市城镇职工基本医疗保险基金结余情况</w:t>
      </w:r>
      <w:hyperlink w:history="true" w:anchor="_bookmark18">
        <w:r>
          <w:rPr>
            <w:rFonts w:ascii="Times New Roman" w:eastAsia="Times New Roman" w:cstheme="minorBidi" w:hAnsiTheme="minorHAnsi"/>
          </w:rPr>
          <w:t>8</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155.1</w:t>
            </w:r>
          </w:p>
        </w:tc>
        <w:tc>
          <w:tcPr>
            <w:tcW w:w="1163" w:type="dxa"/>
          </w:tcPr>
          <w:p w:rsidR="0018722C">
            <w:pPr>
              <w:topLinePunct/>
              <w:ind w:leftChars="0" w:left="0" w:rightChars="0" w:right="0" w:firstLineChars="0" w:firstLine="0"/>
              <w:spacing w:line="240" w:lineRule="atLeast"/>
            </w:pPr>
            <w:r>
              <w:t>191.2</w:t>
            </w:r>
          </w:p>
        </w:tc>
        <w:tc>
          <w:tcPr>
            <w:tcW w:w="1163" w:type="dxa"/>
          </w:tcPr>
          <w:p w:rsidR="0018722C">
            <w:pPr>
              <w:topLinePunct/>
              <w:ind w:leftChars="0" w:left="0" w:rightChars="0" w:right="0" w:firstLineChars="0" w:firstLine="0"/>
              <w:spacing w:line="240" w:lineRule="atLeast"/>
            </w:pPr>
            <w:r>
              <w:t>237.9</w:t>
            </w:r>
          </w:p>
        </w:tc>
        <w:tc>
          <w:tcPr>
            <w:tcW w:w="1161" w:type="dxa"/>
          </w:tcPr>
          <w:p w:rsidR="0018722C">
            <w:pPr>
              <w:topLinePunct/>
              <w:ind w:leftChars="0" w:left="0" w:rightChars="0" w:right="0" w:firstLineChars="0" w:firstLine="0"/>
              <w:spacing w:line="240" w:lineRule="atLeast"/>
            </w:pPr>
            <w:r>
              <w:t>296.8</w:t>
            </w:r>
          </w:p>
        </w:tc>
        <w:tc>
          <w:tcPr>
            <w:tcW w:w="1159" w:type="dxa"/>
          </w:tcPr>
          <w:p w:rsidR="0018722C">
            <w:pPr>
              <w:topLinePunct/>
              <w:ind w:leftChars="0" w:left="0" w:rightChars="0" w:right="0" w:firstLineChars="0" w:firstLine="0"/>
              <w:spacing w:line="240" w:lineRule="atLeast"/>
            </w:pPr>
            <w:r>
              <w:t>375.3</w:t>
            </w:r>
          </w:p>
        </w:tc>
        <w:tc>
          <w:tcPr>
            <w:tcW w:w="1154" w:type="dxa"/>
          </w:tcPr>
          <w:p w:rsidR="0018722C">
            <w:pPr>
              <w:topLinePunct/>
              <w:ind w:leftChars="0" w:left="0" w:rightChars="0" w:right="0" w:firstLineChars="0" w:firstLine="0"/>
              <w:spacing w:line="240" w:lineRule="atLeast"/>
            </w:pPr>
            <w:r>
              <w:t>506.9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112.8</w:t>
            </w:r>
          </w:p>
        </w:tc>
        <w:tc>
          <w:tcPr>
            <w:tcW w:w="1163" w:type="dxa"/>
          </w:tcPr>
          <w:p w:rsidR="0018722C">
            <w:pPr>
              <w:topLinePunct/>
              <w:ind w:leftChars="0" w:left="0" w:rightChars="0" w:right="0" w:firstLineChars="0" w:firstLine="0"/>
              <w:spacing w:line="240" w:lineRule="atLeast"/>
            </w:pPr>
            <w:r>
              <w:t>133.1</w:t>
            </w:r>
          </w:p>
        </w:tc>
        <w:tc>
          <w:tcPr>
            <w:tcW w:w="1163" w:type="dxa"/>
          </w:tcPr>
          <w:p w:rsidR="0018722C">
            <w:pPr>
              <w:topLinePunct/>
              <w:ind w:leftChars="0" w:left="0" w:rightChars="0" w:right="0" w:firstLineChars="0" w:firstLine="0"/>
              <w:spacing w:line="240" w:lineRule="atLeast"/>
            </w:pPr>
            <w:r>
              <w:t>207.9</w:t>
            </w:r>
          </w:p>
        </w:tc>
        <w:tc>
          <w:tcPr>
            <w:tcW w:w="1161" w:type="dxa"/>
          </w:tcPr>
          <w:p w:rsidR="0018722C">
            <w:pPr>
              <w:topLinePunct/>
              <w:ind w:leftChars="0" w:left="0" w:rightChars="0" w:right="0" w:firstLineChars="0" w:firstLine="0"/>
              <w:spacing w:line="240" w:lineRule="atLeast"/>
            </w:pPr>
            <w:r>
              <w:t>285.7</w:t>
            </w:r>
          </w:p>
        </w:tc>
        <w:tc>
          <w:tcPr>
            <w:tcW w:w="1159" w:type="dxa"/>
          </w:tcPr>
          <w:p w:rsidR="0018722C">
            <w:pPr>
              <w:topLinePunct/>
              <w:ind w:leftChars="0" w:left="0" w:rightChars="0" w:right="0" w:firstLineChars="0" w:firstLine="0"/>
              <w:spacing w:line="240" w:lineRule="atLeast"/>
            </w:pPr>
            <w:r>
              <w:t>374.5</w:t>
            </w:r>
          </w:p>
        </w:tc>
        <w:tc>
          <w:tcPr>
            <w:tcW w:w="1154" w:type="dxa"/>
          </w:tcPr>
          <w:p w:rsidR="0018722C">
            <w:pPr>
              <w:topLinePunct/>
              <w:ind w:leftChars="0" w:left="0" w:rightChars="0" w:right="0" w:firstLineChars="0" w:firstLine="0"/>
              <w:spacing w:line="240" w:lineRule="atLeast"/>
            </w:pPr>
            <w:r>
              <w:t>500.4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42.3</w:t>
            </w:r>
          </w:p>
        </w:tc>
        <w:tc>
          <w:tcPr>
            <w:tcW w:w="1163" w:type="dxa"/>
          </w:tcPr>
          <w:p w:rsidR="0018722C">
            <w:pPr>
              <w:topLinePunct/>
              <w:ind w:leftChars="0" w:left="0" w:rightChars="0" w:right="0" w:firstLineChars="0" w:firstLine="0"/>
              <w:spacing w:line="240" w:lineRule="atLeast"/>
            </w:pPr>
            <w:r>
              <w:t>58.1</w:t>
            </w:r>
          </w:p>
        </w:tc>
        <w:tc>
          <w:tcPr>
            <w:tcW w:w="1163" w:type="dxa"/>
          </w:tcPr>
          <w:p w:rsidR="0018722C">
            <w:pPr>
              <w:topLinePunct/>
              <w:ind w:leftChars="0" w:left="0" w:rightChars="0" w:right="0" w:firstLineChars="0" w:firstLine="0"/>
              <w:spacing w:line="240" w:lineRule="atLeast"/>
            </w:pPr>
            <w:r>
              <w:t>30</w:t>
            </w:r>
          </w:p>
        </w:tc>
        <w:tc>
          <w:tcPr>
            <w:tcW w:w="1161" w:type="dxa"/>
          </w:tcPr>
          <w:p w:rsidR="0018722C">
            <w:pPr>
              <w:topLinePunct/>
              <w:ind w:leftChars="0" w:left="0" w:rightChars="0" w:right="0" w:firstLineChars="0" w:firstLine="0"/>
              <w:spacing w:line="240" w:lineRule="atLeast"/>
            </w:pPr>
            <w:r>
              <w:t>11.1</w:t>
            </w:r>
          </w:p>
        </w:tc>
        <w:tc>
          <w:tcPr>
            <w:tcW w:w="1159" w:type="dxa"/>
          </w:tcPr>
          <w:p w:rsidR="0018722C">
            <w:pPr>
              <w:topLinePunct/>
              <w:ind w:leftChars="0" w:left="0" w:rightChars="0" w:right="0" w:firstLineChars="0" w:firstLine="0"/>
              <w:spacing w:line="240" w:lineRule="atLeast"/>
            </w:pPr>
            <w:r>
              <w:t>0.8</w:t>
            </w:r>
          </w:p>
        </w:tc>
        <w:tc>
          <w:tcPr>
            <w:tcW w:w="1154" w:type="dxa"/>
          </w:tcPr>
          <w:p w:rsidR="0018722C">
            <w:pPr>
              <w:topLinePunct/>
              <w:ind w:leftChars="0" w:left="0" w:rightChars="0" w:right="0" w:firstLineChars="0" w:firstLine="0"/>
              <w:spacing w:line="240" w:lineRule="atLeast"/>
            </w:pPr>
            <w:r>
              <w:t>6.5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hyperlink w:history="true" w:anchor="_bookmark19">
              <w:r>
                <w:t>9</w:t>
              </w:r>
            </w:hyperlink>
            <w:r>
              <w:rPr>
                <w:rFonts w:ascii="宋体" w:eastAsia="宋体" w:hint="eastAsia"/>
                <w:rFonts w:ascii="宋体" w:eastAsia="宋体" w:hint="eastAsia"/>
              </w:rPr>
              <w:t>(</w:t>
            </w:r>
            <w:r>
              <w:t>%</w:t>
            </w:r>
            <w:r>
              <w:rPr>
                <w:rFonts w:ascii="宋体" w:eastAsia="宋体" w:hint="eastAsia"/>
                <w:rFonts w:ascii="宋体" w:eastAsia="宋体" w:hint="eastAsia"/>
              </w:rPr>
              <w:t>)</w:t>
            </w:r>
          </w:p>
        </w:tc>
        <w:tc>
          <w:tcPr>
            <w:tcW w:w="1163" w:type="dxa"/>
          </w:tcPr>
          <w:p w:rsidR="0018722C">
            <w:pPr>
              <w:topLinePunct/>
              <w:ind w:leftChars="0" w:left="0" w:rightChars="0" w:right="0" w:firstLineChars="0" w:firstLine="0"/>
              <w:spacing w:line="240" w:lineRule="atLeast"/>
            </w:pPr>
            <w:r>
              <w:t>27.27</w:t>
            </w:r>
          </w:p>
        </w:tc>
        <w:tc>
          <w:tcPr>
            <w:tcW w:w="1163" w:type="dxa"/>
          </w:tcPr>
          <w:p w:rsidR="0018722C">
            <w:pPr>
              <w:topLinePunct/>
              <w:ind w:leftChars="0" w:left="0" w:rightChars="0" w:right="0" w:firstLineChars="0" w:firstLine="0"/>
              <w:spacing w:line="240" w:lineRule="atLeast"/>
            </w:pPr>
            <w:r>
              <w:t>30.39</w:t>
            </w:r>
          </w:p>
        </w:tc>
        <w:tc>
          <w:tcPr>
            <w:tcW w:w="1163" w:type="dxa"/>
          </w:tcPr>
          <w:p w:rsidR="0018722C">
            <w:pPr>
              <w:topLinePunct/>
              <w:ind w:leftChars="0" w:left="0" w:rightChars="0" w:right="0" w:firstLineChars="0" w:firstLine="0"/>
              <w:spacing w:line="240" w:lineRule="atLeast"/>
            </w:pPr>
            <w:r>
              <w:t>12.61</w:t>
            </w:r>
          </w:p>
        </w:tc>
        <w:tc>
          <w:tcPr>
            <w:tcW w:w="1161" w:type="dxa"/>
          </w:tcPr>
          <w:p w:rsidR="0018722C">
            <w:pPr>
              <w:topLinePunct/>
              <w:ind w:leftChars="0" w:left="0" w:rightChars="0" w:right="0" w:firstLineChars="0" w:firstLine="0"/>
              <w:spacing w:line="240" w:lineRule="atLeast"/>
            </w:pPr>
            <w:r>
              <w:t>3.74</w:t>
            </w:r>
          </w:p>
        </w:tc>
        <w:tc>
          <w:tcPr>
            <w:tcW w:w="1159" w:type="dxa"/>
          </w:tcPr>
          <w:p w:rsidR="0018722C">
            <w:pPr>
              <w:topLinePunct/>
              <w:ind w:leftChars="0" w:left="0" w:rightChars="0" w:right="0" w:firstLineChars="0" w:firstLine="0"/>
              <w:spacing w:line="240" w:lineRule="atLeast"/>
            </w:pPr>
            <w:r>
              <w:t>0.21</w:t>
            </w:r>
          </w:p>
        </w:tc>
        <w:tc>
          <w:tcPr>
            <w:tcW w:w="1154" w:type="dxa"/>
          </w:tcPr>
          <w:p w:rsidR="0018722C">
            <w:pPr>
              <w:topLinePunct/>
              <w:ind w:leftChars="0" w:left="0" w:rightChars="0" w:right="0" w:firstLineChars="0" w:firstLine="0"/>
              <w:spacing w:line="240" w:lineRule="atLeast"/>
            </w:pPr>
            <w:r>
              <w:t>1.28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129.2</w:t>
            </w:r>
          </w:p>
        </w:tc>
        <w:tc>
          <w:tcPr>
            <w:tcW w:w="1163" w:type="dxa"/>
          </w:tcPr>
          <w:p w:rsidR="0018722C">
            <w:pPr>
              <w:topLinePunct/>
              <w:ind w:leftChars="0" w:left="0" w:rightChars="0" w:right="0" w:firstLineChars="0" w:firstLine="0"/>
              <w:spacing w:line="240" w:lineRule="atLeast"/>
            </w:pPr>
            <w:r>
              <w:t>191.1</w:t>
            </w:r>
          </w:p>
        </w:tc>
        <w:tc>
          <w:tcPr>
            <w:tcW w:w="1163" w:type="dxa"/>
          </w:tcPr>
          <w:p w:rsidR="0018722C">
            <w:pPr>
              <w:topLinePunct/>
              <w:ind w:leftChars="0" w:left="0" w:rightChars="0" w:right="0" w:firstLineChars="0" w:firstLine="0"/>
              <w:spacing w:line="240" w:lineRule="atLeast"/>
            </w:pPr>
            <w:r>
              <w:t>180.5</w:t>
            </w:r>
          </w:p>
        </w:tc>
        <w:tc>
          <w:tcPr>
            <w:tcW w:w="1161" w:type="dxa"/>
          </w:tcPr>
          <w:p w:rsidR="0018722C">
            <w:pPr>
              <w:topLinePunct/>
              <w:ind w:leftChars="0" w:left="0" w:rightChars="0" w:right="0" w:firstLineChars="0" w:firstLine="0"/>
              <w:spacing w:line="240" w:lineRule="atLeast"/>
            </w:pPr>
            <w:r>
              <w:t>191.6</w:t>
            </w:r>
          </w:p>
        </w:tc>
        <w:tc>
          <w:tcPr>
            <w:tcW w:w="1159" w:type="dxa"/>
          </w:tcPr>
          <w:p w:rsidR="0018722C">
            <w:pPr>
              <w:topLinePunct/>
              <w:ind w:leftChars="0" w:left="0" w:rightChars="0" w:right="0" w:firstLineChars="0" w:firstLine="0"/>
              <w:spacing w:line="240" w:lineRule="atLeast"/>
            </w:pPr>
            <w:r>
              <w:t>192.4</w:t>
            </w:r>
          </w:p>
        </w:tc>
        <w:tc>
          <w:tcPr>
            <w:tcW w:w="1154" w:type="dxa"/>
          </w:tcPr>
          <w:p w:rsidR="0018722C">
            <w:pPr>
              <w:topLinePunct/>
              <w:ind w:leftChars="0" w:left="0" w:rightChars="0" w:right="0" w:firstLineChars="0" w:firstLine="0"/>
              <w:spacing w:line="240" w:lineRule="atLeast"/>
            </w:pPr>
            <w:r>
              <w:t>189.4</w:t>
            </w:r>
          </w:p>
        </w:tc>
      </w:tr>
      <w:tr>
        <w:trPr>
          <w:trHeight w:val="300" w:hRule="atLeast"/>
        </w:trPr>
        <w:tc>
          <w:tcPr>
            <w:tcW w:w="1954" w:type="dxa"/>
          </w:tcPr>
          <w:p w:rsidR="0018722C">
            <w:pPr>
              <w:topLinePunct/>
              <w:ind w:leftChars="0" w:left="0" w:rightChars="0" w:right="0" w:firstLineChars="0" w:firstLine="0"/>
            </w:pPr>
            <w:r>
              <w:rPr>
                <w:rFonts w:ascii="宋体" w:eastAsia="宋体" w:hint="eastAsia"/>
              </w:rPr>
              <w:t>累计结余率</w:t>
            </w:r>
            <w:hyperlink w:history="true" w:anchor="_bookmark20">
              <w:r>
                <w:t>10</w:t>
              </w:r>
            </w:hyperlink>
            <w:r>
              <w:rPr>
                <w:rFonts w:ascii="宋体" w:eastAsia="宋体" w:hint="eastAsia"/>
                <w:rFonts w:ascii="宋体" w:eastAsia="宋体" w:hint="eastAsia"/>
                <w:spacing w:line="240" w:lineRule="atLeast"/>
              </w:rPr>
              <w:t>(</w:t>
            </w:r>
            <w:r>
              <w:t>%</w:t>
            </w:r>
            <w:r>
              <w:rPr>
                <w:rFonts w:ascii="宋体" w:eastAsia="宋体" w:hint="eastAsia"/>
                <w:rFonts w:ascii="宋体" w:eastAsia="宋体" w:hint="eastAsia"/>
                <w:spacing w:val="-2"/>
              </w:rPr>
              <w:t>)</w:t>
            </w:r>
          </w:p>
        </w:tc>
        <w:tc>
          <w:tcPr>
            <w:tcW w:w="1163" w:type="dxa"/>
          </w:tcPr>
          <w:p w:rsidR="0018722C">
            <w:pPr>
              <w:topLinePunct/>
              <w:ind w:leftChars="0" w:left="0" w:rightChars="0" w:right="0" w:firstLineChars="0" w:firstLine="0"/>
              <w:spacing w:line="240" w:lineRule="atLeast"/>
            </w:pPr>
            <w:r>
              <w:t>114.54</w:t>
            </w:r>
          </w:p>
        </w:tc>
        <w:tc>
          <w:tcPr>
            <w:tcW w:w="1163" w:type="dxa"/>
          </w:tcPr>
          <w:p w:rsidR="0018722C">
            <w:pPr>
              <w:topLinePunct/>
              <w:ind w:leftChars="0" w:left="0" w:rightChars="0" w:right="0" w:firstLineChars="0" w:firstLine="0"/>
              <w:spacing w:line="240" w:lineRule="atLeast"/>
            </w:pPr>
            <w:r>
              <w:t>143.58</w:t>
            </w:r>
          </w:p>
        </w:tc>
        <w:tc>
          <w:tcPr>
            <w:tcW w:w="1163" w:type="dxa"/>
          </w:tcPr>
          <w:p w:rsidR="0018722C">
            <w:pPr>
              <w:topLinePunct/>
              <w:ind w:leftChars="0" w:left="0" w:rightChars="0" w:right="0" w:firstLineChars="0" w:firstLine="0"/>
              <w:spacing w:line="240" w:lineRule="atLeast"/>
            </w:pPr>
            <w:r>
              <w:t>86.82</w:t>
            </w:r>
          </w:p>
        </w:tc>
        <w:tc>
          <w:tcPr>
            <w:tcW w:w="1161" w:type="dxa"/>
          </w:tcPr>
          <w:p w:rsidR="0018722C">
            <w:pPr>
              <w:topLinePunct/>
              <w:ind w:leftChars="0" w:left="0" w:rightChars="0" w:right="0" w:firstLineChars="0" w:firstLine="0"/>
              <w:spacing w:line="240" w:lineRule="atLeast"/>
            </w:pPr>
            <w:r>
              <w:t>67.06</w:t>
            </w:r>
          </w:p>
        </w:tc>
        <w:tc>
          <w:tcPr>
            <w:tcW w:w="1159" w:type="dxa"/>
          </w:tcPr>
          <w:p w:rsidR="0018722C">
            <w:pPr>
              <w:topLinePunct/>
              <w:ind w:leftChars="0" w:left="0" w:rightChars="0" w:right="0" w:firstLineChars="0" w:firstLine="0"/>
              <w:spacing w:line="240" w:lineRule="atLeast"/>
            </w:pPr>
            <w:r>
              <w:t>51.38</w:t>
            </w:r>
          </w:p>
        </w:tc>
        <w:tc>
          <w:tcPr>
            <w:tcW w:w="1154" w:type="dxa"/>
          </w:tcPr>
          <w:p w:rsidR="0018722C">
            <w:pPr>
              <w:topLinePunct/>
              <w:ind w:leftChars="0" w:left="0" w:rightChars="0" w:right="0" w:firstLineChars="0" w:firstLine="0"/>
              <w:spacing w:line="240" w:lineRule="atLeast"/>
            </w:pPr>
            <w:r>
              <w:t>37.85</w:t>
            </w:r>
          </w:p>
        </w:tc>
      </w:tr>
    </w:tbl>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26" w:lineRule="exact" w:before="0"/>
        <w:ind w:leftChars="0" w:left="420" w:rightChars="0" w:right="0" w:firstLineChars="0" w:firstLine="0"/>
        <w:jc w:val="both"/>
        <w:rPr>
          <w:sz w:val="18"/>
        </w:rPr>
      </w:pPr>
      <w:r>
        <w:rPr>
          <w:rFonts w:ascii="Times New Roman" w:eastAsia="Times New Roman"/>
          <w:position w:val="6"/>
          <w:sz w:val="11"/>
        </w:rPr>
        <w:t>7   </w:t>
      </w:r>
      <w:r>
        <w:rPr>
          <w:sz w:val="18"/>
        </w:rPr>
        <w:t>数据来源：中国统计年鉴</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数据来源：本人根据中国统计年鉴数据整理所得</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当年结余率</w:t>
      </w:r>
      <w:r>
        <w:rPr>
          <w:rFonts w:ascii="Times New Roman" w:eastAsia="Times New Roman" w:cstheme="minorBidi" w:hAnsiTheme="minorHAnsi"/>
        </w:rPr>
        <w:t>=</w:t>
      </w:r>
      <w:r>
        <w:rPr>
          <w:rFonts w:cstheme="minorBidi" w:hAnsiTheme="minorHAnsi" w:eastAsiaTheme="minorHAnsi" w:asciiTheme="minorHAnsi"/>
        </w:rPr>
        <w:t>当年结余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累计结余率</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cstheme="minorBidi" w:hAnsiTheme="minorHAnsi" w:eastAsiaTheme="minorHAnsi" w:asciiTheme="minorHAnsi"/>
        </w:rPr>
        <w:t>基金收入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widowControl w:val="0"/>
              <w:snapToGrid w:val="1"/>
              <w:spacing w:beforeLines="0" w:afterLines="0" w:after="0" w:line="267" w:lineRule="exact" w:before="0"/>
              <w:ind w:firstLineChars="0" w:firstLine="0" w:leftChars="0" w:left="106" w:rightChars="0" w:right="-15"/>
              <w:jc w:val="left"/>
              <w:autoSpaceDE w:val="0"/>
              <w:autoSpaceDN w:val="0"/>
              <w:pBdr>
                <w:bottom w:val="none" w:sz="0" w:space="0" w:color="auto"/>
              </w:pBdr>
              <w:rPr>
                <w:kern w:val="2"/>
                <w:sz w:val="22"/>
                <w:szCs w:val="22"/>
                <w:rFonts w:cstheme="minorBidi" w:ascii="宋体" w:hAnsi="Times New Roman" w:eastAsia="宋体" w:cs="Times New Roman" w:hint="eastAsia"/>
              </w:rPr>
            </w:pPr>
            <w:bookmarkStart w:name="_bookmark21" w:id="12"/>
            <w:bookmarkEnd w:id="12"/>
            <w:r>
              <w:rPr>
                <w:kern w:val="2"/>
                <w:szCs w:val="22"/>
                <w:rFonts w:ascii="宋体" w:eastAsia="宋体" w:hint="eastAsia" w:cstheme="minorBidi" w:hAnsi="Times New Roman" w:cs="Times New Roman"/>
                <w:spacing w:val="-2"/>
                <w:w w:val="100"/>
                <w:sz w:val="22"/>
              </w:rPr>
              <w:t>可支付月数</w:t>
            </w:r>
            <w:hyperlink w:history="true" w:anchor="_bookmark22">
              <w:r>
                <w:rPr>
                  <w:kern w:val="2"/>
                  <w:szCs w:val="22"/>
                  <w:rFonts w:cstheme="minorBidi" w:ascii="Times New Roman" w:hAnsi="Times New Roman" w:eastAsia="Times New Roman" w:cs="Times New Roman"/>
                  <w:spacing w:val="0"/>
                  <w:w w:val="101"/>
                  <w:position w:val="7"/>
                  <w:sz w:val="14"/>
                </w:rPr>
                <w:t>1</w:t>
              </w:r>
              <w:r>
                <w:rPr>
                  <w:kern w:val="2"/>
                  <w:szCs w:val="22"/>
                  <w:rFonts w:cstheme="minorBidi" w:ascii="Times New Roman" w:hAnsi="Times New Roman" w:eastAsia="Times New Roman" w:cs="Times New Roman"/>
                  <w:spacing w:val="-57"/>
                  <w:w w:val="101"/>
                  <w:position w:val="7"/>
                  <w:sz w:val="14"/>
                </w:rPr>
                <w:t>1</w:t>
              </w:r>
            </w:hyperlink>
            <w:r>
              <w:rPr>
                <w:kern w:val="2"/>
                <w:szCs w:val="22"/>
                <w:rFonts w:ascii="宋体" w:eastAsia="宋体" w:hint="eastAsia" w:cstheme="minorBidi" w:hAnsi="Times New Roman" w:cs="Times New Roman"/>
                <w:spacing w:val="-1"/>
                <w:w w:val="100"/>
                <w:sz w:val="22"/>
              </w:rPr>
              <w:t>（月</w:t>
            </w:r>
            <w:r>
              <w:rPr>
                <w:kern w:val="2"/>
                <w:szCs w:val="22"/>
                <w:rFonts w:ascii="宋体" w:eastAsia="宋体" w:hint="eastAsia" w:cstheme="minorBidi" w:hAnsi="Times New Roman" w:cs="Times New Roman"/>
                <w:w w:val="100"/>
                <w:sz w:val="22"/>
              </w:rPr>
              <w:t>）</w:t>
            </w:r>
          </w:p>
        </w:tc>
        <w:tc>
          <w:tcPr>
            <w:tcW w:w="1163" w:type="dxa"/>
          </w:tcPr>
          <w:p w:rsidR="0018722C">
            <w:pPr>
              <w:widowControl w:val="0"/>
              <w:snapToGrid w:val="1"/>
              <w:spacing w:beforeLines="0" w:afterLines="0" w:lineRule="auto" w:line="240" w:after="0" w:before="28"/>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13.74</w:t>
            </w:r>
          </w:p>
        </w:tc>
        <w:tc>
          <w:tcPr>
            <w:tcW w:w="1163" w:type="dxa"/>
          </w:tcPr>
          <w:p w:rsidR="0018722C">
            <w:pPr>
              <w:widowControl w:val="0"/>
              <w:snapToGrid w:val="1"/>
              <w:spacing w:beforeLines="0" w:afterLines="0" w:lineRule="auto" w:line="240" w:after="0" w:before="28"/>
              <w:ind w:firstLineChars="0" w:firstLine="0" w:rightChars="0" w:right="0" w:leftChars="0" w:left="33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w:t>
            </w:r>
          </w:p>
        </w:tc>
        <w:tc>
          <w:tcPr>
            <w:tcW w:w="1163" w:type="dxa"/>
          </w:tcPr>
          <w:p w:rsidR="0018722C">
            <w:pPr>
              <w:widowControl w:val="0"/>
              <w:snapToGrid w:val="1"/>
              <w:spacing w:beforeLines="0" w:afterLines="0" w:lineRule="auto" w:line="240" w:after="0" w:before="28"/>
              <w:ind w:firstLineChars="0" w:firstLine="0" w:rightChars="0" w:right="0" w:leftChars="0" w:left="33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10.42</w:t>
            </w:r>
          </w:p>
        </w:tc>
        <w:tc>
          <w:tcPr>
            <w:tcW w:w="1161" w:type="dxa"/>
          </w:tcPr>
          <w:p w:rsidR="0018722C">
            <w:pPr>
              <w:widowControl w:val="0"/>
              <w:snapToGrid w:val="1"/>
              <w:spacing w:beforeLines="0" w:afterLines="0" w:lineRule="auto" w:line="240" w:after="0" w:before="28"/>
              <w:ind w:firstLineChars="0" w:firstLine="0" w:rightChars="0" w:right="0" w:leftChars="0" w:left="38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8.05</w:t>
            </w:r>
          </w:p>
        </w:tc>
        <w:tc>
          <w:tcPr>
            <w:tcW w:w="1159" w:type="dxa"/>
          </w:tcPr>
          <w:p w:rsidR="0018722C">
            <w:pPr>
              <w:widowControl w:val="0"/>
              <w:snapToGrid w:val="1"/>
              <w:spacing w:beforeLines="0" w:afterLines="0" w:lineRule="auto" w:line="240" w:after="0" w:before="28"/>
              <w:ind w:firstLineChars="0" w:firstLine="0" w:rightChars="0" w:right="0" w:leftChars="0" w:left="3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6.17</w:t>
            </w:r>
          </w:p>
        </w:tc>
        <w:tc>
          <w:tcPr>
            <w:tcW w:w="1154" w:type="dxa"/>
          </w:tcPr>
          <w:p w:rsidR="0018722C">
            <w:pPr>
              <w:widowControl w:val="0"/>
              <w:snapToGrid w:val="1"/>
              <w:spacing w:beforeLines="0" w:afterLines="0" w:lineRule="auto" w:line="240" w:after="0" w:before="28"/>
              <w:ind w:firstLineChars="0" w:firstLine="0" w:rightChars="0" w:right="0" w:leftChars="0" w:left="38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4.54</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1</w:t>
      </w:r>
      <w:r>
        <w:t>可以看出，自</w:t>
      </w:r>
      <w:r>
        <w:rPr>
          <w:rFonts w:ascii="Times New Roman" w:eastAsia="宋体"/>
        </w:rPr>
        <w:t>2007</w:t>
      </w:r>
      <w:r>
        <w:t>年以来，基金收入逐年稳步上升，同时，基</w:t>
      </w:r>
      <w:r>
        <w:t>金支出也呈现出逐年增加的趋势。而且，基金支出的增长速度大于基金收入的增</w:t>
      </w:r>
      <w:r>
        <w:t>长速度，当年结余率从</w:t>
      </w:r>
      <w:r>
        <w:rPr>
          <w:rFonts w:ascii="Times New Roman" w:eastAsia="宋体"/>
        </w:rPr>
        <w:t>2007</w:t>
      </w:r>
      <w:r>
        <w:t>年的</w:t>
      </w:r>
      <w:r>
        <w:rPr>
          <w:rFonts w:ascii="Times New Roman" w:eastAsia="宋体"/>
        </w:rPr>
        <w:t>27</w:t>
      </w:r>
      <w:r>
        <w:rPr>
          <w:rFonts w:ascii="Times New Roman" w:eastAsia="宋体"/>
        </w:rPr>
        <w:t>.</w:t>
      </w:r>
      <w:r>
        <w:rPr>
          <w:rFonts w:ascii="Times New Roman" w:eastAsia="宋体"/>
        </w:rPr>
        <w:t>27%</w:t>
      </w:r>
      <w:r>
        <w:t>降到</w:t>
      </w:r>
      <w:r>
        <w:rPr>
          <w:rFonts w:ascii="Times New Roman" w:eastAsia="宋体"/>
        </w:rPr>
        <w:t>2011</w:t>
      </w:r>
      <w:r>
        <w:t>年的</w:t>
      </w:r>
      <w:r>
        <w:rPr>
          <w:rFonts w:ascii="Times New Roman" w:eastAsia="宋体"/>
        </w:rPr>
        <w:t>0</w:t>
      </w:r>
      <w:r>
        <w:rPr>
          <w:rFonts w:ascii="Times New Roman" w:eastAsia="宋体"/>
        </w:rPr>
        <w:t>.</w:t>
      </w:r>
      <w:r>
        <w:rPr>
          <w:rFonts w:ascii="Times New Roman" w:eastAsia="宋体"/>
        </w:rPr>
        <w:t>21%</w:t>
      </w:r>
      <w:r>
        <w:t>，</w:t>
      </w:r>
      <w:r>
        <w:rPr>
          <w:rFonts w:ascii="Times New Roman" w:eastAsia="宋体"/>
        </w:rPr>
        <w:t>2012</w:t>
      </w:r>
      <w:r>
        <w:t>年略有上</w:t>
      </w:r>
      <w:r>
        <w:t>升。累计结余率在</w:t>
      </w:r>
      <w:r>
        <w:rPr>
          <w:rFonts w:ascii="Times New Roman" w:eastAsia="宋体"/>
        </w:rPr>
        <w:t>2008</w:t>
      </w:r>
      <w:r>
        <w:t>年出现高峰，为</w:t>
      </w:r>
      <w:r>
        <w:rPr>
          <w:rFonts w:ascii="Times New Roman" w:eastAsia="宋体"/>
        </w:rPr>
        <w:t>143</w:t>
      </w:r>
      <w:r>
        <w:rPr>
          <w:rFonts w:ascii="Times New Roman" w:eastAsia="宋体"/>
        </w:rPr>
        <w:t>.</w:t>
      </w:r>
      <w:r>
        <w:rPr>
          <w:rFonts w:ascii="Times New Roman" w:eastAsia="宋体"/>
        </w:rPr>
        <w:t>58%</w:t>
      </w:r>
      <w:r>
        <w:t>，可支付月数高达</w:t>
      </w:r>
      <w:r>
        <w:rPr>
          <w:rFonts w:ascii="Times New Roman" w:eastAsia="宋体"/>
        </w:rPr>
        <w:t>17</w:t>
      </w:r>
      <w:r>
        <w:rPr>
          <w:rFonts w:ascii="Times New Roman" w:eastAsia="宋体"/>
        </w:rPr>
        <w:t>.</w:t>
      </w:r>
      <w:r>
        <w:rPr>
          <w:rFonts w:ascii="Times New Roman" w:eastAsia="宋体"/>
        </w:rPr>
        <w:t>23</w:t>
      </w:r>
      <w:r>
        <w:t>，远远</w:t>
      </w:r>
      <w:r>
        <w:t>高于我国人力资源与社会保障部</w:t>
      </w:r>
      <w:r>
        <w:rPr>
          <w:rFonts w:ascii="Times New Roman" w:eastAsia="宋体"/>
        </w:rPr>
        <w:t>2009</w:t>
      </w:r>
      <w:r>
        <w:t>年</w:t>
      </w:r>
      <w:r>
        <w:rPr>
          <w:rFonts w:ascii="Times New Roman" w:eastAsia="宋体"/>
        </w:rPr>
        <w:t>67</w:t>
      </w:r>
      <w:r>
        <w:t>号文件规定的</w:t>
      </w:r>
      <w:r>
        <w:rPr>
          <w:rFonts w:ascii="Times New Roman" w:eastAsia="宋体"/>
        </w:rPr>
        <w:t>6</w:t>
      </w:r>
      <w:r>
        <w:t>至</w:t>
      </w:r>
      <w:r>
        <w:rPr>
          <w:rFonts w:ascii="Times New Roman" w:eastAsia="宋体"/>
        </w:rPr>
        <w:t>9</w:t>
      </w:r>
      <w:r>
        <w:t>个月平均支付水</w:t>
      </w:r>
      <w:r>
        <w:t>平，之后逐年递减，直到</w:t>
      </w:r>
      <w:r>
        <w:rPr>
          <w:rFonts w:ascii="Times New Roman" w:eastAsia="宋体"/>
        </w:rPr>
        <w:t>2010</w:t>
      </w:r>
      <w:r>
        <w:t>年达到</w:t>
      </w:r>
      <w:r>
        <w:rPr>
          <w:rFonts w:ascii="Times New Roman" w:eastAsia="宋体"/>
        </w:rPr>
        <w:t>9</w:t>
      </w:r>
      <w:r>
        <w:t>个月之下。总体看来，近三年来，北京市城镇职工医疗保险统筹基金以从过去的结余过多的状态中调整了过来。</w:t>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年北京市城镇职工基本医疗保险基金结余情况</w:t>
      </w:r>
    </w:p>
    <w:p w:rsidR="0018722C">
      <w:pPr>
        <w:pStyle w:val="Heading3"/>
        <w:topLinePunct/>
        <w:ind w:left="200" w:hangingChars="200" w:hanging="200"/>
      </w:pPr>
      <w:bookmarkStart w:id="569929" w:name="_Toc686569929"/>
      <w:r>
        <w:t>2.4.2</w:t>
      </w:r>
      <w:r>
        <w:t xml:space="preserve"> </w:t>
      </w:r>
      <w:r>
        <w:t>新型农村合作医疗基金筹资情况</w:t>
      </w:r>
      <w:bookmarkEnd w:id="569929"/>
    </w:p>
    <w:p w:rsidR="0018722C">
      <w:pPr>
        <w:topLinePunct/>
      </w:pPr>
      <w:r>
        <w:t>从下</w:t>
      </w:r>
      <w:r>
        <w:t>表</w:t>
      </w:r>
      <w:r>
        <w:rPr>
          <w:rFonts w:ascii="Times New Roman" w:eastAsia="Times New Roman"/>
        </w:rPr>
        <w:t>2</w:t>
      </w:r>
      <w:r>
        <w:rPr>
          <w:rFonts w:ascii="Times New Roman" w:eastAsia="Times New Roman"/>
        </w:rPr>
        <w:t>.</w:t>
      </w:r>
      <w:r>
        <w:rPr>
          <w:rFonts w:ascii="Times New Roman" w:eastAsia="Times New Roman"/>
        </w:rPr>
        <w:t>7</w:t>
      </w:r>
      <w:r>
        <w:t>可以看出，自</w:t>
      </w:r>
      <w:r>
        <w:rPr>
          <w:rFonts w:ascii="Times New Roman" w:eastAsia="Times New Roman"/>
        </w:rPr>
        <w:t>2007</w:t>
      </w:r>
      <w:r>
        <w:t>年到</w:t>
      </w:r>
      <w:r>
        <w:rPr>
          <w:rFonts w:ascii="Times New Roman" w:eastAsia="Times New Roman"/>
        </w:rPr>
        <w:t>2012</w:t>
      </w:r>
      <w:r>
        <w:t>年，北京市新型农村合作医疗筹资</w:t>
      </w:r>
      <w:r>
        <w:t>额逐年递增，参合农民人均筹资水平由</w:t>
      </w:r>
      <w:r>
        <w:rPr>
          <w:rFonts w:ascii="Times New Roman" w:eastAsia="Times New Roman"/>
        </w:rPr>
        <w:t>237</w:t>
      </w:r>
      <w:r>
        <w:t>元增加到</w:t>
      </w:r>
      <w:r>
        <w:rPr>
          <w:rFonts w:ascii="Times New Roman" w:eastAsia="Times New Roman"/>
        </w:rPr>
        <w:t>707</w:t>
      </w:r>
      <w:r>
        <w:t>元，增长了</w:t>
      </w:r>
      <w:r>
        <w:rPr>
          <w:rFonts w:ascii="Times New Roman" w:eastAsia="Times New Roman"/>
        </w:rPr>
        <w:t>3</w:t>
      </w:r>
      <w:r>
        <w:t>倍多。总</w:t>
      </w:r>
      <w:r>
        <w:t>筹资额从</w:t>
      </w:r>
      <w:r>
        <w:rPr>
          <w:rFonts w:ascii="Times New Roman" w:eastAsia="Times New Roman"/>
        </w:rPr>
        <w:t>6</w:t>
      </w:r>
      <w:r>
        <w:rPr>
          <w:rFonts w:ascii="Times New Roman" w:eastAsia="Times New Roman"/>
        </w:rPr>
        <w:t>.</w:t>
      </w:r>
      <w:r>
        <w:rPr>
          <w:rFonts w:ascii="Times New Roman" w:eastAsia="Times New Roman"/>
        </w:rPr>
        <w:t>37</w:t>
      </w:r>
      <w:r>
        <w:t>亿元上升到</w:t>
      </w:r>
      <w:r>
        <w:rPr>
          <w:rFonts w:ascii="Times New Roman" w:eastAsia="Times New Roman"/>
        </w:rPr>
        <w:t>18</w:t>
      </w:r>
      <w:r>
        <w:rPr>
          <w:rFonts w:ascii="Times New Roman" w:eastAsia="Times New Roman"/>
        </w:rPr>
        <w:t>.</w:t>
      </w:r>
      <w:r>
        <w:rPr>
          <w:rFonts w:ascii="Times New Roman" w:eastAsia="Times New Roman"/>
        </w:rPr>
        <w:t>91</w:t>
      </w:r>
      <w:r>
        <w:t>亿元，增长了近</w:t>
      </w:r>
      <w:r>
        <w:rPr>
          <w:rFonts w:ascii="Times New Roman" w:eastAsia="Times New Roman"/>
        </w:rPr>
        <w:t>3</w:t>
      </w:r>
      <w:r>
        <w:t>倍。新型农村合作医疗补偿受</w:t>
      </w:r>
      <w:r>
        <w:t>益人次由</w:t>
      </w:r>
      <w:r>
        <w:rPr>
          <w:rFonts w:ascii="Times New Roman" w:eastAsia="Times New Roman"/>
        </w:rPr>
        <w:t>200</w:t>
      </w:r>
      <w:r>
        <w:rPr>
          <w:rFonts w:ascii="Times New Roman" w:eastAsia="Times New Roman"/>
        </w:rPr>
        <w:t>.</w:t>
      </w:r>
      <w:r>
        <w:rPr>
          <w:rFonts w:ascii="Times New Roman" w:eastAsia="Times New Roman"/>
        </w:rPr>
        <w:t>52</w:t>
      </w:r>
      <w:r>
        <w:t>万人次增加到</w:t>
      </w:r>
      <w:r>
        <w:rPr>
          <w:rFonts w:ascii="Times New Roman" w:eastAsia="Times New Roman"/>
        </w:rPr>
        <w:t>566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w:t>
      </w:r>
      <w:r>
        <w:t>万人次。</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 xml:space="preserve"> 2007-2012</w:t>
      </w:r>
      <w:r>
        <w:rPr>
          <w:rFonts w:cstheme="minorBidi" w:hAnsiTheme="minorHAnsi" w:eastAsiaTheme="minorHAnsi" w:asciiTheme="minorHAnsi"/>
        </w:rPr>
        <w:t>年北京市新型农村合作医疗运行情况</w:t>
      </w:r>
      <w:hyperlink w:history="true" w:anchor="_bookmark23">
        <w:r>
          <w:rPr>
            <w:rFonts w:ascii="Times New Roman" w:eastAsia="Times New Roman" w:cstheme="minorBidi" w:hAnsiTheme="minorHAnsi"/>
          </w:rPr>
          <w:t>12</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6"/>
        <w:gridCol w:w="1020"/>
        <w:gridCol w:w="1020"/>
        <w:gridCol w:w="1020"/>
        <w:gridCol w:w="1020"/>
        <w:gridCol w:w="1020"/>
        <w:gridCol w:w="1020"/>
      </w:tblGrid>
      <w:tr>
        <w:trPr>
          <w:trHeight w:val="300" w:hRule="atLeast"/>
        </w:trPr>
        <w:tc>
          <w:tcPr>
            <w:tcW w:w="2636" w:type="dxa"/>
          </w:tcPr>
          <w:p w:rsidR="0018722C">
            <w:pPr>
              <w:topLinePunct/>
              <w:ind w:leftChars="0" w:left="0" w:rightChars="0" w:right="0" w:firstLineChars="0" w:firstLine="0"/>
              <w:spacing w:line="240" w:lineRule="atLeast"/>
            </w:pPr>
          </w:p>
        </w:tc>
        <w:tc>
          <w:tcPr>
            <w:tcW w:w="1020" w:type="dxa"/>
          </w:tcPr>
          <w:p w:rsidR="0018722C">
            <w:pPr>
              <w:topLinePunct/>
              <w:ind w:leftChars="0" w:left="0" w:rightChars="0" w:right="0" w:firstLineChars="0" w:firstLine="0"/>
              <w:spacing w:line="240" w:lineRule="atLeast"/>
            </w:pPr>
            <w:r>
              <w:t>2007</w:t>
            </w:r>
          </w:p>
        </w:tc>
        <w:tc>
          <w:tcPr>
            <w:tcW w:w="1020" w:type="dxa"/>
          </w:tcPr>
          <w:p w:rsidR="0018722C">
            <w:pPr>
              <w:topLinePunct/>
              <w:ind w:leftChars="0" w:left="0" w:rightChars="0" w:right="0" w:firstLineChars="0" w:firstLine="0"/>
              <w:spacing w:line="240" w:lineRule="atLeast"/>
            </w:pPr>
            <w:r>
              <w:t>2008</w:t>
            </w:r>
          </w:p>
        </w:tc>
        <w:tc>
          <w:tcPr>
            <w:tcW w:w="1020" w:type="dxa"/>
          </w:tcPr>
          <w:p w:rsidR="0018722C">
            <w:pPr>
              <w:topLinePunct/>
              <w:ind w:leftChars="0" w:left="0" w:rightChars="0" w:right="0" w:firstLineChars="0" w:firstLine="0"/>
              <w:spacing w:line="240" w:lineRule="atLeast"/>
            </w:pPr>
            <w:r>
              <w:t>2009</w:t>
            </w:r>
          </w:p>
        </w:tc>
        <w:tc>
          <w:tcPr>
            <w:tcW w:w="1020" w:type="dxa"/>
          </w:tcPr>
          <w:p w:rsidR="0018722C">
            <w:pPr>
              <w:topLinePunct/>
              <w:ind w:leftChars="0" w:left="0" w:rightChars="0" w:right="0" w:firstLineChars="0" w:firstLine="0"/>
              <w:spacing w:line="240" w:lineRule="atLeast"/>
            </w:pPr>
            <w:r>
              <w:t>2010</w:t>
            </w:r>
          </w:p>
        </w:tc>
        <w:tc>
          <w:tcPr>
            <w:tcW w:w="1020" w:type="dxa"/>
          </w:tcPr>
          <w:p w:rsidR="0018722C">
            <w:pPr>
              <w:topLinePunct/>
              <w:ind w:leftChars="0" w:left="0" w:rightChars="0" w:right="0" w:firstLineChars="0" w:firstLine="0"/>
              <w:spacing w:line="240" w:lineRule="atLeast"/>
            </w:pPr>
            <w:r>
              <w:t>2011</w:t>
            </w:r>
          </w:p>
        </w:tc>
        <w:tc>
          <w:tcPr>
            <w:tcW w:w="1020" w:type="dxa"/>
          </w:tcPr>
          <w:p w:rsidR="0018722C">
            <w:pPr>
              <w:topLinePunct/>
              <w:ind w:leftChars="0" w:left="0" w:rightChars="0" w:right="0" w:firstLineChars="0" w:firstLine="0"/>
              <w:spacing w:line="240" w:lineRule="atLeast"/>
            </w:pPr>
            <w:r>
              <w:t>2012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筹资总额</w:t>
            </w:r>
            <w:r>
              <w:rPr>
                <w:rFonts w:ascii="宋体" w:eastAsia="宋体" w:hint="eastAsia"/>
              </w:rPr>
              <w:t>（</w:t>
            </w:r>
            <w:r>
              <w:rPr>
                <w:rFonts w:ascii="宋体" w:eastAsia="宋体" w:hint="eastAsia"/>
              </w:rPr>
              <w:t>亿元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6.37</w:t>
            </w:r>
          </w:p>
        </w:tc>
        <w:tc>
          <w:tcPr>
            <w:tcW w:w="1020" w:type="dxa"/>
          </w:tcPr>
          <w:p w:rsidR="0018722C">
            <w:pPr>
              <w:topLinePunct/>
              <w:ind w:leftChars="0" w:left="0" w:rightChars="0" w:right="0" w:firstLineChars="0" w:firstLine="0"/>
              <w:spacing w:line="240" w:lineRule="atLeast"/>
            </w:pPr>
            <w:r>
              <w:t>9.16</w:t>
            </w:r>
          </w:p>
        </w:tc>
        <w:tc>
          <w:tcPr>
            <w:tcW w:w="1020" w:type="dxa"/>
          </w:tcPr>
          <w:p w:rsidR="0018722C">
            <w:pPr>
              <w:topLinePunct/>
              <w:ind w:leftChars="0" w:left="0" w:rightChars="0" w:right="0" w:firstLineChars="0" w:firstLine="0"/>
              <w:spacing w:line="240" w:lineRule="atLeast"/>
            </w:pPr>
            <w:r>
              <w:t>11.92</w:t>
            </w:r>
          </w:p>
        </w:tc>
        <w:tc>
          <w:tcPr>
            <w:tcW w:w="1020" w:type="dxa"/>
          </w:tcPr>
          <w:p w:rsidR="0018722C">
            <w:pPr>
              <w:topLinePunct/>
              <w:ind w:leftChars="0" w:left="0" w:rightChars="0" w:right="0" w:firstLineChars="0" w:firstLine="0"/>
              <w:spacing w:line="240" w:lineRule="atLeast"/>
            </w:pPr>
            <w:r>
              <w:t>15.47</w:t>
            </w:r>
          </w:p>
        </w:tc>
        <w:tc>
          <w:tcPr>
            <w:tcW w:w="1020" w:type="dxa"/>
          </w:tcPr>
          <w:p w:rsidR="0018722C">
            <w:pPr>
              <w:topLinePunct/>
              <w:ind w:leftChars="0" w:left="0" w:rightChars="0" w:right="0" w:firstLineChars="0" w:firstLine="0"/>
              <w:spacing w:line="240" w:lineRule="atLeast"/>
            </w:pPr>
            <w:r>
              <w:t>17.64</w:t>
            </w:r>
          </w:p>
        </w:tc>
        <w:tc>
          <w:tcPr>
            <w:tcW w:w="1020" w:type="dxa"/>
          </w:tcPr>
          <w:p w:rsidR="0018722C">
            <w:pPr>
              <w:topLinePunct/>
              <w:ind w:leftChars="0" w:left="0" w:rightChars="0" w:right="0" w:firstLineChars="0" w:firstLine="0"/>
              <w:spacing w:line="240" w:lineRule="atLeast"/>
            </w:pPr>
            <w:r>
              <w:t>18.91</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参合人数</w:t>
            </w:r>
            <w:r>
              <w:rPr>
                <w:rFonts w:ascii="宋体" w:eastAsia="宋体" w:hint="eastAsia"/>
              </w:rPr>
              <w:t>（</w:t>
            </w:r>
            <w:r>
              <w:rPr>
                <w:rFonts w:ascii="宋体" w:eastAsia="宋体" w:hint="eastAsia"/>
              </w:rPr>
              <w:t>万人</w:t>
            </w:r>
            <w:r>
              <w:rPr>
                <w:rFonts w:ascii="宋体" w:eastAsia="宋体" w:hint="eastAsia"/>
              </w:rPr>
              <w:t>）</w:t>
            </w:r>
          </w:p>
        </w:tc>
        <w:tc>
          <w:tcPr>
            <w:tcW w:w="1020" w:type="dxa"/>
          </w:tcPr>
          <w:p w:rsidR="0018722C">
            <w:pPr>
              <w:topLinePunct/>
              <w:ind w:leftChars="0" w:left="0" w:rightChars="0" w:right="0" w:firstLineChars="0" w:firstLine="0"/>
              <w:spacing w:line="240" w:lineRule="atLeast"/>
            </w:pPr>
            <w:r>
              <w:t>268.5</w:t>
            </w:r>
          </w:p>
        </w:tc>
        <w:tc>
          <w:tcPr>
            <w:tcW w:w="1020" w:type="dxa"/>
          </w:tcPr>
          <w:p w:rsidR="0018722C">
            <w:pPr>
              <w:topLinePunct/>
              <w:ind w:leftChars="0" w:left="0" w:rightChars="0" w:right="0" w:firstLineChars="0" w:firstLine="0"/>
              <w:spacing w:line="240" w:lineRule="atLeast"/>
            </w:pPr>
            <w:r>
              <w:t>272.5</w:t>
            </w:r>
          </w:p>
        </w:tc>
        <w:tc>
          <w:tcPr>
            <w:tcW w:w="1020" w:type="dxa"/>
          </w:tcPr>
          <w:p w:rsidR="0018722C">
            <w:pPr>
              <w:topLinePunct/>
              <w:ind w:leftChars="0" w:left="0" w:rightChars="0" w:right="0" w:firstLineChars="0" w:firstLine="0"/>
              <w:spacing w:line="240" w:lineRule="atLeast"/>
            </w:pPr>
            <w:r>
              <w:t>274.9</w:t>
            </w:r>
          </w:p>
        </w:tc>
        <w:tc>
          <w:tcPr>
            <w:tcW w:w="1020" w:type="dxa"/>
          </w:tcPr>
          <w:p w:rsidR="0018722C">
            <w:pPr>
              <w:topLinePunct/>
              <w:ind w:leftChars="0" w:left="0" w:rightChars="0" w:right="0" w:firstLineChars="0" w:firstLine="0"/>
              <w:spacing w:line="240" w:lineRule="atLeast"/>
            </w:pPr>
            <w:r>
              <w:t>278.5</w:t>
            </w:r>
          </w:p>
        </w:tc>
        <w:tc>
          <w:tcPr>
            <w:tcW w:w="1020" w:type="dxa"/>
          </w:tcPr>
          <w:p w:rsidR="0018722C">
            <w:pPr>
              <w:topLinePunct/>
              <w:ind w:leftChars="0" w:left="0" w:rightChars="0" w:right="0" w:firstLineChars="0" w:firstLine="0"/>
              <w:spacing w:line="240" w:lineRule="atLeast"/>
            </w:pPr>
            <w:r>
              <w:t>276.8</w:t>
            </w:r>
          </w:p>
        </w:tc>
        <w:tc>
          <w:tcPr>
            <w:tcW w:w="1020" w:type="dxa"/>
          </w:tcPr>
          <w:p w:rsidR="0018722C">
            <w:pPr>
              <w:topLinePunct/>
              <w:ind w:leftChars="0" w:left="0" w:rightChars="0" w:right="0" w:firstLineChars="0" w:firstLine="0"/>
              <w:spacing w:line="240" w:lineRule="atLeast"/>
            </w:pPr>
            <w:r>
              <w:t>267.5</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人均筹资额</w:t>
            </w:r>
            <w:r>
              <w:rPr>
                <w:rFonts w:ascii="宋体" w:eastAsia="宋体" w:hint="eastAsia"/>
              </w:rPr>
              <w:t>（</w:t>
            </w:r>
            <w:r>
              <w:rPr>
                <w:rFonts w:ascii="宋体" w:eastAsia="宋体" w:hint="eastAsia"/>
              </w:rPr>
              <w:t>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237.24</w:t>
            </w:r>
          </w:p>
        </w:tc>
        <w:tc>
          <w:tcPr>
            <w:tcW w:w="1020" w:type="dxa"/>
          </w:tcPr>
          <w:p w:rsidR="0018722C">
            <w:pPr>
              <w:topLinePunct/>
              <w:ind w:leftChars="0" w:left="0" w:rightChars="0" w:right="0" w:firstLineChars="0" w:firstLine="0"/>
              <w:spacing w:line="240" w:lineRule="atLeast"/>
            </w:pPr>
            <w:r>
              <w:t>336.15</w:t>
            </w:r>
          </w:p>
        </w:tc>
        <w:tc>
          <w:tcPr>
            <w:tcW w:w="1020" w:type="dxa"/>
          </w:tcPr>
          <w:p w:rsidR="0018722C">
            <w:pPr>
              <w:topLinePunct/>
              <w:ind w:leftChars="0" w:left="0" w:rightChars="0" w:right="0" w:firstLineChars="0" w:firstLine="0"/>
              <w:spacing w:line="240" w:lineRule="atLeast"/>
            </w:pPr>
            <w:r>
              <w:t>433.61</w:t>
            </w:r>
          </w:p>
        </w:tc>
        <w:tc>
          <w:tcPr>
            <w:tcW w:w="1020" w:type="dxa"/>
          </w:tcPr>
          <w:p w:rsidR="0018722C">
            <w:pPr>
              <w:topLinePunct/>
              <w:ind w:leftChars="0" w:left="0" w:rightChars="0" w:right="0" w:firstLineChars="0" w:firstLine="0"/>
              <w:spacing w:line="240" w:lineRule="atLeast"/>
            </w:pPr>
            <w:r>
              <w:t>555.48</w:t>
            </w:r>
          </w:p>
        </w:tc>
        <w:tc>
          <w:tcPr>
            <w:tcW w:w="1020" w:type="dxa"/>
          </w:tcPr>
          <w:p w:rsidR="0018722C">
            <w:pPr>
              <w:topLinePunct/>
              <w:ind w:leftChars="0" w:left="0" w:rightChars="0" w:right="0" w:firstLineChars="0" w:firstLine="0"/>
              <w:spacing w:line="240" w:lineRule="atLeast"/>
            </w:pPr>
            <w:r>
              <w:t>637.28</w:t>
            </w:r>
          </w:p>
        </w:tc>
        <w:tc>
          <w:tcPr>
            <w:tcW w:w="1020" w:type="dxa"/>
          </w:tcPr>
          <w:p w:rsidR="0018722C">
            <w:pPr>
              <w:topLinePunct/>
              <w:ind w:leftChars="0" w:left="0" w:rightChars="0" w:right="0" w:firstLineChars="0" w:firstLine="0"/>
              <w:spacing w:line="240" w:lineRule="atLeast"/>
            </w:pPr>
            <w:r>
              <w:t>706.92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补偿受益人次</w:t>
            </w:r>
            <w:r>
              <w:rPr>
                <w:rFonts w:ascii="宋体" w:eastAsia="宋体" w:hint="eastAsia"/>
              </w:rPr>
              <w:t>（</w:t>
            </w:r>
            <w:r>
              <w:rPr>
                <w:rFonts w:ascii="宋体" w:eastAsia="宋体" w:hint="eastAsia"/>
              </w:rPr>
              <w:t>万人次</w:t>
            </w:r>
            <w:r>
              <w:rPr>
                <w:rFonts w:ascii="宋体" w:eastAsia="宋体" w:hint="eastAsia"/>
              </w:rPr>
              <w:t>）</w:t>
            </w:r>
          </w:p>
        </w:tc>
        <w:tc>
          <w:tcPr>
            <w:tcW w:w="1020" w:type="dxa"/>
          </w:tcPr>
          <w:p w:rsidR="0018722C">
            <w:pPr>
              <w:topLinePunct/>
              <w:ind w:leftChars="0" w:left="0" w:rightChars="0" w:right="0" w:firstLineChars="0" w:firstLine="0"/>
              <w:spacing w:line="240" w:lineRule="atLeast"/>
            </w:pPr>
            <w:r>
              <w:t>200.52</w:t>
            </w:r>
          </w:p>
        </w:tc>
        <w:tc>
          <w:tcPr>
            <w:tcW w:w="1020" w:type="dxa"/>
          </w:tcPr>
          <w:p w:rsidR="0018722C">
            <w:pPr>
              <w:topLinePunct/>
              <w:ind w:leftChars="0" w:left="0" w:rightChars="0" w:right="0" w:firstLineChars="0" w:firstLine="0"/>
              <w:spacing w:line="240" w:lineRule="atLeast"/>
            </w:pPr>
            <w:r>
              <w:t>277.51</w:t>
            </w:r>
          </w:p>
        </w:tc>
        <w:tc>
          <w:tcPr>
            <w:tcW w:w="1020" w:type="dxa"/>
          </w:tcPr>
          <w:p w:rsidR="0018722C">
            <w:pPr>
              <w:topLinePunct/>
              <w:ind w:leftChars="0" w:left="0" w:rightChars="0" w:right="0" w:firstLineChars="0" w:firstLine="0"/>
              <w:spacing w:line="240" w:lineRule="atLeast"/>
            </w:pPr>
            <w:r>
              <w:t>456.23</w:t>
            </w:r>
          </w:p>
        </w:tc>
        <w:tc>
          <w:tcPr>
            <w:tcW w:w="1020" w:type="dxa"/>
          </w:tcPr>
          <w:p w:rsidR="0018722C">
            <w:pPr>
              <w:topLinePunct/>
              <w:ind w:leftChars="0" w:left="0" w:rightChars="0" w:right="0" w:firstLineChars="0" w:firstLine="0"/>
              <w:spacing w:line="240" w:lineRule="atLeast"/>
            </w:pPr>
            <w:r>
              <w:t>694.5</w:t>
            </w:r>
          </w:p>
        </w:tc>
        <w:tc>
          <w:tcPr>
            <w:tcW w:w="1020" w:type="dxa"/>
          </w:tcPr>
          <w:p w:rsidR="0018722C">
            <w:pPr>
              <w:topLinePunct/>
              <w:ind w:leftChars="0" w:left="0" w:rightChars="0" w:right="0" w:firstLineChars="0" w:firstLine="0"/>
              <w:spacing w:line="240" w:lineRule="atLeast"/>
            </w:pPr>
            <w:r>
              <w:t>672.9</w:t>
            </w:r>
          </w:p>
        </w:tc>
        <w:tc>
          <w:tcPr>
            <w:tcW w:w="1020" w:type="dxa"/>
          </w:tcPr>
          <w:p w:rsidR="0018722C">
            <w:pPr>
              <w:topLinePunct/>
              <w:ind w:leftChars="0" w:left="0" w:rightChars="0" w:right="0" w:firstLineChars="0" w:firstLine="0"/>
              <w:spacing w:line="240" w:lineRule="atLeast"/>
            </w:pPr>
            <w:r>
              <w:t>565.6</w:t>
            </w:r>
          </w:p>
        </w:tc>
      </w:tr>
    </w:tbl>
    <w:p w:rsidR="0018722C">
      <w:pPr>
        <w:topLinePunct/>
      </w:pPr>
      <w:r>
        <w:t>根据《关于调整和完善本市新型农村合作医疗筹资标准和补偿政策意见》</w:t>
      </w:r>
      <w:r>
        <w:rPr>
          <w:rFonts w:ascii="Times New Roman" w:eastAsia="Times New Roman"/>
          <w:rFonts w:ascii="Times New Roman" w:eastAsia="Times New Roman"/>
        </w:rPr>
        <w:t>（</w:t>
      </w:r>
      <w:r>
        <w:t>京</w: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可支付月数</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基金支出</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p>
    <w:p w:rsidR="0018722C">
      <w:pPr>
        <w:pStyle w:val="cw20"/>
        <w:topLinePunct/>
      </w:pPr>
      <w:bookmarkStart w:name="_bookmark23" w:id="13"/>
      <w:bookmarkEnd w:id="13"/>
      <w:r>
        <w:t>12</w:t>
      </w:r>
      <w:r/>
      <w:bookmarkStart w:name="_bookmark23" w:id="14"/>
      <w:bookmarkEnd w:id="14"/>
      <w:r>
        <w:t>数据来源：中国卫生统计年鉴</w:t>
      </w:r>
    </w:p>
    <w:p w:rsidR="0018722C">
      <w:pPr>
        <w:topLinePunct/>
      </w:pPr>
      <w:r>
        <w:rPr>
          <w:rFonts w:cstheme="minorBidi" w:hAnsiTheme="minorHAnsi" w:eastAsiaTheme="minorHAnsi" w:asciiTheme="minorHAnsi" w:ascii="Times New Roman"/>
        </w:rPr>
        <w:t>10</w:t>
      </w:r>
    </w:p>
    <w:p w:rsidR="0018722C">
      <w:pPr>
        <w:topLinePunct/>
      </w:pPr>
      <w:bookmarkStart w:name="_bookmark24" w:id="15"/>
      <w:bookmarkEnd w:id="15"/>
      <w:r>
        <w:t>政办发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rPr>
          <w:rFonts w:ascii="Times New Roman" w:eastAsia="Times New Roman"/>
          <w:rFonts w:ascii="Times New Roman" w:eastAsia="Times New Roman"/>
          <w:spacing w:val="-9"/>
        </w:rPr>
        <w:t>）</w:t>
      </w:r>
      <w:r>
        <w:t>，北京市从</w:t>
      </w:r>
      <w:r>
        <w:rPr>
          <w:rFonts w:ascii="Times New Roman" w:eastAsia="Times New Roman"/>
        </w:rPr>
        <w:t>2007</w:t>
      </w:r>
      <w:r>
        <w:t>年开始在全国范围内率先在所有统筹区县实行门诊统筹。</w:t>
      </w:r>
    </w:p>
    <w:p w:rsidR="0018722C">
      <w:pPr>
        <w:pStyle w:val="Heading3"/>
        <w:topLinePunct/>
        <w:ind w:left="200" w:hangingChars="200" w:hanging="200"/>
      </w:pPr>
      <w:bookmarkStart w:id="569930" w:name="_Toc686569930"/>
      <w:r>
        <w:t>2.4.3</w:t>
      </w:r>
      <w:r>
        <w:t xml:space="preserve"> </w:t>
      </w:r>
      <w:r>
        <w:t>城镇居民基本医疗保险基金收支情况</w:t>
      </w:r>
      <w:bookmarkEnd w:id="569930"/>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8</w:t>
      </w:r>
      <w:r>
        <w:t>反映了自</w:t>
      </w:r>
      <w:r>
        <w:rPr>
          <w:rFonts w:ascii="Times New Roman" w:eastAsia="Times New Roman"/>
        </w:rPr>
        <w:t>2007</w:t>
      </w:r>
      <w:r>
        <w:t>年以来北京市城镇居民基本医疗保险基金收入、支</w:t>
      </w:r>
    </w:p>
    <w:p w:rsidR="0018722C">
      <w:pPr>
        <w:topLinePunct/>
      </w:pPr>
      <w:r>
        <w:t>出、当期结余及累计结余的情况。截止</w:t>
      </w:r>
      <w:r>
        <w:rPr>
          <w:rFonts w:ascii="Times New Roman" w:eastAsia="Times New Roman"/>
        </w:rPr>
        <w:t>2012</w:t>
      </w:r>
      <w:r>
        <w:t>年年末，北京市城镇居民基本医疗</w:t>
      </w:r>
    </w:p>
    <w:p w:rsidR="0018722C">
      <w:pPr>
        <w:topLinePunct/>
      </w:pPr>
      <w:r>
        <w:t>保险统筹基金收入</w:t>
      </w:r>
      <w:r>
        <w:rPr>
          <w:rFonts w:ascii="Times New Roman" w:eastAsia="Times New Roman"/>
        </w:rPr>
        <w:t>9</w:t>
      </w:r>
      <w:r>
        <w:rPr>
          <w:rFonts w:ascii="Times New Roman" w:eastAsia="Times New Roman"/>
        </w:rPr>
        <w:t>.</w:t>
      </w:r>
      <w:r>
        <w:rPr>
          <w:rFonts w:ascii="Times New Roman" w:eastAsia="Times New Roman"/>
        </w:rPr>
        <w:t>5</w:t>
      </w:r>
      <w:r>
        <w:t>亿元，支出</w:t>
      </w:r>
      <w:r>
        <w:rPr>
          <w:rFonts w:ascii="Times New Roman" w:eastAsia="Times New Roman"/>
        </w:rPr>
        <w:t>8</w:t>
      </w:r>
      <w:r>
        <w:rPr>
          <w:rFonts w:ascii="Times New Roman" w:eastAsia="Times New Roman"/>
        </w:rPr>
        <w:t>.</w:t>
      </w:r>
      <w:r>
        <w:rPr>
          <w:rFonts w:ascii="Times New Roman" w:eastAsia="Times New Roman"/>
        </w:rPr>
        <w:t>8</w:t>
      </w:r>
      <w:r>
        <w:t>亿元，当年结余</w:t>
      </w:r>
      <w:r>
        <w:rPr>
          <w:rFonts w:ascii="Times New Roman" w:eastAsia="Times New Roman"/>
        </w:rPr>
        <w:t>7000</w:t>
      </w:r>
      <w:r>
        <w:t>万元，累计结余 </w:t>
      </w:r>
      <w:r>
        <w:rPr>
          <w:rFonts w:ascii="Times New Roman" w:eastAsia="Times New Roman"/>
        </w:rPr>
        <w:t>9</w:t>
      </w:r>
    </w:p>
    <w:p w:rsidR="0018722C">
      <w:pPr>
        <w:topLinePunct/>
      </w:pP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82007-2012</w:t>
      </w:r>
      <w:r>
        <w:rPr>
          <w:rFonts w:cstheme="minorBidi" w:hAnsiTheme="minorHAnsi" w:eastAsiaTheme="minorHAnsi" w:asciiTheme="minorHAnsi"/>
        </w:rPr>
        <w:t>年北京市城镇居民基本医疗保险基金结余情况</w:t>
      </w:r>
      <w:hyperlink w:history="true" w:anchor="_bookmark25">
        <w:r>
          <w:rPr>
            <w:rFonts w:ascii="Times New Roman" w:eastAsia="Times New Roman" w:cstheme="minorBidi" w:hAnsiTheme="minorHAnsi"/>
          </w:rPr>
          <w:t>13</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4.4</w:t>
            </w:r>
          </w:p>
        </w:tc>
        <w:tc>
          <w:tcPr>
            <w:tcW w:w="1163" w:type="dxa"/>
          </w:tcPr>
          <w:p w:rsidR="0018722C">
            <w:pPr>
              <w:topLinePunct/>
              <w:ind w:leftChars="0" w:left="0" w:rightChars="0" w:right="0" w:firstLineChars="0" w:firstLine="0"/>
              <w:spacing w:line="240" w:lineRule="atLeast"/>
            </w:pPr>
            <w:r>
              <w:t>5.6</w:t>
            </w:r>
          </w:p>
        </w:tc>
        <w:tc>
          <w:tcPr>
            <w:tcW w:w="1163" w:type="dxa"/>
          </w:tcPr>
          <w:p w:rsidR="0018722C">
            <w:pPr>
              <w:topLinePunct/>
              <w:ind w:leftChars="0" w:left="0" w:rightChars="0" w:right="0" w:firstLineChars="0" w:firstLine="0"/>
              <w:spacing w:line="240" w:lineRule="atLeast"/>
            </w:pPr>
            <w:r>
              <w:t>5.1</w:t>
            </w:r>
          </w:p>
        </w:tc>
        <w:tc>
          <w:tcPr>
            <w:tcW w:w="1161" w:type="dxa"/>
          </w:tcPr>
          <w:p w:rsidR="0018722C">
            <w:pPr>
              <w:topLinePunct/>
              <w:ind w:leftChars="0" w:left="0" w:rightChars="0" w:right="0" w:firstLineChars="0" w:firstLine="0"/>
              <w:spacing w:line="240" w:lineRule="atLeast"/>
            </w:pPr>
            <w:r>
              <w:t>1.6</w:t>
            </w:r>
          </w:p>
        </w:tc>
        <w:tc>
          <w:tcPr>
            <w:tcW w:w="1159" w:type="dxa"/>
          </w:tcPr>
          <w:p w:rsidR="0018722C">
            <w:pPr>
              <w:topLinePunct/>
              <w:ind w:leftChars="0" w:left="0" w:rightChars="0" w:right="0" w:firstLineChars="0" w:firstLine="0"/>
              <w:spacing w:line="240" w:lineRule="atLeast"/>
            </w:pPr>
            <w:r>
              <w:t>11.4</w:t>
            </w:r>
          </w:p>
        </w:tc>
        <w:tc>
          <w:tcPr>
            <w:tcW w:w="1154" w:type="dxa"/>
          </w:tcPr>
          <w:p w:rsidR="0018722C">
            <w:pPr>
              <w:topLinePunct/>
              <w:ind w:leftChars="0" w:left="0" w:rightChars="0" w:right="0" w:firstLineChars="0" w:firstLine="0"/>
              <w:spacing w:line="240" w:lineRule="atLeast"/>
            </w:pPr>
            <w:r>
              <w:t>9.5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0.3</w:t>
            </w:r>
          </w:p>
        </w:tc>
        <w:tc>
          <w:tcPr>
            <w:tcW w:w="1163" w:type="dxa"/>
          </w:tcPr>
          <w:p w:rsidR="0018722C">
            <w:pPr>
              <w:topLinePunct/>
              <w:ind w:leftChars="0" w:left="0" w:rightChars="0" w:right="0" w:firstLineChars="0" w:firstLine="0"/>
              <w:spacing w:line="240" w:lineRule="atLeast"/>
            </w:pPr>
            <w:r>
              <w:t>3.3</w:t>
            </w:r>
          </w:p>
        </w:tc>
        <w:tc>
          <w:tcPr>
            <w:tcW w:w="1163" w:type="dxa"/>
          </w:tcPr>
          <w:p w:rsidR="0018722C">
            <w:pPr>
              <w:topLinePunct/>
              <w:ind w:leftChars="0" w:left="0" w:rightChars="0" w:right="0" w:firstLineChars="0" w:firstLine="0"/>
              <w:spacing w:line="240" w:lineRule="atLeast"/>
            </w:pPr>
            <w:r>
              <w:t>4.1</w:t>
            </w:r>
          </w:p>
        </w:tc>
        <w:tc>
          <w:tcPr>
            <w:tcW w:w="1161" w:type="dxa"/>
          </w:tcPr>
          <w:p w:rsidR="0018722C">
            <w:pPr>
              <w:topLinePunct/>
              <w:ind w:leftChars="0" w:left="0" w:rightChars="0" w:right="0" w:firstLineChars="0" w:firstLine="0"/>
              <w:spacing w:line="240" w:lineRule="atLeast"/>
            </w:pPr>
            <w:r>
              <w:t>4.7</w:t>
            </w:r>
          </w:p>
        </w:tc>
        <w:tc>
          <w:tcPr>
            <w:tcW w:w="1159" w:type="dxa"/>
          </w:tcPr>
          <w:p w:rsidR="0018722C">
            <w:pPr>
              <w:topLinePunct/>
              <w:ind w:leftChars="0" w:left="0" w:rightChars="0" w:right="0" w:firstLineChars="0" w:firstLine="0"/>
              <w:spacing w:line="240" w:lineRule="atLeast"/>
            </w:pPr>
            <w:r>
              <w:t>7.4</w:t>
            </w:r>
          </w:p>
        </w:tc>
        <w:tc>
          <w:tcPr>
            <w:tcW w:w="1154" w:type="dxa"/>
          </w:tcPr>
          <w:p w:rsidR="0018722C">
            <w:pPr>
              <w:topLinePunct/>
              <w:ind w:leftChars="0" w:left="0" w:rightChars="0" w:right="0" w:firstLineChars="0" w:firstLine="0"/>
              <w:spacing w:line="240" w:lineRule="atLeast"/>
            </w:pPr>
            <w:r>
              <w:t>8.8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4.1</w:t>
            </w:r>
          </w:p>
        </w:tc>
        <w:tc>
          <w:tcPr>
            <w:tcW w:w="1163" w:type="dxa"/>
          </w:tcPr>
          <w:p w:rsidR="0018722C">
            <w:pPr>
              <w:topLinePunct/>
              <w:ind w:leftChars="0" w:left="0" w:rightChars="0" w:right="0" w:firstLineChars="0" w:firstLine="0"/>
              <w:spacing w:line="240" w:lineRule="atLeast"/>
            </w:pPr>
            <w:r>
              <w:t>2.3</w:t>
            </w:r>
          </w:p>
        </w:tc>
        <w:tc>
          <w:tcPr>
            <w:tcW w:w="1163" w:type="dxa"/>
          </w:tcPr>
          <w:p w:rsidR="0018722C">
            <w:pPr>
              <w:topLinePunct/>
              <w:ind w:leftChars="0" w:left="0" w:rightChars="0" w:right="0" w:firstLineChars="0" w:firstLine="0"/>
              <w:spacing w:line="240" w:lineRule="atLeast"/>
            </w:pPr>
            <w:r>
              <w:t>1</w:t>
            </w:r>
          </w:p>
        </w:tc>
        <w:tc>
          <w:tcPr>
            <w:tcW w:w="1161" w:type="dxa"/>
          </w:tcPr>
          <w:p w:rsidR="0018722C">
            <w:pPr>
              <w:topLinePunct/>
              <w:ind w:leftChars="0" w:left="0" w:rightChars="0" w:right="0" w:firstLineChars="0" w:firstLine="0"/>
              <w:spacing w:line="240" w:lineRule="atLeast"/>
            </w:pPr>
            <w:r>
              <w:t>-3.1</w:t>
            </w:r>
          </w:p>
        </w:tc>
        <w:tc>
          <w:tcPr>
            <w:tcW w:w="1159" w:type="dxa"/>
          </w:tcPr>
          <w:p w:rsidR="0018722C">
            <w:pPr>
              <w:topLinePunct/>
              <w:ind w:leftChars="0" w:left="0" w:rightChars="0" w:right="0" w:firstLineChars="0" w:firstLine="0"/>
              <w:spacing w:line="240" w:lineRule="atLeast"/>
            </w:pPr>
            <w:r>
              <w:t>4</w:t>
            </w:r>
          </w:p>
        </w:tc>
        <w:tc>
          <w:tcPr>
            <w:tcW w:w="1154" w:type="dxa"/>
          </w:tcPr>
          <w:p w:rsidR="0018722C">
            <w:pPr>
              <w:topLinePunct/>
              <w:ind w:leftChars="0" w:left="0" w:rightChars="0" w:right="0" w:firstLineChars="0" w:firstLine="0"/>
              <w:spacing w:line="240" w:lineRule="atLeast"/>
            </w:pPr>
            <w:r>
              <w:t>0.7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93.18</w:t>
            </w:r>
          </w:p>
        </w:tc>
        <w:tc>
          <w:tcPr>
            <w:tcW w:w="1163" w:type="dxa"/>
          </w:tcPr>
          <w:p w:rsidR="0018722C">
            <w:pPr>
              <w:topLinePunct/>
              <w:ind w:leftChars="0" w:left="0" w:rightChars="0" w:right="0" w:firstLineChars="0" w:firstLine="0"/>
              <w:spacing w:line="240" w:lineRule="atLeast"/>
            </w:pPr>
            <w:r>
              <w:t>41.07</w:t>
            </w:r>
          </w:p>
        </w:tc>
        <w:tc>
          <w:tcPr>
            <w:tcW w:w="1163" w:type="dxa"/>
          </w:tcPr>
          <w:p w:rsidR="0018722C">
            <w:pPr>
              <w:topLinePunct/>
              <w:ind w:leftChars="0" w:left="0" w:rightChars="0" w:right="0" w:firstLineChars="0" w:firstLine="0"/>
              <w:spacing w:line="240" w:lineRule="atLeast"/>
            </w:pPr>
            <w:r>
              <w:t>19.61</w:t>
            </w:r>
          </w:p>
        </w:tc>
        <w:tc>
          <w:tcPr>
            <w:tcW w:w="1161" w:type="dxa"/>
          </w:tcPr>
          <w:p w:rsidR="0018722C">
            <w:pPr>
              <w:topLinePunct/>
              <w:ind w:leftChars="0" w:left="0" w:rightChars="0" w:right="0" w:firstLineChars="0" w:firstLine="0"/>
              <w:spacing w:line="240" w:lineRule="atLeast"/>
            </w:pPr>
            <w:r>
              <w:t>-193.75</w:t>
            </w:r>
          </w:p>
        </w:tc>
        <w:tc>
          <w:tcPr>
            <w:tcW w:w="1159" w:type="dxa"/>
          </w:tcPr>
          <w:p w:rsidR="0018722C">
            <w:pPr>
              <w:topLinePunct/>
              <w:ind w:leftChars="0" w:left="0" w:rightChars="0" w:right="0" w:firstLineChars="0" w:firstLine="0"/>
              <w:spacing w:line="240" w:lineRule="atLeast"/>
            </w:pPr>
            <w:r>
              <w:t>35.09</w:t>
            </w:r>
          </w:p>
        </w:tc>
        <w:tc>
          <w:tcPr>
            <w:tcW w:w="1154" w:type="dxa"/>
          </w:tcPr>
          <w:p w:rsidR="0018722C">
            <w:pPr>
              <w:topLinePunct/>
              <w:ind w:leftChars="0" w:left="0" w:rightChars="0" w:right="0" w:firstLineChars="0" w:firstLine="0"/>
              <w:spacing w:line="240" w:lineRule="atLeast"/>
            </w:pPr>
            <w:r>
              <w:t>7.37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4.2</w:t>
            </w:r>
          </w:p>
        </w:tc>
        <w:tc>
          <w:tcPr>
            <w:tcW w:w="1163" w:type="dxa"/>
          </w:tcPr>
          <w:p w:rsidR="0018722C">
            <w:pPr>
              <w:topLinePunct/>
              <w:ind w:leftChars="0" w:left="0" w:rightChars="0" w:right="0" w:firstLineChars="0" w:firstLine="0"/>
              <w:spacing w:line="240" w:lineRule="atLeast"/>
            </w:pPr>
            <w:r>
              <w:t>6.4</w:t>
            </w:r>
          </w:p>
        </w:tc>
        <w:tc>
          <w:tcPr>
            <w:tcW w:w="1163" w:type="dxa"/>
          </w:tcPr>
          <w:p w:rsidR="0018722C">
            <w:pPr>
              <w:topLinePunct/>
              <w:ind w:leftChars="0" w:left="0" w:rightChars="0" w:right="0" w:firstLineChars="0" w:firstLine="0"/>
              <w:spacing w:line="240" w:lineRule="atLeast"/>
            </w:pPr>
            <w:r>
              <w:t>7.4</w:t>
            </w:r>
          </w:p>
        </w:tc>
        <w:tc>
          <w:tcPr>
            <w:tcW w:w="1161" w:type="dxa"/>
          </w:tcPr>
          <w:p w:rsidR="0018722C">
            <w:pPr>
              <w:topLinePunct/>
              <w:ind w:leftChars="0" w:left="0" w:rightChars="0" w:right="0" w:firstLineChars="0" w:firstLine="0"/>
              <w:spacing w:line="240" w:lineRule="atLeast"/>
            </w:pPr>
            <w:r>
              <w:t>4.4</w:t>
            </w:r>
          </w:p>
        </w:tc>
        <w:tc>
          <w:tcPr>
            <w:tcW w:w="1159" w:type="dxa"/>
          </w:tcPr>
          <w:p w:rsidR="0018722C">
            <w:pPr>
              <w:topLinePunct/>
              <w:ind w:leftChars="0" w:left="0" w:rightChars="0" w:right="0" w:firstLineChars="0" w:firstLine="0"/>
              <w:spacing w:line="240" w:lineRule="atLeast"/>
            </w:pPr>
            <w:r>
              <w:t>8.3</w:t>
            </w:r>
          </w:p>
        </w:tc>
        <w:tc>
          <w:tcPr>
            <w:tcW w:w="1154" w:type="dxa"/>
          </w:tcPr>
          <w:p w:rsidR="0018722C">
            <w:pPr>
              <w:topLinePunct/>
              <w:ind w:leftChars="0" w:left="0" w:rightChars="0" w:right="0" w:firstLineChars="0" w:firstLine="0"/>
              <w:spacing w:line="240" w:lineRule="atLeast"/>
            </w:pPr>
            <w:r>
              <w:t>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95.45</w:t>
            </w:r>
          </w:p>
        </w:tc>
        <w:tc>
          <w:tcPr>
            <w:tcW w:w="1163" w:type="dxa"/>
          </w:tcPr>
          <w:p w:rsidR="0018722C">
            <w:pPr>
              <w:topLinePunct/>
              <w:ind w:leftChars="0" w:left="0" w:rightChars="0" w:right="0" w:firstLineChars="0" w:firstLine="0"/>
              <w:spacing w:line="240" w:lineRule="atLeast"/>
            </w:pPr>
            <w:r>
              <w:t>114.29</w:t>
            </w:r>
          </w:p>
        </w:tc>
        <w:tc>
          <w:tcPr>
            <w:tcW w:w="1163" w:type="dxa"/>
          </w:tcPr>
          <w:p w:rsidR="0018722C">
            <w:pPr>
              <w:topLinePunct/>
              <w:ind w:leftChars="0" w:left="0" w:rightChars="0" w:right="0" w:firstLineChars="0" w:firstLine="0"/>
              <w:spacing w:line="240" w:lineRule="atLeast"/>
            </w:pPr>
            <w:r>
              <w:t>145.10</w:t>
            </w:r>
          </w:p>
        </w:tc>
        <w:tc>
          <w:tcPr>
            <w:tcW w:w="1161" w:type="dxa"/>
          </w:tcPr>
          <w:p w:rsidR="0018722C">
            <w:pPr>
              <w:topLinePunct/>
              <w:ind w:leftChars="0" w:left="0" w:rightChars="0" w:right="0" w:firstLineChars="0" w:firstLine="0"/>
              <w:spacing w:line="240" w:lineRule="atLeast"/>
            </w:pPr>
            <w:r>
              <w:t>275.00</w:t>
            </w:r>
          </w:p>
        </w:tc>
        <w:tc>
          <w:tcPr>
            <w:tcW w:w="1159" w:type="dxa"/>
          </w:tcPr>
          <w:p w:rsidR="0018722C">
            <w:pPr>
              <w:topLinePunct/>
              <w:ind w:leftChars="0" w:left="0" w:rightChars="0" w:right="0" w:firstLineChars="0" w:firstLine="0"/>
              <w:spacing w:line="240" w:lineRule="atLeast"/>
            </w:pPr>
            <w:r>
              <w:t>72.81</w:t>
            </w:r>
          </w:p>
        </w:tc>
        <w:tc>
          <w:tcPr>
            <w:tcW w:w="1154" w:type="dxa"/>
          </w:tcPr>
          <w:p w:rsidR="0018722C">
            <w:pPr>
              <w:topLinePunct/>
              <w:ind w:leftChars="0" w:left="0" w:rightChars="0" w:right="0" w:firstLineChars="0" w:firstLine="0"/>
              <w:spacing w:line="240" w:lineRule="atLeast"/>
            </w:pPr>
            <w:r>
              <w:t>94.74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可支付月数</w:t>
            </w:r>
            <w:r>
              <w:rPr>
                <w:rFonts w:ascii="宋体" w:eastAsia="宋体" w:hint="eastAsia"/>
              </w:rPr>
              <w:t>（</w:t>
            </w:r>
            <w:r>
              <w:rPr>
                <w:rFonts w:ascii="宋体" w:eastAsia="宋体" w:hint="eastAsia"/>
              </w:rPr>
              <w:t>月</w:t>
            </w:r>
            <w:r>
              <w:rPr>
                <w:rFonts w:ascii="宋体" w:eastAsia="宋体" w:hint="eastAsia"/>
              </w:rPr>
              <w:t>）</w:t>
            </w:r>
          </w:p>
        </w:tc>
        <w:tc>
          <w:tcPr>
            <w:tcW w:w="1163" w:type="dxa"/>
          </w:tcPr>
          <w:p w:rsidR="0018722C">
            <w:pPr>
              <w:topLinePunct/>
              <w:ind w:leftChars="0" w:left="0" w:rightChars="0" w:right="0" w:firstLineChars="0" w:firstLine="0"/>
              <w:spacing w:line="240" w:lineRule="atLeast"/>
            </w:pPr>
            <w:r>
              <w:t>168.00</w:t>
            </w:r>
          </w:p>
        </w:tc>
        <w:tc>
          <w:tcPr>
            <w:tcW w:w="1163" w:type="dxa"/>
          </w:tcPr>
          <w:p w:rsidR="0018722C">
            <w:pPr>
              <w:topLinePunct/>
              <w:ind w:leftChars="0" w:left="0" w:rightChars="0" w:right="0" w:firstLineChars="0" w:firstLine="0"/>
              <w:spacing w:line="240" w:lineRule="atLeast"/>
            </w:pPr>
            <w:r>
              <w:t>23.27</w:t>
            </w:r>
          </w:p>
        </w:tc>
        <w:tc>
          <w:tcPr>
            <w:tcW w:w="1163" w:type="dxa"/>
          </w:tcPr>
          <w:p w:rsidR="0018722C">
            <w:pPr>
              <w:topLinePunct/>
              <w:ind w:leftChars="0" w:left="0" w:rightChars="0" w:right="0" w:firstLineChars="0" w:firstLine="0"/>
              <w:spacing w:line="240" w:lineRule="atLeast"/>
            </w:pPr>
            <w:r>
              <w:t>21.66</w:t>
            </w:r>
          </w:p>
        </w:tc>
        <w:tc>
          <w:tcPr>
            <w:tcW w:w="1161" w:type="dxa"/>
          </w:tcPr>
          <w:p w:rsidR="0018722C">
            <w:pPr>
              <w:topLinePunct/>
              <w:ind w:leftChars="0" w:left="0" w:rightChars="0" w:right="0" w:firstLineChars="0" w:firstLine="0"/>
              <w:spacing w:line="240" w:lineRule="atLeast"/>
            </w:pPr>
            <w:r>
              <w:t>11.23</w:t>
            </w:r>
          </w:p>
        </w:tc>
        <w:tc>
          <w:tcPr>
            <w:tcW w:w="1159" w:type="dxa"/>
          </w:tcPr>
          <w:p w:rsidR="0018722C">
            <w:pPr>
              <w:topLinePunct/>
              <w:ind w:leftChars="0" w:left="0" w:rightChars="0" w:right="0" w:firstLineChars="0" w:firstLine="0"/>
              <w:spacing w:line="240" w:lineRule="atLeast"/>
            </w:pPr>
            <w:r>
              <w:t>13.46</w:t>
            </w:r>
          </w:p>
        </w:tc>
        <w:tc>
          <w:tcPr>
            <w:tcW w:w="1154" w:type="dxa"/>
          </w:tcPr>
          <w:p w:rsidR="0018722C">
            <w:pPr>
              <w:widowControl w:val="0"/>
              <w:snapToGrid w:val="1"/>
              <w:spacing w:beforeLines="0" w:afterLines="0" w:lineRule="auto" w:line="240" w:after="0" w:before="29"/>
              <w:ind w:firstLineChars="0" w:firstLine="0" w:leftChars="0" w:left="309" w:rightChars="0" w:right="30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12.27</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2</w:t>
      </w:r>
      <w:r>
        <w:t>可以看出，北京市城镇居民基本医疗保险基金收入呈现不稳定的状况，</w:t>
      </w:r>
      <w:r>
        <w:rPr>
          <w:rFonts w:ascii="Times New Roman" w:eastAsia="宋体"/>
        </w:rPr>
        <w:t>2007-2009</w:t>
      </w:r>
      <w:r>
        <w:t>三年基金收入基本稳定在</w:t>
      </w:r>
      <w:r>
        <w:rPr>
          <w:rFonts w:ascii="Times New Roman" w:eastAsia="宋体"/>
        </w:rPr>
        <w:t>5</w:t>
      </w:r>
      <w:r>
        <w:t>亿元左右，</w:t>
      </w:r>
      <w:r>
        <w:rPr>
          <w:rFonts w:ascii="Times New Roman" w:eastAsia="宋体"/>
        </w:rPr>
        <w:t>2010</w:t>
      </w:r>
      <w:r>
        <w:t>年基金收入减少到不足两亿，</w:t>
      </w:r>
      <w:r>
        <w:rPr>
          <w:rFonts w:ascii="Times New Roman" w:eastAsia="宋体"/>
        </w:rPr>
        <w:t>2011</w:t>
      </w:r>
      <w:r>
        <w:t>年与</w:t>
      </w:r>
      <w:r>
        <w:rPr>
          <w:rFonts w:ascii="Times New Roman" w:eastAsia="宋体"/>
        </w:rPr>
        <w:t>2012</w:t>
      </w:r>
      <w:r>
        <w:t>年基金收入又大幅增长。而与此同时，自</w:t>
      </w:r>
      <w:r>
        <w:rPr>
          <w:rFonts w:ascii="Times New Roman" w:eastAsia="宋体"/>
        </w:rPr>
        <w:t>2007</w:t>
      </w:r>
      <w:r>
        <w:t>年以</w:t>
      </w:r>
      <w:r>
        <w:t>来，基金支出逐年增长。北京市城镇居民基本医疗保险基金结余率整体相比职工</w:t>
      </w:r>
      <w:r>
        <w:t>基本保险基金结余率来言明显偏高，可支付月数均在</w:t>
      </w:r>
      <w:r>
        <w:rPr>
          <w:rFonts w:ascii="Times New Roman" w:eastAsia="宋体"/>
        </w:rPr>
        <w:t>11</w:t>
      </w:r>
      <w:r>
        <w:t>个月以上，有些年份甚</w:t>
      </w:r>
      <w:r>
        <w:t>至超过</w:t>
      </w:r>
      <w:r>
        <w:rPr>
          <w:rFonts w:ascii="Times New Roman" w:eastAsia="宋体"/>
        </w:rPr>
        <w:t>20</w:t>
      </w:r>
      <w:r>
        <w:t>个月。由于</w:t>
      </w:r>
      <w:r>
        <w:rPr>
          <w:rFonts w:ascii="Times New Roman" w:eastAsia="宋体"/>
        </w:rPr>
        <w:t>2010</w:t>
      </w:r>
      <w:r>
        <w:t>年基金收入的突减，</w:t>
      </w:r>
      <w:r>
        <w:rPr>
          <w:rFonts w:ascii="Times New Roman" w:eastAsia="宋体"/>
        </w:rPr>
        <w:t>2010</w:t>
      </w:r>
      <w:r>
        <w:t>年当期结余率接近</w:t>
      </w:r>
      <w:r>
        <w:rPr>
          <w:rFonts w:ascii="Times New Roman" w:eastAsia="宋体"/>
        </w:rPr>
        <w:t>-200%</w:t>
      </w:r>
      <w:r>
        <w:t>，</w:t>
      </w:r>
      <w:r>
        <w:t>但是累计结余率在</w:t>
      </w:r>
      <w:r>
        <w:rPr>
          <w:rFonts w:ascii="Times New Roman" w:eastAsia="宋体"/>
        </w:rPr>
        <w:t>2010</w:t>
      </w:r>
      <w:r>
        <w:t>年出现高峰</w:t>
      </w:r>
      <w:r>
        <w:rPr>
          <w:rFonts w:ascii="Times New Roman" w:eastAsia="宋体"/>
        </w:rPr>
        <w:t>275%</w:t>
      </w:r>
      <w:r>
        <w:t>，说明</w:t>
      </w:r>
      <w:r>
        <w:rPr>
          <w:rFonts w:ascii="Times New Roman" w:eastAsia="宋体"/>
        </w:rPr>
        <w:t>2010</w:t>
      </w:r>
      <w:r>
        <w:t>年减少基金收入很好地降</w:t>
      </w:r>
      <w:r>
        <w:t>低了基金过量结余，将可支付月数降低到了</w:t>
      </w:r>
      <w:r>
        <w:rPr>
          <w:rFonts w:ascii="Times New Roman" w:eastAsia="宋体"/>
        </w:rPr>
        <w:t>11</w:t>
      </w:r>
      <w:r>
        <w:t>个月。</w:t>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年北京市城镇居民基本医疗保险基金结余情况</w: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cw20"/>
        <w:topLinePunct/>
      </w:pPr>
      <w:bookmarkStart w:name="_bookmark25" w:id="16"/>
      <w:bookmarkEnd w:id="16"/>
      <w:r>
        <w:t>13</w:t>
      </w:r>
      <w:r/>
      <w:bookmarkStart w:name="_bookmark25" w:id="17"/>
      <w:bookmarkEnd w:id="17"/>
      <w:r>
        <w:t>数据来源：本人根据中国统计年鉴数据整理所得</w:t>
      </w:r>
    </w:p>
    <w:p w:rsidR="0018722C">
      <w:pPr>
        <w:topLinePunct/>
      </w:pPr>
      <w:r>
        <w:t>总的来说，北京市城镇居民基本医疗保险基金结余率比较高，由于居民医疗</w:t>
      </w:r>
      <w:r>
        <w:t>保险制度实行的时间比较短，制度运行不太平稳，北京市医疗保险经办管理机构</w:t>
      </w:r>
      <w:r>
        <w:t>应该针对这一问题开展调查研究，通过调整缴费率、财政补贴比例、起付线、封</w:t>
      </w:r>
      <w:r>
        <w:t>顶线、医疗保险报销项目范围、医疗费用报销比例等方式，使城镇居民医疗保险基金能够实现“收支平衡、略有结余”的目标。</w:t>
      </w:r>
    </w:p>
    <w:p w:rsidR="0018722C">
      <w:pPr>
        <w:pStyle w:val="Heading1"/>
        <w:topLinePunct/>
      </w:pPr>
      <w:bookmarkStart w:id="569931" w:name="_Toc686569931"/>
      <w:bookmarkStart w:name="_bookmark26" w:id="18"/>
      <w:bookmarkEnd w:id="18"/>
      <w:bookmarkStart w:name="_bookmark27" w:id="19"/>
      <w:bookmarkEnd w:id="19"/>
      <w:r>
        <w:t>第 3 章</w:t>
      </w:r>
      <w:r>
        <w:t xml:space="preserve">  </w:t>
      </w:r>
      <w:r w:rsidRPr="00DB64CE">
        <w:t>影响医疗保险基金收支因素分析</w:t>
      </w:r>
      <w:bookmarkEnd w:id="569931"/>
    </w:p>
    <w:p w:rsidR="0018722C">
      <w:pPr>
        <w:topLinePunct/>
      </w:pPr>
      <w:r>
        <w:t>医疗保险统筹基金建立的原则是“收支平衡、略有结余”，一般来说，基金</w:t>
      </w:r>
      <w:r>
        <w:t>当期出现结余大多是因为当期收入高于当期支出。下面我们从基金收入与支出两个方面进行分析。</w:t>
      </w:r>
    </w:p>
    <w:p w:rsidR="0018722C">
      <w:pPr>
        <w:pStyle w:val="Heading2"/>
        <w:topLinePunct/>
        <w:ind w:left="171" w:hangingChars="171" w:hanging="171"/>
      </w:pPr>
      <w:bookmarkStart w:id="569932" w:name="_Toc686569932"/>
      <w:r>
        <w:t>3.1</w:t>
      </w:r>
      <w:r>
        <w:t xml:space="preserve"> </w:t>
      </w:r>
      <w:r w:rsidRPr="00DB64CE">
        <w:t>影响基金收入因素分析</w:t>
      </w:r>
      <w:bookmarkEnd w:id="569932"/>
    </w:p>
    <w:p w:rsidR="0018722C">
      <w:pPr>
        <w:topLinePunct/>
      </w:pPr>
      <w:r>
        <w:t>影响医疗保险基金收入的因素有很多，各因素对基金收入的影响程度也不同，总结起来，主要有：参保人数、职工平均工资、缴费比例、在职职工比例、死亡率、政府补助和人口老龄化程度等。</w:t>
      </w:r>
    </w:p>
    <w:p w:rsidR="0018722C">
      <w:pPr>
        <w:pStyle w:val="Heading3"/>
        <w:topLinePunct/>
        <w:ind w:left="200" w:hangingChars="200" w:hanging="200"/>
      </w:pPr>
      <w:bookmarkStart w:id="569933" w:name="_Toc686569933"/>
      <w:r>
        <w:t>3.1.1</w:t>
      </w:r>
      <w:r>
        <w:t xml:space="preserve"> </w:t>
      </w:r>
      <w:r w:rsidRPr="00DB64CE">
        <w:t>参保人数</w:t>
      </w:r>
      <w:bookmarkEnd w:id="569933"/>
    </w:p>
    <w:p w:rsidR="0018722C">
      <w:pPr>
        <w:topLinePunct/>
      </w:pPr>
      <w:r>
        <w:t>参保人数是医疗保险基金收入的重要影响因素。并且参保人数与医疗保险基</w:t>
      </w:r>
      <w:r>
        <w:t>金收入呈完全正相关的关系，即在其他变量不变的情况下，参保人数越多，医疗</w:t>
      </w:r>
      <w:r>
        <w:t>保险基金收入越多，且参保人数变化比例与基金收入变化比例相同。下</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w:t>
      </w:r>
    </w:p>
    <w:p w:rsidR="0018722C">
      <w:pPr>
        <w:topLinePunct/>
      </w:pPr>
      <w:r>
        <w:rPr>
          <w:rFonts w:ascii="Times New Roman" w:eastAsia="Times New Roman"/>
        </w:rPr>
        <w:t>3.3</w:t>
      </w:r>
      <w:r>
        <w:t>分别将</w:t>
      </w:r>
      <w:r>
        <w:t>近年</w:t>
      </w:r>
      <w:r>
        <w:t>来北京市三项医疗保险的基金收入与参保人数变化进行对比，可</w:t>
      </w:r>
      <w:r>
        <w:t>以看出，</w:t>
      </w:r>
      <w:r>
        <w:rPr>
          <w:rFonts w:ascii="Times New Roman" w:eastAsia="Times New Roman"/>
        </w:rPr>
        <w:t>2007</w:t>
      </w:r>
      <w:r>
        <w:t>年以来，北京市城镇职工医疗保险制度的参保人数逐年显著上升，</w:t>
      </w:r>
      <w:r>
        <w:t>医疗保险基金收入也呈现出逐年稳步增加的态势，同样，城镇居民基本医疗保险</w:t>
      </w:r>
      <w:r>
        <w:t>的参保人数与基金收入在</w:t>
      </w:r>
      <w:r>
        <w:rPr>
          <w:rFonts w:ascii="Times New Roman" w:eastAsia="Times New Roman"/>
        </w:rPr>
        <w:t>2007</w:t>
      </w:r>
      <w:r>
        <w:t>到</w:t>
      </w:r>
      <w:r>
        <w:rPr>
          <w:rFonts w:ascii="Times New Roman" w:eastAsia="Times New Roman"/>
        </w:rPr>
        <w:t>2012</w:t>
      </w:r>
      <w:r>
        <w:t>年的变化趋势也完全趋同，而且，新型农</w:t>
      </w:r>
      <w:r>
        <w:t>村合作医疗的参合人数与筹资总额除了在</w:t>
      </w:r>
      <w:r>
        <w:rPr>
          <w:rFonts w:ascii="Times New Roman" w:eastAsia="Times New Roman"/>
        </w:rPr>
        <w:t>2012</w:t>
      </w:r>
      <w:r>
        <w:t>年出现反向的关系外，其他年份基本呈现出相同的变化。</w:t>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北京市城镇职工基本医疗保险基金收入与参保人数关系</w:t>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9"/>
        <w:topLinePunct/>
      </w:pPr>
      <w:bookmarkStart w:name="_bookmark28" w:id="20"/>
      <w:bookmarkEnd w:id="20"/>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北京市城镇居民基本医疗保险基金收入与参保人数关系</w:t>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北京市新型农村合作医疗基金筹资总额与参合人数关系</w:t>
      </w:r>
    </w:p>
    <w:p w:rsidR="0018722C">
      <w:pPr>
        <w:pStyle w:val="Heading3"/>
        <w:topLinePunct/>
        <w:ind w:left="200" w:hangingChars="200" w:hanging="200"/>
      </w:pPr>
      <w:bookmarkStart w:id="569934" w:name="_Toc686569934"/>
      <w:r>
        <w:t>3.1.2</w:t>
      </w:r>
      <w:r>
        <w:t xml:space="preserve"> </w:t>
      </w:r>
      <w:r>
        <w:t>职工平均工资</w:t>
      </w:r>
      <w:bookmarkEnd w:id="569934"/>
    </w:p>
    <w:p w:rsidR="0018722C">
      <w:pPr>
        <w:topLinePunct/>
      </w:pPr>
      <w:r>
        <w:t>北京市城镇职工基本医疗保险基金是按照缴费基数的一定比例征收的，缴费</w:t>
      </w:r>
      <w:r>
        <w:t>基数又是按照职工工资确定的。其中，个人缴费基数为本人上一年度月平均工资，</w:t>
      </w:r>
      <w:r>
        <w:t>单位缴费基数为本单位中全体职工缴费基数之和，退休职工每月划入个人账户资</w:t>
      </w:r>
      <w:r>
        <w:t>金的基数为上一年北京市职工的月平均工资。所以，北京市职工的平均工资变化</w:t>
      </w:r>
      <w:r>
        <w:t>会影响城镇职工医疗保险基金的收入，在其他条件不变的情况下，职工平均工资</w:t>
      </w:r>
      <w:r>
        <w:t>与基金收入正相关。北京市城镇居民基本医疗保险制度实行的标准的几次提高对</w:t>
      </w:r>
      <w:r>
        <w:t>基金收入也产生了正向影响。新型农村合作医疗基金中个人缴费比例的确定也与</w:t>
      </w:r>
      <w:r>
        <w:t>参合农民纯收入相关。下</w:t>
      </w:r>
      <w:r>
        <w:t>图</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3.5</w:t>
      </w:r>
      <w:r>
        <w:t>反映的是北京市职工的年平均工资水平分</w:t>
      </w:r>
      <w:r>
        <w:t>别</w:t>
      </w:r>
    </w:p>
    <w:p w:rsidR="0018722C">
      <w:pPr>
        <w:topLinePunct/>
      </w:pPr>
      <w:bookmarkStart w:name="_bookmark29" w:id="21"/>
      <w:bookmarkEnd w:id="21"/>
      <w:r/>
      <w:r>
        <w:t>与城镇职工基本医疗保险基金收入及城镇居民基本医疗保险基金收入之间的关</w:t>
      </w:r>
      <w:r>
        <w:t>系，可以看出，北京市城镇职工基本医疗保险基金收入与城镇居民基本医疗保险基金收入均随着北京市职工年平均工资水平的升高而升高。</w:t>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北京市城镇职工基本医疗保险基金收入与职工工资水平关系</w:t>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北京市城镇居民基本医疗保险基金收入与职工工资水平关系</w:t>
      </w:r>
    </w:p>
    <w:p w:rsidR="0018722C">
      <w:pPr>
        <w:pStyle w:val="Heading3"/>
        <w:topLinePunct/>
        <w:ind w:left="200" w:hangingChars="200" w:hanging="200"/>
      </w:pPr>
      <w:bookmarkStart w:id="569935" w:name="_Toc686569935"/>
      <w:r>
        <w:t>3.1.3</w:t>
      </w:r>
      <w:r>
        <w:t xml:space="preserve"> </w:t>
      </w:r>
      <w:r>
        <w:t>缴费比例</w:t>
      </w:r>
      <w:bookmarkEnd w:id="569935"/>
    </w:p>
    <w:p w:rsidR="0018722C">
      <w:pPr>
        <w:topLinePunct/>
      </w:pPr>
      <w:r>
        <w:t>缴费比例是一项政策性因素，北京市城镇职工基本医疗保险缴费率实行单位</w:t>
      </w:r>
      <w:r>
        <w:t>缴纳</w:t>
      </w:r>
      <w:r>
        <w:rPr>
          <w:rFonts w:ascii="Times New Roman" w:eastAsia="Times New Roman"/>
        </w:rPr>
        <w:t>10%</w:t>
      </w:r>
      <w:r>
        <w:t>，个人缴纳</w:t>
      </w:r>
      <w:r>
        <w:rPr>
          <w:rFonts w:ascii="Times New Roman" w:eastAsia="Times New Roman"/>
        </w:rPr>
        <w:t>2%</w:t>
      </w:r>
      <w:r>
        <w:t>，略高于全国平均水平。我国各个地区根据自身经济发</w:t>
      </w:r>
      <w:r>
        <w:t>展情况及单位与个人承受能力规定不同的缴费比例。一般而言，在其他条件不变的情况下，缴费比例越高，医疗保险基金收入越高。</w:t>
      </w:r>
    </w:p>
    <w:p w:rsidR="0018722C">
      <w:pPr>
        <w:pStyle w:val="Heading3"/>
        <w:topLinePunct/>
        <w:ind w:left="200" w:hangingChars="200" w:hanging="200"/>
      </w:pPr>
      <w:bookmarkStart w:id="569936" w:name="_Toc686569936"/>
      <w:bookmarkStart w:name="_bookmark30" w:id="22"/>
      <w:bookmarkEnd w:id="22"/>
      <w:r>
        <w:t>3.1.4</w:t>
      </w:r>
      <w:r>
        <w:t xml:space="preserve"> </w:t>
      </w:r>
      <w:bookmarkStart w:name="_bookmark30" w:id="23"/>
      <w:bookmarkEnd w:id="23"/>
      <w:r>
        <w:t>在职职工比例</w:t>
      </w:r>
      <w:bookmarkEnd w:id="569936"/>
    </w:p>
    <w:p w:rsidR="0018722C">
      <w:pPr>
        <w:topLinePunct/>
      </w:pPr>
      <w:r>
        <w:t>由于在职职工与所在单位承担着全部城镇职工基本医疗保险金缴纳的任务，</w:t>
      </w:r>
      <w:r>
        <w:t>而退休职工需要不缴费，所以，在职职工比例越多，城镇职工基本医疗保险基金</w:t>
      </w:r>
      <w:r>
        <w:t>收入就越多，退休职工比例越多，城镇职工基本医疗保险基金收入就越少。下图</w:t>
      </w:r>
      <w:r>
        <w:t>反映了北京市</w:t>
      </w:r>
      <w:r>
        <w:rPr>
          <w:rFonts w:ascii="Times New Roman" w:eastAsia="Times New Roman"/>
        </w:rPr>
        <w:t>2007</w:t>
      </w:r>
      <w:r>
        <w:t>年以来在职职工比例及城镇职工基本医疗保险基金收入的关系，两者基本呈现正相关的关系。</w:t>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北京市城镇职工基本医疗保险基金收入与在职职工比例关系</w:t>
      </w:r>
    </w:p>
    <w:p w:rsidR="0018722C">
      <w:pPr>
        <w:pStyle w:val="Heading3"/>
        <w:topLinePunct/>
        <w:ind w:left="200" w:hangingChars="200" w:hanging="200"/>
      </w:pPr>
      <w:bookmarkStart w:id="569937" w:name="_Toc686569937"/>
      <w:r>
        <w:t>3.1.5</w:t>
      </w:r>
      <w:r>
        <w:t xml:space="preserve"> </w:t>
      </w:r>
      <w:r>
        <w:t>死亡率</w:t>
      </w:r>
      <w:bookmarkEnd w:id="569937"/>
    </w:p>
    <w:p w:rsidR="0018722C">
      <w:pPr>
        <w:topLinePunct/>
      </w:pPr>
      <w:r>
        <w:t>这里的死亡率特指，非正常死亡，即尚处于医疗保险缴费阶段的参保的死亡</w:t>
      </w:r>
      <w:r>
        <w:t>率。由于各项疾病及交通意外等突发情况的发生，每年都会发生大量医疗保险参</w:t>
      </w:r>
      <w:r>
        <w:t>保人死亡的现象。这部分人群随着死亡的发生，其缴费义务也会消失，会对医疗保险基金收入产生影响。死亡率越高，医疗保险基金收入越低。</w:t>
      </w:r>
    </w:p>
    <w:p w:rsidR="0018722C">
      <w:pPr>
        <w:pStyle w:val="Heading3"/>
        <w:topLinePunct/>
        <w:ind w:left="200" w:hangingChars="200" w:hanging="200"/>
      </w:pPr>
      <w:bookmarkStart w:id="569938" w:name="_Toc686569938"/>
      <w:r>
        <w:t>3.1.6</w:t>
      </w:r>
      <w:r>
        <w:t xml:space="preserve"> </w:t>
      </w:r>
      <w:r>
        <w:t>政府补助</w:t>
      </w:r>
      <w:bookmarkEnd w:id="569938"/>
    </w:p>
    <w:p w:rsidR="0018722C">
      <w:pPr>
        <w:topLinePunct/>
      </w:pPr>
      <w:r>
        <w:t>北京市城镇职工医疗保险基金由个人和单位共同缴纳，而城镇居民基本医疗</w:t>
      </w:r>
      <w:r>
        <w:t>保险基金与新型农村合作医疗基金由个人和集体缴纳，并由各级政府财政提供补</w:t>
      </w:r>
      <w:r>
        <w:t>贴。所以，政府补贴的水平也会影响城镇居民基本医疗保险基金及新型农村合作</w:t>
      </w:r>
      <w:r>
        <w:t>医疗基金的收入。北京市各级政府也多次提高以上两项医疗保险基金政府补贴水平，以此来保障城镇老人和学生儿童以及失业人员与农民的医疗。</w:t>
      </w:r>
    </w:p>
    <w:p w:rsidR="0018722C">
      <w:pPr>
        <w:pStyle w:val="Heading3"/>
        <w:topLinePunct/>
        <w:ind w:left="200" w:hangingChars="200" w:hanging="200"/>
      </w:pPr>
      <w:bookmarkStart w:id="569939" w:name="_Toc686569939"/>
      <w:r>
        <w:t>3.1.7</w:t>
      </w:r>
      <w:r>
        <w:t xml:space="preserve"> </w:t>
      </w:r>
      <w:r>
        <w:t>人口老龄化</w:t>
      </w:r>
      <w:bookmarkEnd w:id="569939"/>
    </w:p>
    <w:p w:rsidR="0018722C">
      <w:pPr>
        <w:topLinePunct/>
      </w:pPr>
      <w:r>
        <w:t>老年人对医疗保险需求明显要高于年轻人。另外，由于《社会保险法》规定</w:t>
      </w:r>
      <w:r>
        <w:t>退休职工不缴费，所以，老龄化程度与基金收入呈负相关。老龄化程度越高，基</w:t>
      </w:r>
      <w:r>
        <w:t>金收入相对将会减少。老龄化程度对医疗保险基金的影响是一个长期的过程。</w:t>
      </w:r>
      <w:r>
        <w:t>我</w:t>
      </w:r>
    </w:p>
    <w:p w:rsidR="0018722C">
      <w:pPr>
        <w:topLinePunct/>
      </w:pPr>
      <w:bookmarkStart w:name="_bookmark31" w:id="24"/>
      <w:bookmarkEnd w:id="24"/>
      <w:r>
        <w:t>国已经进入快速老龄化阶段，北京市人口老龄化程度也在增加，</w:t>
      </w:r>
      <w:r>
        <w:rPr>
          <w:rFonts w:ascii="Times New Roman" w:eastAsia="Times New Roman"/>
        </w:rPr>
        <w:t>2012</w:t>
      </w:r>
      <w:r>
        <w:t>年，北京</w:t>
      </w:r>
      <w:r>
        <w:t>市</w:t>
      </w:r>
      <w:r>
        <w:rPr>
          <w:rFonts w:ascii="Times New Roman" w:eastAsia="Times New Roman"/>
        </w:rPr>
        <w:t>60</w:t>
      </w:r>
      <w:r>
        <w:t>周岁以上老人占常住人口的</w:t>
      </w:r>
      <w:r>
        <w:rPr>
          <w:rFonts w:ascii="Times New Roman" w:eastAsia="Times New Roman"/>
        </w:rPr>
        <w:t>13</w:t>
      </w:r>
      <w:r>
        <w:rPr>
          <w:rFonts w:ascii="Times New Roman" w:eastAsia="Times New Roman"/>
        </w:rPr>
        <w:t>.</w:t>
      </w:r>
      <w:r>
        <w:rPr>
          <w:rFonts w:ascii="Times New Roman" w:eastAsia="Times New Roman"/>
        </w:rPr>
        <w:t>8%</w:t>
      </w:r>
      <w:r>
        <w:t>，远远超过国际标准</w:t>
      </w:r>
      <w:r>
        <w:rPr>
          <w:rFonts w:ascii="Times New Roman" w:eastAsia="Times New Roman"/>
        </w:rPr>
        <w:t>10%</w:t>
      </w:r>
      <w:r>
        <w:t>，</w:t>
      </w:r>
      <w:r>
        <w:rPr>
          <w:rFonts w:ascii="Times New Roman" w:eastAsia="Times New Roman"/>
        </w:rPr>
        <w:t>65</w:t>
      </w:r>
      <w:r>
        <w:t>周岁以上</w:t>
      </w:r>
      <w:r>
        <w:t>老人占常住人口的</w:t>
      </w:r>
      <w:r>
        <w:rPr>
          <w:rFonts w:ascii="Times New Roman" w:eastAsia="Times New Roman"/>
        </w:rPr>
        <w:t>8</w:t>
      </w:r>
      <w:r>
        <w:rPr>
          <w:rFonts w:ascii="Times New Roman" w:eastAsia="Times New Roman"/>
        </w:rPr>
        <w:t>.</w:t>
      </w:r>
      <w:r>
        <w:rPr>
          <w:rFonts w:ascii="Times New Roman" w:eastAsia="Times New Roman"/>
        </w:rPr>
        <w:t>9%</w:t>
      </w:r>
      <w:r>
        <w:t>，也远远超过国际标准</w:t>
      </w:r>
      <w:r>
        <w:rPr>
          <w:rFonts w:ascii="Times New Roman" w:eastAsia="Times New Roman"/>
        </w:rPr>
        <w:t>7%</w:t>
      </w:r>
      <w:r>
        <w:t>.</w:t>
      </w:r>
      <w:hyperlink w:history="true" w:anchor="_bookmark32">
        <w:r>
          <w:rPr>
            <w:rFonts w:ascii="Times New Roman" w:eastAsia="Times New Roman"/>
          </w:rPr>
          <w:t>1</w:t>
        </w:r>
        <w:r>
          <w:rPr>
            <w:rFonts w:ascii="Times New Roman" w:eastAsia="Times New Roman"/>
          </w:rPr>
          <w:t>4</w:t>
        </w:r>
      </w:hyperlink>
    </w:p>
    <w:p w:rsidR="0018722C">
      <w:pPr>
        <w:pStyle w:val="Heading2"/>
        <w:topLinePunct/>
        <w:ind w:left="171" w:hangingChars="171" w:hanging="171"/>
      </w:pPr>
      <w:bookmarkStart w:id="569940" w:name="_Toc686569940"/>
      <w:r>
        <w:t>3.2</w:t>
      </w:r>
      <w:r>
        <w:t xml:space="preserve"> </w:t>
      </w:r>
      <w:r>
        <w:t>影响基金支出因素分析</w:t>
      </w:r>
      <w:bookmarkEnd w:id="569940"/>
    </w:p>
    <w:p w:rsidR="0018722C">
      <w:pPr>
        <w:topLinePunct/>
      </w:pPr>
      <w:r>
        <w:t>影响基金支出的因素主要包括：预期寿命、起付标准和最高支付限额、医疗费用报销标准、疾病谱的变化、居民健康和保健意识、医疗科技的进步等。</w:t>
      </w:r>
    </w:p>
    <w:p w:rsidR="0018722C">
      <w:pPr>
        <w:pStyle w:val="Heading3"/>
        <w:topLinePunct/>
        <w:ind w:left="200" w:hangingChars="200" w:hanging="200"/>
      </w:pPr>
      <w:bookmarkStart w:id="569941" w:name="_Toc686569941"/>
      <w:r>
        <w:t>3.2.1</w:t>
      </w:r>
      <w:r>
        <w:t xml:space="preserve"> </w:t>
      </w:r>
      <w:r>
        <w:t>预期寿命</w:t>
      </w:r>
      <w:bookmarkEnd w:id="569941"/>
    </w:p>
    <w:p w:rsidR="0018722C">
      <w:pPr>
        <w:topLinePunct/>
      </w:pPr>
      <w:r>
        <w:t>老年人对医疗服务的需求是年轻人的几倍到十几倍，人的预期寿命越长，需</w:t>
      </w:r>
      <w:r>
        <w:t>要的医疗服务就越多。</w:t>
      </w:r>
      <w:r>
        <w:t>近年</w:t>
      </w:r>
      <w:r>
        <w:t>来，北京市人口预期寿命在不断延长，北京市户籍人</w:t>
      </w:r>
      <w:r>
        <w:t>口的预期寿命已经从</w:t>
      </w:r>
      <w:r>
        <w:rPr>
          <w:rFonts w:ascii="Times New Roman" w:eastAsia="Times New Roman"/>
        </w:rPr>
        <w:t>2008</w:t>
      </w:r>
      <w:r>
        <w:t>年的</w:t>
      </w:r>
      <w:r>
        <w:rPr>
          <w:rFonts w:ascii="Times New Roman" w:eastAsia="Times New Roman"/>
        </w:rPr>
        <w:t>80</w:t>
      </w:r>
      <w:r>
        <w:rPr>
          <w:rFonts w:ascii="Times New Roman" w:eastAsia="Times New Roman"/>
        </w:rPr>
        <w:t>.</w:t>
      </w:r>
      <w:r>
        <w:rPr>
          <w:rFonts w:ascii="Times New Roman" w:eastAsia="Times New Roman"/>
        </w:rPr>
        <w:t>27%</w:t>
      </w:r>
      <w:r>
        <w:t>增长到了</w:t>
      </w:r>
      <w:r>
        <w:rPr>
          <w:rFonts w:ascii="Times New Roman" w:eastAsia="Times New Roman"/>
        </w:rPr>
        <w:t>2012</w:t>
      </w:r>
      <w:r>
        <w:t>年的</w:t>
      </w:r>
      <w:r>
        <w:rPr>
          <w:rFonts w:ascii="Times New Roman" w:eastAsia="Times New Roman"/>
        </w:rPr>
        <w:t>81</w:t>
      </w:r>
      <w:r>
        <w:rPr>
          <w:rFonts w:ascii="Times New Roman" w:eastAsia="Times New Roman"/>
        </w:rPr>
        <w:t>.</w:t>
      </w:r>
      <w:r>
        <w:rPr>
          <w:rFonts w:ascii="Times New Roman" w:eastAsia="Times New Roman"/>
        </w:rPr>
        <w:t>35%</w:t>
      </w:r>
      <w:hyperlink w:history="true" w:anchor="_bookmark33">
        <w:r>
          <w:rPr>
            <w:rFonts w:ascii="Times New Roman" w:eastAsia="Times New Roman"/>
          </w:rPr>
          <w:t>15</w:t>
        </w:r>
      </w:hyperlink>
      <w:r>
        <w:t>。人口老龄</w:t>
      </w:r>
      <w:r>
        <w:t>化程度在不断加深，使城镇职工基本医疗保险基金、城镇居民基本医疗保险基金与新型农村合作医疗基金支出的压力也不断增加。</w:t>
      </w:r>
    </w:p>
    <w:p w:rsidR="0018722C">
      <w:pPr>
        <w:pStyle w:val="Heading3"/>
        <w:topLinePunct/>
        <w:ind w:left="200" w:hangingChars="200" w:hanging="200"/>
      </w:pPr>
      <w:bookmarkStart w:id="569942" w:name="_Toc686569942"/>
      <w:r>
        <w:t>3.2.2</w:t>
      </w:r>
      <w:r>
        <w:t xml:space="preserve"> </w:t>
      </w:r>
      <w:r>
        <w:t>起付标准和最高支付限额</w:t>
      </w:r>
      <w:bookmarkEnd w:id="569942"/>
    </w:p>
    <w:p w:rsidR="0018722C">
      <w:pPr>
        <w:topLinePunct/>
      </w:pPr>
      <w:r>
        <w:t>为了防止医疗保险基金的道德风险，医疗保险一般都设置一定的起付线和封</w:t>
      </w:r>
      <w:r>
        <w:t>顶线。一般情况下，起付标准越高，最高支付限额越低，医疗保险基金支出越少。相反，支付标准越低，最高支付限额越高，医疗保险基金支付越多。</w:t>
      </w:r>
    </w:p>
    <w:p w:rsidR="0018722C">
      <w:pPr>
        <w:pStyle w:val="Heading3"/>
        <w:topLinePunct/>
        <w:ind w:left="200" w:hangingChars="200" w:hanging="200"/>
      </w:pPr>
      <w:bookmarkStart w:id="569943" w:name="_Toc686569943"/>
      <w:r>
        <w:t>3.2.3</w:t>
      </w:r>
      <w:r>
        <w:t xml:space="preserve"> </w:t>
      </w:r>
      <w:r>
        <w:t>医疗费用报销标准</w:t>
      </w:r>
      <w:bookmarkEnd w:id="569943"/>
    </w:p>
    <w:p w:rsidR="0018722C">
      <w:pPr>
        <w:topLinePunct/>
      </w:pPr>
      <w:r>
        <w:t>同样为了防范医疗道德风险，维持医疗保险基金可持续发展，医疗保险制度</w:t>
      </w:r>
      <w:r>
        <w:t>中明确规定可报销的医疗项目与各项诊疗项目费用的报销比例。一般来说，可报</w:t>
      </w:r>
      <w:r>
        <w:t>销的项目范围越大，医疗保险基金支出越多，在其他条件不变的情况下，医疗费用报销比例与医疗保险基金支出呈现完全正相关的关系。</w:t>
      </w:r>
    </w:p>
    <w:p w:rsidR="0018722C">
      <w:pPr>
        <w:pStyle w:val="Heading3"/>
        <w:topLinePunct/>
        <w:ind w:left="200" w:hangingChars="200" w:hanging="200"/>
      </w:pPr>
      <w:bookmarkStart w:id="569944" w:name="_Toc686569944"/>
      <w:r>
        <w:t>3.2.4</w:t>
      </w:r>
      <w:r>
        <w:t xml:space="preserve"> </w:t>
      </w:r>
      <w:r>
        <w:t>疾病谱的变化</w:t>
      </w:r>
      <w:bookmarkEnd w:id="569944"/>
    </w:p>
    <w:p w:rsidR="0018722C">
      <w:pPr>
        <w:topLinePunct/>
      </w:pPr>
      <w:r>
        <w:t>疾病谱是指某一地区危害人群健康的所有疾病中按其危害程度</w:t>
      </w:r>
      <w:r>
        <w:t>（</w:t>
      </w:r>
      <w:r>
        <w:t xml:space="preserve">导致死亡</w:t>
      </w:r>
      <w:r>
        <w:t>）</w:t>
      </w:r>
      <w:r>
        <w:t>的顺序排列成的疾病谱带。根据</w:t>
      </w:r>
      <w:r>
        <w:rPr>
          <w:rFonts w:ascii="Times New Roman" w:eastAsia="Times New Roman"/>
        </w:rPr>
        <w:t>2012</w:t>
      </w:r>
      <w:r>
        <w:t>年北京市卫生工作统计资料显示，</w:t>
      </w:r>
      <w:r>
        <w:rPr>
          <w:rFonts w:ascii="Times New Roman" w:eastAsia="Times New Roman"/>
        </w:rPr>
        <w:t>2012</w:t>
      </w:r>
      <w:r>
        <w:t>年</w:t>
      </w:r>
      <w:r>
        <w:t>北京市导致死亡最多的四项疾病分别为：恶性肿瘤、心脏病、脑血管病和呼吸疾</w:t>
      </w:r>
      <w:r>
        <w:t>病，所占比例分别为</w:t>
      </w:r>
      <w:r>
        <w:rPr>
          <w:rFonts w:ascii="Times New Roman" w:eastAsia="Times New Roman"/>
        </w:rPr>
        <w:t>26</w:t>
      </w:r>
      <w:r>
        <w:rPr>
          <w:rFonts w:ascii="Times New Roman" w:eastAsia="Times New Roman"/>
        </w:rPr>
        <w:t>.</w:t>
      </w:r>
      <w:r>
        <w:rPr>
          <w:rFonts w:ascii="Times New Roman" w:eastAsia="Times New Roman"/>
        </w:rPr>
        <w:t>76%</w:t>
      </w:r>
      <w:r>
        <w:t>、</w:t>
      </w:r>
      <w:r>
        <w:rPr>
          <w:rFonts w:ascii="Times New Roman" w:eastAsia="Times New Roman"/>
        </w:rPr>
        <w:t>25.08%</w:t>
      </w:r>
      <w:r>
        <w:t>、</w:t>
      </w:r>
      <w:r>
        <w:rPr>
          <w:rFonts w:ascii="Times New Roman" w:eastAsia="Times New Roman"/>
        </w:rPr>
        <w:t>21.45%</w:t>
      </w:r>
      <w:r>
        <w:t>、</w:t>
      </w:r>
      <w:r>
        <w:rPr>
          <w:rFonts w:ascii="Times New Roman" w:eastAsia="Times New Roman"/>
        </w:rPr>
        <w:t>9.87%</w:t>
      </w:r>
      <w:r>
        <w:t>，合计占比超过</w:t>
      </w:r>
      <w:r>
        <w:rPr>
          <w:rFonts w:ascii="Times New Roman" w:eastAsia="Times New Roman"/>
        </w:rPr>
        <w:t>80%</w:t>
      </w:r>
      <w:r>
        <w:t>。</w:t>
      </w:r>
      <w:r>
        <w:t>以上四项疾病的发生与人们的社会因素、心理因素、环境因素以及生活方式有很</w:t>
      </w:r>
      <w:r>
        <w:t>大关系。北京市人们生活节奏交快，工作压力大，再加上</w:t>
      </w:r>
      <w:r>
        <w:t>近年</w:t>
      </w:r>
      <w:r>
        <w:t>来城市环境污染严</w:t>
      </w:r>
      <w:r>
        <w:t>重，经常出现雾霾，这些因素与恶性肿瘤、心脏病、脑血管病和呼吸疾病的发生</w:t>
      </w:r>
      <w:r>
        <w:t>有很大影响。然而这四种疾病的医疗费用都非常高，所以，疾病谱的变化对医</w:t>
      </w:r>
      <w:r>
        <w:t>疗</w: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数据来源：北京市卫生工作统计资料简编</w:t>
      </w:r>
    </w:p>
    <w:p w:rsidR="0018722C">
      <w:pPr>
        <w:pStyle w:val="Heading3"/>
        <w:topLinePunct/>
        <w:ind w:left="200" w:hangingChars="200" w:hanging="200"/>
      </w:pPr>
      <w:bookmarkStart w:id="569945" w:name="_Toc686569945"/>
      <w:bookmarkStart w:name="_bookmark34" w:id="25"/>
      <w:bookmarkEnd w:id="25"/>
      <w:r/>
      <w:r>
        <w:t>保险基金支出有重要影响。</w:t>
      </w:r>
      <w:bookmarkEnd w:id="569945"/>
    </w:p>
    <w:p w:rsidR="0018722C">
      <w:pPr>
        <w:pStyle w:val="Heading3"/>
        <w:topLinePunct/>
        <w:ind w:left="200" w:hangingChars="200" w:hanging="200"/>
      </w:pPr>
      <w:bookmarkStart w:id="569946" w:name="_Toc686569946"/>
      <w:r>
        <w:t>3.2.5</w:t>
      </w:r>
      <w:r>
        <w:t xml:space="preserve"> </w:t>
      </w:r>
      <w:r>
        <w:t>居民健康和保健意识</w:t>
      </w:r>
      <w:bookmarkEnd w:id="569946"/>
    </w:p>
    <w:p w:rsidR="0018722C">
      <w:pPr>
        <w:topLinePunct/>
      </w:pPr>
      <w:r>
        <w:t>从发达国家来看，随着经济的发展，人民生活水平的提高，卫生、医疗、保</w:t>
      </w:r>
      <w:r>
        <w:t>健费用必然随之上涨。这是因为，一方面，人民收入水平提高，必然会对健康加</w:t>
      </w:r>
      <w:r>
        <w:t>以重视。主要表现在注意锻炼身体、关注营养和饮食、改善不良饮食习惯。另一方面，人们更加注重个人健康，会增加就业频率，导致医疗服务需求增加，就诊和住院量增加，医疗保险基金支出增加。</w:t>
      </w:r>
    </w:p>
    <w:p w:rsidR="0018722C">
      <w:pPr>
        <w:pStyle w:val="Heading3"/>
        <w:topLinePunct/>
        <w:ind w:left="200" w:hangingChars="200" w:hanging="200"/>
      </w:pPr>
      <w:bookmarkStart w:id="569947" w:name="_Toc686569947"/>
      <w:r>
        <w:t>3.2.6</w:t>
      </w:r>
      <w:r>
        <w:t xml:space="preserve"> </w:t>
      </w:r>
      <w:r>
        <w:t>医疗科技的进步</w:t>
      </w:r>
      <w:bookmarkEnd w:id="569947"/>
    </w:p>
    <w:p w:rsidR="0018722C">
      <w:pPr>
        <w:topLinePunct/>
      </w:pPr>
      <w:r>
        <w:t>科学技术是第一生产力，医学事业的发展、医疗质量的提高和功能的扩展都</w:t>
      </w:r>
      <w:r>
        <w:t>依赖于医学科技的进步。我国现阶段医学和医疗科技技术的不断发展带来和药品</w:t>
      </w:r>
      <w:r>
        <w:t>的更新换代，检查和治疗设备的推陈出新，如</w:t>
      </w:r>
      <w:r>
        <w:rPr>
          <w:rFonts w:ascii="Times New Roman" w:eastAsia="Times New Roman"/>
        </w:rPr>
        <w:t>CT</w:t>
      </w:r>
      <w:r>
        <w:t>、</w:t>
      </w:r>
      <w:r>
        <w:rPr>
          <w:rFonts w:ascii="Times New Roman" w:eastAsia="Times New Roman"/>
        </w:rPr>
        <w:t>MRI</w:t>
      </w:r>
      <w:r>
        <w:t>等高精尖仪器的引进和</w:t>
      </w:r>
      <w:r>
        <w:t>使用，对于患者来说，改善了参保者的健康状况，同时也带来了医疗服务成本的提高。医疗科技进步的后果必然是推动医疗费用的增长，导致医疗保险费用支出增加。</w:t>
      </w:r>
    </w:p>
    <w:p w:rsidR="0018722C">
      <w:pPr>
        <w:pStyle w:val="Heading1"/>
        <w:topLinePunct/>
      </w:pPr>
      <w:bookmarkStart w:id="569948" w:name="_Toc686569948"/>
      <w:bookmarkStart w:name="_bookmark35" w:id="26"/>
      <w:bookmarkEnd w:id="26"/>
      <w:bookmarkStart w:name="_bookmark36" w:id="27"/>
      <w:bookmarkEnd w:id="27"/>
      <w:r>
        <w:t>第 4 章</w:t>
      </w:r>
      <w:r>
        <w:t xml:space="preserve">  </w:t>
      </w:r>
      <w:r w:rsidRPr="00DB64CE">
        <w:t>国外及我国其他地区基金管理经验</w:t>
      </w:r>
      <w:bookmarkEnd w:id="569948"/>
    </w:p>
    <w:p w:rsidR="0018722C">
      <w:pPr>
        <w:topLinePunct/>
      </w:pPr>
      <w:r>
        <w:t>基金收支平衡管理是医疗保障制度持续发展的基础，国外部分国家为控制基</w:t>
      </w:r>
      <w:r>
        <w:t>金合理结余，提高基金的使用效率，纷纷建立了风险储备金制度。我国其他地区对医疗保险基金结余管理也进行了相关探索。</w:t>
      </w:r>
    </w:p>
    <w:p w:rsidR="0018722C">
      <w:pPr>
        <w:pStyle w:val="Heading2"/>
        <w:topLinePunct/>
        <w:ind w:left="171" w:hangingChars="171" w:hanging="171"/>
      </w:pPr>
      <w:bookmarkStart w:id="569949" w:name="_Toc686569949"/>
      <w:r>
        <w:t>4.1</w:t>
      </w:r>
      <w:r>
        <w:t xml:space="preserve"> </w:t>
      </w:r>
      <w:r>
        <w:t>国外部分国家医疗保险基金收支管理</w:t>
      </w:r>
      <w:bookmarkEnd w:id="569949"/>
    </w:p>
    <w:p w:rsidR="0018722C">
      <w:pPr>
        <w:topLinePunct/>
      </w:pPr>
      <w:r>
        <w:t>国际上很多国家的医疗保险制度已经实行几十年甚至上百年了，发达国家在医疗保险基金管理和费用控制方面也有着十分丰富的管理经验。</w:t>
      </w:r>
    </w:p>
    <w:p w:rsidR="0018722C">
      <w:pPr>
        <w:topLinePunct/>
      </w:pPr>
      <w:r>
        <w:t>国际劳工组织在《卫生筹资建模》中指出，医疗保险风险储备金累计最高提</w:t>
      </w:r>
      <w:r>
        <w:t>取额会受到基金波动程度、当期提取比例和基金管理水平等因素的影响，一般在</w:t>
      </w:r>
      <w:r>
        <w:t>年支出的</w:t>
      </w:r>
      <w:r>
        <w:rPr>
          <w:rFonts w:ascii="Times New Roman" w:hAnsi="Times New Roman" w:eastAsia="Times New Roman"/>
        </w:rPr>
        <w:t>25%</w:t>
      </w:r>
      <w:r>
        <w:t>至</w:t>
      </w:r>
      <w:r>
        <w:rPr>
          <w:rFonts w:ascii="Times New Roman" w:hAnsi="Times New Roman" w:eastAsia="Times New Roman"/>
        </w:rPr>
        <w:t>100%</w:t>
      </w:r>
      <w:r>
        <w:t>之间。医疗保险制度覆盖范围大并且人口稳定的国家，可</w:t>
      </w:r>
      <w:r>
        <w:t>将风险储备金累计最高提取额定在</w:t>
      </w:r>
      <w:r>
        <w:rPr>
          <w:rFonts w:ascii="Times New Roman" w:hAnsi="Times New Roman" w:eastAsia="Times New Roman"/>
        </w:rPr>
        <w:t>3</w:t>
      </w:r>
      <w:r>
        <w:t>个月的支出水平。基金规模小，人群发病率</w:t>
      </w:r>
      <w:r>
        <w:t>变动大的统筹地区，可能需要将风险储备金累计最高提取额定在</w:t>
      </w:r>
      <w:r>
        <w:rPr>
          <w:rFonts w:ascii="Times New Roman" w:hAnsi="Times New Roman" w:eastAsia="Times New Roman"/>
        </w:rPr>
        <w:t>3</w:t>
      </w:r>
      <w:r>
        <w:t>年的支出水平</w:t>
      </w:r>
      <w:r>
        <w:t>以上。发生瘟疫或者其他公共卫生危机时，常常通过财政拨款弥补医保基金赤字。</w:t>
      </w:r>
      <w:r>
        <w:t>德国风险当期风险储备金提取比例</w:t>
      </w:r>
      <w:r>
        <w:t>（</w:t>
      </w:r>
      <w:r>
        <w:t>占年支出额的比例</w:t>
      </w:r>
      <w:r>
        <w:t>）</w:t>
      </w:r>
      <w:r>
        <w:t>不低于十二分之一</w:t>
      </w:r>
      <w:r>
        <w:t>（</w:t>
      </w:r>
      <w:r>
        <w:t>即一个月的支付水平</w:t>
      </w:r>
      <w:r>
        <w:t>）</w:t>
      </w:r>
      <w:r>
        <w:t>，法国储备金率为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w:t>
      </w:r>
      <w:r>
        <w:t>，荷兰风险储备金是年预期支</w:t>
      </w:r>
      <w:r>
        <w:t>出的</w:t>
      </w:r>
      <w:r>
        <w:rPr>
          <w:rFonts w:ascii="Times New Roman" w:hAnsi="Times New Roman" w:eastAsia="Times New Roman"/>
        </w:rPr>
        <w:t>6%</w:t>
      </w:r>
      <w:r>
        <w:t>。</w:t>
      </w:r>
      <w:hyperlink w:history="true" w:anchor="_bookmark37">
        <w:r>
          <w:rPr>
            <w:vertAlign w:val="superscript"/>
            /&gt;
          </w:rPr>
          <w:t>16</w:t>
        </w:r>
      </w:hyperlink>
      <w:r>
        <w:t>三个国家当期医疗保险风险储备金提取比例均小于</w:t>
      </w:r>
      <w:r>
        <w:rPr>
          <w:rFonts w:ascii="Times New Roman" w:hAnsi="Times New Roman" w:eastAsia="Times New Roman"/>
        </w:rPr>
        <w:t>15%</w:t>
      </w:r>
      <w:r>
        <w:t>。下面将分</w:t>
      </w:r>
      <w:r>
        <w:t>别分析法国、德国、美国医疗保险基金管理方法，探索其保持医疗保险基金平衡</w:t>
      </w:r>
      <w:r>
        <w:t>的有效手段，尤其是如何有效控制医疗费用的方法，从而为北京市医疗保险基金管理提供一定的借鉴意义。</w:t>
      </w:r>
    </w:p>
    <w:p w:rsidR="0018722C">
      <w:pPr>
        <w:pStyle w:val="Heading3"/>
        <w:topLinePunct/>
        <w:ind w:left="200" w:hangingChars="200" w:hanging="200"/>
      </w:pPr>
      <w:bookmarkStart w:id="569950" w:name="_Toc686569950"/>
      <w:r>
        <w:t>4.1.1</w:t>
      </w:r>
      <w:r>
        <w:t xml:space="preserve"> </w:t>
      </w:r>
      <w:r>
        <w:t>法国医疗保险基金管理</w:t>
      </w:r>
      <w:bookmarkEnd w:id="569950"/>
    </w:p>
    <w:p w:rsidR="0018722C">
      <w:pPr>
        <w:topLinePunct/>
      </w:pPr>
      <w:r>
        <w:t>法国在</w:t>
      </w:r>
      <w:r>
        <w:rPr>
          <w:rFonts w:ascii="Times New Roman" w:eastAsia="Times New Roman"/>
        </w:rPr>
        <w:t>1945</w:t>
      </w:r>
      <w:r>
        <w:t>年便创立了医疗保险体系，并且社保体系覆盖了包括企事业单</w:t>
      </w:r>
      <w:r>
        <w:t>位雇员、公务员、工人、农民、自由职业者及退休人员所有国民。目前法国的医</w:t>
      </w:r>
      <w:r>
        <w:t>疗保险制度覆盖率高达</w:t>
      </w:r>
      <w:r>
        <w:rPr>
          <w:rFonts w:ascii="Times New Roman" w:eastAsia="Times New Roman"/>
        </w:rPr>
        <w:t>99</w:t>
      </w:r>
      <w:r>
        <w:rPr>
          <w:rFonts w:ascii="Times New Roman" w:eastAsia="Times New Roman"/>
        </w:rPr>
        <w:t>.</w:t>
      </w:r>
      <w:r>
        <w:rPr>
          <w:rFonts w:ascii="Times New Roman" w:eastAsia="Times New Roman"/>
        </w:rPr>
        <w:t>2%</w:t>
      </w:r>
      <w:r>
        <w:t>，包括全体国民必须参加的基本医疗保险以及自愿</w:t>
      </w:r>
      <w:r>
        <w:t>参加的补充医疗保险，还为部分月均收入低于六百欧元的弱势群体提供免费医</w:t>
      </w:r>
      <w:r>
        <w:t>疗。法国医疗保险基金的管理机构为国家医疗保险管理局，并设有</w:t>
      </w:r>
      <w:r>
        <w:rPr>
          <w:rFonts w:ascii="Times New Roman" w:eastAsia="Times New Roman"/>
        </w:rPr>
        <w:t>17</w:t>
      </w:r>
      <w:r>
        <w:t>个大区分</w:t>
      </w:r>
      <w:r>
        <w:t>局，医疗保险费是由</w:t>
      </w:r>
      <w:r>
        <w:rPr>
          <w:rFonts w:ascii="Times New Roman" w:eastAsia="Times New Roman"/>
        </w:rPr>
        <w:t>ACOSS</w:t>
      </w:r>
      <w:r>
        <w:t>负责征收。</w:t>
      </w:r>
    </w:p>
    <w:p w:rsidR="0018722C">
      <w:pPr>
        <w:topLinePunct/>
      </w:pPr>
      <w:r>
        <w:t>法国医疗卫生费用</w:t>
      </w:r>
      <w:r>
        <w:t>近年</w:t>
      </w:r>
      <w:r>
        <w:t>来呈逐步增长的态势，医疗费用支出总额占</w:t>
      </w:r>
      <w:r>
        <w:rPr>
          <w:rFonts w:ascii="Times New Roman" w:eastAsia="Times New Roman"/>
        </w:rPr>
        <w:t>GDP</w:t>
      </w:r>
      <w:r>
        <w:t>的</w:t>
      </w:r>
      <w:r>
        <w:t>比重均在</w:t>
      </w:r>
      <w:r>
        <w:rPr>
          <w:rFonts w:ascii="Times New Roman" w:eastAsia="Times New Roman"/>
        </w:rPr>
        <w:t>10%</w:t>
      </w:r>
      <w:r>
        <w:t>以上，超过了西方经济发展合作组织成员国家</w:t>
      </w:r>
      <w:r>
        <w:rPr>
          <w:rFonts w:ascii="Times New Roman" w:eastAsia="Times New Roman"/>
        </w:rPr>
        <w:t>9%</w:t>
      </w:r>
      <w:r>
        <w:t>的平均水平。法</w:t>
      </w:r>
      <w:r>
        <w:t>国规定的各项医疗保险基金支付医疗费用的比例为：基本医疗保险基金支</w:t>
      </w:r>
      <w:r>
        <w:t>付</w:t>
      </w:r>
    </w:p>
    <w:p w:rsidR="0018722C">
      <w:pPr>
        <w:topLinePunct/>
      </w:pPr>
      <w:r>
        <w:rPr>
          <w:rFonts w:ascii="Times New Roman" w:eastAsia="Times New Roman"/>
        </w:rPr>
        <w:t>77%</w:t>
      </w:r>
      <w:r>
        <w:t>，补充医疗保险基金支付</w:t>
      </w:r>
      <w:r>
        <w:rPr>
          <w:rFonts w:ascii="Times New Roman" w:eastAsia="Times New Roman"/>
        </w:rPr>
        <w:t>12</w:t>
      </w:r>
      <w:r>
        <w:rPr>
          <w:rFonts w:ascii="Times New Roman" w:eastAsia="Times New Roman"/>
        </w:rPr>
        <w:t>.</w:t>
      </w:r>
      <w:r>
        <w:rPr>
          <w:rFonts w:ascii="Times New Roman" w:eastAsia="Times New Roman"/>
        </w:rPr>
        <w:t>5%</w:t>
      </w:r>
      <w:r>
        <w:t>，个人支付</w:t>
      </w:r>
      <w:r>
        <w:rPr>
          <w:rFonts w:ascii="Times New Roman" w:eastAsia="Times New Roman"/>
        </w:rPr>
        <w:t>9%</w:t>
      </w:r>
      <w:r>
        <w:t>，剩余的</w:t>
      </w:r>
      <w:r>
        <w:rPr>
          <w:rFonts w:ascii="Times New Roman" w:eastAsia="Times New Roman"/>
        </w:rPr>
        <w:t>1</w:t>
      </w:r>
      <w:r>
        <w:rPr>
          <w:rFonts w:ascii="Times New Roman" w:eastAsia="Times New Roman"/>
        </w:rPr>
        <w:t>.</w:t>
      </w:r>
      <w:r>
        <w:rPr>
          <w:rFonts w:ascii="Times New Roman" w:eastAsia="Times New Roman"/>
        </w:rPr>
        <w:t>5%</w:t>
      </w:r>
      <w:r>
        <w:t>由国家补助。</w: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国际劳动工组织，卫生筹资建模，</w:t>
      </w:r>
      <w:r>
        <w:rPr>
          <w:rFonts w:ascii="Times New Roman" w:eastAsia="Times New Roman" w:cstheme="minorBidi" w:hAnsiTheme="minorHAnsi"/>
        </w:rPr>
        <w:t>1999</w:t>
      </w:r>
    </w:p>
    <w:p w:rsidR="0018722C">
      <w:pPr>
        <w:topLinePunct/>
      </w:pPr>
      <w:bookmarkStart w:name="_bookmark38" w:id="28"/>
      <w:bookmarkEnd w:id="28"/>
      <w:r>
        <w:t>但在</w:t>
      </w:r>
      <w:r>
        <w:rPr>
          <w:rFonts w:ascii="Times New Roman" w:eastAsia="Times New Roman"/>
        </w:rPr>
        <w:t>2004</w:t>
      </w:r>
      <w:r>
        <w:t>年之前，个人承担医疗卫生费用的比例高达</w:t>
      </w:r>
      <w:r>
        <w:rPr>
          <w:rFonts w:ascii="Times New Roman" w:eastAsia="Times New Roman"/>
        </w:rPr>
        <w:t>16</w:t>
      </w:r>
      <w:r>
        <w:rPr>
          <w:rFonts w:ascii="Times New Roman" w:eastAsia="Times New Roman"/>
        </w:rPr>
        <w:t>.</w:t>
      </w:r>
      <w:r>
        <w:rPr>
          <w:rFonts w:ascii="Times New Roman" w:eastAsia="Times New Roman"/>
        </w:rPr>
        <w:t>8%</w:t>
      </w:r>
      <w:r>
        <w:t>。随着医疗卫生费用的不断上涨，医疗保险支出费用的比例也逐步攀升。</w:t>
      </w:r>
    </w:p>
    <w:p w:rsidR="0018722C">
      <w:pPr>
        <w:topLinePunct/>
      </w:pPr>
      <w:r>
        <w:t>法国医疗保险基金长期处于赤字状态，为了控制法国卫生费用的过快增长，</w:t>
      </w:r>
      <w:r>
        <w:t>改善医疗保险基金入不敷出的状况，调节卫生资源的配置，提高其利用效率，法</w:t>
      </w:r>
      <w:r>
        <w:t>国政府开展了一系列调控政策和措施。</w:t>
      </w:r>
      <w:r>
        <w:rPr>
          <w:rFonts w:ascii="Times New Roman" w:eastAsia="Times New Roman"/>
        </w:rPr>
        <w:t>2004</w:t>
      </w:r>
      <w:r>
        <w:t>年法国开始实施</w:t>
      </w:r>
      <w:r>
        <w:rPr>
          <w:rFonts w:ascii="Times New Roman" w:eastAsia="Times New Roman"/>
        </w:rPr>
        <w:t>Douste-Blazy</w:t>
      </w:r>
      <w:r>
        <w:t>改革，</w:t>
      </w:r>
      <w:r>
        <w:t>该项政策主要从以下七个方面进行改革：一是强化医疗服务程序的规范性和协调</w:t>
      </w:r>
      <w:r>
        <w:t>性，医生需要为病人建立个人档案并且严格按照医疗服务程序执行，否则会受到</w:t>
      </w:r>
      <w:r>
        <w:t>处罚。二是加强医疗服务的质量控制，对各项医疗服务进行严格评估，监督医疗</w:t>
      </w:r>
      <w:r>
        <w:t>服务决策权的实行。三是优化项目管理，减少医疗保险基金支付过程中的错误操</w:t>
      </w:r>
      <w:r>
        <w:t>作。四是充分发挥国家医疗保险管理中心的统筹协调管理职能。五是通过设置自</w:t>
      </w:r>
      <w:r>
        <w:t>付比例和起付线来防范道德风险，制度规定单次诊疗的费用需由个人自付</w:t>
      </w:r>
      <w:r>
        <w:rPr>
          <w:rFonts w:ascii="Times New Roman" w:eastAsia="Times New Roman"/>
        </w:rPr>
        <w:t>1</w:t>
      </w:r>
      <w:r>
        <w:t>欧</w:t>
      </w:r>
      <w:r>
        <w:t>元，每盒药自付</w:t>
      </w:r>
      <w:r>
        <w:rPr>
          <w:rFonts w:ascii="Times New Roman" w:eastAsia="Times New Roman"/>
        </w:rPr>
        <w:t>0</w:t>
      </w:r>
      <w:r>
        <w:rPr>
          <w:rFonts w:ascii="Times New Roman" w:eastAsia="Times New Roman"/>
        </w:rPr>
        <w:t>.</w:t>
      </w:r>
      <w:r>
        <w:rPr>
          <w:rFonts w:ascii="Times New Roman" w:eastAsia="Times New Roman"/>
        </w:rPr>
        <w:t>5</w:t>
      </w:r>
      <w:r>
        <w:t>欧元，同时规定了一些需要完全自费的非常规检查项目。六</w:t>
      </w:r>
      <w:r>
        <w:t>是医疗保险机构参与公共健康管理，确保医疗服务信息的真实可靠。七是加大对医疗保险参保者的政策宣传力度。</w:t>
      </w:r>
    </w:p>
    <w:p w:rsidR="0018722C">
      <w:pPr>
        <w:pStyle w:val="Heading3"/>
        <w:topLinePunct/>
        <w:ind w:left="200" w:hangingChars="200" w:hanging="200"/>
      </w:pPr>
      <w:bookmarkStart w:id="569951" w:name="_Toc686569951"/>
      <w:r>
        <w:t>4.1.2</w:t>
      </w:r>
      <w:r>
        <w:t xml:space="preserve"> </w:t>
      </w:r>
      <w:r>
        <w:t>德国医疗保险基金管理</w:t>
      </w:r>
      <w:bookmarkEnd w:id="569951"/>
    </w:p>
    <w:p w:rsidR="0018722C">
      <w:pPr>
        <w:topLinePunct/>
      </w:pPr>
      <w:r>
        <w:t>德国在</w:t>
      </w:r>
      <w:r>
        <w:rPr>
          <w:rFonts w:ascii="Times New Roman" w:eastAsia="Times New Roman"/>
        </w:rPr>
        <w:t>1883</w:t>
      </w:r>
      <w:r>
        <w:t>年通过立法建立了国家医疗保险，即《工人疾病保险法》，这一</w:t>
      </w:r>
      <w:r>
        <w:t>法律的颁布至今已有</w:t>
      </w:r>
      <w:r>
        <w:rPr>
          <w:rFonts w:ascii="Times New Roman" w:eastAsia="Times New Roman"/>
        </w:rPr>
        <w:t>130</w:t>
      </w:r>
      <w:r>
        <w:t>年了，在这一百多年中，德国医疗保险也在不断地完善</w:t>
      </w:r>
      <w:r>
        <w:t>与改革，医疗保险的覆盖率以及待遇水平都有了很大的提高，大约</w:t>
      </w:r>
      <w:r>
        <w:rPr>
          <w:rFonts w:ascii="Times New Roman" w:eastAsia="Times New Roman"/>
        </w:rPr>
        <w:t>88%</w:t>
      </w:r>
      <w:r>
        <w:t>的国民均</w:t>
      </w:r>
      <w:r>
        <w:t>参加了强制性健康保险，有</w:t>
      </w:r>
      <w:r>
        <w:rPr>
          <w:rFonts w:ascii="Times New Roman" w:eastAsia="Times New Roman"/>
        </w:rPr>
        <w:t>10%</w:t>
      </w:r>
      <w:r>
        <w:t>的高收入群体参加私人保险，另外还有</w:t>
      </w:r>
      <w:r>
        <w:rPr>
          <w:rFonts w:ascii="Times New Roman" w:eastAsia="Times New Roman"/>
        </w:rPr>
        <w:t>2%</w:t>
      </w:r>
      <w:r>
        <w:t>的人口享受免费医疗，主要是军人与警察。</w:t>
      </w:r>
    </w:p>
    <w:p w:rsidR="0018722C">
      <w:pPr>
        <w:topLinePunct/>
      </w:pPr>
      <w:r>
        <w:t>在德国的社保体系下，通常每个险种都会有一个独立的社会保险经办机构，</w:t>
      </w:r>
      <w:r>
        <w:t>医疗保险的经办机构也是医疗保险基金管理机构。这种组织机构形式保障了医疗</w:t>
      </w:r>
      <w:r>
        <w:t>保险本身和保险机构的财务分离。德国所有的社会保险经办机构都是具有权利能</w:t>
      </w:r>
      <w:r>
        <w:t>力的法人，而不是国家机关，所以，社会保险的财政预算与决策都需要议会的批准，这在一定程度上使得德国社会保险在履行自身职责时被有效的监督。</w:t>
      </w:r>
    </w:p>
    <w:p w:rsidR="0018722C">
      <w:pPr>
        <w:topLinePunct/>
      </w:pPr>
      <w:r>
        <w:t>与法国相比，德国卫生费用支出总体保持稳定，其中公共医疗支出占总医疗</w:t>
      </w:r>
      <w:r>
        <w:t>支出的比重也相对比较平衡，人均医疗费用较其他</w:t>
      </w:r>
      <w:r>
        <w:rPr>
          <w:rFonts w:ascii="Times New Roman" w:eastAsia="宋体"/>
        </w:rPr>
        <w:t>OECD</w:t>
      </w:r>
      <w:r>
        <w:t>国家较低。</w:t>
      </w:r>
      <w:r>
        <w:t>近年</w:t>
      </w:r>
      <w:r>
        <w:t>来，</w:t>
      </w:r>
      <w:r>
        <w:t>德国联邦政府采取了一系列措施来控制卫生保健费用，并竭力稳定健康保险制度</w:t>
      </w:r>
      <w:r>
        <w:t>保险金收费率。</w:t>
      </w:r>
      <w:r>
        <w:rPr>
          <w:rFonts w:ascii="Times New Roman" w:eastAsia="宋体"/>
        </w:rPr>
        <w:t>1989</w:t>
      </w:r>
      <w:r>
        <w:t>年德国制定了药品参考价格制度，这项制度规定了药店</w:t>
      </w:r>
      <w:r>
        <w:t>从</w:t>
      </w:r>
    </w:p>
    <w:p w:rsidR="0018722C">
      <w:pPr>
        <w:topLinePunct/>
      </w:pPr>
      <w:bookmarkStart w:name="_bookmark39" w:id="29"/>
      <w:bookmarkEnd w:id="29"/>
      <w:r/>
      <w:r>
        <w:t>健康保险制度疾病基金会取得药品的价格上限，从而有效控制了药品费用支出。</w:t>
      </w:r>
    </w:p>
    <w:p w:rsidR="0018722C">
      <w:pPr>
        <w:topLinePunct/>
      </w:pPr>
      <w:r>
        <w:rPr>
          <w:rFonts w:ascii="Times New Roman" w:eastAsia="Times New Roman"/>
        </w:rPr>
        <w:t>1993</w:t>
      </w:r>
      <w:r>
        <w:t>年德国制定了卫生保健部门全面预算制度，规定各卫生保健部门必须在预算内开展医疗服务，并且规定预算涵盖了所有的卫生保健费用，包括住院治疗、</w:t>
      </w:r>
      <w:r>
        <w:t>门诊治疗、处方药品费用以及残疾基金会的管理费用等。同时对医院实行新的价</w:t>
      </w:r>
      <w:r>
        <w:t>格制度，限制新的医生进入，加强门诊与住院服务之间的联系，允许参保者自由</w:t>
      </w:r>
      <w:r>
        <w:t>选择疾病基金会。</w:t>
      </w:r>
      <w:r>
        <w:rPr>
          <w:rFonts w:ascii="Times New Roman" w:eastAsia="Times New Roman"/>
        </w:rPr>
        <w:t>1997</w:t>
      </w:r>
      <w:r>
        <w:t>年德国对健康保险制度进行了重组与重新定，规定各个</w:t>
      </w:r>
      <w:r>
        <w:t>疾病基金会之间可以进行资金调剂。主要包括：用于大额支付的州协会和全联邦</w:t>
      </w:r>
      <w:r>
        <w:t>协会的机构间协调金、由最高一级医疗保险管理机构协会形成的可以在紧急情况</w:t>
      </w:r>
      <w:r>
        <w:t>下使用的转移财政援助、医疗管理机构之间的风险调剂金和用于改善慢性病患者</w:t>
      </w:r>
      <w:r>
        <w:t>医疗的项目特别调剂金。单就医疗管理机构之间的风险调剂金一项，在</w:t>
      </w:r>
      <w:r>
        <w:rPr>
          <w:rFonts w:ascii="Times New Roman" w:eastAsia="Times New Roman"/>
        </w:rPr>
        <w:t>2001</w:t>
      </w:r>
      <w:r>
        <w:t>年</w:t>
      </w:r>
      <w:r>
        <w:t>资金转移规模就有</w:t>
      </w:r>
      <w:r>
        <w:rPr>
          <w:rFonts w:ascii="Times New Roman" w:eastAsia="Times New Roman"/>
        </w:rPr>
        <w:t>130</w:t>
      </w:r>
      <w:r>
        <w:t>亿欧元。</w:t>
      </w:r>
      <w:hyperlink w:history="true" w:anchor="_bookmark40">
        <w:r>
          <w:rPr>
            <w:rFonts w:ascii="Times New Roman" w:eastAsia="Times New Roman"/>
          </w:rPr>
          <w:t>1</w:t>
        </w:r>
        <w:r>
          <w:rPr>
            <w:rFonts w:ascii="Times New Roman" w:eastAsia="Times New Roman"/>
          </w:rPr>
          <w:t>7</w:t>
        </w:r>
      </w:hyperlink>
    </w:p>
    <w:p w:rsidR="0018722C">
      <w:pPr>
        <w:topLinePunct/>
      </w:pPr>
      <w:r>
        <w:t>事实上，德国的医疗保险基金调剂制度也在逐步改革，从以收入为导向的调</w:t>
      </w:r>
      <w:r>
        <w:t>剂制度向以发病率为导向的调剂制度进行转变，以期能够有效遏制医疗保险基金管理机构间被扭曲的竞争，从而将医疗保险的费用支出控制在更为合理的范围。</w:t>
      </w:r>
      <w:r>
        <w:t>除了财政调剂金的规定，德国为减轻财政负担，进一步改善医疗保险基金的运营</w:t>
      </w:r>
      <w:r>
        <w:t>情况，在</w:t>
      </w:r>
      <w:r>
        <w:rPr>
          <w:rFonts w:ascii="Times New Roman" w:eastAsia="宋体"/>
        </w:rPr>
        <w:t>2004</w:t>
      </w:r>
      <w:r>
        <w:t>年实行了一系列旨在控制医疗费用的改革措施开源节流。开源方</w:t>
      </w:r>
      <w:r>
        <w:t>面包括增加缴费，将非工资性收入也纳入工资收入之中，全部计入缴费基数，通</w:t>
      </w:r>
      <w:r>
        <w:t>过提高烟草税收来弥补家庭护理费开支。节流方面包括减少医疗保险不必要的支</w:t>
      </w:r>
      <w:r>
        <w:t>出项目，例如假牙、隐形眼镜等，提高住院费用的自付比例，加强家庭医疗护理。</w:t>
      </w:r>
    </w:p>
    <w:p w:rsidR="0018722C">
      <w:pPr>
        <w:pStyle w:val="Heading3"/>
        <w:topLinePunct/>
        <w:ind w:left="200" w:hangingChars="200" w:hanging="200"/>
      </w:pPr>
      <w:bookmarkStart w:id="569952" w:name="_Toc686569952"/>
      <w:r>
        <w:t>4.1.3</w:t>
      </w:r>
      <w:r>
        <w:t xml:space="preserve"> </w:t>
      </w:r>
      <w:r>
        <w:t>美国医疗保险基金管理</w:t>
      </w:r>
      <w:bookmarkEnd w:id="569952"/>
    </w:p>
    <w:p w:rsidR="0018722C">
      <w:pPr>
        <w:topLinePunct/>
      </w:pPr>
      <w:r>
        <w:t>美国现行的医疗保险制度不同于德国和法国，美国并没有全国统一的医疗保险，而国民医疗保障主要由私人医疗保险和公共医疗保险两大类保险计划提供，</w:t>
      </w:r>
      <w:r w:rsidR="001852F3">
        <w:t xml:space="preserve">它属于混合型的医疗保障制度。</w:t>
      </w:r>
      <w:hyperlink w:history="true" w:anchor="_bookmark41">
        <w:r>
          <w:rPr>
            <w:rFonts w:ascii="Times New Roman" w:eastAsia="Times New Roman"/>
          </w:rPr>
          <w:t>18</w:t>
        </w:r>
      </w:hyperlink>
      <w:r>
        <w:t>其中，公共医疗保险主要包含七个保险项目：</w:t>
      </w:r>
      <w:r>
        <w:t>联邦雇员健康福利项目</w:t>
      </w:r>
      <w:r>
        <w:t>（</w:t>
      </w:r>
      <w:r>
        <w:rPr>
          <w:rFonts w:ascii="Times New Roman" w:eastAsia="Times New Roman"/>
          <w:spacing w:val="-1"/>
        </w:rPr>
        <w:t>F</w:t>
      </w:r>
      <w:r>
        <w:rPr>
          <w:rFonts w:ascii="Times New Roman" w:eastAsia="Times New Roman"/>
          <w:spacing w:val="0"/>
        </w:rPr>
        <w:t>EH</w:t>
      </w:r>
      <w:r>
        <w:rPr>
          <w:rFonts w:ascii="Times New Roman" w:eastAsia="Times New Roman"/>
        </w:rPr>
        <w:t>B</w:t>
      </w:r>
      <w:r>
        <w:rPr>
          <w:rFonts w:ascii="Times New Roman" w:eastAsia="Times New Roman"/>
          <w:spacing w:val="1"/>
        </w:rPr>
        <w:t>P</w:t>
      </w:r>
      <w:r>
        <w:t>）</w:t>
      </w:r>
      <w:r>
        <w:t>、三军医疗照护计划</w:t>
      </w:r>
      <w:r>
        <w:t>（</w:t>
      </w:r>
      <w:r>
        <w:rPr>
          <w:rFonts w:ascii="Times New Roman" w:eastAsia="Times New Roman"/>
          <w:spacing w:val="0"/>
        </w:rPr>
        <w:t>T</w:t>
      </w:r>
      <w:r>
        <w:rPr>
          <w:rFonts w:ascii="Times New Roman" w:eastAsia="Times New Roman"/>
        </w:rPr>
        <w:t>R</w:t>
      </w:r>
      <w:r>
        <w:rPr>
          <w:rFonts w:ascii="Times New Roman" w:eastAsia="Times New Roman"/>
          <w:spacing w:val="-2"/>
        </w:rPr>
        <w:t>I</w:t>
      </w:r>
      <w:r>
        <w:rPr>
          <w:rFonts w:ascii="Times New Roman" w:eastAsia="Times New Roman"/>
        </w:rPr>
        <w:t>C</w:t>
      </w:r>
      <w:r>
        <w:rPr>
          <w:rFonts w:ascii="Times New Roman" w:eastAsia="Times New Roman"/>
          <w:spacing w:val="0"/>
        </w:rPr>
        <w:t>A</w:t>
      </w:r>
      <w:r>
        <w:rPr>
          <w:rFonts w:ascii="Times New Roman" w:eastAsia="Times New Roman"/>
        </w:rPr>
        <w:t>R</w:t>
      </w:r>
      <w:r>
        <w:rPr>
          <w:rFonts w:ascii="Times New Roman" w:eastAsia="Times New Roman"/>
          <w:spacing w:val="0"/>
        </w:rPr>
        <w:t>E</w:t>
      </w:r>
      <w:r>
        <w:t>）</w:t>
      </w:r>
      <w:r>
        <w:t>、退伍军人</w:t>
      </w:r>
      <w:r>
        <w:t>健康计划</w:t>
      </w:r>
      <w:r>
        <w:t>（</w:t>
      </w:r>
      <w:r>
        <w:rPr>
          <w:rFonts w:ascii="Times New Roman" w:eastAsia="Times New Roman"/>
          <w:spacing w:val="0"/>
        </w:rPr>
        <w:t>VH</w:t>
      </w:r>
      <w:r>
        <w:rPr>
          <w:rFonts w:ascii="Times New Roman" w:eastAsia="Times New Roman"/>
          <w:spacing w:val="0"/>
        </w:rPr>
        <w:t>A</w:t>
      </w:r>
      <w:r>
        <w:t>）</w:t>
      </w:r>
      <w:r>
        <w:t>、印第安人健康计划</w:t>
      </w:r>
      <w:r>
        <w:t>（</w:t>
      </w:r>
      <w:r>
        <w:rPr>
          <w:rFonts w:ascii="Times New Roman" w:eastAsia="Times New Roman"/>
          <w:spacing w:val="-2"/>
        </w:rPr>
        <w:t>I</w:t>
      </w:r>
      <w:r>
        <w:rPr>
          <w:rFonts w:ascii="Times New Roman" w:eastAsia="Times New Roman"/>
          <w:spacing w:val="0"/>
        </w:rPr>
        <w:t>H</w:t>
      </w:r>
      <w:r>
        <w:rPr>
          <w:rFonts w:ascii="Times New Roman" w:eastAsia="Times New Roman"/>
        </w:rPr>
        <w:t>S</w:t>
      </w:r>
      <w:r>
        <w:t>）</w:t>
      </w:r>
      <w:r>
        <w:t>、医疗救助计划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rPr>
        <w:t>i</w:t>
      </w:r>
      <w:r>
        <w:rPr>
          <w:rFonts w:ascii="Times New Roman" w:eastAsia="Times New Roman"/>
          <w:spacing w:val="0"/>
        </w:rPr>
        <w:t>d</w:t>
      </w:r>
      <w:r>
        <w:t>）</w:t>
      </w:r>
      <w:r>
        <w:t>、州儿</w:t>
      </w:r>
      <w:r>
        <w:t>童健康保险计划</w:t>
      </w:r>
      <w:r>
        <w:t>（</w:t>
      </w:r>
      <w:r>
        <w:rPr>
          <w:rFonts w:ascii="Times New Roman" w:eastAsia="Times New Roman"/>
        </w:rPr>
        <w:t>SC</w:t>
      </w:r>
      <w:r>
        <w:rPr>
          <w:rFonts w:ascii="Times New Roman" w:eastAsia="Times New Roman"/>
          <w:spacing w:val="0"/>
        </w:rPr>
        <w:t>H</w:t>
      </w:r>
      <w:r>
        <w:rPr>
          <w:rFonts w:ascii="Times New Roman" w:eastAsia="Times New Roman"/>
          <w:spacing w:val="-2"/>
        </w:rPr>
        <w:t>I</w:t>
      </w:r>
      <w:r>
        <w:rPr>
          <w:rFonts w:ascii="Times New Roman" w:eastAsia="Times New Roman"/>
          <w:spacing w:val="1"/>
        </w:rPr>
        <w:t>P</w:t>
      </w:r>
      <w:r>
        <w:t>）</w:t>
      </w:r>
      <w:r>
        <w:t>、医疗照顾计划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spacing w:val="0"/>
        </w:rPr>
        <w:t>re</w:t>
      </w:r>
      <w:r>
        <w:t>）</w:t>
      </w:r>
      <w:r>
        <w:t>。它由联邦政府进行筹资，</w:t>
      </w:r>
      <w:r>
        <w:t>专门为以上特定人群提供医疗保障。私人医疗保险主要由雇主性医疗保险和个人</w:t>
      </w:r>
      <w:r>
        <w:t>医疗保险两部分组成。雇主性医疗保险由雇主自愿提供的，商业性个人医疗保险，</w:t>
      </w:r>
      <w:r w:rsidR="001852F3">
        <w:t xml:space="preserve">可以为自己在市场上自由购买，目前美国在此保险覆盖范围内的人口数量大约</w:t>
      </w:r>
      <w:r w:rsidR="001852F3">
        <w:t>有</w: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Axel Reimann</w:t>
      </w:r>
      <w:r>
        <w:rPr>
          <w:rFonts w:cstheme="minorBidi" w:hAnsiTheme="minorHAnsi" w:eastAsiaTheme="minorHAnsi" w:asciiTheme="minorHAnsi"/>
        </w:rPr>
        <w:t>，中德社会保险基金管理法之比较</w:t>
      </w:r>
    </w:p>
    <w:p w:rsidR="0018722C">
      <w:pPr>
        <w:topLinePunct/>
      </w:pPr>
      <w:r>
        <w:rPr>
          <w:rFonts w:cstheme="minorBidi" w:hAnsiTheme="minorHAnsi" w:eastAsiaTheme="minorHAnsi" w:asciiTheme="minorHAnsi" w:ascii="Times New Roman" w:hAnsi="Times New Roman" w:eastAsia="Times New Roman"/>
        </w:rPr>
        <w:t>18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郑功成</w:t>
      </w:r>
      <w:r>
        <w:rPr>
          <w:rFonts w:ascii="Times New Roman" w:hAnsi="Times New Roman" w:eastAsia="Times New Roman" w:cstheme="minorBidi"/>
        </w:rPr>
        <w:t>.</w:t>
      </w:r>
      <w:r>
        <w:rPr>
          <w:rFonts w:cstheme="minorBidi" w:hAnsiTheme="minorHAnsi" w:eastAsiaTheme="minorHAnsi" w:asciiTheme="minorHAnsi"/>
        </w:rPr>
        <w:t>社会保障学——理念、制度、实践与思辨，商务印书馆</w:t>
      </w:r>
      <w:r>
        <w:rPr>
          <w:rFonts w:ascii="Times New Roman" w:hAnsi="Times New Roman" w:eastAsia="Times New Roman" w:cstheme="minorBidi"/>
        </w:rPr>
        <w:t>.2000</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ascii="Times New Roman" w:hAnsi="Times New Roman" w:eastAsia="Times New Roman" w:cstheme="minorBidi"/>
        </w:rPr>
        <w:t>287.</w:t>
      </w:r>
    </w:p>
    <w:p w:rsidR="0018722C">
      <w:pPr>
        <w:topLinePunct/>
      </w:pPr>
      <w:bookmarkStart w:name="_bookmark42" w:id="30"/>
      <w:bookmarkEnd w:id="30"/>
      <w:r/>
      <w:r>
        <w:rPr>
          <w:rFonts w:ascii="Times New Roman" w:eastAsia="Times New Roman"/>
        </w:rPr>
        <w:t>1700</w:t>
      </w:r>
      <w:r>
        <w:t>万。有研究认为，美国以商业医疗保险为主的模式，充分发挥了市场调剂功能，广泛存在的健康维护组织</w:t>
      </w:r>
      <w:r>
        <w:t>（</w:t>
      </w:r>
      <w:r>
        <w:rPr>
          <w:rFonts w:ascii="Times New Roman" w:eastAsia="Times New Roman"/>
        </w:rPr>
        <w:t>HMO</w:t>
      </w:r>
      <w:r>
        <w:t>）</w:t>
      </w:r>
      <w:r>
        <w:t>打破了传统的参保者、医疗保险和医</w:t>
      </w:r>
      <w:r>
        <w:t>疗服务提供者的三角关系，将医疗保险机构与医疗服务机构合二为一，从而能够有效地控制医疗费用支出。</w:t>
      </w:r>
      <w:hyperlink w:history="true" w:anchor="_bookmark43">
        <w:r>
          <w:rPr>
            <w:rFonts w:ascii="Times New Roman" w:eastAsia="Times New Roman"/>
          </w:rPr>
          <w:t>1</w:t>
        </w:r>
        <w:r>
          <w:rPr>
            <w:rFonts w:ascii="Times New Roman" w:eastAsia="Times New Roman"/>
          </w:rPr>
          <w:t>9</w:t>
        </w:r>
      </w:hyperlink>
    </w:p>
    <w:p w:rsidR="0018722C">
      <w:pPr>
        <w:topLinePunct/>
      </w:pPr>
      <w:r>
        <w:t>美国医疗费用支出占</w:t>
      </w:r>
      <w:r>
        <w:rPr>
          <w:rFonts w:ascii="Times New Roman" w:eastAsia="Times New Roman"/>
        </w:rPr>
        <w:t>GDP</w:t>
      </w:r>
      <w:r>
        <w:t>的比重明显高于其他</w:t>
      </w:r>
      <w:r>
        <w:rPr>
          <w:rFonts w:ascii="Times New Roman" w:eastAsia="Times New Roman"/>
        </w:rPr>
        <w:t>OECD</w:t>
      </w:r>
      <w:r>
        <w:t>国家，超出其他主要</w:t>
      </w:r>
      <w:r>
        <w:t>工业化国家的两倍。虽然美国以私人医疗保险为主，商业医疗保险基金支付占医</w:t>
      </w:r>
      <w:r>
        <w:t>疗费用支出的</w:t>
      </w:r>
      <w:r>
        <w:rPr>
          <w:rFonts w:ascii="Times New Roman" w:eastAsia="Times New Roman"/>
        </w:rPr>
        <w:t>66%</w:t>
      </w:r>
      <w:r>
        <w:t>，但公共医疗费用支出的增长速度高于私人医疗费用支出。</w:t>
      </w:r>
      <w:r>
        <w:t>近</w:t>
      </w:r>
      <w:r>
        <w:t>年</w:t>
      </w:r>
      <w:r>
        <w:t>来，美国采取了多项改革措施来降低医疗费用支出的上涨速度，包括：改革医</w:t>
      </w:r>
      <w:r>
        <w:t>疗服务的提供方式、改革医疗费用支付方式、需求证明书法案、增强医患的费用意识和按资源投入为基准的相对值费用计算法等。</w:t>
      </w:r>
    </w:p>
    <w:p w:rsidR="0018722C">
      <w:pPr>
        <w:topLinePunct/>
      </w:pPr>
      <w:r>
        <w:t>从政府承担主要责任的几个社会医疗保险计划来看，基金运行效果较好，实现了收支平衡、略有结余的目标，基本上保证了保险计划的顺利进行。</w:t>
      </w:r>
    </w:p>
    <w:p w:rsidR="0018722C">
      <w:pPr>
        <w:pStyle w:val="Heading2"/>
        <w:topLinePunct/>
        <w:ind w:left="171" w:hangingChars="171" w:hanging="171"/>
      </w:pPr>
      <w:bookmarkStart w:id="569953" w:name="_Toc686569953"/>
      <w:r>
        <w:t>4.2</w:t>
      </w:r>
      <w:r>
        <w:t xml:space="preserve"> </w:t>
      </w:r>
      <w:r w:rsidRPr="00DB64CE">
        <w:t>我国其他地区医疗保险基金收支管理</w:t>
      </w:r>
      <w:bookmarkEnd w:id="569953"/>
    </w:p>
    <w:p w:rsidR="0018722C">
      <w:pPr>
        <w:topLinePunct/>
      </w:pPr>
      <w:r>
        <w:t>我国各地在基本医疗保险制度运行过程中，根据国家相关政策，结合当地实</w:t>
      </w:r>
      <w:r>
        <w:t>际情况，采取了各式各样的方式来保持基金平衡，防止基金出险。比较有代表性</w:t>
      </w:r>
      <w:r>
        <w:t>的地区有云南省楚雄彝族自治州、辽宁省大连市、四川省成都市等，下面将分别分析各地基金管理实践经验。</w:t>
      </w:r>
    </w:p>
    <w:p w:rsidR="0018722C">
      <w:pPr>
        <w:pStyle w:val="Heading3"/>
        <w:topLinePunct/>
        <w:ind w:left="200" w:hangingChars="200" w:hanging="200"/>
      </w:pPr>
      <w:bookmarkStart w:id="569954" w:name="_Toc686569954"/>
      <w:r>
        <w:t>4.2.1</w:t>
      </w:r>
      <w:r>
        <w:t xml:space="preserve"> </w:t>
      </w:r>
      <w:r w:rsidRPr="00DB64CE">
        <w:t>云南楚雄医疗保险基金管理</w:t>
      </w:r>
      <w:bookmarkEnd w:id="569954"/>
    </w:p>
    <w:p w:rsidR="0018722C">
      <w:pPr>
        <w:topLinePunct/>
      </w:pPr>
      <w:r>
        <w:t>云南省楚雄州城镇职工基本医疗保险</w:t>
      </w:r>
      <w:r>
        <w:rPr>
          <w:rFonts w:ascii="Times New Roman" w:eastAsia="Times New Roman"/>
        </w:rPr>
        <w:t>2000</w:t>
      </w:r>
      <w:r>
        <w:t>年开始实施，城镇居民基本医疗</w:t>
      </w:r>
      <w:r>
        <w:t>保险作为国务院首批试点</w:t>
      </w:r>
      <w:r>
        <w:rPr>
          <w:rFonts w:ascii="Times New Roman" w:eastAsia="Times New Roman"/>
        </w:rPr>
        <w:t>2007</w:t>
      </w:r>
      <w:r>
        <w:t>年正式启动。截止</w:t>
      </w:r>
      <w:r>
        <w:rPr>
          <w:rFonts w:ascii="Times New Roman" w:eastAsia="Times New Roman"/>
        </w:rPr>
        <w:t>2012</w:t>
      </w:r>
      <w:r>
        <w:t>年底，基本医疗保险参</w:t>
      </w:r>
      <w:r>
        <w:t>保</w:t>
      </w:r>
    </w:p>
    <w:p w:rsidR="0018722C">
      <w:pPr>
        <w:topLinePunct/>
      </w:pPr>
      <w:r>
        <w:rPr>
          <w:rFonts w:ascii="Times New Roman" w:eastAsia="Times New Roman"/>
        </w:rPr>
        <w:t>41.92</w:t>
      </w:r>
      <w:r>
        <w:t>万人，新型农村合作医疗参保</w:t>
      </w:r>
      <w:r>
        <w:rPr>
          <w:rFonts w:ascii="Times New Roman" w:eastAsia="Times New Roman"/>
        </w:rPr>
        <w:t>210</w:t>
      </w:r>
      <w:r>
        <w:rPr>
          <w:rFonts w:ascii="Times New Roman" w:eastAsia="Times New Roman"/>
        </w:rPr>
        <w:t>.</w:t>
      </w:r>
      <w:r>
        <w:rPr>
          <w:rFonts w:ascii="Times New Roman" w:eastAsia="Times New Roman"/>
        </w:rPr>
        <w:t>95</w:t>
      </w:r>
      <w:r>
        <w:t>万人。</w:t>
      </w:r>
      <w:hyperlink w:history="true" w:anchor="_bookmark44">
        <w:r>
          <w:rPr>
            <w:vertAlign w:val="superscript"/>
            /&gt;
          </w:rPr>
          <w:t>20</w:t>
        </w:r>
      </w:hyperlink>
      <w:r>
        <w:rPr>
          <w:rFonts w:ascii="Times New Roman" w:eastAsia="Times New Roman"/>
        </w:rPr>
        <w:t>2009</w:t>
      </w:r>
      <w:r>
        <w:t>年，人力资源与社会保障部出台《关于进一步加强基本医疗保险基金管理的指导意见》</w:t>
      </w:r>
      <w:r>
        <w:t>（</w:t>
      </w:r>
      <w:r>
        <w:t>人社部</w:t>
      </w:r>
      <w:r>
        <w:t>发</w:t>
      </w:r>
    </w:p>
    <w:p w:rsidR="0018722C">
      <w:pPr>
        <w:topLinePunct/>
      </w:pP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67</w:t>
      </w:r>
      <w:r>
        <w:t>号</w:t>
      </w:r>
      <w:r>
        <w:t>）</w:t>
      </w:r>
      <w:r>
        <w:t>后，楚雄自治州按照云南省《关于进一步提高城镇职工和城镇居民</w:t>
      </w:r>
      <w:r>
        <w:t>基本医疗保险待遇水平和基金使用效率的意见》，于</w:t>
      </w:r>
      <w:r>
        <w:rPr>
          <w:rFonts w:ascii="Times New Roman" w:hAnsi="Times New Roman" w:eastAsia="Times New Roman"/>
        </w:rPr>
        <w:t>2010</w:t>
      </w:r>
      <w:r>
        <w:t>年出台《楚雄州医药卫</w:t>
      </w:r>
      <w:r>
        <w:t>生体制改革</w:t>
      </w:r>
      <w:r>
        <w:rPr>
          <w:rFonts w:ascii="Times New Roman" w:hAnsi="Times New Roman" w:eastAsia="Times New Roman"/>
        </w:rPr>
        <w:t>3</w:t>
      </w:r>
      <w:r>
        <w:t>年实施方案》，开始建立完善楚雄自治州基本医疗保险基金的风险</w:t>
      </w:r>
      <w:r>
        <w:t>防范机制，增大医疗保险基金监管力度，并且按照医疗保险基金“以收定支、收</w:t>
      </w:r>
      <w:r>
        <w:t>支平衡、略有结余”这一原则来将三项医疗保险基金水平控制在一个合理的范围</w:t>
      </w:r>
      <w:r>
        <w:t>内。楚雄自治州根据当地医疗保险基金收支情况将当期结余适控制在</w:t>
      </w:r>
      <w:r>
        <w:rPr>
          <w:rFonts w:ascii="Times New Roman" w:hAnsi="Times New Roman" w:eastAsia="Times New Roman"/>
        </w:rPr>
        <w:t>15%</w:t>
      </w:r>
      <w:r>
        <w:t>以内。其主要做法包括以下几点：</w:t>
      </w:r>
    </w:p>
    <w:p w:rsidR="0018722C">
      <w:pPr>
        <w:topLinePunct/>
      </w:pPr>
      <w:r>
        <w:t>一是实行浮动费率制。按照《楚雄州人民政府关于全州城镇职工基本医疗保</w:t>
      </w:r>
      <w:r>
        <w:t>险实行州级统筹管理的通知》，城镇职工基本医疗保险于</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1</w:t>
      </w:r>
      <w:r>
        <w:t>日开始实</w:t>
      </w:r>
      <w:r>
        <w:t>施浮动费率制。具体规定如下：“城镇职工基本医疗保险实行</w:t>
      </w:r>
      <w:r>
        <w:rPr>
          <w:rFonts w:hint="eastAsia"/>
        </w:rPr>
        <w:t>”</w:t>
      </w:r>
      <w:r>
        <w:t>单基数</w:t>
      </w:r>
      <w:r>
        <w:rPr>
          <w:rFonts w:hint="eastAsia"/>
        </w:rPr>
        <w:t>“</w:t>
      </w:r>
      <w:r>
        <w:t>缴费</w:t>
      </w:r>
      <w:r>
        <w:t>，</w: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穆怀中</w:t>
      </w:r>
      <w:r>
        <w:rPr>
          <w:rFonts w:ascii="Times New Roman" w:eastAsia="Times New Roman" w:cstheme="minorBidi" w:hAnsiTheme="minorHAnsi"/>
        </w:rPr>
        <w:t>.</w:t>
      </w:r>
      <w:r>
        <w:rPr>
          <w:rFonts w:cstheme="minorBidi" w:hAnsiTheme="minorHAnsi" w:eastAsiaTheme="minorHAnsi" w:asciiTheme="minorHAnsi"/>
        </w:rPr>
        <w:t>社会保障国际比较</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北京：中国劳动社会保障出版社</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226</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数据来源：楚雄州</w:t>
      </w:r>
      <w:r>
        <w:rPr>
          <w:rFonts w:ascii="Times New Roman" w:eastAsia="Times New Roman" w:cstheme="minorBidi" w:hAnsiTheme="minorHAnsi"/>
        </w:rPr>
        <w:t>2012</w:t>
      </w:r>
      <w:r>
        <w:rPr>
          <w:rFonts w:cstheme="minorBidi" w:hAnsiTheme="minorHAnsi" w:eastAsiaTheme="minorHAnsi" w:asciiTheme="minorHAnsi"/>
        </w:rPr>
        <w:t>年国民经济和社会发展统计公报</w:t>
      </w:r>
    </w:p>
    <w:p w:rsidR="0018722C">
      <w:pPr>
        <w:topLinePunct/>
      </w:pPr>
      <w:r>
        <w:t>基本医疗保险费由用人单位和在职职工共同缴纳，单位缴费根据统筹基金结余情</w:t>
      </w:r>
      <w:r>
        <w:t>况进行浮动调整，统筹基金当期结余率高于</w:t>
      </w:r>
      <w:r>
        <w:rPr>
          <w:rFonts w:ascii="Times New Roman" w:eastAsia="Times New Roman"/>
        </w:rPr>
        <w:t>5%</w:t>
      </w:r>
      <w:r>
        <w:t>时，下一统筹年度执行</w:t>
      </w:r>
      <w:r>
        <w:rPr>
          <w:rFonts w:ascii="Times New Roman" w:eastAsia="Times New Roman"/>
        </w:rPr>
        <w:t>8%</w:t>
      </w:r>
      <w:r>
        <w:t>的基</w:t>
      </w:r>
      <w:r>
        <w:t>准费率。统筹基金当期结余率低于</w:t>
      </w:r>
      <w:r>
        <w:rPr>
          <w:rFonts w:ascii="Times New Roman" w:eastAsia="Times New Roman"/>
        </w:rPr>
        <w:t>5%</w:t>
      </w:r>
      <w:r>
        <w:t>时，下一年度单位缴费费率上浮为</w:t>
      </w:r>
      <w:r>
        <w:rPr>
          <w:rFonts w:ascii="Times New Roman" w:eastAsia="Times New Roman"/>
        </w:rPr>
        <w:t>9%</w:t>
      </w:r>
      <w:r>
        <w:t>，</w:t>
      </w:r>
      <w:r>
        <w:t>直至当年统筹基金结余率上升到</w:t>
      </w:r>
      <w:r>
        <w:rPr>
          <w:rFonts w:ascii="Times New Roman" w:eastAsia="Times New Roman"/>
        </w:rPr>
        <w:t>5%</w:t>
      </w:r>
      <w:r>
        <w:t>以上。统筹基金当期结余率连续</w:t>
      </w:r>
      <w:r>
        <w:rPr>
          <w:rFonts w:ascii="Times New Roman" w:eastAsia="Times New Roman"/>
        </w:rPr>
        <w:t>3</w:t>
      </w:r>
      <w:r>
        <w:t>年高</w:t>
      </w:r>
      <w:r>
        <w:t>于</w:t>
      </w:r>
    </w:p>
    <w:p w:rsidR="0018722C">
      <w:pPr>
        <w:topLinePunct/>
      </w:pPr>
      <w:r>
        <w:rPr>
          <w:rFonts w:ascii="Times New Roman" w:eastAsia="Times New Roman"/>
        </w:rPr>
        <w:t>10%</w:t>
      </w:r>
      <w:r>
        <w:t>时，下一年度单位缴费费率下调为</w:t>
      </w:r>
      <w:r>
        <w:rPr>
          <w:rFonts w:ascii="Times New Roman" w:eastAsia="Times New Roman"/>
        </w:rPr>
        <w:t>7%</w:t>
      </w:r>
      <w:r>
        <w:t>，直至统筹基金当期结余率降至</w:t>
      </w:r>
      <w:r>
        <w:rPr>
          <w:rFonts w:ascii="Times New Roman" w:eastAsia="Times New Roman"/>
        </w:rPr>
        <w:t>10%</w:t>
      </w:r>
    </w:p>
    <w:p w:rsidR="0018722C">
      <w:pPr>
        <w:topLinePunct/>
      </w:pPr>
      <w:r>
        <w:t>以下时，再恢复为</w:t>
      </w:r>
      <w:r>
        <w:rPr>
          <w:rFonts w:ascii="Times New Roman" w:hAnsi="Times New Roman" w:eastAsia="Times New Roman"/>
        </w:rPr>
        <w:t>8%</w:t>
      </w:r>
      <w:r>
        <w:t>的基准费率。</w:t>
      </w:r>
      <w:r>
        <w:rPr>
          <w:rFonts w:hint="eastAsia"/>
        </w:rPr>
        <w:t>“</w:t>
      </w:r>
    </w:p>
    <w:p w:rsidR="0018722C">
      <w:pPr>
        <w:topLinePunct/>
      </w:pPr>
      <w:r>
        <w:t>二是提高统筹层次，建立风险调剂金。为了抵御更大风险，扩大风险池，</w:t>
      </w:r>
      <w:r>
        <w:rPr>
          <w:rFonts w:ascii="Times New Roman" w:hAnsi="Times New Roman" w:eastAsia="Times New Roman"/>
        </w:rPr>
        <w:t>2010</w:t>
      </w:r>
      <w:r>
        <w:t>年</w:t>
      </w:r>
      <w:r>
        <w:rPr>
          <w:rFonts w:ascii="Times New Roman" w:hAnsi="Times New Roman" w:eastAsia="Times New Roman"/>
        </w:rPr>
        <w:t>4</w:t>
      </w:r>
      <w:r>
        <w:t>月，楚雄彝族自治州开始实施城镇职工基本医疗保险州级统筹的制度，并且</w:t>
      </w:r>
      <w:r>
        <w:t>建立了州级调剂金。《楚雄州人民政府关于全州城镇职工基本医疗保险实行州级</w:t>
      </w:r>
      <w:r>
        <w:t>统筹管理的通知》中规定“州级统筹坚持统一制度、统一标准、统一管理、统一</w:t>
      </w:r>
      <w:r>
        <w:t>结算和统一调剂的原则。州级统筹前城镇职工基本医疗保险基金的累积和州级统</w:t>
      </w:r>
      <w:r>
        <w:t>筹实施后基金的当期结余全部作为州级统筹调剂金，县市在严格执行全州统一的</w:t>
      </w:r>
      <w:r>
        <w:t>城镇职工基本医疗保险政策和基金预算，完成当年城镇职工基本医疗保险年度目</w:t>
      </w:r>
      <w:r>
        <w:t>标任务的前提下，基金出险当期赤字的，可申请使用调剂金进行弥补。”楚雄彝</w:t>
      </w:r>
      <w:r>
        <w:t>族自治州于</w:t>
      </w:r>
      <w:r>
        <w:rPr>
          <w:rFonts w:ascii="Times New Roman" w:hAnsi="Times New Roman" w:eastAsia="Times New Roman"/>
        </w:rPr>
        <w:t>2007</w:t>
      </w:r>
      <w:r>
        <w:t>年试点启动时建立州级风险储备基金，由财政安排</w:t>
      </w:r>
      <w:r>
        <w:rPr>
          <w:rFonts w:ascii="Times New Roman" w:hAnsi="Times New Roman" w:eastAsia="Times New Roman"/>
        </w:rPr>
        <w:t>300</w:t>
      </w:r>
      <w:r>
        <w:t>万元，</w:t>
      </w:r>
      <w:r>
        <w:t>今后每年财政增加</w:t>
      </w:r>
      <w:r>
        <w:rPr>
          <w:rFonts w:ascii="Times New Roman" w:hAnsi="Times New Roman" w:eastAsia="Times New Roman"/>
        </w:rPr>
        <w:t>100</w:t>
      </w:r>
      <w:r>
        <w:t>万元，</w:t>
      </w:r>
      <w:r>
        <w:rPr>
          <w:rFonts w:ascii="Times New Roman" w:hAnsi="Times New Roman" w:eastAsia="Times New Roman"/>
        </w:rPr>
        <w:t>2010</w:t>
      </w:r>
      <w:r>
        <w:t>年达到</w:t>
      </w:r>
      <w:r>
        <w:rPr>
          <w:rFonts w:ascii="Times New Roman" w:hAnsi="Times New Roman" w:eastAsia="Times New Roman"/>
        </w:rPr>
        <w:t>600</w:t>
      </w:r>
      <w:r>
        <w:t>万元后不再增加。</w:t>
      </w:r>
    </w:p>
    <w:p w:rsidR="0018722C">
      <w:pPr>
        <w:topLinePunct/>
      </w:pPr>
      <w:r>
        <w:t>三是引入医疗保险服务协议管理。首先，建立协议管理，制定了《医疗保险</w:t>
      </w:r>
      <w:r>
        <w:t>定点医疗机构管理暂行办法》，对定点医疗机构平均住院天数、支付标准等都作</w:t>
      </w:r>
      <w:r>
        <w:t>了具体的控制指标以及量化规定，使监管更具操作性。同时，对定点医疗机构的</w:t>
      </w:r>
      <w:r>
        <w:t>准入条件、审批流程、推出机制等作了明确的规定。制定了“医疗保险结算办法”，</w:t>
      </w:r>
      <w:r>
        <w:t>控制定点医疗机构的费用。制定了《定点医疗机构和定点零售药店服务质量考核</w:t>
      </w:r>
      <w:r>
        <w:t>办法》，对达到要求的定点医疗机构返还服务质量保证金并依此作为次年签订服</w:t>
      </w:r>
      <w:r>
        <w:t>务协议的依据，强化了对定点医疗机构的管理。制定了《医保反欺诈暂行办法》，</w:t>
      </w:r>
      <w:r>
        <w:t>加大违规处罚力度。每年定期或不定期组织开展基金专项检查，尤其对“两定机</w:t>
      </w:r>
      <w:r>
        <w:t>构”挂病床住院、弄虚作假等欺诈行为进行重点查处，及时追回或拒付违约费用，</w:t>
      </w:r>
      <w:r>
        <w:t>责令限期整改或取消定点资格。其次，考核管理。采取日常审核和不定期查访的</w:t>
      </w:r>
      <w:r>
        <w:t>形式，对定点医疗机构上传的医疗费用发生数据或参保患者的病历进行检查，对</w:t>
      </w:r>
      <w:r>
        <w:t>违规费用不予支付并放大</w:t>
      </w:r>
      <w:r>
        <w:rPr>
          <w:rFonts w:ascii="Times New Roman" w:hAnsi="Times New Roman" w:eastAsia="Times New Roman"/>
        </w:rPr>
        <w:t>2</w:t>
      </w:r>
      <w:r>
        <w:t>至</w:t>
      </w:r>
      <w:r>
        <w:rPr>
          <w:rFonts w:ascii="Times New Roman" w:hAnsi="Times New Roman" w:eastAsia="Times New Roman"/>
        </w:rPr>
        <w:t>5</w:t>
      </w:r>
      <w:r>
        <w:t>倍扣减，同时进行及时的登记和量分。并突出年</w:t>
      </w:r>
      <w:r>
        <w:t>终考核管理，对医院在执行医保政策、组织管理、药品及诊疗项目管理、医疗服务控制指标、信息系统建设等方面进行综合考核。再次，开展专项检查，对定点医疗机构定期或不定期开展专项检查，重点检查是否弄虚作假、骗保套保行为，</w:t>
      </w:r>
      <w:r>
        <w:t>对存在严重问题的医疗机构采取限期整改、取消医保定点资格和加大违规处罚的</w:t>
      </w:r>
      <w:r>
        <w:t>措施，进一步规范定点医疗机构的管理。最后，实施分类审核，在审核过程中注</w:t>
      </w:r>
      <w:r>
        <w:t>意突出重点，对不同级别、性质的医院因地制宜、有侧重的分别审核。对三级</w:t>
      </w:r>
      <w:r>
        <w:t>定</w:t>
      </w:r>
    </w:p>
    <w:p w:rsidR="0018722C">
      <w:pPr>
        <w:topLinePunct/>
      </w:pPr>
      <w:bookmarkStart w:name="_bookmark45" w:id="31"/>
      <w:bookmarkEnd w:id="31"/>
      <w:r/>
      <w:r>
        <w:t>点医疗机构的审核主要侧重于其医疗行为的合理性。包括大型价差、特殊诊疗是</w:t>
      </w:r>
      <w:r>
        <w:t>否合理，是否扩大检查范围，是否存在分解收费，是否严格超药品目录限制的用药等。</w:t>
      </w:r>
    </w:p>
    <w:p w:rsidR="0018722C">
      <w:pPr>
        <w:topLinePunct/>
      </w:pPr>
      <w:r>
        <w:t>从实施效果来看，统筹基金当期结余率快速下降，统筹基金累计结余率也出现了明显下降。</w:t>
      </w:r>
    </w:p>
    <w:p w:rsidR="0018722C">
      <w:pPr>
        <w:pStyle w:val="Heading3"/>
        <w:topLinePunct/>
        <w:ind w:left="200" w:hangingChars="200" w:hanging="200"/>
      </w:pPr>
      <w:bookmarkStart w:id="569955" w:name="_Toc686569955"/>
      <w:r>
        <w:t>4.2.2</w:t>
      </w:r>
      <w:r>
        <w:t xml:space="preserve"> </w:t>
      </w:r>
      <w:r>
        <w:t>辽宁大连医疗保险基金管理</w:t>
      </w:r>
      <w:bookmarkEnd w:id="569955"/>
    </w:p>
    <w:p w:rsidR="0018722C">
      <w:pPr>
        <w:topLinePunct/>
      </w:pPr>
      <w:r>
        <w:t>大连市职工医疗保险制度</w:t>
      </w:r>
      <w:r>
        <w:rPr>
          <w:rFonts w:ascii="Times New Roman" w:eastAsia="Times New Roman"/>
        </w:rPr>
        <w:t>1996</w:t>
      </w:r>
      <w:r>
        <w:t>年</w:t>
      </w:r>
      <w:r>
        <w:rPr>
          <w:rFonts w:ascii="Times New Roman" w:eastAsia="Times New Roman"/>
        </w:rPr>
        <w:t>7</w:t>
      </w:r>
      <w:r>
        <w:t>月开始实施，城镇居民医疗保险</w:t>
      </w:r>
      <w:r>
        <w:rPr>
          <w:rFonts w:ascii="Times New Roman" w:eastAsia="Times New Roman"/>
        </w:rPr>
        <w:t>2007</w:t>
      </w:r>
      <w:r>
        <w:t>年</w:t>
      </w:r>
      <w:r>
        <w:rPr>
          <w:rFonts w:ascii="Times New Roman" w:eastAsia="Times New Roman"/>
        </w:rPr>
        <w:t>9</w:t>
      </w:r>
      <w:r>
        <w:t>月开始运行。截止</w:t>
      </w:r>
      <w:r>
        <w:rPr>
          <w:rFonts w:ascii="Times New Roman" w:eastAsia="Times New Roman"/>
        </w:rPr>
        <w:t>2012</w:t>
      </w:r>
      <w:r>
        <w:t>年末，医疗保险参保人数</w:t>
      </w:r>
      <w:r>
        <w:rPr>
          <w:rFonts w:ascii="Times New Roman" w:eastAsia="Times New Roman"/>
        </w:rPr>
        <w:t>453</w:t>
      </w:r>
      <w:r>
        <w:rPr>
          <w:rFonts w:ascii="Times New Roman" w:eastAsia="Times New Roman"/>
        </w:rPr>
        <w:t>.</w:t>
      </w:r>
      <w:r>
        <w:rPr>
          <w:rFonts w:ascii="Times New Roman" w:eastAsia="Times New Roman"/>
        </w:rPr>
        <w:t>1</w:t>
      </w:r>
      <w:r>
        <w:t>万人，基金收入</w:t>
      </w:r>
      <w:r>
        <w:rPr>
          <w:rFonts w:ascii="Times New Roman" w:eastAsia="Times New Roman"/>
        </w:rPr>
        <w:t>83</w:t>
      </w:r>
      <w:r>
        <w:rPr>
          <w:rFonts w:ascii="Times New Roman" w:eastAsia="Times New Roman"/>
        </w:rPr>
        <w:t>.</w:t>
      </w:r>
      <w:r>
        <w:rPr>
          <w:rFonts w:ascii="Times New Roman" w:eastAsia="Times New Roman"/>
        </w:rPr>
        <w:t>2</w:t>
      </w:r>
      <w:r>
        <w:t>亿元，基金支出</w:t>
      </w:r>
      <w:r>
        <w:rPr>
          <w:rFonts w:ascii="Times New Roman" w:eastAsia="Times New Roman"/>
        </w:rPr>
        <w:t>74</w:t>
      </w:r>
      <w:r>
        <w:rPr>
          <w:rFonts w:ascii="Times New Roman" w:eastAsia="Times New Roman"/>
        </w:rPr>
        <w:t>.</w:t>
      </w:r>
      <w:r>
        <w:rPr>
          <w:rFonts w:ascii="Times New Roman" w:eastAsia="Times New Roman"/>
        </w:rPr>
        <w:t>2</w:t>
      </w:r>
      <w:r>
        <w:t>亿元。</w:t>
      </w:r>
      <w:hyperlink w:history="true" w:anchor="_bookmark46">
        <w:r>
          <w:rPr>
            <w:rFonts w:ascii="Times New Roman" w:eastAsia="Times New Roman"/>
          </w:rPr>
          <w:t>2</w:t>
        </w:r>
        <w:r>
          <w:rPr>
            <w:rFonts w:ascii="Times New Roman" w:eastAsia="Times New Roman"/>
          </w:rPr>
          <w:t>1</w:t>
        </w:r>
      </w:hyperlink>
    </w:p>
    <w:p w:rsidR="0018722C">
      <w:pPr>
        <w:topLinePunct/>
      </w:pPr>
      <w:r>
        <w:rPr>
          <w:rFonts w:ascii="Times New Roman" w:hAnsi="Times New Roman" w:eastAsia="宋体"/>
        </w:rPr>
        <w:t>2009</w:t>
      </w:r>
      <w:r>
        <w:t>年</w:t>
      </w:r>
      <w:r>
        <w:rPr>
          <w:rFonts w:ascii="Times New Roman" w:hAnsi="Times New Roman" w:eastAsia="宋体"/>
        </w:rPr>
        <w:t>1</w:t>
      </w:r>
      <w:r>
        <w:t>月，大连出台《大连市关于压缩城镇职工基本医疗保险基金结余</w:t>
      </w:r>
      <w:r>
        <w:t>适当提高城镇职工基本医疗保险待遇的指导意见》，意见规定</w:t>
      </w:r>
      <w:r>
        <w:t>，“各统筹地区城镇</w:t>
      </w:r>
      <w:r>
        <w:t>职工基本医疗保险统筹基金，扣除困难企业退休人员一次性参保筹集的资金及预</w:t>
      </w:r>
      <w:r>
        <w:t>期应支付的部分，要实现当期收支平衡。市级统筹地区要控制在当期统筹基金收</w:t>
      </w:r>
      <w:r>
        <w:t>入额</w:t>
      </w:r>
      <w:r>
        <w:rPr>
          <w:rFonts w:ascii="Times New Roman" w:hAnsi="Times New Roman" w:eastAsia="宋体"/>
        </w:rPr>
        <w:t>15%</w:t>
      </w:r>
      <w:r>
        <w:t>左右，县级统筹地区要控制在</w:t>
      </w:r>
      <w:r>
        <w:rPr>
          <w:rFonts w:ascii="Times New Roman" w:hAnsi="Times New Roman" w:eastAsia="宋体"/>
        </w:rPr>
        <w:t>20%</w:t>
      </w:r>
      <w:r>
        <w:t>左右，作为风险调剂金，超过的部</w:t>
      </w:r>
      <w:r>
        <w:t>分，要采取措施逐年消化，以进一步发挥基金效能，使参保人员基本医疗保险待</w:t>
      </w:r>
      <w:r>
        <w:t>遇不断提高，用人单位参保缴费负担有所减轻。</w:t>
      </w:r>
      <w:r>
        <w:t>”</w:t>
      </w:r>
    </w:p>
    <w:p w:rsidR="0018722C">
      <w:pPr>
        <w:topLinePunct/>
      </w:pPr>
      <w:r>
        <w:t>根据城镇职工基本医疗保险基金结余比例控制的总体要求，基金结余过多的，采取以下政策措施逐步消化。主要措施：</w:t>
      </w:r>
    </w:p>
    <w:p w:rsidR="0018722C">
      <w:pPr>
        <w:topLinePunct/>
      </w:pPr>
      <w:r>
        <w:t>一是提高参保人员的待遇水平。包括适当降低统筹基金起付标准。为减轻参</w:t>
      </w:r>
      <w:r>
        <w:t>保患者负担，并合理利用各级各类医疗资源，对参保患者在社区定点医疗卫生服</w:t>
      </w:r>
      <w:r>
        <w:t>务机构治疗的，可不设统筹基金起付标准，在其他定点医院住院或特殊病种门诊</w:t>
      </w:r>
      <w:r>
        <w:t>治疗的，可根据医院级别适当降低现行统筹基金起付标准。如将</w:t>
      </w:r>
      <w:r>
        <w:rPr>
          <w:rFonts w:ascii="Times New Roman" w:eastAsia="Times New Roman"/>
        </w:rPr>
        <w:t>70</w:t>
      </w:r>
      <w:r>
        <w:t>岁以上老人</w:t>
      </w:r>
      <w:r>
        <w:t>三级住院起付线由</w:t>
      </w:r>
      <w:r>
        <w:rPr>
          <w:rFonts w:ascii="Times New Roman" w:eastAsia="Times New Roman"/>
        </w:rPr>
        <w:t>850</w:t>
      </w:r>
      <w:r>
        <w:t>元降为</w:t>
      </w:r>
      <w:r>
        <w:rPr>
          <w:rFonts w:ascii="Times New Roman" w:eastAsia="Times New Roman"/>
        </w:rPr>
        <w:t>450</w:t>
      </w:r>
      <w:r>
        <w:t>元。适当提高统筹基金支付比例。各个统筹地</w:t>
      </w:r>
      <w:r>
        <w:t>区可根据本地实际情况，适当提高参保患者在社区定点医疗卫生机构和二级以下</w:t>
      </w:r>
      <w:r>
        <w:t>定点机构就医费用的统筹基金支付比例。扩大门诊特殊病种数量，门诊特殊病种，</w:t>
      </w:r>
      <w:r>
        <w:t>是指纳入基本医疗保险统筹基金支付范围的一些治疗周期较长，且不需要住院治</w:t>
      </w:r>
      <w:r>
        <w:t>疗，只需门诊治疗，但治疗费用较高的病种。适当扩大参保患者的受益面，解决</w:t>
      </w:r>
      <w:r>
        <w:t>患大病和慢性病参保患者的负担，各统筹地区要结合本地实际，适当扩大门诊特</w:t>
      </w:r>
      <w:r>
        <w:t>殊病种的数量，有条件的统筹地区，可研究探索门诊费用统筹办法。放开乙类药品的部分限制。</w:t>
      </w:r>
    </w:p>
    <w:p w:rsidR="0018722C">
      <w:pPr>
        <w:topLinePunct/>
      </w:pPr>
      <w:r>
        <w:t>二是确定统筹基金结算方式。各统筹地区要根据本地实际情况，确定统筹基</w:t>
      </w:r>
      <w:r>
        <w:t>金的科学结算方式，有条件的统筹地区，要逐步扩大病种结算范围。统筹基金结算标准，要根据费用增长情况，及时进行调整。统筹基金最高支付限额未达到</w:t>
      </w:r>
      <w:r>
        <w:t>国</w: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年大连市人力资源和社会保障事业发展统计公报</w:t>
      </w:r>
    </w:p>
    <w:p w:rsidR="0018722C">
      <w:pPr>
        <w:topLinePunct/>
      </w:pPr>
      <w:bookmarkStart w:name="_bookmark47" w:id="32"/>
      <w:bookmarkEnd w:id="32"/>
      <w:r/>
      <w:r>
        <w:t>家规定标准的，要及时进行调整。各级医疗保险经办机构要按定点协议，及时与定点医疗机构进行基金的结算、拨付。</w:t>
      </w:r>
    </w:p>
    <w:p w:rsidR="0018722C">
      <w:pPr>
        <w:topLinePunct/>
      </w:pPr>
      <w:r>
        <w:t>从初步实施效果来看，以上措施实施以来统筹基金当期结余率出现了明显的下降。</w:t>
      </w:r>
    </w:p>
    <w:p w:rsidR="0018722C">
      <w:pPr>
        <w:pStyle w:val="Heading3"/>
        <w:topLinePunct/>
        <w:ind w:left="200" w:hangingChars="200" w:hanging="200"/>
      </w:pPr>
      <w:bookmarkStart w:id="569956" w:name="_Toc686569956"/>
      <w:r>
        <w:t>4.2.3</w:t>
      </w:r>
      <w:r>
        <w:t xml:space="preserve"> </w:t>
      </w:r>
      <w:r>
        <w:t>其他地区医疗保险基金管理</w:t>
      </w:r>
      <w:bookmarkEnd w:id="569956"/>
    </w:p>
    <w:p w:rsidR="0018722C">
      <w:pPr>
        <w:topLinePunct/>
      </w:pPr>
      <w:r>
        <w:t>除上述两个地区外，国内不少城市通过建立针对不同制度的风险储备金。如</w:t>
      </w:r>
      <w:r>
        <w:t>成都市</w:t>
      </w:r>
      <w:r>
        <w:rPr>
          <w:rFonts w:ascii="Times New Roman" w:eastAsia="Times New Roman"/>
        </w:rPr>
        <w:t>2009</w:t>
      </w:r>
      <w:r>
        <w:t>年实施市级统筹，并根据区</w:t>
      </w:r>
      <w:r>
        <w:t>（</w:t>
      </w:r>
      <w:r>
        <w:t>市</w:t>
      </w:r>
      <w:r>
        <w:t>）</w:t>
      </w:r>
      <w:r>
        <w:t>县上年度基本医疗保险基金会计</w:t>
      </w:r>
      <w:r>
        <w:t>决算报表中的基本医疗保险基金支出数据，按月平均支付额</w:t>
      </w:r>
      <w:r>
        <w:rPr>
          <w:rFonts w:ascii="Times New Roman" w:eastAsia="Times New Roman"/>
        </w:rPr>
        <w:t>3</w:t>
      </w:r>
      <w:r>
        <w:t>个月的标准核定基</w:t>
      </w:r>
      <w:r>
        <w:t>本医疗保险备用金，报经市劳动保障局、市财政局审批后，从区</w:t>
      </w:r>
      <w:r>
        <w:t>（</w:t>
      </w:r>
      <w:r>
        <w:t>市</w:t>
      </w:r>
      <w:r>
        <w:t>）</w:t>
      </w:r>
      <w:r>
        <w:t>县历年积累的基金结余中划转到同级基本医疗保险基金支出户作为市级统筹基金支付备用金。</w:t>
      </w:r>
    </w:p>
    <w:p w:rsidR="0018722C">
      <w:pPr>
        <w:topLinePunct/>
      </w:pPr>
      <w:r>
        <w:rPr>
          <w:rFonts w:ascii="Times New Roman" w:eastAsia="Times New Roman"/>
        </w:rPr>
        <w:t>2001</w:t>
      </w:r>
      <w:r>
        <w:t>年，南昌市出台了《南昌市城镇退休人员一次性缴纳基本医疗保险风</w:t>
      </w:r>
      <w:r>
        <w:t>险储备金暂行办法》，建立的退休人员医疗保险风险储备金主要用于弥补基本医</w:t>
      </w:r>
      <w:r>
        <w:t>疗保险统筹基金的不足，并且实行财政专款专户管理。风险储备金的来源由用人</w:t>
      </w:r>
      <w:r>
        <w:t>单位按已参保退休人员的实际数每人</w:t>
      </w:r>
      <w:r>
        <w:rPr>
          <w:rFonts w:ascii="Times New Roman" w:eastAsia="Times New Roman"/>
        </w:rPr>
        <w:t>600</w:t>
      </w:r>
      <w:r>
        <w:t>元的标准一次性缴纳。</w:t>
      </w:r>
    </w:p>
    <w:p w:rsidR="0018722C">
      <w:pPr>
        <w:topLinePunct/>
      </w:pPr>
      <w:r>
        <w:t>张家界市城镇居民基本医疗保险风险储备金制度是风险储备金按基金年收</w:t>
      </w:r>
      <w:r>
        <w:t>入的</w:t>
      </w:r>
      <w:r>
        <w:rPr>
          <w:rFonts w:ascii="Times New Roman" w:eastAsia="Times New Roman"/>
        </w:rPr>
        <w:t>3%</w:t>
      </w:r>
      <w:r>
        <w:t>逐年提取，总量累计达到统筹基金的年收入的</w:t>
      </w:r>
      <w:r>
        <w:rPr>
          <w:rFonts w:ascii="Times New Roman" w:eastAsia="Times New Roman"/>
        </w:rPr>
        <w:t>15%</w:t>
      </w:r>
      <w:r>
        <w:t>后不再提取。风险储</w:t>
      </w:r>
      <w:r>
        <w:t>备金由市医保经办机构统一管理，市级进行风险调剂，区县财政按是调剂金</w:t>
      </w:r>
      <w:r>
        <w:rPr>
          <w:rFonts w:ascii="Times New Roman" w:eastAsia="Times New Roman"/>
        </w:rPr>
        <w:t>1</w:t>
      </w:r>
      <w:r>
        <w:rPr>
          <w:rFonts w:ascii="Times New Roman" w:eastAsia="Times New Roman"/>
        </w:rPr>
        <w:t xml:space="preserve">: </w:t>
      </w:r>
      <w:r>
        <w:rPr>
          <w:rFonts w:ascii="Times New Roman" w:eastAsia="Times New Roman"/>
        </w:rPr>
        <w:t>1</w:t>
      </w:r>
      <w:r>
        <w:t>配套。</w:t>
      </w:r>
    </w:p>
    <w:p w:rsidR="0018722C">
      <w:pPr>
        <w:pStyle w:val="af6"/>
        <w:topLinePunct/>
      </w:pPr>
      <w:bookmarkStart w:id="354455" w:name="_Ref665354455"/>
      <w:bookmarkStart w:id="569906" w:name="_Toc686569906"/>
      <w:r>
        <w:t>摘</w:t>
      </w:r>
      <w:r w:rsidRPr="00000000">
        <w:tab/>
        <w:t>要</w:t>
      </w:r>
      <w:bookmarkEnd w:id="569906"/>
    </w:p>
    <w:p w:rsidR="0018722C">
      <w:pPr>
        <w:pStyle w:val="题附段落"/>
        <w:topLinePunct/>
      </w:pPr>
      <w:r>
        <w:t>我国城镇基本医疗保险制度及新型农村合作医疗制度的建立提高了医疗健</w:t>
      </w:r>
      <w:r>
        <w:t>康水平，促进了经济与社会进一步的发展。医疗保险基金收支平衡是我国医疗保障制度可持续发展的基础，基金的适度结余对于保障参保人员的基本医疗权益， </w:t>
      </w:r>
      <w:r>
        <w:t>减轻群众医疗费用负担有着重要的意义。如何既保证参保人员“病有所医，医有</w:t>
      </w:r>
      <w:r>
        <w:t>所报”，又保证医保基金收支平衡、略有结余，成为基本医疗保险改革及发展所面临的重要课题。</w:t>
      </w:r>
    </w:p>
    <w:p w:rsidR="0018722C">
      <w:pPr>
        <w:topLinePunct/>
      </w:pPr>
      <w:r>
        <w:t>本文主要研究北京市城镇职工基本医疗保险、城镇居民基本医疗保险、新型</w:t>
      </w:r>
      <w:r>
        <w:t>农村合作医疗三项医疗保险制度的历史沿革，参保率及基金收入与支出情况，累</w:t>
      </w:r>
      <w:r>
        <w:t>计结余情况，从基金收入方面选取了参保人数、职工平均工资、缴费比例、在职</w:t>
      </w:r>
      <w:r>
        <w:t>职工比例、死亡率、政府补助和人口老龄化程度七个因素，从基金支出方面选取</w:t>
      </w:r>
      <w:r>
        <w:t>了预期寿命、起付标准和最高支付限额、医疗费用报销标准、疾病谱的变化、居</w:t>
      </w:r>
      <w:r>
        <w:t>民健康和保健意识、医疗科技的进步六个因素，对影响医疗保险基金收支的主要</w:t>
      </w:r>
      <w:r>
        <w:t>因素进行了分析。通过借鉴国外以及我国大连、云南等地区的医疗保险基金收支平衡管理经验，从基金管理、基金收入、基金支出三个方面对北京市医疗保险基金收支平衡管理提出对策建议。</w:t>
      </w:r>
    </w:p>
    <w:p w:rsidR="0018722C">
      <w:pPr>
        <w:pStyle w:val="aff"/>
        <w:topLinePunct/>
      </w:pPr>
      <w:r>
        <w:rPr>
          <w:rStyle w:val="afe"/>
          <w:rFonts w:ascii="Times New Roman" w:eastAsia="黑体" w:hint="eastAsia"/>
        </w:rPr>
        <w:t>关键词：</w:t>
      </w:r>
      <w:r>
        <w:t>医疗保险</w:t>
      </w:r>
      <w:r>
        <w:t xml:space="preserve">； </w:t>
      </w:r>
      <w:r>
        <w:t>基金管理</w:t>
      </w:r>
      <w:r>
        <w:t xml:space="preserve">； </w:t>
      </w:r>
      <w:r>
        <w:t>收支平衡</w:t>
      </w:r>
    </w:p>
    <w:p w:rsidR="0018722C">
      <w:pPr>
        <w:pStyle w:val="Heading1"/>
        <w:topLinePunct/>
      </w:pPr>
      <w:bookmarkStart w:id="569908" w:name="_Toc686569908"/>
      <w:bookmarkStart w:name="_bookmark0" w:id="1"/>
      <w:bookmarkEnd w:id="1"/>
      <w:bookmarkStart w:name="_bookmark1" w:id="2"/>
      <w:bookmarkEnd w:id="2"/>
      <w:r>
        <w:t>第 1 章</w:t>
      </w:r>
      <w:r>
        <w:t xml:space="preserve">  </w:t>
      </w:r>
      <w:r w:rsidRPr="00DB64CE">
        <w:t>导论</w:t>
      </w:r>
      <w:bookmarkEnd w:id="569908"/>
    </w:p>
    <w:p w:rsidR="0018722C">
      <w:pPr>
        <w:pStyle w:val="Heading2"/>
        <w:topLinePunct/>
        <w:ind w:left="171" w:hangingChars="171" w:hanging="171"/>
      </w:pPr>
      <w:bookmarkStart w:id="569909" w:name="_Toc686569909"/>
      <w:r>
        <w:t>1.1</w:t>
      </w:r>
      <w:r>
        <w:t xml:space="preserve"> </w:t>
      </w:r>
      <w:r>
        <w:t>研究背景</w:t>
      </w:r>
      <w:bookmarkEnd w:id="569909"/>
    </w:p>
    <w:p w:rsidR="0018722C">
      <w:pPr>
        <w:topLinePunct/>
      </w:pPr>
      <w:r>
        <w:t>随着我国城镇职工基本医疗保险、新型农村合作医疗和城镇居民基本医疗保</w:t>
      </w:r>
      <w:r>
        <w:t>险制度的出台及实施，目前我国已经实现基本医疗保险全覆盖，筹资水平也有了</w:t>
      </w:r>
      <w:r>
        <w:t>很大提高。但是，我国一方面“看病贵、看病难”的问题仍然存在，医疗保险保障水平较低，另一方面，现收现付制下的医疗保险统筹基金却表现出结余过高的问题。</w:t>
      </w:r>
    </w:p>
    <w:p w:rsidR="0018722C">
      <w:pPr>
        <w:topLinePunct/>
      </w:pPr>
      <w:r>
        <w:t>我国医疗保险统筹基金实行的是现收现付制</w:t>
      </w:r>
      <w:r>
        <w:t>（</w:t>
      </w:r>
      <w:r>
        <w:rPr>
          <w:rFonts w:ascii="Times New Roman" w:eastAsia="Times New Roman"/>
        </w:rPr>
        <w:t>p</w:t>
      </w:r>
      <w:r>
        <w:rPr>
          <w:rFonts w:ascii="Times New Roman" w:eastAsia="Times New Roman"/>
        </w:rPr>
        <w:t>a</w:t>
      </w:r>
      <w:r>
        <w:rPr>
          <w:rFonts w:ascii="Times New Roman" w:eastAsia="Times New Roman"/>
        </w:rPr>
        <w:t>y</w:t>
      </w:r>
      <w:r>
        <w:rPr>
          <w:rFonts w:ascii="Times New Roman" w:eastAsia="Times New Roman"/>
        </w:rPr>
        <w:t> a</w:t>
      </w:r>
      <w:r>
        <w:rPr>
          <w:rFonts w:ascii="Times New Roman" w:eastAsia="Times New Roman"/>
        </w:rPr>
        <w:t>s</w:t>
      </w:r>
      <w:r>
        <w:rPr>
          <w:rFonts w:ascii="Times New Roman" w:eastAsia="Times New Roman"/>
        </w:rPr>
        <w:t> </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 </w:t>
      </w:r>
      <w:r>
        <w:rPr>
          <w:rFonts w:ascii="Times New Roman" w:eastAsia="Times New Roman"/>
        </w:rPr>
        <w:t>g</w:t>
      </w:r>
      <w:r>
        <w:rPr>
          <w:rFonts w:ascii="Times New Roman" w:eastAsia="Times New Roman"/>
        </w:rPr>
        <w:t>o</w:t>
      </w:r>
      <w:r w:rsidR="001852F3">
        <w:rPr>
          <w:rFonts w:ascii="Times New Roman" w:eastAsia="Times New Roman"/>
        </w:rPr>
        <w:t xml:space="preserve"> </w:t>
      </w:r>
      <w:r>
        <w:t>）</w:t>
      </w:r>
      <w:r>
        <w:t>，这种模式是</w:t>
      </w:r>
    </w:p>
    <w:p w:rsidR="0018722C">
      <w:pPr>
        <w:topLinePunct/>
      </w:pPr>
      <w:r>
        <w:t>“按照一个较短的时期</w:t>
      </w:r>
      <w:r>
        <w:t>（</w:t>
      </w:r>
      <w:r>
        <w:t>通常为一年</w:t>
      </w:r>
      <w:r>
        <w:t>）</w:t>
      </w:r>
      <w:r>
        <w:t>内收支平衡的原则确定费率，筹集社会保</w:t>
      </w:r>
      <w:r>
        <w:t>险基金，即本预算期内社会保险费收入仅仅满足本预算内社会保险金给付的需</w:t>
      </w:r>
      <w:r>
        <w:t>要。当然，为了避免费率调整过于频繁，防止短期内经济或其他突发事件可能出</w:t>
      </w:r>
      <w:r>
        <w:t>现的基金收支波动，一般保留有小额的流动储备金。即所谓，以支定收、收支平</w:t>
      </w:r>
      <w:r>
        <w:t>衡、略有结余。”</w:t>
      </w:r>
      <w:hyperlink w:history="true" w:anchor="_bookmark2">
        <w:r>
          <w:rPr>
            <w:vertAlign w:val="superscript"/>
            /&gt;
          </w:rPr>
          <w:t>1</w:t>
        </w:r>
      </w:hyperlink>
      <w:r>
        <w:t>而截止到</w:t>
      </w:r>
      <w:r>
        <w:rPr>
          <w:rFonts w:ascii="Times New Roman" w:hAnsi="Times New Roman" w:eastAsia="宋体"/>
        </w:rPr>
        <w:t>2012</w:t>
      </w:r>
      <w:r>
        <w:t>年年末，北京市城镇职工基本医疗统筹基金累</w:t>
      </w:r>
      <w:r>
        <w:t>计结余</w:t>
      </w:r>
      <w:r>
        <w:rPr>
          <w:rFonts w:ascii="Times New Roman" w:hAnsi="Times New Roman" w:eastAsia="宋体"/>
        </w:rPr>
        <w:t>189</w:t>
      </w:r>
      <w:r>
        <w:rPr>
          <w:rFonts w:ascii="Times New Roman" w:hAnsi="Times New Roman" w:eastAsia="宋体"/>
        </w:rPr>
        <w:t>.</w:t>
      </w:r>
      <w:r>
        <w:rPr>
          <w:rFonts w:ascii="Times New Roman" w:hAnsi="Times New Roman" w:eastAsia="宋体"/>
        </w:rPr>
        <w:t>3702</w:t>
      </w:r>
      <w:r>
        <w:t>亿元，城镇居民基本医疗保险基金累计结余</w:t>
      </w:r>
      <w:r>
        <w:rPr>
          <w:rFonts w:ascii="Times New Roman" w:hAnsi="Times New Roman" w:eastAsia="宋体"/>
        </w:rPr>
        <w:t>9</w:t>
      </w:r>
      <w:r>
        <w:rPr>
          <w:rFonts w:ascii="Times New Roman" w:hAnsi="Times New Roman" w:eastAsia="宋体"/>
        </w:rPr>
        <w:t>.</w:t>
      </w:r>
      <w:r>
        <w:rPr>
          <w:rFonts w:ascii="Times New Roman" w:hAnsi="Times New Roman" w:eastAsia="宋体"/>
        </w:rPr>
        <w:t>0213</w:t>
      </w:r>
      <w:r>
        <w:t>亿元。</w:t>
      </w:r>
    </w:p>
    <w:p w:rsidR="0018722C">
      <w:pPr>
        <w:topLinePunct/>
      </w:pPr>
      <w:r>
        <w:t>医疗保险统筹基金的结余，在制度设计初期有利于维护制度的稳定性，但由</w:t>
      </w:r>
      <w:r>
        <w:t>于我国社会保障总体水平较低，当前的工作主要是如何利用有限的医疗保险基</w:t>
      </w:r>
      <w:r>
        <w:t>金，切实保障参保人的利益，防止资金浪费，避免参保职工待遇水平及参保居民</w:t>
      </w:r>
      <w:r>
        <w:t>和农民生活水平的降低。北京市医疗保险统筹基金如此巨额结余，一是会令参保</w:t>
      </w:r>
      <w:r>
        <w:t>人员和医疗机构对基本医疗保险制度产生质疑，从而导致参保积极性下降，并将进一步加剧基金的不平衡。二是会加重企业缴费负担及财政压力，目前，北京市</w:t>
      </w:r>
      <w:r>
        <w:t>中小企业参加五项社会保险需要缴纳职工工资总额</w:t>
      </w:r>
      <w:r>
        <w:rPr>
          <w:rFonts w:ascii="Times New Roman" w:eastAsia="Times New Roman"/>
        </w:rPr>
        <w:t>32</w:t>
      </w:r>
      <w:r>
        <w:rPr>
          <w:rFonts w:ascii="Times New Roman" w:eastAsia="Times New Roman"/>
        </w:rPr>
        <w:t>.</w:t>
      </w:r>
      <w:r>
        <w:rPr>
          <w:rFonts w:ascii="Times New Roman" w:eastAsia="Times New Roman"/>
        </w:rPr>
        <w:t>28%</w:t>
      </w:r>
      <w:r>
        <w:t>的社会保险费。养老</w:t>
      </w:r>
      <w:r>
        <w:t>保险缴纳</w:t>
      </w:r>
      <w:r>
        <w:rPr>
          <w:rFonts w:ascii="Times New Roman" w:eastAsia="Times New Roman"/>
        </w:rPr>
        <w:t>20%</w:t>
      </w:r>
      <w:r>
        <w:t>，医疗保险缴纳</w:t>
      </w:r>
      <w:r>
        <w:rPr>
          <w:rFonts w:ascii="Times New Roman" w:eastAsia="Times New Roman"/>
        </w:rPr>
        <w:t>10%</w:t>
      </w:r>
      <w:r>
        <w:t>，失业保险缴纳</w:t>
      </w:r>
      <w:r>
        <w:rPr>
          <w:rFonts w:ascii="Times New Roman" w:eastAsia="Times New Roman"/>
        </w:rPr>
        <w:t>1%</w:t>
      </w:r>
      <w:r>
        <w:t>，工伤保险缴纳</w:t>
      </w:r>
      <w:r>
        <w:rPr>
          <w:rFonts w:ascii="Times New Roman" w:eastAsia="Times New Roman"/>
        </w:rPr>
        <w:t>0</w:t>
      </w:r>
      <w:r>
        <w:rPr>
          <w:rFonts w:ascii="Times New Roman" w:eastAsia="Times New Roman"/>
        </w:rPr>
        <w:t>.</w:t>
      </w:r>
      <w:r>
        <w:rPr>
          <w:rFonts w:ascii="Times New Roman" w:eastAsia="Times New Roman"/>
        </w:rPr>
        <w:t>48%</w:t>
      </w:r>
      <w:r>
        <w:t>，</w:t>
      </w:r>
      <w:r>
        <w:t>生育保险缴纳</w:t>
      </w:r>
      <w:r>
        <w:rPr>
          <w:rFonts w:ascii="Times New Roman" w:eastAsia="Times New Roman"/>
        </w:rPr>
        <w:t>0</w:t>
      </w:r>
      <w:r>
        <w:rPr>
          <w:rFonts w:ascii="Times New Roman" w:eastAsia="Times New Roman"/>
        </w:rPr>
        <w:t>.</w:t>
      </w:r>
      <w:r>
        <w:rPr>
          <w:rFonts w:ascii="Times New Roman" w:eastAsia="Times New Roman"/>
        </w:rPr>
        <w:t>8%</w:t>
      </w:r>
      <w:r>
        <w:t>。</w:t>
      </w:r>
      <w:hyperlink w:history="true" w:anchor="_bookmark3">
        <w:r>
          <w:rPr>
            <w:vertAlign w:val="superscript"/>
            /&gt;
          </w:rPr>
          <w:t>2</w:t>
        </w:r>
      </w:hyperlink>
      <w:r>
        <w:t>企业本身缴费压力过大，加上医疗保险基金过度结余，将</w:t>
      </w:r>
      <w:r>
        <w:t>影响中小企业医疗保险缴费意愿，也不利于企业发展。三是会加大医疗保险基金</w:t>
      </w:r>
      <w:r>
        <w:t>的管理风险。医疗保险基金结余过多容易带来政府部门挪用基金及贪腐问题。四</w:t>
      </w:r>
      <w:r>
        <w:t>是会造成基金贬值，医疗保险基金结余过多对基金的投资运营提出了更高的要</w:t>
      </w:r>
      <w:r>
        <w:t>求。如果不能很好地实现保值增值，在通货膨胀的情况下，医疗保险基金会严重贬值。</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林义，社会保险基金管理，中国劳动社会保障出版社，第</w:t>
      </w:r>
      <w:r>
        <w:rPr>
          <w:rFonts w:ascii="Times New Roman" w:eastAsia="Times New Roman" w:cstheme="minorBidi" w:hAnsiTheme="minorHAnsi"/>
        </w:rPr>
        <w:t>56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数据来源：北京市人力资源和社会保障局网站</w:t>
      </w:r>
    </w:p>
    <w:p w:rsidR="0018722C">
      <w:pPr>
        <w:topLinePunct/>
      </w:pPr>
      <w:bookmarkStart w:name="_bookmark4" w:id="3"/>
      <w:bookmarkEnd w:id="3"/>
      <w:r/>
      <w:r>
        <w:t>金波动程度、当期提取比例和基金管理水平等因素的影响，一般在年支出的</w:t>
      </w:r>
      <w:r>
        <w:rPr>
          <w:rFonts w:ascii="Times New Roman" w:eastAsia="Times New Roman"/>
        </w:rPr>
        <w:t>25%</w:t>
      </w:r>
      <w:r>
        <w:t>至</w:t>
      </w:r>
      <w:r>
        <w:rPr>
          <w:rFonts w:ascii="Times New Roman" w:eastAsia="Times New Roman"/>
        </w:rPr>
        <w:t>100%</w:t>
      </w:r>
      <w:r>
        <w:t>之间，发达国家一般不超过</w:t>
      </w:r>
      <w:r>
        <w:rPr>
          <w:rFonts w:ascii="Times New Roman" w:eastAsia="Times New Roman"/>
        </w:rPr>
        <w:t>15%</w:t>
      </w:r>
      <w:r>
        <w:t>。北京市目前对城镇职工基本医疗、新农合、居民医保的风险储备金提取尚无明确规定，是政策盲区。</w:t>
      </w:r>
    </w:p>
    <w:p w:rsidR="0018722C">
      <w:pPr>
        <w:topLinePunct/>
      </w:pPr>
      <w:r>
        <w:t>我国医疗保险制度平稳运行的关键在于医疗保险基金是否能够收支平衡，一</w:t>
      </w:r>
      <w:r>
        <w:t>定程度的结余率对参保者的医疗卫生保障与费用负担减轻有很大的作用，如何既</w:t>
      </w:r>
      <w:r>
        <w:t>保证参保人员“病有所医，医有所报”，又保证医保基金收支平衡、略有结余，</w:t>
      </w:r>
      <w:r>
        <w:t>成为基本医疗保险改革及发展所面临的重要课题。所以研究北京市医疗保险统筹基金收支平衡这一课题具有很重要的理论及现实意义。</w:t>
      </w:r>
    </w:p>
    <w:p w:rsidR="0018722C">
      <w:pPr>
        <w:pStyle w:val="Heading2"/>
        <w:topLinePunct/>
        <w:ind w:left="171" w:hangingChars="171" w:hanging="171"/>
      </w:pPr>
      <w:bookmarkStart w:id="569910" w:name="_Toc686569910"/>
      <w:r>
        <w:t>1.2</w:t>
      </w:r>
      <w:r>
        <w:t xml:space="preserve"> </w:t>
      </w:r>
      <w:r>
        <w:t>文献综述</w:t>
      </w:r>
      <w:bookmarkEnd w:id="569910"/>
    </w:p>
    <w:p w:rsidR="0018722C">
      <w:pPr>
        <w:pStyle w:val="Heading3"/>
        <w:topLinePunct/>
        <w:ind w:left="200" w:hangingChars="200" w:hanging="200"/>
      </w:pPr>
      <w:bookmarkStart w:id="569911" w:name="_Toc686569911"/>
      <w:r>
        <w:t>1.2.1</w:t>
      </w:r>
      <w:r>
        <w:t xml:space="preserve"> </w:t>
      </w:r>
      <w:r>
        <w:t>国内研究</w:t>
      </w:r>
      <w:bookmarkEnd w:id="569911"/>
    </w:p>
    <w:p w:rsidR="0018722C">
      <w:pPr>
        <w:topLinePunct/>
      </w:pPr>
      <w:r>
        <w:t>近年</w:t>
      </w:r>
      <w:r>
        <w:t>来，国内有学者对我国医疗保险基金结余适宜度进行了研究。顾昕</w:t>
      </w:r>
    </w:p>
    <w:p w:rsidR="0018722C">
      <w:pPr>
        <w:topLinePunct/>
      </w:pPr>
      <w:r>
        <w:t>（</w:t>
      </w:r>
      <w:r>
        <w:rPr>
          <w:rFonts w:ascii="Times New Roman" w:hAnsi="Times New Roman" w:eastAsia="Times New Roman"/>
        </w:rPr>
        <w:t>2010</w:t>
      </w:r>
      <w:r>
        <w:t>）</w:t>
      </w:r>
      <w:r>
        <w:t>分别分析了我国新型农村合作医疗、城镇居民基本医疗保险、城镇职工</w:t>
      </w:r>
      <w:r>
        <w:t>基本医疗保险基金结余情况及原因，对盘活医保沉淀基金提出政策建议，一是国</w:t>
      </w:r>
      <w:r>
        <w:t>有企业困难职工和离退休者参保费用由财政预算来补贴而不应该靠对现在的参</w:t>
      </w:r>
      <w:r>
        <w:t>保人“多征少给”来为这类困难人群筹资，二是参保者可以使用个人账户资金为</w:t>
      </w:r>
      <w:r>
        <w:t>直系亲属缴纳保费。吕国营、</w:t>
      </w:r>
      <w:r w:rsidR="001852F3">
        <w:t xml:space="preserve">徐丽军</w:t>
      </w:r>
      <w:r>
        <w:t>（</w:t>
      </w:r>
      <w:r>
        <w:rPr>
          <w:rFonts w:ascii="Times New Roman" w:hAnsi="Times New Roman" w:eastAsia="Times New Roman"/>
        </w:rPr>
        <w:t>2012</w:t>
      </w:r>
      <w:r>
        <w:t>）</w:t>
      </w:r>
      <w:r>
        <w:t>通过论证医疗保险与养老保险及</w:t>
      </w:r>
      <w:r>
        <w:t>公共医疗的关系，得出确定合理的医疗基金结余标准应该考虑的三个方面分别是</w:t>
      </w:r>
      <w:r>
        <w:t>医疗保险基金的统筹层次、承担养老责任的大小、公共卫生项目的覆盖程度。李</w:t>
      </w:r>
      <w:r>
        <w:t>常印、郝春彭等</w:t>
      </w:r>
      <w:r>
        <w:t>（</w:t>
      </w:r>
      <w:r>
        <w:rPr>
          <w:rFonts w:ascii="Times New Roman" w:hAnsi="Times New Roman" w:eastAsia="Times New Roman"/>
          <w:spacing w:val="-2"/>
        </w:rPr>
        <w:t>2012</w:t>
      </w:r>
      <w:r>
        <w:t>）</w:t>
      </w:r>
      <w:r>
        <w:t>通过对国家社保中心历年运行分析数据，提出在较短的</w:t>
      </w:r>
      <w:r>
        <w:t>时间里，影响医疗保险基金收入的因素主要有经济发展水平、费率、参保人数等，</w:t>
      </w:r>
      <w:r>
        <w:t>而医疗保险的支出与付费标准和付费方式等有关，提出要合理控制基金适度结</w:t>
      </w:r>
      <w:r>
        <w:t>余、建立基金预警机制、降低基金风险。沈焕根、张磊</w:t>
      </w:r>
      <w:r>
        <w:t>（</w:t>
      </w:r>
      <w:r>
        <w:rPr>
          <w:rFonts w:ascii="Times New Roman" w:hAnsi="Times New Roman" w:eastAsia="Times New Roman"/>
          <w:spacing w:val="-2"/>
        </w:rPr>
        <w:t>2012</w:t>
      </w:r>
      <w:r>
        <w:t>）</w:t>
      </w:r>
      <w:r>
        <w:t>归纳出影响医疗保险基金长期平衡的风险因素有制度风险、经济风险、社会风险和技术风险等，</w:t>
      </w:r>
      <w:r>
        <w:t>提出调整基金结余结构，将结余率维持在合理水平、从横纵两方面提高统筹层次与建立风险预警机制等建议。</w:t>
      </w:r>
    </w:p>
    <w:p w:rsidR="0018722C">
      <w:pPr>
        <w:topLinePunct/>
      </w:pPr>
      <w:r>
        <w:t>有学者就城镇职工基本医疗保险进行专题研究。卢驰文、王钦池</w:t>
      </w:r>
      <w:r>
        <w:t>（</w:t>
      </w:r>
      <w:r>
        <w:rPr>
          <w:rFonts w:ascii="Times New Roman" w:eastAsia="Times New Roman"/>
          <w:spacing w:val="-8"/>
        </w:rPr>
        <w:t>2010</w:t>
      </w:r>
      <w:r>
        <w:t>）</w:t>
      </w:r>
      <w:r>
        <w:t>认</w:t>
      </w:r>
      <w:r>
        <w:t>为我国城镇职工基本医疗保险基金结余过多的原因各个地区不尽相同，有些地区</w:t>
      </w:r>
      <w:r>
        <w:t>医疗保险经办管理机构尽可能多的积累医疗保险基金，因为其负责人以为医疗保</w:t>
      </w:r>
      <w:r>
        <w:t>险基金如果出现收不抵支的情况会影响自己的政绩，有些地区医疗保险经办管理机构由于技术水平较低，无法准确测算基金支出而导致医疗保险基金结余过多，</w:t>
      </w:r>
      <w:r>
        <w:t>有些地区筹资水平逐年提高，而给付标准多年不调整导致结余过多，他建议建立</w:t>
      </w:r>
      <w:r>
        <w:t>相机调整基金结余率的制度。黎友隆、罗顺均</w:t>
      </w:r>
      <w:r>
        <w:t>（</w:t>
      </w:r>
      <w:r>
        <w:rPr>
          <w:rFonts w:ascii="Times New Roman" w:eastAsia="Times New Roman"/>
          <w:spacing w:val="-2"/>
        </w:rPr>
        <w:t>2010</w:t>
      </w:r>
      <w:r>
        <w:t>）</w:t>
      </w:r>
      <w:r>
        <w:t>对</w:t>
      </w:r>
      <w:r>
        <w:rPr>
          <w:rFonts w:ascii="Times New Roman" w:eastAsia="Times New Roman"/>
        </w:rPr>
        <w:t>2002-2009</w:t>
      </w:r>
      <w:r>
        <w:t>年我国城镇</w:t>
      </w:r>
      <w:r>
        <w:t>职工医疗保险基金各年结余情况、累计结余情况、基金使用效率情况，城镇职工</w:t>
      </w:r>
      <w:r>
        <w:t>人均医疗费用与基金人均支出、基金人均支出变化率、基金人均支出差额、人</w:t>
      </w:r>
      <w:r>
        <w:t>均</w:t>
      </w:r>
    </w:p>
    <w:p w:rsidR="0018722C">
      <w:pPr>
        <w:topLinePunct/>
      </w:pPr>
      <w:bookmarkStart w:name="_bookmark5" w:id="4"/>
      <w:bookmarkEnd w:id="4"/>
      <w:r/>
      <w:r>
        <w:t>可支配收入等的关系进行了分析。并分别测算了在结余率为</w:t>
      </w:r>
      <w:r>
        <w:rPr>
          <w:rFonts w:ascii="Times New Roman" w:eastAsia="Times New Roman"/>
        </w:rPr>
        <w:t>15%</w:t>
      </w:r>
      <w:r>
        <w:t>、</w:t>
      </w:r>
      <w:r>
        <w:rPr>
          <w:rFonts w:ascii="Times New Roman" w:eastAsia="Times New Roman"/>
        </w:rPr>
        <w:t>5%</w:t>
      </w:r>
      <w:r>
        <w:t>、</w:t>
      </w:r>
      <w:r>
        <w:rPr>
          <w:rFonts w:ascii="Times New Roman" w:eastAsia="Times New Roman"/>
        </w:rPr>
        <w:t>-5%</w:t>
      </w:r>
      <w:r>
        <w:t>时未</w:t>
      </w:r>
      <w:r>
        <w:t>来</w:t>
      </w:r>
      <w:r>
        <w:rPr>
          <w:rFonts w:ascii="Times New Roman" w:eastAsia="Times New Roman"/>
        </w:rPr>
        <w:t>10</w:t>
      </w:r>
      <w:r>
        <w:t>年城镇职工医保基金保障水平。建议调整门诊自负比例及住院起付线等医</w:t>
      </w:r>
      <w:r>
        <w:t>疗，充分发挥个人账户基金使用率，使医疗保险能够全面保障城镇职工医疗服务。</w:t>
      </w:r>
    </w:p>
    <w:p w:rsidR="0018722C">
      <w:pPr>
        <w:topLinePunct/>
      </w:pPr>
      <w:r>
        <w:t>还有学者结合地区实际案例及数据，对该问题进行研究。彭俊、宋世斌</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通过运用精算方法研究广东省珠海市社会医疗保险基金的运行情况及收支平衡</w:t>
      </w:r>
      <w:r>
        <w:t>情况，并且预测，珠海市医疗保险基金以目前老龄化的发展速度，按照现在的制</w:t>
      </w:r>
      <w:r>
        <w:t>度体系，会在</w:t>
      </w:r>
      <w:r>
        <w:rPr>
          <w:rFonts w:ascii="Times New Roman" w:eastAsia="Times New Roman"/>
        </w:rPr>
        <w:t>2020</w:t>
      </w:r>
      <w:r>
        <w:t>年到</w:t>
      </w:r>
      <w:r>
        <w:rPr>
          <w:rFonts w:ascii="Times New Roman" w:eastAsia="Times New Roman"/>
        </w:rPr>
        <w:t>2025</w:t>
      </w:r>
      <w:r>
        <w:t>年之间出现入不敷出的局面，提出要改变个人帐户</w:t>
      </w:r>
      <w:r>
        <w:t>划拨比例。朱彪、袁长海</w:t>
      </w:r>
      <w:r>
        <w:t>（</w:t>
      </w:r>
      <w:r>
        <w:rPr>
          <w:rFonts w:ascii="Times New Roman" w:eastAsia="Times New Roman"/>
          <w:spacing w:val="-2"/>
        </w:rPr>
        <w:t>2010</w:t>
      </w:r>
      <w:r>
        <w:t>）</w:t>
      </w:r>
      <w:r>
        <w:t>通过研究ft东省部分地区医疗保险制度及基金</w:t>
      </w:r>
      <w:r>
        <w:t>结余情况，分析了城镇职工及居民基本医疗保险结余过高以及新型农村合作医疗</w:t>
      </w:r>
      <w:r>
        <w:t>赤字的原因，提出要完善医疗保险费用结算方式及支付制度，加强基金监督管理并且充分发挥ft东省基层卫生机构的作用。</w:t>
      </w:r>
    </w:p>
    <w:p w:rsidR="0018722C">
      <w:pPr>
        <w:pStyle w:val="Heading3"/>
        <w:topLinePunct/>
        <w:ind w:left="200" w:hangingChars="200" w:hanging="200"/>
      </w:pPr>
      <w:bookmarkStart w:id="569912" w:name="_Toc686569912"/>
      <w:r>
        <w:t>1.2.2</w:t>
      </w:r>
      <w:r>
        <w:t xml:space="preserve"> </w:t>
      </w:r>
      <w:r>
        <w:t>国外研究</w:t>
      </w:r>
      <w:bookmarkEnd w:id="569912"/>
    </w:p>
    <w:p w:rsidR="0018722C">
      <w:pPr>
        <w:topLinePunct/>
      </w:pPr>
      <w:r>
        <w:t>国外学者的研究主要</w:t>
      </w:r>
      <w:r>
        <w:rPr>
          <w:rFonts w:ascii="Times New Roman" w:eastAsia="Times New Roman"/>
        </w:rPr>
        <w:t>Axel </w:t>
      </w:r>
      <w:r>
        <w:rPr>
          <w:rFonts w:ascii="Times New Roman" w:eastAsia="Times New Roman"/>
        </w:rPr>
        <w:t>Reimann</w:t>
      </w:r>
      <w:r>
        <w:t>（</w:t>
      </w:r>
      <w:r>
        <w:rPr>
          <w:rFonts w:ascii="Times New Roman" w:eastAsia="Times New Roman"/>
          <w:spacing w:val="-2"/>
        </w:rPr>
        <w:t>2003</w:t>
      </w:r>
      <w:r>
        <w:t>）</w:t>
      </w:r>
      <w:r>
        <w:t>从组织机构、监督制度、预算和</w:t>
      </w:r>
      <w:r>
        <w:t>审计制度、融资原则、财产管理等方面对中国和德国的医疗保险基金管理办法进</w:t>
      </w:r>
      <w:r>
        <w:t>行了比较研究。</w:t>
      </w:r>
      <w:r>
        <w:rPr>
          <w:rFonts w:ascii="Times New Roman" w:eastAsia="Times New Roman"/>
        </w:rPr>
        <w:t>Steinmann</w:t>
      </w:r>
      <w:r>
        <w:t>（</w:t>
      </w:r>
      <w:r>
        <w:rPr>
          <w:rFonts w:ascii="Times New Roman" w:eastAsia="Times New Roman"/>
        </w:rPr>
        <w:t>2005</w:t>
      </w:r>
      <w:r>
        <w:t>）</w:t>
      </w:r>
      <w:r>
        <w:t>研究表明人口老龄化是目前世界医疗费用迅速增长的主要因素，</w:t>
      </w:r>
      <w:r>
        <w:rPr>
          <w:rFonts w:ascii="Times New Roman" w:eastAsia="Times New Roman"/>
        </w:rPr>
        <w:t>65</w:t>
      </w:r>
      <w:r>
        <w:t>岁以上人口占总人口的比重对医疗卫生费用变化有重要影响。</w:t>
      </w:r>
      <w:r>
        <w:rPr>
          <w:rFonts w:ascii="Times New Roman" w:eastAsia="Times New Roman"/>
        </w:rPr>
        <w:t>Ma C.</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2007</w:t>
      </w:r>
      <w:r>
        <w:t>）</w:t>
      </w:r>
      <w:r>
        <w:t>提出医疗保险经办部门的支付方式会影响医疗机构采用的诊疗手段与医疗花费的程度。</w:t>
      </w:r>
      <w:r>
        <w:rPr>
          <w:rFonts w:ascii="Times New Roman" w:eastAsia="Times New Roman"/>
        </w:rPr>
        <w:t>Markv.</w:t>
      </w:r>
      <w:r w:rsidR="004B696B">
        <w:rPr>
          <w:rFonts w:ascii="Times New Roman" w:eastAsia="Times New Roman"/>
        </w:rPr>
        <w:t xml:space="preserve"> </w:t>
      </w:r>
      <w:r w:rsidR="004B696B">
        <w:rPr>
          <w:rFonts w:ascii="Times New Roman" w:eastAsia="Times New Roman"/>
        </w:rPr>
        <w:t>Pauly</w:t>
      </w:r>
      <w:r>
        <w:t>从筹资和医疗费用支付方式的设计</w:t>
      </w:r>
      <w:r>
        <w:t>方面进行研究，提出最优的医疗保障制度应该是由病人和政府共同付费，并且要设立一定的自付比例，病人需要承担一定的费用。</w:t>
      </w:r>
      <w:r>
        <w:rPr>
          <w:rFonts w:ascii="Times New Roman" w:eastAsia="Times New Roman"/>
        </w:rPr>
        <w:t>Cagatay </w:t>
      </w:r>
      <w:r>
        <w:rPr>
          <w:rFonts w:ascii="Times New Roman" w:eastAsia="Times New Roman"/>
        </w:rPr>
        <w:t>K.</w:t>
      </w:r>
      <w:r>
        <w:t>（</w:t>
      </w:r>
      <w:r>
        <w:rPr>
          <w:rFonts w:ascii="Times New Roman" w:eastAsia="Times New Roman"/>
        </w:rPr>
        <w:t>2008</w:t>
      </w:r>
      <w:r>
        <w:t>）</w:t>
      </w:r>
      <w:r>
        <w:t xml:space="preserve">提出医疗保险制度本身问题，比如因为第三方付费的模式也使得医疗保险存在道德风险，</w:t>
      </w:r>
      <w:r>
        <w:t>导致医疗保险支出增加。</w:t>
      </w:r>
      <w:r>
        <w:rPr>
          <w:rFonts w:ascii="Times New Roman" w:eastAsia="Times New Roman"/>
        </w:rPr>
        <w:t>Posnett J.</w:t>
      </w:r>
      <w:r>
        <w:t>和</w:t>
      </w:r>
      <w:r>
        <w:rPr>
          <w:rFonts w:ascii="Times New Roman" w:eastAsia="Times New Roman"/>
        </w:rPr>
        <w:t>Hitiris </w:t>
      </w:r>
      <w:r>
        <w:rPr>
          <w:rFonts w:ascii="Times New Roman" w:eastAsia="Times New Roman"/>
        </w:rPr>
        <w:t>T.</w:t>
      </w:r>
      <w:r>
        <w:t>通过对比研究欧共体中不同国家的</w:t>
      </w:r>
      <w:r>
        <w:t>医疗费用支出情况，利用老年人口赡养系数、人均收入、通货膨胀率、医疗费用在政府全部公共性支出中所占比例等参数建立了欧共体的医疗费用预测模型。</w:t>
      </w:r>
    </w:p>
    <w:p w:rsidR="0018722C">
      <w:pPr>
        <w:pStyle w:val="Heading2"/>
        <w:topLinePunct/>
        <w:ind w:left="171" w:hangingChars="171" w:hanging="171"/>
      </w:pPr>
      <w:bookmarkStart w:id="569913" w:name="_Toc686569913"/>
      <w:r>
        <w:t>1.3</w:t>
      </w:r>
      <w:r>
        <w:t xml:space="preserve"> </w:t>
      </w:r>
      <w:r>
        <w:t>研究内容</w:t>
      </w:r>
      <w:bookmarkEnd w:id="569913"/>
    </w:p>
    <w:p w:rsidR="0018722C">
      <w:pPr>
        <w:topLinePunct/>
      </w:pPr>
      <w:r>
        <w:t>第一部分：导论。</w:t>
      </w:r>
    </w:p>
    <w:p w:rsidR="0018722C">
      <w:pPr>
        <w:topLinePunct/>
      </w:pPr>
      <w:bookmarkStart w:id="569972" w:name="_cwCmt1"/>
      <w:r>
        <w:t>第二部分：全面分析研究北京市医疗保险运行情况，包括医保政策、覆盖范</w:t>
      </w:r>
      <w:r>
        <w:t>围、筹资标准、缴费年限、待遇水平等。利用相关数据，对北京市城镇职工基本</w:t>
      </w:r>
      <w:r>
        <w:t>医疗保险、城镇居民医疗保险和新型农村合作医疗三项医保基金结余情况进行评估。</w:t>
      </w:r>
      <w:bookmarkEnd w:id="569972"/>
    </w:p>
    <w:p w:rsidR="0018722C">
      <w:pPr>
        <w:topLinePunct/>
      </w:pPr>
      <w:r>
        <w:t>第三部分：分析影响北京市基本医疗保险基金收支平衡的主要因素，基金收</w:t>
      </w:r>
      <w:r>
        <w:t>入方面，选取参保人数、职工平均工资、缴费比例、在职职工比例、死亡率、政</w:t>
      </w:r>
      <w:r>
        <w:t>府补助和人口老龄化程度等因素进行分析；基金支出方面选取预期寿命、起付标准和最高支付限额、医疗费用报销标准、疾病谱的变化、居民健康和保健意识</w:t>
      </w:r>
      <w:r>
        <w:t>、</w:t>
      </w:r>
    </w:p>
    <w:p w:rsidR="0018722C">
      <w:pPr>
        <w:pStyle w:val="Heading2"/>
        <w:topLinePunct/>
        <w:ind w:left="171" w:hangingChars="171" w:hanging="171"/>
      </w:pPr>
      <w:bookmarkStart w:id="569914" w:name="_Toc686569914"/>
      <w:bookmarkStart w:name="_bookmark6" w:id="5"/>
      <w:bookmarkEnd w:id="5"/>
      <w:r/>
      <w:r>
        <w:t>医疗科技的进步等因素进行分析。</w:t>
      </w:r>
      <w:bookmarkEnd w:id="569914"/>
    </w:p>
    <w:p w:rsidR="0018722C">
      <w:pPr>
        <w:topLinePunct/>
      </w:pPr>
      <w:r>
        <w:t>第四部分：借鉴国际上主要国家及国际组织如国际劳工组织对现收现付制医疗保险基金结余与收支平衡的相关制度及我国其他地区的先进经验。</w:t>
      </w:r>
    </w:p>
    <w:p w:rsidR="0018722C">
      <w:pPr>
        <w:topLinePunct/>
      </w:pPr>
      <w:r>
        <w:t>第五部分：构建北京市医疗保险基金结余适宜度与动态平衡机制的思路与对策，为相关政府部门提供参考。</w:t>
      </w:r>
    </w:p>
    <w:p w:rsidR="0018722C">
      <w:pPr>
        <w:topLinePunct/>
      </w:pPr>
      <w:r>
        <w:t>第六部分：参考文献</w:t>
      </w:r>
    </w:p>
    <w:p w:rsidR="0018722C">
      <w:pPr>
        <w:pStyle w:val="Heading2"/>
        <w:topLinePunct/>
        <w:ind w:left="171" w:hangingChars="171" w:hanging="171"/>
      </w:pPr>
      <w:bookmarkStart w:id="569915" w:name="_Toc686569915"/>
      <w:r>
        <w:t>1.4</w:t>
      </w:r>
      <w:r>
        <w:t xml:space="preserve"> </w:t>
      </w:r>
      <w:r>
        <w:t>本文的创新与不足</w:t>
      </w:r>
      <w:bookmarkEnd w:id="569915"/>
    </w:p>
    <w:p w:rsidR="0018722C">
      <w:pPr>
        <w:topLinePunct/>
      </w:pPr>
      <w:r>
        <w:t>创新之处：</w:t>
      </w:r>
    </w:p>
    <w:p w:rsidR="0018722C">
      <w:pPr>
        <w:topLinePunct/>
      </w:pPr>
      <w:r>
        <w:t>第一，运用案例分析的方法。通过查阅统计年鉴及报告数据，访谈北京市医</w:t>
      </w:r>
      <w:r>
        <w:t>保局工作人员，对该地区的医疗保险基金管理实践情况进行专题调研，运用</w:t>
      </w:r>
      <w:r>
        <w:t>一手</w:t>
      </w:r>
      <w:r>
        <w:t>资料，分析其医疗保险基金的收支平衡问题。</w:t>
      </w:r>
    </w:p>
    <w:p w:rsidR="0018722C">
      <w:pPr>
        <w:topLinePunct/>
      </w:pPr>
      <w:r>
        <w:t>第二，采取数据分析与因素分析的研究方法。本文主要分析计算了北京市医</w:t>
      </w:r>
      <w:r>
        <w:t>疗保险参保人数、参保率、基金收入、基金支出、基金当期与累计结余情况。数</w:t>
      </w:r>
      <w:r>
        <w:t>据来源为人力资源与社会保障部、北京市医保局、各统计机构公开数据。并且分析了影响医疗保险基金收入与支出的各种因素。</w:t>
      </w:r>
    </w:p>
    <w:p w:rsidR="0018722C">
      <w:pPr>
        <w:topLinePunct/>
      </w:pPr>
      <w:r>
        <w:t>第三，采用比较研究的手段。世界上很多国家都利用医疗保险制度进行卫生</w:t>
      </w:r>
      <w:r>
        <w:t>费用的管理，很多发达国家有着十分丰富的管理经验。本文通过研究法国、德国</w:t>
      </w:r>
      <w:r>
        <w:t>等国家以及我国大连、云南等地区的医保基金收支情况，比较他们在医保基金管</w:t>
      </w:r>
      <w:r>
        <w:t>理尤其是如何有效控制医疗费用上的方法，为北京市医保基金管理提供一定的借鉴意义。</w:t>
      </w:r>
    </w:p>
    <w:p w:rsidR="0018722C">
      <w:pPr>
        <w:topLinePunct/>
      </w:pPr>
      <w:r>
        <w:t>本文不足：</w:t>
      </w:r>
    </w:p>
    <w:p w:rsidR="0018722C">
      <w:pPr>
        <w:topLinePunct/>
      </w:pPr>
      <w:r>
        <w:t>受相关数据资源的限制，本文对与北京市医疗保险基金平衡问题研究仍处于</w:t>
      </w:r>
      <w:r>
        <w:t>一般性的理论探讨层面，如何结合有效的数据展开更为深入的实证分析是下一步有待努力的方向。</w:t>
      </w:r>
    </w:p>
    <w:p w:rsidR="0018722C">
      <w:pPr>
        <w:pStyle w:val="Heading1"/>
        <w:topLinePunct/>
      </w:pPr>
      <w:bookmarkStart w:id="569916" w:name="_Toc686569916"/>
      <w:bookmarkStart w:name="_bookmark7" w:id="6"/>
      <w:bookmarkEnd w:id="6"/>
      <w:bookmarkStart w:name="_bookmark8" w:id="7"/>
      <w:bookmarkEnd w:id="7"/>
      <w:r>
        <w:t>第 2 章</w:t>
      </w:r>
      <w:r>
        <w:t xml:space="preserve">  </w:t>
      </w:r>
      <w:r w:rsidRPr="00DB64CE">
        <w:t>北京市医疗保险运行情况</w:t>
      </w:r>
      <w:bookmarkEnd w:id="569916"/>
    </w:p>
    <w:p w:rsidR="0018722C">
      <w:pPr>
        <w:pStyle w:val="Heading2"/>
        <w:topLinePunct/>
        <w:ind w:left="171" w:hangingChars="171" w:hanging="171"/>
      </w:pPr>
      <w:bookmarkStart w:id="569917" w:name="_Toc686569917"/>
      <w:r>
        <w:t>2.1</w:t>
      </w:r>
      <w:r>
        <w:t xml:space="preserve"> </w:t>
      </w:r>
      <w:r w:rsidRPr="00DB64CE">
        <w:t>北京市基本情况介绍</w:t>
      </w:r>
      <w:bookmarkEnd w:id="569917"/>
    </w:p>
    <w:p w:rsidR="0018722C">
      <w:pPr>
        <w:topLinePunct/>
      </w:pPr>
      <w:r>
        <w:t>北京是中华人民共和国的首都，也是政治、文化中心。北京市面积</w:t>
      </w:r>
      <w:r>
        <w:rPr>
          <w:rFonts w:ascii="Times New Roman" w:eastAsia="Times New Roman"/>
        </w:rPr>
        <w:t>16410</w:t>
      </w:r>
      <w:r>
        <w:rPr>
          <w:rFonts w:ascii="Times New Roman" w:eastAsia="Times New Roman"/>
        </w:rPr>
        <w:t>.</w:t>
      </w:r>
      <w:r>
        <w:rPr>
          <w:rFonts w:ascii="Times New Roman" w:eastAsia="Times New Roman"/>
        </w:rPr>
        <w:t>54</w:t>
      </w:r>
      <w:r>
        <w:t>平方公里，下辖</w:t>
      </w:r>
      <w:r>
        <w:rPr>
          <w:rFonts w:ascii="Times New Roman" w:eastAsia="Times New Roman"/>
        </w:rPr>
        <w:t>16</w:t>
      </w:r>
      <w:r>
        <w:t>个区县，分别是东城区、西城区、朝阳区、海淀区、丰台区、石景ft区、门头沟区、房ft</w:t>
      </w:r>
      <w:r>
        <w:t>区、大兴区、通州区、顺义区、昌平区、平谷区、怀柔区、密云县、延庆县。</w:t>
      </w:r>
    </w:p>
    <w:p w:rsidR="0018722C">
      <w:pPr>
        <w:topLinePunct/>
      </w:pPr>
      <w:r>
        <w:rPr>
          <w:rFonts w:ascii="Times New Roman" w:eastAsia="Times New Roman"/>
        </w:rPr>
        <w:t>2013</w:t>
      </w:r>
      <w:r>
        <w:t>年末北京市常住人口数为</w:t>
      </w:r>
      <w:r>
        <w:rPr>
          <w:rFonts w:ascii="Times New Roman" w:eastAsia="Times New Roman"/>
        </w:rPr>
        <w:t>2114</w:t>
      </w:r>
      <w:r>
        <w:rPr>
          <w:rFonts w:ascii="Times New Roman" w:eastAsia="Times New Roman"/>
        </w:rPr>
        <w:t>.</w:t>
      </w:r>
      <w:r>
        <w:rPr>
          <w:rFonts w:ascii="Times New Roman" w:eastAsia="Times New Roman"/>
        </w:rPr>
        <w:t>8</w:t>
      </w:r>
      <w:r>
        <w:t>万，其中城镇人口</w:t>
      </w:r>
      <w:r>
        <w:rPr>
          <w:rFonts w:ascii="Times New Roman" w:eastAsia="Times New Roman"/>
        </w:rPr>
        <w:t>1825</w:t>
      </w:r>
      <w:r>
        <w:rPr>
          <w:rFonts w:ascii="Times New Roman" w:eastAsia="Times New Roman"/>
        </w:rPr>
        <w:t>.</w:t>
      </w:r>
      <w:r>
        <w:rPr>
          <w:rFonts w:ascii="Times New Roman" w:eastAsia="Times New Roman"/>
        </w:rPr>
        <w:t>1</w:t>
      </w:r>
      <w:r>
        <w:t>万人，占常</w:t>
      </w:r>
      <w:r>
        <w:t>住人口的</w:t>
      </w:r>
      <w:r>
        <w:rPr>
          <w:rFonts w:ascii="Times New Roman" w:eastAsia="Times New Roman"/>
        </w:rPr>
        <w:t>86</w:t>
      </w:r>
      <w:r>
        <w:rPr>
          <w:rFonts w:ascii="Times New Roman" w:eastAsia="Times New Roman"/>
        </w:rPr>
        <w:t>.</w:t>
      </w:r>
      <w:r>
        <w:rPr>
          <w:rFonts w:ascii="Times New Roman" w:eastAsia="Times New Roman"/>
        </w:rPr>
        <w:t>3%</w:t>
      </w:r>
      <w:r>
        <w:t>。全市</w:t>
      </w:r>
      <w:r>
        <w:rPr>
          <w:rFonts w:ascii="Times New Roman" w:eastAsia="Times New Roman"/>
        </w:rPr>
        <w:t>2013</w:t>
      </w:r>
      <w:r>
        <w:t>年全年生产总值为</w:t>
      </w:r>
      <w:r>
        <w:rPr>
          <w:rFonts w:ascii="Times New Roman" w:eastAsia="Times New Roman"/>
        </w:rPr>
        <w:t>19500</w:t>
      </w:r>
      <w:r>
        <w:rPr>
          <w:rFonts w:ascii="Times New Roman" w:eastAsia="Times New Roman"/>
        </w:rPr>
        <w:t>.</w:t>
      </w:r>
      <w:r>
        <w:rPr>
          <w:rFonts w:ascii="Times New Roman" w:eastAsia="Times New Roman"/>
        </w:rPr>
        <w:t>6</w:t>
      </w:r>
      <w:r>
        <w:t>亿元，城镇居民人均可支</w:t>
      </w:r>
      <w:r>
        <w:t>配收入为</w:t>
      </w:r>
      <w:r>
        <w:rPr>
          <w:rFonts w:ascii="Times New Roman" w:eastAsia="Times New Roman"/>
        </w:rPr>
        <w:t>40321</w:t>
      </w:r>
      <w:r>
        <w:t>元，农村居民人均纯收入为</w:t>
      </w:r>
      <w:r>
        <w:rPr>
          <w:rFonts w:ascii="Times New Roman" w:eastAsia="Times New Roman"/>
        </w:rPr>
        <w:t>18337</w:t>
      </w:r>
      <w:r>
        <w:t>元。北京市参加基本养老保险、</w:t>
      </w:r>
      <w:r>
        <w:t>基本医疗保险、失业保险、工伤保险和生育保险人数分别为</w:t>
      </w:r>
      <w:r>
        <w:rPr>
          <w:rFonts w:ascii="Times New Roman" w:eastAsia="Times New Roman"/>
        </w:rPr>
        <w:t>1311</w:t>
      </w:r>
      <w:r>
        <w:rPr>
          <w:rFonts w:ascii="Times New Roman" w:eastAsia="Times New Roman"/>
        </w:rPr>
        <w:t>.</w:t>
      </w:r>
      <w:r>
        <w:rPr>
          <w:rFonts w:ascii="Times New Roman" w:eastAsia="Times New Roman"/>
        </w:rPr>
        <w:t>3</w:t>
      </w:r>
      <w:r>
        <w:t>万人、</w:t>
      </w:r>
      <w:r>
        <w:rPr>
          <w:rFonts w:ascii="Times New Roman" w:eastAsia="Times New Roman"/>
        </w:rPr>
        <w:t>1354.8</w:t>
      </w:r>
      <w:r>
        <w:t>万人、</w:t>
      </w:r>
      <w:r>
        <w:rPr>
          <w:rFonts w:ascii="Times New Roman" w:eastAsia="Times New Roman"/>
        </w:rPr>
        <w:t>1025.1</w:t>
      </w:r>
      <w:r>
        <w:t>万人、</w:t>
      </w:r>
      <w:r>
        <w:rPr>
          <w:rFonts w:ascii="Times New Roman" w:eastAsia="Times New Roman"/>
        </w:rPr>
        <w:t>920.3</w:t>
      </w:r>
      <w:r>
        <w:t>万人和</w:t>
      </w:r>
      <w:r>
        <w:rPr>
          <w:rFonts w:ascii="Times New Roman" w:eastAsia="Times New Roman"/>
        </w:rPr>
        <w:t>883</w:t>
      </w:r>
      <w:r>
        <w:rPr>
          <w:rFonts w:ascii="Times New Roman" w:eastAsia="Times New Roman"/>
        </w:rPr>
        <w:t>.</w:t>
      </w:r>
      <w:r>
        <w:rPr>
          <w:rFonts w:ascii="Times New Roman" w:eastAsia="Times New Roman"/>
        </w:rPr>
        <w:t>2</w:t>
      </w:r>
      <w:r>
        <w:t>万人。参加新型农村合作医疗的人数</w:t>
      </w:r>
      <w:r>
        <w:t>为</w:t>
      </w:r>
    </w:p>
    <w:p w:rsidR="0018722C">
      <w:pPr>
        <w:topLinePunct/>
      </w:pPr>
      <w:r>
        <w:rPr>
          <w:rFonts w:ascii="Times New Roman" w:eastAsia="Times New Roman"/>
        </w:rPr>
        <w:t>254.3</w:t>
      </w:r>
      <w:r>
        <w:t>万人，参合率为</w:t>
      </w:r>
      <w:r>
        <w:rPr>
          <w:rFonts w:ascii="Times New Roman" w:eastAsia="Times New Roman"/>
        </w:rPr>
        <w:t>98%</w:t>
      </w:r>
      <w:r>
        <w:t>。全市卫生机构共有</w:t>
      </w:r>
      <w:r>
        <w:rPr>
          <w:rFonts w:ascii="Times New Roman" w:eastAsia="Times New Roman"/>
        </w:rPr>
        <w:t>10126</w:t>
      </w:r>
      <w:r>
        <w:t>个，其中医院有</w:t>
      </w:r>
      <w:r>
        <w:rPr>
          <w:rFonts w:ascii="Times New Roman" w:eastAsia="Times New Roman"/>
        </w:rPr>
        <w:t>632</w:t>
      </w:r>
      <w:r>
        <w:t>个，</w:t>
      </w:r>
      <w:r>
        <w:t>卫生机构共有床位</w:t>
      </w:r>
      <w:r>
        <w:rPr>
          <w:rFonts w:ascii="Times New Roman" w:eastAsia="Times New Roman"/>
        </w:rPr>
        <w:t>10</w:t>
      </w:r>
      <w:r>
        <w:rPr>
          <w:rFonts w:ascii="Times New Roman" w:eastAsia="Times New Roman"/>
        </w:rPr>
        <w:t>.</w:t>
      </w:r>
      <w:r>
        <w:rPr>
          <w:rFonts w:ascii="Times New Roman" w:eastAsia="Times New Roman"/>
        </w:rPr>
        <w:t>4</w:t>
      </w:r>
      <w:r>
        <w:t>万张。卫生技术人员有</w:t>
      </w:r>
      <w:r>
        <w:rPr>
          <w:rFonts w:ascii="Times New Roman" w:eastAsia="Times New Roman"/>
        </w:rPr>
        <w:t>21</w:t>
      </w:r>
      <w:r>
        <w:t>万人，其中执业</w:t>
      </w:r>
      <w:r>
        <w:t>（</w:t>
      </w:r>
      <w:r>
        <w:t>助理</w:t>
      </w:r>
      <w:r>
        <w:t>）</w:t>
      </w:r>
      <w:r>
        <w:t>医</w:t>
      </w:r>
      <w:r>
        <w:t>师</w:t>
      </w:r>
    </w:p>
    <w:p w:rsidR="0018722C">
      <w:pPr>
        <w:topLinePunct/>
      </w:pPr>
      <w:r>
        <w:rPr>
          <w:rFonts w:ascii="Times New Roman" w:eastAsia="Times New Roman"/>
        </w:rPr>
        <w:t>7.9</w:t>
      </w:r>
      <w:r>
        <w:t>万人，注册护士</w:t>
      </w:r>
      <w:r>
        <w:rPr>
          <w:rFonts w:ascii="Times New Roman" w:eastAsia="Times New Roman"/>
        </w:rPr>
        <w:t>8</w:t>
      </w:r>
      <w:r>
        <w:rPr>
          <w:rFonts w:ascii="Times New Roman" w:eastAsia="Times New Roman"/>
        </w:rPr>
        <w:t>.</w:t>
      </w:r>
      <w:r>
        <w:rPr>
          <w:rFonts w:ascii="Times New Roman" w:eastAsia="Times New Roman"/>
        </w:rPr>
        <w:t>7</w:t>
      </w:r>
      <w:r>
        <w:t>万人。</w:t>
      </w:r>
      <w:r>
        <w:rPr>
          <w:rFonts w:ascii="Times New Roman" w:eastAsia="Times New Roman"/>
        </w:rPr>
        <w:t>2013</w:t>
      </w:r>
      <w:r>
        <w:t>年全年医疗机构总诊疗</w:t>
      </w:r>
      <w:r>
        <w:rPr>
          <w:rFonts w:ascii="Times New Roman" w:eastAsia="Times New Roman"/>
        </w:rPr>
        <w:t>19895</w:t>
      </w:r>
      <w:r>
        <w:rPr>
          <w:rFonts w:ascii="Times New Roman" w:eastAsia="Times New Roman"/>
        </w:rPr>
        <w:t>.</w:t>
      </w:r>
      <w:r>
        <w:rPr>
          <w:rFonts w:ascii="Times New Roman" w:eastAsia="Times New Roman"/>
        </w:rPr>
        <w:t>2</w:t>
      </w:r>
      <w:r>
        <w:t>万人次。</w:t>
      </w:r>
      <w:hyperlink w:history="true" w:anchor="_bookmark9">
        <w:r>
          <w:rPr>
            <w:vertAlign w:val="superscript"/>
            /&gt;
          </w:rPr>
          <w:t>3</w:t>
        </w:r>
      </w:hyperlink>
    </w:p>
    <w:p w:rsidR="0018722C">
      <w:pPr>
        <w:pStyle w:val="Heading2"/>
        <w:topLinePunct/>
        <w:ind w:left="171" w:hangingChars="171" w:hanging="171"/>
      </w:pPr>
      <w:bookmarkStart w:id="569918" w:name="_Toc686569918"/>
      <w:r>
        <w:t>2.2</w:t>
      </w:r>
      <w:r>
        <w:t xml:space="preserve"> </w:t>
      </w:r>
      <w:r>
        <w:t>北京市医疗保险制度历史沿革</w:t>
      </w:r>
      <w:bookmarkEnd w:id="569918"/>
    </w:p>
    <w:p w:rsidR="0018722C">
      <w:pPr>
        <w:topLinePunct/>
      </w:pPr>
      <w:r>
        <w:t>北京市医疗保险制度与国家基本医疗保险制度一样，按照不同群体分为：城</w:t>
      </w:r>
      <w:r>
        <w:t>镇职工基本医疗保险、城镇居民基本医疗保险和新型农村合作医疗三项制度，其历史沿革将在下文中简单分别介绍。</w:t>
      </w:r>
    </w:p>
    <w:p w:rsidR="0018722C">
      <w:pPr>
        <w:pStyle w:val="Heading3"/>
        <w:topLinePunct/>
        <w:ind w:left="200" w:hangingChars="200" w:hanging="200"/>
      </w:pPr>
      <w:bookmarkStart w:id="569919" w:name="_Toc686569919"/>
      <w:r>
        <w:t>2.2.1</w:t>
      </w:r>
      <w:r>
        <w:t xml:space="preserve"> </w:t>
      </w:r>
      <w:r>
        <w:t>城镇职工基本医疗保险制度</w:t>
      </w:r>
      <w:bookmarkEnd w:id="569919"/>
    </w:p>
    <w:p w:rsidR="0018722C">
      <w:pPr>
        <w:topLinePunct/>
      </w:pPr>
      <w:r>
        <w:rPr>
          <w:rFonts w:ascii="Times New Roman" w:eastAsia="Times New Roman"/>
        </w:rPr>
        <w:t>1994</w:t>
      </w:r>
      <w:r>
        <w:t>年，我国开始在江苏省镇江市和江西省九江市两个地区进行城镇职工</w:t>
      </w:r>
    </w:p>
    <w:p w:rsidR="0018722C">
      <w:pPr>
        <w:topLinePunct/>
      </w:pPr>
      <w:r>
        <w:t>基本医疗保险制度改革试点，到</w:t>
      </w:r>
      <w:r>
        <w:rPr>
          <w:rFonts w:ascii="Times New Roman" w:eastAsia="Times New Roman"/>
        </w:rPr>
        <w:t>1996</w:t>
      </w:r>
      <w:r>
        <w:t>年，试点地区扩大至</w:t>
      </w:r>
      <w:r>
        <w:rPr>
          <w:rFonts w:ascii="Times New Roman" w:eastAsia="Times New Roman"/>
        </w:rPr>
        <w:t>38</w:t>
      </w:r>
      <w:r>
        <w:t>个。</w:t>
      </w:r>
      <w:r>
        <w:rPr>
          <w:rFonts w:ascii="Times New Roman" w:eastAsia="Times New Roman"/>
        </w:rPr>
        <w:t>1998</w:t>
      </w:r>
      <w:r>
        <w:t>年，随</w:t>
      </w:r>
      <w:r>
        <w:t>着《关于建设城镇职工基本医疗保险制度的决定》</w:t>
      </w:r>
      <w:r>
        <w:t>（</w:t>
      </w:r>
      <w:r>
        <w:t>国发</w:t>
      </w:r>
      <w:r>
        <w:rPr>
          <w:rFonts w:ascii="Times New Roman" w:eastAsia="Times New Roman"/>
        </w:rPr>
        <w:t>[</w:t>
      </w:r>
      <w:r>
        <w:rPr>
          <w:rFonts w:ascii="Times New Roman" w:eastAsia="Times New Roman"/>
        </w:rPr>
        <w:t xml:space="preserve">1998</w:t>
      </w:r>
      <w:r>
        <w:rPr>
          <w:rFonts w:ascii="Times New Roman" w:eastAsia="Times New Roman"/>
        </w:rPr>
        <w:t>]</w:t>
      </w:r>
      <w:r w:rsidR="004B696B">
        <w:rPr>
          <w:rFonts w:ascii="Times New Roman" w:eastAsia="Times New Roman"/>
        </w:rPr>
        <w:t xml:space="preserve"> </w:t>
      </w:r>
      <w:r>
        <w:rPr>
          <w:rFonts w:ascii="Times New Roman" w:eastAsia="Times New Roman"/>
        </w:rPr>
        <w:t xml:space="preserve">44</w:t>
      </w:r>
      <w:r>
        <w:t>号</w:t>
      </w:r>
      <w:r>
        <w:t>）</w:t>
      </w:r>
      <w:r>
        <w:t>的印发，</w:t>
      </w:r>
      <w:r w:rsidR="001852F3">
        <w:t xml:space="preserve">城镇职工基本医疗保险开始在我国全国地区推行。</w:t>
      </w:r>
    </w:p>
    <w:p w:rsidR="0018722C">
      <w:pPr>
        <w:topLinePunct/>
      </w:pPr>
      <w:r>
        <w:rPr>
          <w:rFonts w:ascii="Times New Roman" w:eastAsia="Times New Roman"/>
        </w:rPr>
        <w:t>2000</w:t>
      </w:r>
      <w:r>
        <w:t>年，北京市城镇职工基本医疗保险制度开始建立，并在西城区、宣武区、海淀区进行试点，该项制度是以社会统筹与个人账户相结合的方式开展的。</w:t>
      </w:r>
    </w:p>
    <w:p w:rsidR="0018722C">
      <w:pPr>
        <w:topLinePunct/>
      </w:pPr>
      <w:r>
        <w:rPr>
          <w:rFonts w:ascii="Times New Roman" w:eastAsia="Times New Roman"/>
        </w:rPr>
        <w:t>2001</w:t>
      </w:r>
      <w:r>
        <w:t>年</w:t>
      </w:r>
      <w:r>
        <w:rPr>
          <w:rFonts w:ascii="Times New Roman" w:eastAsia="Times New Roman"/>
        </w:rPr>
        <w:t>4</w:t>
      </w:r>
      <w:r>
        <w:t>月，北京市出台了《北京市基本医疗保险规定》</w:t>
      </w:r>
      <w:r>
        <w:t>（</w:t>
      </w:r>
      <w:r>
        <w:t>市政府第</w:t>
      </w:r>
      <w:r>
        <w:rPr>
          <w:rFonts w:ascii="Times New Roman" w:eastAsia="Times New Roman"/>
        </w:rPr>
        <w:t>68</w:t>
      </w:r>
      <w:r>
        <w:t>号令</w:t>
      </w:r>
      <w:r>
        <w:t>）</w:t>
      </w:r>
      <w:r>
        <w:t>，</w:t>
      </w:r>
      <w:r>
        <w:t>从此，北京市城镇职工基本医疗保险制度开始拉开帷幕。制度规定：北京市机关、企事业单位、社会团体、民办非企业单位及其职工与退休人员均需参加城镇职工</w:t>
      </w:r>
      <w:r>
        <w:t>基本医疗保险。另外，北京市政府于</w:t>
      </w:r>
      <w:r>
        <w:rPr>
          <w:rFonts w:ascii="Times New Roman" w:eastAsia="Times New Roman"/>
        </w:rPr>
        <w:t>2003</w:t>
      </w:r>
      <w:r>
        <w:t>年以及</w:t>
      </w:r>
      <w:r>
        <w:rPr>
          <w:rFonts w:ascii="Times New Roman" w:eastAsia="Times New Roman"/>
        </w:rPr>
        <w:t>2005</w:t>
      </w:r>
      <w:r>
        <w:t>年对该项规定分别作了两次修改。</w:t>
      </w:r>
    </w:p>
    <w:p w:rsidR="0018722C">
      <w:pPr>
        <w:pStyle w:val="Heading3"/>
        <w:topLinePunct/>
        <w:ind w:left="200" w:hangingChars="200" w:hanging="200"/>
      </w:pPr>
      <w:bookmarkStart w:id="569920" w:name="_Toc686569920"/>
      <w:r>
        <w:t>2.2.2</w:t>
      </w:r>
      <w:r>
        <w:t xml:space="preserve"> </w:t>
      </w:r>
      <w:r>
        <w:t>新型农村合作医疗制度</w:t>
      </w:r>
      <w:bookmarkEnd w:id="569920"/>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w:t>
      </w:r>
      <w:r>
        <w:rPr>
          <w:rFonts w:ascii="Times New Roman" w:eastAsia="Times New Roman" w:cstheme="minorBidi" w:hAnsiTheme="minorHAnsi"/>
        </w:rPr>
        <w:t>2013</w:t>
      </w:r>
      <w:r>
        <w:rPr>
          <w:rFonts w:cstheme="minorBidi" w:hAnsiTheme="minorHAnsi" w:eastAsiaTheme="minorHAnsi" w:asciiTheme="minorHAnsi"/>
        </w:rPr>
        <w:t>年国民经济和社会发展统计公报</w:t>
      </w:r>
    </w:p>
    <w:p w:rsidR="0018722C">
      <w:pPr>
        <w:topLinePunct/>
      </w:pPr>
      <w:bookmarkStart w:name="_bookmark10" w:id="8"/>
      <w:bookmarkEnd w:id="8"/>
      <w:r/>
      <w:r>
        <w:rPr>
          <w:rFonts w:ascii="Times New Roman" w:eastAsia="Times New Roman"/>
        </w:rPr>
        <w:t>2003</w:t>
      </w:r>
      <w:r>
        <w:t>年</w:t>
      </w:r>
      <w:r>
        <w:rPr>
          <w:rFonts w:ascii="Times New Roman" w:eastAsia="Times New Roman"/>
        </w:rPr>
        <w:t>1</w:t>
      </w:r>
      <w:r>
        <w:t>月，随着《关于建立新型农村合作医疗制度的意见》的发布，我</w:t>
      </w:r>
      <w:r>
        <w:t>国新型农村合作医疗开始正式试点运行。上世纪</w:t>
      </w:r>
      <w:r>
        <w:rPr>
          <w:rFonts w:ascii="Times New Roman" w:eastAsia="Times New Roman"/>
        </w:rPr>
        <w:t>50</w:t>
      </w:r>
      <w:r>
        <w:t>年代，北京市开始推行传统</w:t>
      </w:r>
      <w:r>
        <w:t>农村合作医疗，上世纪</w:t>
      </w:r>
      <w:r>
        <w:rPr>
          <w:rFonts w:ascii="Times New Roman" w:eastAsia="Times New Roman"/>
        </w:rPr>
        <w:t>70</w:t>
      </w:r>
      <w:r>
        <w:t>年代末覆盖率已经从最初的</w:t>
      </w:r>
      <w:r>
        <w:rPr>
          <w:rFonts w:ascii="Times New Roman" w:eastAsia="Times New Roman"/>
        </w:rPr>
        <w:t>40%</w:t>
      </w:r>
      <w:r>
        <w:t>迅速发展为</w:t>
      </w:r>
      <w:r>
        <w:rPr>
          <w:rFonts w:ascii="Times New Roman" w:eastAsia="Times New Roman"/>
        </w:rPr>
        <w:t>90%</w:t>
      </w:r>
      <w:r>
        <w:t>，但</w:t>
      </w:r>
      <w:r>
        <w:t>是，到了</w:t>
      </w:r>
      <w:r>
        <w:rPr>
          <w:rFonts w:ascii="Times New Roman" w:eastAsia="Times New Roman"/>
        </w:rPr>
        <w:t>80</w:t>
      </w:r>
      <w:r>
        <w:t>年代，我国集体经济开始解体，北京传统农村合作医疗也逐渐退出</w:t>
      </w:r>
      <w:r>
        <w:t>历史舞台。</w:t>
      </w:r>
      <w:r>
        <w:rPr>
          <w:rFonts w:ascii="Times New Roman" w:eastAsia="Times New Roman"/>
        </w:rPr>
        <w:t>2002</w:t>
      </w:r>
      <w:r>
        <w:t>年，北京市大兴区在全国率先开展新型农村合作医疗制度试点，</w:t>
      </w:r>
      <w:r>
        <w:t>为全市推广进行了先行探索，</w:t>
      </w:r>
      <w:r>
        <w:rPr>
          <w:rFonts w:ascii="Times New Roman" w:eastAsia="Times New Roman"/>
        </w:rPr>
        <w:t>2003</w:t>
      </w:r>
      <w:r>
        <w:t>年</w:t>
      </w:r>
      <w:r>
        <w:rPr>
          <w:rFonts w:ascii="Times New Roman" w:eastAsia="Times New Roman"/>
        </w:rPr>
        <w:t>8</w:t>
      </w:r>
      <w:r>
        <w:t>月，北京市召开了农村卫生工作会议市，</w:t>
      </w:r>
      <w:r>
        <w:t>市政府发布了《关于建立新型农村合作医疗制度实施意见的通知》，市卫生局《关</w:t>
      </w:r>
      <w:r>
        <w:t>于进一步做好本市新型农村合作医疗工作意见的通知》，各区县开始积极开展新型农村合作医疗试点工作。</w:t>
      </w:r>
    </w:p>
    <w:p w:rsidR="0018722C">
      <w:pPr>
        <w:topLinePunct/>
      </w:pPr>
      <w:r>
        <w:rPr>
          <w:rFonts w:ascii="Times New Roman" w:hAnsi="Times New Roman" w:eastAsia="Times New Roman"/>
        </w:rPr>
        <w:t>2003-2004</w:t>
      </w:r>
      <w:r>
        <w:t>年，北京市</w:t>
      </w:r>
      <w:r>
        <w:rPr>
          <w:rFonts w:ascii="Times New Roman" w:hAnsi="Times New Roman" w:eastAsia="Times New Roman"/>
        </w:rPr>
        <w:t>13</w:t>
      </w:r>
      <w:r>
        <w:t>个涉农区县全部实施了新农合制度。</w:t>
      </w:r>
      <w:r>
        <w:rPr>
          <w:rFonts w:ascii="Times New Roman" w:hAnsi="Times New Roman" w:eastAsia="Times New Roman"/>
        </w:rPr>
        <w:t>2005-2007</w:t>
      </w:r>
      <w:r>
        <w:t>年，</w:t>
      </w:r>
      <w:r>
        <w:t>新农合实现区县统筹，成立新农合管理机构、经办机构，建立了新农合筹资增长机制。</w:t>
      </w:r>
      <w:r>
        <w:rPr>
          <w:rFonts w:ascii="Times New Roman" w:hAnsi="Times New Roman" w:eastAsia="Times New Roman"/>
        </w:rPr>
        <w:t>2008</w:t>
      </w:r>
      <w:r>
        <w:t>年以来，实现了“四个统一”，即：统一筹资最低标准，统一制度框架，统一补偿项目，统一工作目标。</w:t>
      </w:r>
    </w:p>
    <w:p w:rsidR="0018722C">
      <w:pPr>
        <w:pStyle w:val="Heading3"/>
        <w:topLinePunct/>
        <w:ind w:left="200" w:hangingChars="200" w:hanging="200"/>
      </w:pPr>
      <w:bookmarkStart w:id="569921" w:name="_Toc686569921"/>
      <w:r>
        <w:t>2.2.3</w:t>
      </w:r>
      <w:r>
        <w:t xml:space="preserve"> </w:t>
      </w:r>
      <w:r>
        <w:t>城镇居民基本医疗保险制度</w:t>
      </w:r>
      <w:bookmarkEnd w:id="569921"/>
    </w:p>
    <w:p w:rsidR="0018722C">
      <w:pPr>
        <w:topLinePunct/>
      </w:pPr>
      <w:r>
        <w:rPr>
          <w:rFonts w:ascii="Times New Roman" w:eastAsia="Times New Roman"/>
        </w:rPr>
        <w:t>2007</w:t>
      </w:r>
      <w:r>
        <w:t>年</w:t>
      </w:r>
      <w:r>
        <w:rPr>
          <w:rFonts w:ascii="Times New Roman" w:eastAsia="Times New Roman"/>
        </w:rPr>
        <w:t>7</w:t>
      </w:r>
      <w:r>
        <w:t>月，随着《关于开展城镇居民基本医疗保险试点工作的指导意见》</w:t>
      </w:r>
    </w:p>
    <w:p w:rsidR="0018722C">
      <w:pPr>
        <w:topLinePunct/>
      </w:pPr>
      <w:r>
        <w:t>（</w:t>
      </w:r>
      <w:r>
        <w:t>国发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20</w:t>
      </w:r>
      <w:r>
        <w:t>号</w:t>
      </w:r>
      <w:r>
        <w:t>）</w:t>
      </w:r>
      <w:r>
        <w:t>的印发，我国城镇居民基本医疗保险试点工作正式启动，第</w:t>
      </w:r>
      <w:r>
        <w:t>一批共有</w:t>
      </w:r>
      <w:r>
        <w:rPr>
          <w:rFonts w:ascii="Times New Roman" w:eastAsia="Times New Roman"/>
        </w:rPr>
        <w:t>88</w:t>
      </w:r>
      <w:r>
        <w:t>个试点城市，到</w:t>
      </w:r>
      <w:r>
        <w:rPr>
          <w:rFonts w:ascii="Times New Roman" w:eastAsia="Times New Roman"/>
        </w:rPr>
        <w:t>2008</w:t>
      </w:r>
      <w:r>
        <w:t>年试点城市扩大至</w:t>
      </w:r>
      <w:r>
        <w:rPr>
          <w:rFonts w:ascii="Times New Roman" w:eastAsia="Times New Roman"/>
        </w:rPr>
        <w:t>229</w:t>
      </w:r>
      <w:r>
        <w:t>个，</w:t>
      </w:r>
      <w:r>
        <w:rPr>
          <w:rFonts w:ascii="Times New Roman" w:eastAsia="Times New Roman"/>
        </w:rPr>
        <w:t>2009</w:t>
      </w:r>
      <w:r>
        <w:t>年该项医疗</w:t>
      </w:r>
      <w:r>
        <w:t>保险制度在全国全面推开。北京市在</w:t>
      </w:r>
      <w:r>
        <w:rPr>
          <w:rFonts w:ascii="Times New Roman" w:eastAsia="Times New Roman"/>
        </w:rPr>
        <w:t>2007</w:t>
      </w:r>
      <w:r>
        <w:t>年就作为国家首批试点省市开展了试点工作。</w:t>
      </w:r>
    </w:p>
    <w:p w:rsidR="0018722C">
      <w:pPr>
        <w:topLinePunct/>
      </w:pPr>
      <w:r>
        <w:t>北京市城镇居民基本医疗保险制度主要是大病保险，分为保障老年人及学生</w:t>
      </w:r>
      <w:r>
        <w:t>儿童的“一老一小”政策和保障无业居民的两项制度。其中“一老一小”政策是</w:t>
      </w:r>
      <w:r>
        <w:t>由北京市政府于</w:t>
      </w:r>
      <w:r>
        <w:rPr>
          <w:rFonts w:ascii="Times New Roman" w:hAnsi="Times New Roman" w:eastAsia="宋体"/>
        </w:rPr>
        <w:t>2007</w:t>
      </w:r>
      <w:r>
        <w:t>年</w:t>
      </w:r>
      <w:r>
        <w:rPr>
          <w:rFonts w:ascii="Times New Roman" w:hAnsi="Times New Roman" w:eastAsia="宋体"/>
        </w:rPr>
        <w:t>6</w:t>
      </w:r>
      <w:r>
        <w:t>月发布的《关于建立北京市城镇无医疗保障老年人和</w:t>
      </w:r>
      <w:r>
        <w:t>学生儿童大病医疗保险制度的实施意见</w:t>
      </w:r>
      <w:r>
        <w:t>》</w:t>
      </w:r>
      <w:r>
        <w:t>（</w:t>
      </w:r>
      <w:r>
        <w:t>京政发</w:t>
      </w:r>
      <w:r>
        <w:rPr>
          <w:rFonts w:ascii="Times New Roman" w:hAnsi="Times New Roman" w:eastAsia="宋体"/>
          <w:spacing w:val="0"/>
        </w:rPr>
        <w:t>[</w:t>
      </w:r>
      <w:r>
        <w:rPr>
          <w:rFonts w:ascii="Times New Roman" w:hAnsi="Times New Roman" w:eastAsia="宋体"/>
        </w:rPr>
        <w:t>2007</w:t>
      </w:r>
      <w:r>
        <w:rPr>
          <w:rFonts w:ascii="Times New Roman" w:hAnsi="Times New Roman" w:eastAsia="宋体"/>
          <w:spacing w:val="0"/>
        </w:rPr>
        <w:t>]</w:t>
      </w:r>
      <w:r w:rsidR="004B696B">
        <w:rPr>
          <w:rFonts w:ascii="Times New Roman" w:hAnsi="Times New Roman" w:eastAsia="宋体"/>
          <w:spacing w:val="0"/>
        </w:rPr>
        <w:t xml:space="preserve"> </w:t>
      </w:r>
      <w:r>
        <w:rPr>
          <w:rFonts w:ascii="Times New Roman" w:hAnsi="Times New Roman" w:eastAsia="宋体"/>
          <w:spacing w:val="-4"/>
        </w:rPr>
        <w:t>1</w:t>
      </w:r>
      <w:r>
        <w:rPr>
          <w:rFonts w:ascii="Times New Roman" w:hAnsi="Times New Roman" w:eastAsia="宋体"/>
        </w:rPr>
        <w:t>1</w:t>
      </w:r>
      <w:r>
        <w:t>号</w:t>
      </w:r>
      <w:r>
        <w:t>）</w:t>
      </w:r>
      <w:r>
        <w:t>，制度中规定“无</w:t>
      </w:r>
      <w:r>
        <w:t>医疗保障老年人是指具有北京市非农业户籍但是未纳入北京市城镇职工基本医</w:t>
      </w:r>
      <w:r>
        <w:t>疗保险，并且男年满</w:t>
      </w:r>
      <w:r>
        <w:rPr>
          <w:rFonts w:ascii="Times New Roman" w:hAnsi="Times New Roman" w:eastAsia="宋体"/>
        </w:rPr>
        <w:t>60</w:t>
      </w:r>
      <w:r>
        <w:t>周岁，女年满</w:t>
      </w:r>
      <w:r>
        <w:rPr>
          <w:rFonts w:ascii="Times New Roman" w:hAnsi="Times New Roman" w:eastAsia="宋体"/>
        </w:rPr>
        <w:t>50</w:t>
      </w:r>
      <w:r>
        <w:t>周岁的居民。学生儿童是指具有北京市</w:t>
      </w:r>
      <w:r>
        <w:t>非农业户籍且在本市行政区域内的小学、初中、高中、中等专业学校、技工学校、</w:t>
      </w:r>
      <w:r>
        <w:t>中等职业技术学校、特殊学校、工读学校和各类普通高等院校</w:t>
      </w:r>
      <w:r>
        <w:t>（</w:t>
      </w:r>
      <w:r>
        <w:t xml:space="preserve">全日制学历教育</w:t>
      </w:r>
      <w:r>
        <w:t>）</w:t>
      </w:r>
      <w:r>
        <w:t>就读的在册学生，以及参保缴费当年年龄在</w:t>
      </w:r>
      <w:r>
        <w:rPr>
          <w:rFonts w:ascii="Times New Roman" w:hAnsi="Times New Roman" w:eastAsia="宋体"/>
        </w:rPr>
        <w:t>16</w:t>
      </w:r>
      <w:r>
        <w:t>周岁以下非在校少年儿童、托幼</w:t>
      </w:r>
      <w:r>
        <w:t>机构儿童和散居婴幼儿。”该项政策主要帮助参保的老人和学生儿童支付大病医</w:t>
      </w:r>
      <w:r>
        <w:t>疗费用，同时兼顾小病与慢性病费用。另外一项保障无业居民的制度是又北京市</w:t>
      </w:r>
      <w:r>
        <w:t>政府于</w:t>
      </w:r>
      <w:r>
        <w:rPr>
          <w:rFonts w:ascii="Times New Roman" w:hAnsi="Times New Roman" w:eastAsia="宋体"/>
        </w:rPr>
        <w:t>2008</w:t>
      </w:r>
      <w:r>
        <w:t>年</w:t>
      </w:r>
      <w:r>
        <w:rPr>
          <w:rFonts w:ascii="Times New Roman" w:hAnsi="Times New Roman" w:eastAsia="宋体"/>
        </w:rPr>
        <w:t>7</w:t>
      </w:r>
      <w:r>
        <w:t>月发布的《关于建立北京市城镇劳动年龄内无业居民大病医疗</w:t>
      </w:r>
      <w:r>
        <w:t>保险制度的实施意见》，该项制度规定“无业居民是指北京市城镇中在劳动</w:t>
      </w:r>
      <w:r>
        <w:t>年</w:t>
      </w:r>
      <w:r>
        <w:t>龄</w:t>
      </w:r>
    </w:p>
    <w:p w:rsidR="0018722C">
      <w:pPr>
        <w:pStyle w:val="Heading2"/>
        <w:topLinePunct/>
        <w:ind w:left="171" w:hangingChars="171" w:hanging="171"/>
      </w:pPr>
      <w:bookmarkStart w:id="569922" w:name="_Toc686569922"/>
      <w:bookmarkStart w:name="_bookmark11" w:id="9"/>
      <w:bookmarkEnd w:id="9"/>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bookmarkEnd w:id="569922"/>
    </w:p>
    <w:p w:rsidR="0018722C">
      <w:pPr>
        <w:topLinePunct/>
      </w:pPr>
      <w:r>
        <w:t>这两项制度的建立，填补了原来城镇职工基本医疗保险中未包括人群的空白，提高了北京市医疗保险覆盖率。</w:t>
      </w:r>
    </w:p>
    <w:p w:rsidR="0018722C">
      <w:pPr>
        <w:topLinePunct/>
      </w:pPr>
      <w:r>
        <w:t>随着北京市城镇职工基本医疗保险、城镇居民基本医疗保险及新型农村合作</w:t>
      </w:r>
      <w:r>
        <w:t>医疗制度的建立，北京市医疗保险的覆盖率达到了基本全覆盖的水平。下</w:t>
      </w:r>
      <w:r>
        <w:t>表</w:t>
      </w:r>
      <w:r>
        <w:rPr>
          <w:rFonts w:ascii="Times New Roman" w:eastAsia="Times New Roman"/>
        </w:rPr>
        <w:t>2</w:t>
      </w:r>
      <w:r>
        <w:rPr>
          <w:rFonts w:ascii="Times New Roman" w:eastAsia="Times New Roman"/>
        </w:rPr>
        <w:t>.</w:t>
      </w:r>
      <w:r>
        <w:rPr>
          <w:rFonts w:ascii="Times New Roman" w:eastAsia="Times New Roman"/>
        </w:rPr>
        <w:t>1</w:t>
      </w:r>
      <w:r>
        <w:t>反映了北京市以上三项医疗保险制度的基本情况。</w:t>
      </w:r>
    </w:p>
    <w:p w:rsidR="0018722C">
      <w:pPr>
        <w:pStyle w:val="a8"/>
        <w:topLinePunct/>
      </w:pPr>
      <w:r>
        <w:t>表</w:t>
      </w:r>
      <w:r>
        <w:t>2</w:t>
      </w:r>
      <w:r>
        <w:t>.</w:t>
      </w:r>
      <w:r>
        <w:t>1</w:t>
      </w:r>
      <w:r>
        <w:t xml:space="preserve">  </w:t>
      </w:r>
      <w:r>
        <w:t>北京市三项医疗保险制度对比表</w:t>
      </w:r>
    </w:p>
    <w:tbl>
      <w:tblPr>
        <w:tblW w:w="5000" w:type="pct"/>
        <w:tblInd w:w="9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2748"/>
        <w:gridCol w:w="2269"/>
        <w:gridCol w:w="2833"/>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城镇职工基本医疗保险</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新型农村合作医疗</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2.3.3</w:t>
            </w:r>
            <w:r>
              <w:t xml:space="preserve"> </w:t>
            </w:r>
            <w:r>
              <w:t>城镇居民基本医疗保险</w:t>
            </w:r>
          </w:p>
        </w:tc>
      </w:tr>
      <w:tr>
        <w:tc>
          <w:tcPr>
            <w:tcW w:w="657" w:type="pct"/>
            <w:vAlign w:val="center"/>
          </w:tcPr>
          <w:p w:rsidR="0018722C">
            <w:pPr>
              <w:pStyle w:val="ac"/>
              <w:topLinePunct/>
              <w:ind w:leftChars="0" w:left="0" w:rightChars="0" w:right="0" w:firstLineChars="0" w:firstLine="0"/>
              <w:spacing w:line="240" w:lineRule="atLeast"/>
            </w:pPr>
            <w:r>
              <w:t>实施时间</w:t>
            </w:r>
          </w:p>
        </w:tc>
        <w:tc>
          <w:tcPr>
            <w:tcW w:w="1520" w:type="pct"/>
            <w:vAlign w:val="center"/>
          </w:tcPr>
          <w:p w:rsidR="0018722C">
            <w:pPr>
              <w:pStyle w:val="a5"/>
              <w:topLinePunct/>
              <w:ind w:leftChars="0" w:left="0" w:rightChars="0" w:right="0" w:firstLineChars="0" w:firstLine="0"/>
              <w:spacing w:line="240" w:lineRule="atLeast"/>
            </w:pPr>
            <w:r>
              <w:t>2001 </w:t>
            </w:r>
            <w:r>
              <w:t>年</w:t>
            </w:r>
          </w:p>
        </w:tc>
        <w:tc>
          <w:tcPr>
            <w:tcW w:w="1255" w:type="pct"/>
            <w:vAlign w:val="center"/>
          </w:tcPr>
          <w:p w:rsidR="0018722C">
            <w:pPr>
              <w:pStyle w:val="a5"/>
              <w:topLinePunct/>
              <w:ind w:leftChars="0" w:left="0" w:rightChars="0" w:right="0" w:firstLineChars="0" w:firstLine="0"/>
              <w:spacing w:line="240" w:lineRule="atLeast"/>
            </w:pPr>
            <w:r>
              <w:t>2003 </w:t>
            </w:r>
            <w:r>
              <w:t>年</w:t>
            </w:r>
          </w:p>
        </w:tc>
        <w:tc>
          <w:tcPr>
            <w:tcW w:w="1567" w:type="pct"/>
            <w:vAlign w:val="center"/>
          </w:tcPr>
          <w:p w:rsidR="0018722C">
            <w:pPr>
              <w:pStyle w:val="ad"/>
              <w:topLinePunct/>
              <w:ind w:leftChars="0" w:left="0" w:rightChars="0" w:right="0" w:firstLineChars="0" w:firstLine="0"/>
              <w:spacing w:line="240" w:lineRule="atLeast"/>
            </w:pPr>
            <w:r>
              <w:t>2007 </w:t>
            </w:r>
            <w:r>
              <w:t>年</w:t>
            </w:r>
          </w:p>
        </w:tc>
      </w:tr>
      <w:tr>
        <w:tc>
          <w:tcPr>
            <w:tcW w:w="657" w:type="pct"/>
            <w:vAlign w:val="center"/>
          </w:tcPr>
          <w:p w:rsidR="0018722C">
            <w:pPr>
              <w:pStyle w:val="ac"/>
              <w:topLinePunct/>
              <w:ind w:leftChars="0" w:left="0" w:rightChars="0" w:right="0" w:firstLineChars="0" w:firstLine="0"/>
              <w:spacing w:line="240" w:lineRule="atLeast"/>
            </w:pPr>
            <w:r>
              <w:t>保障对象</w:t>
            </w:r>
          </w:p>
        </w:tc>
        <w:tc>
          <w:tcPr>
            <w:tcW w:w="1520" w:type="pct"/>
            <w:vAlign w:val="center"/>
          </w:tcPr>
          <w:p w:rsidR="0018722C">
            <w:pPr>
              <w:pStyle w:val="a5"/>
              <w:topLinePunct/>
              <w:ind w:leftChars="0" w:left="0" w:rightChars="0" w:right="0" w:firstLineChars="0" w:firstLine="0"/>
              <w:spacing w:line="240" w:lineRule="atLeast"/>
            </w:pPr>
            <w:r>
              <w:t>城镇在职与退休职工</w:t>
            </w:r>
          </w:p>
        </w:tc>
        <w:tc>
          <w:tcPr>
            <w:tcW w:w="1255" w:type="pct"/>
            <w:vAlign w:val="center"/>
          </w:tcPr>
          <w:p w:rsidR="0018722C">
            <w:pPr>
              <w:pStyle w:val="a5"/>
              <w:topLinePunct/>
              <w:ind w:leftChars="0" w:left="0" w:rightChars="0" w:right="0" w:firstLineChars="0" w:firstLine="0"/>
              <w:spacing w:line="240" w:lineRule="atLeast"/>
            </w:pPr>
            <w:r>
              <w:t>农民</w:t>
            </w:r>
          </w:p>
        </w:tc>
        <w:tc>
          <w:tcPr>
            <w:tcW w:w="1567" w:type="pct"/>
            <w:vAlign w:val="center"/>
          </w:tcPr>
          <w:p w:rsidR="0018722C">
            <w:pPr>
              <w:pStyle w:val="ad"/>
              <w:topLinePunct/>
              <w:ind w:leftChars="0" w:left="0" w:rightChars="0" w:right="0" w:firstLineChars="0" w:firstLine="0"/>
              <w:spacing w:line="240" w:lineRule="atLeast"/>
            </w:pPr>
            <w:r>
              <w:t>城镇居民</w:t>
            </w:r>
          </w:p>
        </w:tc>
      </w:tr>
      <w:tr>
        <w:tc>
          <w:tcPr>
            <w:tcW w:w="657" w:type="pct"/>
            <w:vAlign w:val="center"/>
          </w:tcPr>
          <w:p w:rsidR="0018722C">
            <w:pPr>
              <w:pStyle w:val="ac"/>
              <w:topLinePunct/>
              <w:ind w:leftChars="0" w:left="0" w:rightChars="0" w:right="0" w:firstLineChars="0" w:firstLine="0"/>
              <w:spacing w:line="240" w:lineRule="atLeast"/>
            </w:pPr>
            <w:r>
              <w:t>统筹层次</w:t>
            </w:r>
          </w:p>
        </w:tc>
        <w:tc>
          <w:tcPr>
            <w:tcW w:w="1520" w:type="pct"/>
            <w:vAlign w:val="center"/>
          </w:tcPr>
          <w:p w:rsidR="0018722C">
            <w:pPr>
              <w:pStyle w:val="a5"/>
              <w:topLinePunct/>
              <w:ind w:leftChars="0" w:left="0" w:rightChars="0" w:right="0" w:firstLineChars="0" w:firstLine="0"/>
              <w:spacing w:line="240" w:lineRule="atLeast"/>
            </w:pPr>
            <w:r>
              <w:t>市级</w:t>
            </w:r>
          </w:p>
        </w:tc>
        <w:tc>
          <w:tcPr>
            <w:tcW w:w="1255" w:type="pct"/>
            <w:vAlign w:val="center"/>
          </w:tcPr>
          <w:p w:rsidR="0018722C">
            <w:pPr>
              <w:pStyle w:val="a5"/>
              <w:topLinePunct/>
              <w:ind w:leftChars="0" w:left="0" w:rightChars="0" w:right="0" w:firstLineChars="0" w:firstLine="0"/>
              <w:spacing w:line="240" w:lineRule="atLeast"/>
            </w:pPr>
            <w:r>
              <w:t>区县级</w:t>
            </w:r>
          </w:p>
        </w:tc>
        <w:tc>
          <w:tcPr>
            <w:tcW w:w="1567" w:type="pct"/>
            <w:vAlign w:val="center"/>
          </w:tcPr>
          <w:p w:rsidR="0018722C">
            <w:pPr>
              <w:pStyle w:val="ad"/>
              <w:topLinePunct/>
              <w:ind w:leftChars="0" w:left="0" w:rightChars="0" w:right="0" w:firstLineChars="0" w:firstLine="0"/>
              <w:spacing w:line="240" w:lineRule="atLeast"/>
            </w:pPr>
            <w:r>
              <w:t>市级</w:t>
            </w:r>
          </w:p>
        </w:tc>
      </w:tr>
      <w:tr>
        <w:tc>
          <w:tcPr>
            <w:tcW w:w="657" w:type="pct"/>
            <w:vAlign w:val="center"/>
          </w:tcPr>
          <w:p w:rsidR="0018722C">
            <w:pPr>
              <w:pStyle w:val="ac"/>
              <w:topLinePunct/>
              <w:ind w:leftChars="0" w:left="0" w:rightChars="0" w:right="0" w:firstLineChars="0" w:firstLine="0"/>
              <w:spacing w:line="240" w:lineRule="atLeast"/>
            </w:pPr>
            <w:r>
              <w:t>管理机构</w:t>
            </w:r>
          </w:p>
        </w:tc>
        <w:tc>
          <w:tcPr>
            <w:tcW w:w="1520" w:type="pct"/>
            <w:vAlign w:val="center"/>
          </w:tcPr>
          <w:p w:rsidR="0018722C">
            <w:pPr>
              <w:pStyle w:val="a5"/>
              <w:topLinePunct/>
              <w:ind w:leftChars="0" w:left="0" w:rightChars="0" w:right="0" w:firstLineChars="0" w:firstLine="0"/>
              <w:spacing w:line="240" w:lineRule="atLeast"/>
            </w:pPr>
            <w:r>
              <w:t>北京市人社局</w:t>
            </w:r>
          </w:p>
        </w:tc>
        <w:tc>
          <w:tcPr>
            <w:tcW w:w="1255" w:type="pct"/>
            <w:vAlign w:val="center"/>
          </w:tcPr>
          <w:p w:rsidR="0018722C">
            <w:pPr>
              <w:pStyle w:val="a5"/>
              <w:topLinePunct/>
              <w:ind w:leftChars="0" w:left="0" w:rightChars="0" w:right="0" w:firstLineChars="0" w:firstLine="0"/>
              <w:spacing w:line="240" w:lineRule="atLeast"/>
            </w:pPr>
            <w:r>
              <w:t>北京市卫生局</w:t>
            </w:r>
          </w:p>
        </w:tc>
        <w:tc>
          <w:tcPr>
            <w:tcW w:w="1567" w:type="pct"/>
            <w:vAlign w:val="center"/>
          </w:tcPr>
          <w:p w:rsidR="0018722C">
            <w:pPr>
              <w:pStyle w:val="ad"/>
              <w:topLinePunct/>
              <w:ind w:leftChars="0" w:left="0" w:rightChars="0" w:right="0" w:firstLineChars="0" w:firstLine="0"/>
              <w:spacing w:line="240" w:lineRule="atLeast"/>
            </w:pPr>
            <w:r>
              <w:t>北京市人社局</w:t>
            </w:r>
          </w:p>
        </w:tc>
      </w:tr>
      <w:tr>
        <w:tc>
          <w:tcPr>
            <w:tcW w:w="657" w:type="pct"/>
            <w:vAlign w:val="center"/>
          </w:tcPr>
          <w:p w:rsidR="0018722C">
            <w:pPr>
              <w:pStyle w:val="ac"/>
              <w:topLinePunct/>
              <w:ind w:leftChars="0" w:left="0" w:rightChars="0" w:right="0" w:firstLineChars="0" w:firstLine="0"/>
              <w:spacing w:line="240" w:lineRule="atLeast"/>
            </w:pPr>
            <w:r>
              <w:t>参加原则</w:t>
            </w:r>
          </w:p>
        </w:tc>
        <w:tc>
          <w:tcPr>
            <w:tcW w:w="1520" w:type="pct"/>
            <w:vAlign w:val="center"/>
          </w:tcPr>
          <w:p w:rsidR="0018722C">
            <w:pPr>
              <w:pStyle w:val="a5"/>
              <w:topLinePunct/>
              <w:ind w:leftChars="0" w:left="0" w:rightChars="0" w:right="0" w:firstLineChars="0" w:firstLine="0"/>
              <w:spacing w:line="240" w:lineRule="atLeast"/>
            </w:pPr>
            <w:r>
              <w:t>强制</w:t>
            </w:r>
          </w:p>
        </w:tc>
        <w:tc>
          <w:tcPr>
            <w:tcW w:w="1255" w:type="pct"/>
            <w:vAlign w:val="center"/>
          </w:tcPr>
          <w:p w:rsidR="0018722C">
            <w:pPr>
              <w:pStyle w:val="a5"/>
              <w:topLinePunct/>
              <w:ind w:leftChars="0" w:left="0" w:rightChars="0" w:right="0" w:firstLineChars="0" w:firstLine="0"/>
              <w:spacing w:line="240" w:lineRule="atLeast"/>
            </w:pPr>
            <w:r>
              <w:t>自愿</w:t>
            </w:r>
          </w:p>
        </w:tc>
        <w:tc>
          <w:tcPr>
            <w:tcW w:w="1567" w:type="pct"/>
            <w:vAlign w:val="center"/>
          </w:tcPr>
          <w:p w:rsidR="0018722C">
            <w:pPr>
              <w:pStyle w:val="ad"/>
              <w:topLinePunct/>
              <w:ind w:leftChars="0" w:left="0" w:rightChars="0" w:right="0" w:firstLineChars="0" w:firstLine="0"/>
              <w:spacing w:line="240" w:lineRule="atLeast"/>
            </w:pPr>
            <w:r>
              <w:t>自愿</w:t>
            </w:r>
          </w:p>
        </w:tc>
      </w:tr>
      <w:tr>
        <w:tc>
          <w:tcPr>
            <w:tcW w:w="657" w:type="pct"/>
            <w:vAlign w:val="center"/>
          </w:tcPr>
          <w:p w:rsidR="0018722C">
            <w:pPr>
              <w:pStyle w:val="ac"/>
              <w:topLinePunct/>
              <w:ind w:leftChars="0" w:left="0" w:rightChars="0" w:right="0" w:firstLineChars="0" w:firstLine="0"/>
              <w:spacing w:line="240" w:lineRule="atLeast"/>
            </w:pPr>
            <w:r>
              <w:t>资金来源</w:t>
            </w:r>
          </w:p>
        </w:tc>
        <w:tc>
          <w:tcPr>
            <w:tcW w:w="1520" w:type="pct"/>
            <w:vAlign w:val="center"/>
          </w:tcPr>
          <w:p w:rsidR="0018722C">
            <w:pPr>
              <w:pStyle w:val="a5"/>
              <w:topLinePunct/>
              <w:ind w:leftChars="0" w:left="0" w:rightChars="0" w:right="0" w:firstLineChars="0" w:firstLine="0"/>
              <w:spacing w:line="240" w:lineRule="atLeast"/>
            </w:pPr>
            <w:r>
              <w:t>个人</w:t>
            </w:r>
            <w:r>
              <w:t>+</w:t>
            </w:r>
            <w:r>
              <w:t>单位</w:t>
            </w:r>
          </w:p>
        </w:tc>
        <w:tc>
          <w:tcPr>
            <w:tcW w:w="1255" w:type="pct"/>
            <w:vAlign w:val="center"/>
          </w:tcPr>
          <w:p w:rsidR="0018722C">
            <w:pPr>
              <w:pStyle w:val="a5"/>
              <w:topLinePunct/>
              <w:ind w:leftChars="0" w:left="0" w:rightChars="0" w:right="0" w:firstLineChars="0" w:firstLine="0"/>
              <w:spacing w:line="240" w:lineRule="atLeast"/>
            </w:pPr>
            <w:r>
              <w:t>个人</w:t>
            </w:r>
            <w:r>
              <w:t>+</w:t>
            </w:r>
            <w:r>
              <w:t>集体</w:t>
            </w:r>
            <w:r>
              <w:t>+</w:t>
            </w:r>
            <w:r>
              <w:t>财政</w:t>
            </w:r>
          </w:p>
        </w:tc>
        <w:tc>
          <w:tcPr>
            <w:tcW w:w="1567" w:type="pct"/>
            <w:vAlign w:val="center"/>
          </w:tcPr>
          <w:p w:rsidR="0018722C">
            <w:pPr>
              <w:pStyle w:val="ad"/>
              <w:topLinePunct/>
              <w:ind w:leftChars="0" w:left="0" w:rightChars="0" w:right="0" w:firstLineChars="0" w:firstLine="0"/>
              <w:spacing w:line="240" w:lineRule="atLeast"/>
            </w:pPr>
            <w:r>
              <w:t>个人</w:t>
            </w:r>
            <w:r>
              <w:t>+</w:t>
            </w:r>
            <w:r>
              <w:t>集体</w:t>
            </w:r>
            <w:r>
              <w:t>+</w:t>
            </w:r>
            <w:r>
              <w:t>财政</w:t>
            </w:r>
          </w:p>
        </w:tc>
      </w:tr>
      <w:tr>
        <w:tc>
          <w:tcPr>
            <w:tcW w:w="657" w:type="pct"/>
            <w:vAlign w:val="center"/>
          </w:tcPr>
          <w:p w:rsidR="0018722C">
            <w:pPr>
              <w:pStyle w:val="ac"/>
              <w:topLinePunct/>
              <w:ind w:leftChars="0" w:left="0" w:rightChars="0" w:right="0" w:firstLineChars="0" w:firstLine="0"/>
              <w:spacing w:line="240" w:lineRule="atLeast"/>
            </w:pPr>
            <w:r>
              <w:t>基金构成</w:t>
            </w:r>
          </w:p>
        </w:tc>
        <w:tc>
          <w:tcPr>
            <w:tcW w:w="1520" w:type="pct"/>
            <w:vAlign w:val="center"/>
          </w:tcPr>
          <w:p w:rsidR="0018722C">
            <w:pPr>
              <w:pStyle w:val="a5"/>
              <w:topLinePunct/>
              <w:ind w:leftChars="0" w:left="0" w:rightChars="0" w:right="0" w:firstLineChars="0" w:firstLine="0"/>
              <w:spacing w:line="240" w:lineRule="atLeast"/>
            </w:pPr>
            <w:r>
              <w:t>个人账户</w:t>
            </w:r>
            <w:r>
              <w:t>+</w:t>
            </w:r>
            <w:r>
              <w:t>统筹基金</w:t>
            </w:r>
          </w:p>
        </w:tc>
        <w:tc>
          <w:tcPr>
            <w:tcW w:w="1255" w:type="pct"/>
            <w:vAlign w:val="center"/>
          </w:tcPr>
          <w:p w:rsidR="0018722C">
            <w:pPr>
              <w:pStyle w:val="a5"/>
              <w:topLinePunct/>
              <w:ind w:leftChars="0" w:left="0" w:rightChars="0" w:right="0" w:firstLineChars="0" w:firstLine="0"/>
              <w:spacing w:line="240" w:lineRule="atLeast"/>
            </w:pPr>
            <w:r>
              <w:t>统筹基金</w:t>
            </w:r>
          </w:p>
        </w:tc>
        <w:tc>
          <w:tcPr>
            <w:tcW w:w="1567" w:type="pct"/>
            <w:vAlign w:val="center"/>
          </w:tcPr>
          <w:p w:rsidR="0018722C">
            <w:pPr>
              <w:pStyle w:val="ad"/>
              <w:topLinePunct/>
              <w:ind w:leftChars="0" w:left="0" w:rightChars="0" w:right="0" w:firstLineChars="0" w:firstLine="0"/>
              <w:spacing w:line="240" w:lineRule="atLeast"/>
            </w:pPr>
            <w:r>
              <w:t>统筹基金</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保障范围</w:t>
            </w:r>
          </w:p>
        </w:tc>
        <w:tc>
          <w:tcPr>
            <w:tcW w:w="1520" w:type="pct"/>
            <w:vAlign w:val="center"/>
            <w:tcBorders>
              <w:top w:val="single" w:sz="4" w:space="0" w:color="auto"/>
            </w:tcBorders>
          </w:tcPr>
          <w:p w:rsidR="0018722C">
            <w:pPr>
              <w:pStyle w:val="aff1"/>
              <w:topLinePunct/>
              <w:ind w:leftChars="0" w:left="0" w:rightChars="0" w:right="0" w:firstLineChars="0" w:firstLine="0"/>
              <w:spacing w:line="240" w:lineRule="atLeast"/>
            </w:pPr>
            <w:r>
              <w:t>门诊、住院</w:t>
            </w: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大病为主</w:t>
            </w:r>
          </w:p>
        </w:tc>
        <w:tc>
          <w:tcPr>
            <w:tcW w:w="1567" w:type="pct"/>
            <w:vAlign w:val="center"/>
            <w:tcBorders>
              <w:top w:val="single" w:sz="4" w:space="0" w:color="auto"/>
            </w:tcBorders>
          </w:tcPr>
          <w:p w:rsidR="0018722C">
            <w:pPr>
              <w:pStyle w:val="ad"/>
              <w:topLinePunct/>
              <w:ind w:leftChars="0" w:left="0" w:rightChars="0" w:right="0" w:firstLineChars="0" w:firstLine="0"/>
              <w:spacing w:line="240" w:lineRule="atLeast"/>
            </w:pPr>
            <w:r>
              <w:t>大病为主</w:t>
            </w:r>
          </w:p>
        </w:tc>
      </w:tr>
    </w:tbl>
    <w:p w:rsidR="0018722C">
      <w:pPr>
        <w:pStyle w:val="Heading2"/>
        <w:topLinePunct/>
        <w:ind w:left="171" w:hangingChars="171" w:hanging="171"/>
      </w:pPr>
      <w:bookmarkStart w:id="569923" w:name="_Toc686569923"/>
      <w:r>
        <w:t>2.3</w:t>
      </w:r>
      <w:r>
        <w:t xml:space="preserve"> </w:t>
      </w:r>
      <w:r>
        <w:t>北京市医疗保险的参保情况</w:t>
      </w:r>
      <w:bookmarkEnd w:id="569923"/>
    </w:p>
    <w:p w:rsidR="0018722C">
      <w:pPr>
        <w:pStyle w:val="Heading3"/>
        <w:topLinePunct/>
        <w:ind w:left="200" w:hangingChars="200" w:hanging="200"/>
      </w:pPr>
      <w:bookmarkStart w:id="569924" w:name="_Toc686569924"/>
      <w:r>
        <w:t>2.3.1</w:t>
      </w:r>
      <w:r>
        <w:t xml:space="preserve"> </w:t>
      </w:r>
      <w:r>
        <w:t>城镇职工基本医疗保险</w:t>
      </w:r>
      <w:bookmarkEnd w:id="569924"/>
    </w:p>
    <w:p w:rsidR="0018722C">
      <w:pPr>
        <w:topLinePunct/>
      </w:pPr>
      <w:r>
        <w:t/>
      </w:r>
      <w:r>
        <w:t>近年</w:t>
      </w:r>
      <w:r>
        <w:t>来，北京市城镇职工基本医疗保险、城镇居民基本医疗保险及新型农村</w:t>
      </w:r>
      <w:r>
        <w:t>合作医疗制度都取得了很好的效果，三项医疗保险参保率均不断提高的。下</w:t>
      </w:r>
      <w:r>
        <w:t>表</w:t>
      </w:r>
      <w:r>
        <w:rPr>
          <w:rFonts w:ascii="Times New Roman" w:eastAsia="Times New Roman"/>
        </w:rPr>
        <w:t>2</w:t>
      </w:r>
      <w:r>
        <w:rPr>
          <w:rFonts w:ascii="Times New Roman" w:eastAsia="Times New Roman"/>
        </w:rPr>
        <w:t>.</w:t>
      </w:r>
      <w:r>
        <w:rPr>
          <w:rFonts w:ascii="Times New Roman" w:eastAsia="Times New Roman"/>
        </w:rPr>
        <w:t>2</w:t>
      </w:r>
    </w:p>
    <w:p w:rsidR="0018722C">
      <w:pPr>
        <w:topLinePunct/>
      </w:pPr>
      <w:r>
        <w:t>反映了</w:t>
      </w:r>
      <w:r>
        <w:t>近年</w:t>
      </w:r>
      <w:r>
        <w:t>来北京市城镇职工基本医保参保情况。截止到</w:t>
      </w:r>
      <w:r>
        <w:rPr>
          <w:rFonts w:ascii="Times New Roman" w:eastAsia="Times New Roman"/>
        </w:rPr>
        <w:t>2012</w:t>
      </w:r>
      <w:r>
        <w:t>年年末，参加北京市城镇职工基本医疗保险的共计</w:t>
      </w:r>
      <w:r>
        <w:rPr>
          <w:rFonts w:ascii="Times New Roman" w:eastAsia="Times New Roman"/>
        </w:rPr>
        <w:t>1279</w:t>
      </w:r>
      <w:r>
        <w:rPr>
          <w:rFonts w:ascii="Times New Roman" w:eastAsia="Times New Roman"/>
        </w:rPr>
        <w:t>.</w:t>
      </w:r>
      <w:r>
        <w:rPr>
          <w:rFonts w:ascii="Times New Roman" w:eastAsia="Times New Roman"/>
        </w:rPr>
        <w:t>7</w:t>
      </w:r>
      <w:r>
        <w:t>万人，占当年城镇人口的</w:t>
      </w:r>
      <w:r>
        <w:rPr>
          <w:rFonts w:ascii="Times New Roman" w:eastAsia="Times New Roman"/>
        </w:rPr>
        <w:t>71</w:t>
      </w:r>
      <w:r>
        <w:rPr>
          <w:rFonts w:ascii="Times New Roman" w:eastAsia="Times New Roman"/>
        </w:rPr>
        <w:t>.</w:t>
      </w:r>
      <w:r>
        <w:rPr>
          <w:rFonts w:ascii="Times New Roman" w:eastAsia="Times New Roman"/>
        </w:rPr>
        <w:t>74%</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北京市历年城镇职工医保参保人数情况</w:t>
      </w:r>
      <w:hyperlink w:history="true" w:anchor="_bookmark12">
        <w:r>
          <w:rPr>
            <w:rFonts w:ascii="Times New Roman" w:eastAsia="Times New Roman" w:cstheme="minorBidi" w:hAnsiTheme="minorHAnsi"/>
          </w:rPr>
          <w:t>4</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2001</w:t>
            </w:r>
          </w:p>
        </w:tc>
        <w:tc>
          <w:tcPr>
            <w:tcW w:w="809" w:type="dxa"/>
          </w:tcPr>
          <w:p w:rsidR="0018722C">
            <w:pPr>
              <w:topLinePunct/>
              <w:ind w:leftChars="0" w:left="0" w:rightChars="0" w:right="0" w:firstLineChars="0" w:firstLine="0"/>
              <w:spacing w:line="240" w:lineRule="atLeast"/>
            </w:pPr>
            <w:r w:rsidRPr="00000000">
              <w:rPr>
                <w:sz w:val="24"/>
                <w:szCs w:val="24"/>
              </w:rPr>
              <w:t>2002</w:t>
            </w:r>
          </w:p>
        </w:tc>
        <w:tc>
          <w:tcPr>
            <w:tcW w:w="809" w:type="dxa"/>
          </w:tcPr>
          <w:p w:rsidR="0018722C">
            <w:pPr>
              <w:topLinePunct/>
              <w:ind w:leftChars="0" w:left="0" w:rightChars="0" w:right="0" w:firstLineChars="0" w:firstLine="0"/>
              <w:spacing w:line="240" w:lineRule="atLeast"/>
            </w:pPr>
            <w:r w:rsidRPr="00000000">
              <w:rPr>
                <w:sz w:val="24"/>
                <w:szCs w:val="24"/>
              </w:rPr>
              <w:t>2003</w:t>
            </w:r>
          </w:p>
        </w:tc>
        <w:tc>
          <w:tcPr>
            <w:tcW w:w="809" w:type="dxa"/>
          </w:tcPr>
          <w:p w:rsidR="0018722C">
            <w:pPr>
              <w:topLinePunct/>
              <w:ind w:leftChars="0" w:left="0" w:rightChars="0" w:right="0" w:firstLineChars="0" w:firstLine="0"/>
              <w:spacing w:line="240" w:lineRule="atLeast"/>
            </w:pPr>
            <w:r w:rsidRPr="00000000">
              <w:rPr>
                <w:sz w:val="24"/>
                <w:szCs w:val="24"/>
              </w:rPr>
              <w:t>2004</w:t>
            </w:r>
          </w:p>
        </w:tc>
        <w:tc>
          <w:tcPr>
            <w:tcW w:w="809" w:type="dxa"/>
          </w:tcPr>
          <w:p w:rsidR="0018722C">
            <w:pPr>
              <w:topLinePunct/>
              <w:ind w:leftChars="0" w:left="0" w:rightChars="0" w:right="0" w:firstLineChars="0" w:firstLine="0"/>
              <w:spacing w:line="240" w:lineRule="atLeast"/>
            </w:pPr>
            <w:r w:rsidRPr="00000000">
              <w:rPr>
                <w:sz w:val="24"/>
                <w:szCs w:val="24"/>
              </w:rPr>
              <w:t>2005</w:t>
            </w:r>
          </w:p>
        </w:tc>
        <w:tc>
          <w:tcPr>
            <w:tcW w:w="809" w:type="dxa"/>
          </w:tcPr>
          <w:p w:rsidR="0018722C">
            <w:pPr>
              <w:topLinePunct/>
              <w:ind w:leftChars="0" w:left="0" w:rightChars="0" w:right="0" w:firstLineChars="0" w:firstLine="0"/>
              <w:spacing w:line="240" w:lineRule="atLeast"/>
            </w:pPr>
            <w:r w:rsidRPr="00000000">
              <w:rPr>
                <w:sz w:val="24"/>
                <w:szCs w:val="24"/>
              </w:rPr>
              <w:t>2006</w:t>
            </w:r>
          </w:p>
        </w:tc>
        <w:tc>
          <w:tcPr>
            <w:tcW w:w="809" w:type="dxa"/>
          </w:tcPr>
          <w:p w:rsidR="0018722C">
            <w:pPr>
              <w:topLinePunct/>
              <w:ind w:leftChars="0" w:left="0" w:rightChars="0" w:right="0" w:firstLineChars="0" w:firstLine="0"/>
              <w:spacing w:line="240" w:lineRule="atLeast"/>
            </w:pPr>
            <w:r w:rsidRPr="00000000">
              <w:rPr>
                <w:sz w:val="24"/>
                <w:szCs w:val="24"/>
              </w:rPr>
              <w:t>2007</w:t>
            </w:r>
          </w:p>
        </w:tc>
        <w:tc>
          <w:tcPr>
            <w:tcW w:w="809" w:type="dxa"/>
          </w:tcPr>
          <w:p w:rsidR="0018722C">
            <w:pPr>
              <w:topLinePunct/>
              <w:ind w:leftChars="0" w:left="0" w:rightChars="0" w:right="0" w:firstLineChars="0" w:firstLine="0"/>
              <w:spacing w:line="240" w:lineRule="atLeast"/>
            </w:pPr>
            <w:r w:rsidRPr="00000000">
              <w:rPr>
                <w:sz w:val="24"/>
                <w:szCs w:val="24"/>
              </w:rPr>
              <w:t>2008</w:t>
            </w:r>
          </w:p>
        </w:tc>
        <w:tc>
          <w:tcPr>
            <w:tcW w:w="809" w:type="dxa"/>
          </w:tcPr>
          <w:p w:rsidR="0018722C">
            <w:pPr>
              <w:topLinePunct/>
              <w:ind w:leftChars="0" w:left="0" w:rightChars="0" w:right="0" w:firstLineChars="0" w:firstLine="0"/>
              <w:spacing w:line="240" w:lineRule="atLeast"/>
            </w:pPr>
            <w:r w:rsidRPr="00000000">
              <w:rPr>
                <w:sz w:val="24"/>
                <w:szCs w:val="24"/>
              </w:rPr>
              <w:t>2009</w:t>
            </w:r>
          </w:p>
        </w:tc>
        <w:tc>
          <w:tcPr>
            <w:tcW w:w="809" w:type="dxa"/>
          </w:tcPr>
          <w:p w:rsidR="0018722C">
            <w:pPr>
              <w:topLinePunct/>
              <w:ind w:leftChars="0" w:left="0" w:rightChars="0" w:right="0" w:firstLineChars="0" w:firstLine="0"/>
              <w:spacing w:line="240" w:lineRule="atLeast"/>
            </w:pPr>
            <w:r w:rsidRPr="00000000">
              <w:rPr>
                <w:sz w:val="24"/>
                <w:szCs w:val="24"/>
              </w:rPr>
              <w:t>2010</w:t>
            </w:r>
          </w:p>
        </w:tc>
        <w:tc>
          <w:tcPr>
            <w:tcW w:w="809" w:type="dxa"/>
          </w:tcPr>
          <w:p w:rsidR="0018722C">
            <w:pPr>
              <w:topLinePunct/>
              <w:ind w:leftChars="0" w:left="0" w:rightChars="0" w:right="0" w:firstLineChars="0" w:firstLine="0"/>
              <w:spacing w:line="240" w:lineRule="atLeast"/>
            </w:pPr>
            <w:r w:rsidRPr="00000000">
              <w:rPr>
                <w:sz w:val="24"/>
                <w:szCs w:val="24"/>
              </w:rPr>
              <w:t>2011</w:t>
            </w:r>
          </w:p>
        </w:tc>
        <w:tc>
          <w:tcPr>
            <w:tcW w:w="809" w:type="dxa"/>
          </w:tcPr>
          <w:p w:rsidR="0018722C">
            <w:pPr>
              <w:topLinePunct/>
              <w:ind w:leftChars="0" w:left="0" w:rightChars="0" w:right="0" w:firstLineChars="0" w:firstLine="0"/>
              <w:spacing w:line="240" w:lineRule="atLeast"/>
            </w:pPr>
            <w:r w:rsidRPr="00000000">
              <w:rPr>
                <w:sz w:val="24"/>
                <w:szCs w:val="24"/>
              </w:rPr>
              <w:t>2012</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w:t>
            </w:r>
          </w:p>
          <w:p w:rsidR="0018722C">
            <w:pPr>
              <w:topLinePunct/>
              <w:ind w:leftChars="0" w:left="0" w:rightChars="0" w:right="0" w:firstLineChars="0" w:firstLine="0"/>
              <w:spacing w:line="240" w:lineRule="atLeast"/>
            </w:pPr>
            <w:r w:rsidRPr="00000000">
              <w:rPr>
                <w:rFonts w:ascii="宋体" w:eastAsia="宋体" w:hint="eastAsia"/>
                <w:sz w:val="24"/>
                <w:szCs w:val="24"/>
              </w:rPr>
              <w:t>人数</w:t>
            </w:r>
          </w:p>
        </w:tc>
        <w:tc>
          <w:tcPr>
            <w:tcW w:w="809" w:type="dxa"/>
          </w:tcPr>
          <w:p w:rsidR="0018722C">
            <w:pPr>
              <w:topLinePunct/>
              <w:ind w:leftChars="0" w:left="0" w:rightChars="0" w:right="0" w:firstLineChars="0" w:firstLine="0"/>
              <w:spacing w:line="240" w:lineRule="atLeast"/>
            </w:pPr>
            <w:r w:rsidRPr="00000000">
              <w:rPr>
                <w:sz w:val="24"/>
                <w:szCs w:val="24"/>
              </w:rPr>
              <w:t>210.2</w:t>
            </w:r>
          </w:p>
        </w:tc>
        <w:tc>
          <w:tcPr>
            <w:tcW w:w="809" w:type="dxa"/>
          </w:tcPr>
          <w:p w:rsidR="0018722C">
            <w:pPr>
              <w:topLinePunct/>
              <w:ind w:leftChars="0" w:left="0" w:rightChars="0" w:right="0" w:firstLineChars="0" w:firstLine="0"/>
              <w:spacing w:line="240" w:lineRule="atLeast"/>
            </w:pPr>
            <w:r w:rsidRPr="00000000">
              <w:rPr>
                <w:sz w:val="24"/>
                <w:szCs w:val="24"/>
              </w:rPr>
              <w:t>353.8</w:t>
            </w:r>
          </w:p>
        </w:tc>
        <w:tc>
          <w:tcPr>
            <w:tcW w:w="809" w:type="dxa"/>
          </w:tcPr>
          <w:p w:rsidR="0018722C">
            <w:pPr>
              <w:topLinePunct/>
              <w:ind w:leftChars="0" w:left="0" w:rightChars="0" w:right="0" w:firstLineChars="0" w:firstLine="0"/>
              <w:spacing w:line="240" w:lineRule="atLeast"/>
            </w:pPr>
            <w:r w:rsidRPr="00000000">
              <w:rPr>
                <w:sz w:val="24"/>
                <w:szCs w:val="24"/>
              </w:rPr>
              <w:t>436.1</w:t>
            </w:r>
          </w:p>
        </w:tc>
        <w:tc>
          <w:tcPr>
            <w:tcW w:w="809" w:type="dxa"/>
          </w:tcPr>
          <w:p w:rsidR="0018722C">
            <w:pPr>
              <w:topLinePunct/>
              <w:ind w:leftChars="0" w:left="0" w:rightChars="0" w:right="0" w:firstLineChars="0" w:firstLine="0"/>
              <w:spacing w:line="240" w:lineRule="atLeast"/>
            </w:pPr>
            <w:r w:rsidRPr="00000000">
              <w:rPr>
                <w:sz w:val="24"/>
                <w:szCs w:val="24"/>
              </w:rPr>
              <w:t>484</w:t>
            </w:r>
          </w:p>
        </w:tc>
        <w:tc>
          <w:tcPr>
            <w:tcW w:w="809" w:type="dxa"/>
          </w:tcPr>
          <w:p w:rsidR="0018722C">
            <w:pPr>
              <w:topLinePunct/>
              <w:ind w:leftChars="0" w:left="0" w:rightChars="0" w:right="0" w:firstLineChars="0" w:firstLine="0"/>
              <w:spacing w:line="240" w:lineRule="atLeast"/>
            </w:pPr>
            <w:r w:rsidRPr="00000000">
              <w:rPr>
                <w:sz w:val="24"/>
                <w:szCs w:val="24"/>
              </w:rPr>
              <w:t>574.8</w:t>
            </w:r>
          </w:p>
        </w:tc>
        <w:tc>
          <w:tcPr>
            <w:tcW w:w="809" w:type="dxa"/>
          </w:tcPr>
          <w:p w:rsidR="0018722C">
            <w:pPr>
              <w:topLinePunct/>
              <w:ind w:leftChars="0" w:left="0" w:rightChars="0" w:right="0" w:firstLineChars="0" w:firstLine="0"/>
              <w:spacing w:line="240" w:lineRule="atLeast"/>
            </w:pPr>
            <w:r w:rsidRPr="00000000">
              <w:rPr>
                <w:sz w:val="24"/>
                <w:szCs w:val="24"/>
              </w:rPr>
              <w:t>679.5</w:t>
            </w:r>
          </w:p>
        </w:tc>
        <w:tc>
          <w:tcPr>
            <w:tcW w:w="809" w:type="dxa"/>
          </w:tcPr>
          <w:p w:rsidR="0018722C">
            <w:pPr>
              <w:topLinePunct/>
              <w:ind w:leftChars="0" w:left="0" w:rightChars="0" w:right="0" w:firstLineChars="0" w:firstLine="0"/>
              <w:spacing w:line="240" w:lineRule="atLeast"/>
            </w:pPr>
            <w:r w:rsidRPr="00000000">
              <w:rPr>
                <w:sz w:val="24"/>
                <w:szCs w:val="24"/>
              </w:rPr>
              <w:t>783</w:t>
            </w:r>
          </w:p>
        </w:tc>
        <w:tc>
          <w:tcPr>
            <w:tcW w:w="809" w:type="dxa"/>
          </w:tcPr>
          <w:p w:rsidR="0018722C">
            <w:pPr>
              <w:topLinePunct/>
              <w:ind w:leftChars="0" w:left="0" w:rightChars="0" w:right="0" w:firstLineChars="0" w:firstLine="0"/>
              <w:spacing w:line="240" w:lineRule="atLeast"/>
            </w:pPr>
            <w:r w:rsidRPr="00000000">
              <w:rPr>
                <w:sz w:val="24"/>
                <w:szCs w:val="24"/>
              </w:rPr>
              <w:t>871</w:t>
            </w:r>
          </w:p>
        </w:tc>
        <w:tc>
          <w:tcPr>
            <w:tcW w:w="809" w:type="dxa"/>
          </w:tcPr>
          <w:p w:rsidR="0018722C">
            <w:pPr>
              <w:topLinePunct/>
              <w:ind w:leftChars="0" w:left="0" w:rightChars="0" w:right="0" w:firstLineChars="0" w:firstLine="0"/>
              <w:spacing w:line="240" w:lineRule="atLeast"/>
            </w:pPr>
            <w:r w:rsidRPr="00000000">
              <w:rPr>
                <w:sz w:val="24"/>
                <w:szCs w:val="24"/>
              </w:rPr>
              <w:t>938.4</w:t>
            </w:r>
          </w:p>
        </w:tc>
        <w:tc>
          <w:tcPr>
            <w:tcW w:w="809" w:type="dxa"/>
          </w:tcPr>
          <w:p w:rsidR="0018722C">
            <w:pPr>
              <w:topLinePunct/>
              <w:ind w:leftChars="0" w:left="0" w:rightChars="0" w:right="0" w:firstLineChars="0" w:firstLine="0"/>
              <w:spacing w:line="240" w:lineRule="atLeast"/>
            </w:pPr>
            <w:r w:rsidRPr="00000000">
              <w:rPr>
                <w:sz w:val="24"/>
                <w:szCs w:val="24"/>
              </w:rPr>
              <w:t>1063.7</w:t>
            </w:r>
          </w:p>
        </w:tc>
        <w:tc>
          <w:tcPr>
            <w:tcW w:w="809" w:type="dxa"/>
          </w:tcPr>
          <w:p w:rsidR="0018722C">
            <w:pPr>
              <w:topLinePunct/>
              <w:ind w:leftChars="0" w:left="0" w:rightChars="0" w:right="0" w:firstLineChars="0" w:firstLine="0"/>
              <w:spacing w:line="240" w:lineRule="atLeast"/>
            </w:pPr>
            <w:r w:rsidRPr="00000000">
              <w:rPr>
                <w:sz w:val="24"/>
                <w:szCs w:val="24"/>
              </w:rPr>
              <w:t>1188</w:t>
            </w:r>
          </w:p>
        </w:tc>
        <w:tc>
          <w:tcPr>
            <w:tcW w:w="809" w:type="dxa"/>
          </w:tcPr>
          <w:p w:rsidR="0018722C">
            <w:pPr>
              <w:topLinePunct/>
              <w:ind w:leftChars="0" w:left="0" w:rightChars="0" w:right="0" w:firstLineChars="0" w:firstLine="0"/>
              <w:spacing w:line="240" w:lineRule="atLeast"/>
            </w:pPr>
            <w:r w:rsidRPr="00000000">
              <w:rPr>
                <w:sz w:val="24"/>
                <w:szCs w:val="24"/>
              </w:rPr>
              <w:t>1279.7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比上年</w:t>
            </w:r>
          </w:p>
          <w:p w:rsidR="0018722C">
            <w:pPr>
              <w:topLinePunct/>
              <w:ind w:leftChars="0" w:left="0" w:rightChars="0" w:right="0" w:firstLineChars="0" w:firstLine="0"/>
              <w:spacing w:line="240" w:lineRule="atLeast"/>
            </w:pPr>
            <w:r w:rsidRPr="00000000">
              <w:rPr>
                <w:rFonts w:ascii="宋体" w:eastAsia="宋体" w:hint="eastAsia"/>
                <w:sz w:val="24"/>
                <w:szCs w:val="24"/>
              </w:rPr>
              <w:t>增加人数</w:t>
            </w:r>
          </w:p>
        </w:tc>
        <w:tc>
          <w:tcPr>
            <w:tcW w:w="809"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143.6</w:t>
            </w:r>
          </w:p>
        </w:tc>
        <w:tc>
          <w:tcPr>
            <w:tcW w:w="809" w:type="dxa"/>
          </w:tcPr>
          <w:p w:rsidR="0018722C">
            <w:pPr>
              <w:topLinePunct/>
              <w:ind w:leftChars="0" w:left="0" w:rightChars="0" w:right="0" w:firstLineChars="0" w:firstLine="0"/>
              <w:spacing w:line="240" w:lineRule="atLeast"/>
            </w:pPr>
            <w:r w:rsidRPr="00000000">
              <w:rPr>
                <w:sz w:val="24"/>
                <w:szCs w:val="24"/>
              </w:rPr>
              <w:t>82.3</w:t>
            </w:r>
          </w:p>
        </w:tc>
        <w:tc>
          <w:tcPr>
            <w:tcW w:w="809" w:type="dxa"/>
          </w:tcPr>
          <w:p w:rsidR="0018722C">
            <w:pPr>
              <w:topLinePunct/>
              <w:ind w:leftChars="0" w:left="0" w:rightChars="0" w:right="0" w:firstLineChars="0" w:firstLine="0"/>
              <w:spacing w:line="240" w:lineRule="atLeast"/>
            </w:pPr>
            <w:r w:rsidRPr="00000000">
              <w:rPr>
                <w:sz w:val="24"/>
                <w:szCs w:val="24"/>
              </w:rPr>
              <w:t>47.9</w:t>
            </w:r>
          </w:p>
        </w:tc>
        <w:tc>
          <w:tcPr>
            <w:tcW w:w="809" w:type="dxa"/>
          </w:tcPr>
          <w:p w:rsidR="0018722C">
            <w:pPr>
              <w:topLinePunct/>
              <w:ind w:leftChars="0" w:left="0" w:rightChars="0" w:right="0" w:firstLineChars="0" w:firstLine="0"/>
              <w:spacing w:line="240" w:lineRule="atLeast"/>
            </w:pPr>
            <w:r w:rsidRPr="00000000">
              <w:rPr>
                <w:sz w:val="24"/>
                <w:szCs w:val="24"/>
              </w:rPr>
              <w:t>90.8</w:t>
            </w:r>
          </w:p>
        </w:tc>
        <w:tc>
          <w:tcPr>
            <w:tcW w:w="809" w:type="dxa"/>
          </w:tcPr>
          <w:p w:rsidR="0018722C">
            <w:pPr>
              <w:topLinePunct/>
              <w:ind w:leftChars="0" w:left="0" w:rightChars="0" w:right="0" w:firstLineChars="0" w:firstLine="0"/>
              <w:spacing w:line="240" w:lineRule="atLeast"/>
            </w:pPr>
            <w:r w:rsidRPr="00000000">
              <w:rPr>
                <w:sz w:val="24"/>
                <w:szCs w:val="24"/>
              </w:rPr>
              <w:t>104.7</w:t>
            </w:r>
          </w:p>
        </w:tc>
        <w:tc>
          <w:tcPr>
            <w:tcW w:w="809" w:type="dxa"/>
          </w:tcPr>
          <w:p w:rsidR="0018722C">
            <w:pPr>
              <w:topLinePunct/>
              <w:ind w:leftChars="0" w:left="0" w:rightChars="0" w:right="0" w:firstLineChars="0" w:firstLine="0"/>
              <w:spacing w:line="240" w:lineRule="atLeast"/>
            </w:pPr>
            <w:r w:rsidRPr="00000000">
              <w:rPr>
                <w:sz w:val="24"/>
                <w:szCs w:val="24"/>
              </w:rPr>
              <w:t>103.5</w:t>
            </w:r>
          </w:p>
        </w:tc>
        <w:tc>
          <w:tcPr>
            <w:tcW w:w="809" w:type="dxa"/>
          </w:tcPr>
          <w:p w:rsidR="0018722C">
            <w:pPr>
              <w:topLinePunct/>
              <w:ind w:leftChars="0" w:left="0" w:rightChars="0" w:right="0" w:firstLineChars="0" w:firstLine="0"/>
              <w:spacing w:line="240" w:lineRule="atLeast"/>
            </w:pPr>
            <w:r w:rsidRPr="00000000">
              <w:rPr>
                <w:sz w:val="24"/>
                <w:szCs w:val="24"/>
              </w:rPr>
              <w:t>88</w:t>
            </w:r>
          </w:p>
        </w:tc>
        <w:tc>
          <w:tcPr>
            <w:tcW w:w="809" w:type="dxa"/>
          </w:tcPr>
          <w:p w:rsidR="0018722C">
            <w:pPr>
              <w:topLinePunct/>
              <w:ind w:leftChars="0" w:left="0" w:rightChars="0" w:right="0" w:firstLineChars="0" w:firstLine="0"/>
              <w:spacing w:line="240" w:lineRule="atLeast"/>
            </w:pPr>
            <w:r w:rsidRPr="00000000">
              <w:rPr>
                <w:sz w:val="24"/>
                <w:szCs w:val="24"/>
              </w:rPr>
              <w:t>67.4</w:t>
            </w:r>
          </w:p>
        </w:tc>
        <w:tc>
          <w:tcPr>
            <w:tcW w:w="809" w:type="dxa"/>
          </w:tcPr>
          <w:p w:rsidR="0018722C">
            <w:pPr>
              <w:topLinePunct/>
              <w:ind w:leftChars="0" w:left="0" w:rightChars="0" w:right="0" w:firstLineChars="0" w:firstLine="0"/>
              <w:spacing w:line="240" w:lineRule="atLeast"/>
            </w:pPr>
            <w:r w:rsidRPr="00000000">
              <w:rPr>
                <w:sz w:val="24"/>
                <w:szCs w:val="24"/>
              </w:rPr>
              <w:t>125.3</w:t>
            </w:r>
          </w:p>
        </w:tc>
        <w:tc>
          <w:tcPr>
            <w:tcW w:w="809" w:type="dxa"/>
          </w:tcPr>
          <w:p w:rsidR="0018722C">
            <w:pPr>
              <w:topLinePunct/>
              <w:ind w:leftChars="0" w:left="0" w:rightChars="0" w:right="0" w:firstLineChars="0" w:firstLine="0"/>
              <w:spacing w:line="240" w:lineRule="atLeast"/>
            </w:pPr>
            <w:r w:rsidRPr="00000000">
              <w:rPr>
                <w:sz w:val="24"/>
                <w:szCs w:val="24"/>
              </w:rPr>
              <w:t>124.3</w:t>
            </w:r>
          </w:p>
        </w:tc>
        <w:tc>
          <w:tcPr>
            <w:tcW w:w="809" w:type="dxa"/>
          </w:tcPr>
          <w:p w:rsidR="0018722C">
            <w:pPr>
              <w:topLinePunct/>
              <w:ind w:leftChars="0" w:left="0" w:rightChars="0" w:right="0" w:firstLineChars="0" w:firstLine="0"/>
              <w:spacing w:line="240" w:lineRule="atLeast"/>
            </w:pPr>
            <w:r w:rsidRPr="00000000">
              <w:rPr>
                <w:sz w:val="24"/>
                <w:szCs w:val="24"/>
              </w:rPr>
              <w:t>91.7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城镇</w:t>
            </w:r>
          </w:p>
          <w:p w:rsidR="0018722C">
            <w:pPr>
              <w:topLinePunct/>
              <w:ind w:leftChars="0" w:left="0" w:rightChars="0" w:right="0" w:firstLineChars="0" w:firstLine="0"/>
              <w:spacing w:line="240" w:lineRule="atLeast"/>
            </w:pPr>
            <w:r w:rsidRPr="00000000">
              <w:rPr>
                <w:rFonts w:ascii="宋体" w:eastAsia="宋体" w:hint="eastAsia"/>
                <w:sz w:val="24"/>
                <w:szCs w:val="24"/>
              </w:rPr>
              <w:t>人口数</w:t>
            </w:r>
          </w:p>
        </w:tc>
        <w:tc>
          <w:tcPr>
            <w:tcW w:w="809" w:type="dxa"/>
          </w:tcPr>
          <w:p w:rsidR="0018722C">
            <w:pPr>
              <w:topLinePunct/>
              <w:ind w:leftChars="0" w:left="0" w:rightChars="0" w:right="0" w:firstLineChars="0" w:firstLine="0"/>
              <w:spacing w:line="240" w:lineRule="atLeast"/>
            </w:pPr>
            <w:r w:rsidRPr="00000000">
              <w:rPr>
                <w:sz w:val="24"/>
                <w:szCs w:val="24"/>
              </w:rPr>
              <w:t>1081.2</w:t>
            </w:r>
          </w:p>
        </w:tc>
        <w:tc>
          <w:tcPr>
            <w:tcW w:w="809" w:type="dxa"/>
          </w:tcPr>
          <w:p w:rsidR="0018722C">
            <w:pPr>
              <w:topLinePunct/>
              <w:ind w:leftChars="0" w:left="0" w:rightChars="0" w:right="0" w:firstLineChars="0" w:firstLine="0"/>
              <w:spacing w:line="240" w:lineRule="atLeast"/>
            </w:pPr>
            <w:r w:rsidRPr="00000000">
              <w:rPr>
                <w:sz w:val="24"/>
                <w:szCs w:val="24"/>
              </w:rPr>
              <w:t>1118</w:t>
            </w:r>
          </w:p>
        </w:tc>
        <w:tc>
          <w:tcPr>
            <w:tcW w:w="809" w:type="dxa"/>
          </w:tcPr>
          <w:p w:rsidR="0018722C">
            <w:pPr>
              <w:topLinePunct/>
              <w:ind w:leftChars="0" w:left="0" w:rightChars="0" w:right="0" w:firstLineChars="0" w:firstLine="0"/>
              <w:spacing w:line="240" w:lineRule="atLeast"/>
            </w:pPr>
            <w:r w:rsidRPr="00000000">
              <w:rPr>
                <w:sz w:val="24"/>
                <w:szCs w:val="24"/>
              </w:rPr>
              <w:t>1151.3</w:t>
            </w:r>
          </w:p>
        </w:tc>
        <w:tc>
          <w:tcPr>
            <w:tcW w:w="809" w:type="dxa"/>
          </w:tcPr>
          <w:p w:rsidR="0018722C">
            <w:pPr>
              <w:topLinePunct/>
              <w:ind w:leftChars="0" w:left="0" w:rightChars="0" w:right="0" w:firstLineChars="0" w:firstLine="0"/>
              <w:spacing w:line="240" w:lineRule="atLeast"/>
            </w:pPr>
            <w:r w:rsidRPr="00000000">
              <w:rPr>
                <w:sz w:val="24"/>
                <w:szCs w:val="24"/>
              </w:rPr>
              <w:t>1187.2</w:t>
            </w:r>
          </w:p>
        </w:tc>
        <w:tc>
          <w:tcPr>
            <w:tcW w:w="809" w:type="dxa"/>
          </w:tcPr>
          <w:p w:rsidR="0018722C">
            <w:pPr>
              <w:topLinePunct/>
              <w:ind w:leftChars="0" w:left="0" w:rightChars="0" w:right="0" w:firstLineChars="0" w:firstLine="0"/>
              <w:spacing w:line="240" w:lineRule="atLeast"/>
            </w:pPr>
            <w:r w:rsidRPr="00000000">
              <w:rPr>
                <w:sz w:val="24"/>
                <w:szCs w:val="24"/>
              </w:rPr>
              <w:t>1286.1</w:t>
            </w:r>
          </w:p>
        </w:tc>
        <w:tc>
          <w:tcPr>
            <w:tcW w:w="809" w:type="dxa"/>
          </w:tcPr>
          <w:p w:rsidR="0018722C">
            <w:pPr>
              <w:topLinePunct/>
              <w:ind w:leftChars="0" w:left="0" w:rightChars="0" w:right="0" w:firstLineChars="0" w:firstLine="0"/>
              <w:spacing w:line="240" w:lineRule="atLeast"/>
            </w:pPr>
            <w:r w:rsidRPr="00000000">
              <w:rPr>
                <w:sz w:val="24"/>
                <w:szCs w:val="24"/>
              </w:rPr>
              <w:t>1350.2</w:t>
            </w:r>
          </w:p>
        </w:tc>
        <w:tc>
          <w:tcPr>
            <w:tcW w:w="809" w:type="dxa"/>
          </w:tcPr>
          <w:p w:rsidR="0018722C">
            <w:pPr>
              <w:topLinePunct/>
              <w:ind w:leftChars="0" w:left="0" w:rightChars="0" w:right="0" w:firstLineChars="0" w:firstLine="0"/>
              <w:spacing w:line="240" w:lineRule="atLeast"/>
            </w:pPr>
            <w:r w:rsidRPr="00000000">
              <w:rPr>
                <w:sz w:val="24"/>
                <w:szCs w:val="24"/>
              </w:rPr>
              <w:t>1416.2</w:t>
            </w:r>
          </w:p>
        </w:tc>
        <w:tc>
          <w:tcPr>
            <w:tcW w:w="809" w:type="dxa"/>
          </w:tcPr>
          <w:p w:rsidR="0018722C">
            <w:pPr>
              <w:topLinePunct/>
              <w:ind w:leftChars="0" w:left="0" w:rightChars="0" w:right="0" w:firstLineChars="0" w:firstLine="0"/>
              <w:spacing w:line="240" w:lineRule="atLeast"/>
            </w:pPr>
            <w:r w:rsidRPr="00000000">
              <w:rPr>
                <w:sz w:val="24"/>
                <w:szCs w:val="24"/>
              </w:rPr>
              <w:t>1503.6</w:t>
            </w:r>
          </w:p>
        </w:tc>
        <w:tc>
          <w:tcPr>
            <w:tcW w:w="809" w:type="dxa"/>
          </w:tcPr>
          <w:p w:rsidR="0018722C">
            <w:pPr>
              <w:topLinePunct/>
              <w:ind w:leftChars="0" w:left="0" w:rightChars="0" w:right="0" w:firstLineChars="0" w:firstLine="0"/>
              <w:spacing w:line="240" w:lineRule="atLeast"/>
            </w:pPr>
            <w:r w:rsidRPr="00000000">
              <w:rPr>
                <w:sz w:val="24"/>
                <w:szCs w:val="24"/>
              </w:rPr>
              <w:t>1581.1</w:t>
            </w:r>
          </w:p>
        </w:tc>
        <w:tc>
          <w:tcPr>
            <w:tcW w:w="809" w:type="dxa"/>
          </w:tcPr>
          <w:p w:rsidR="0018722C">
            <w:pPr>
              <w:topLinePunct/>
              <w:ind w:leftChars="0" w:left="0" w:rightChars="0" w:right="0" w:firstLineChars="0" w:firstLine="0"/>
              <w:spacing w:line="240" w:lineRule="atLeast"/>
            </w:pPr>
            <w:r w:rsidRPr="00000000">
              <w:rPr>
                <w:sz w:val="24"/>
                <w:szCs w:val="24"/>
              </w:rPr>
              <w:t>1686.4</w:t>
            </w:r>
          </w:p>
        </w:tc>
        <w:tc>
          <w:tcPr>
            <w:tcW w:w="809" w:type="dxa"/>
          </w:tcPr>
          <w:p w:rsidR="0018722C">
            <w:pPr>
              <w:topLinePunct/>
              <w:ind w:leftChars="0" w:left="0" w:rightChars="0" w:right="0" w:firstLineChars="0" w:firstLine="0"/>
              <w:spacing w:line="240" w:lineRule="atLeast"/>
            </w:pPr>
            <w:r w:rsidRPr="00000000">
              <w:rPr>
                <w:sz w:val="24"/>
                <w:szCs w:val="24"/>
              </w:rPr>
              <w:t>1740.7</w:t>
            </w:r>
          </w:p>
        </w:tc>
        <w:tc>
          <w:tcPr>
            <w:tcW w:w="809" w:type="dxa"/>
          </w:tcPr>
          <w:p w:rsidR="0018722C">
            <w:pPr>
              <w:topLinePunct/>
              <w:ind w:leftChars="0" w:left="0" w:rightChars="0" w:right="0" w:firstLineChars="0" w:firstLine="0"/>
              <w:spacing w:line="240" w:lineRule="atLeast"/>
            </w:pPr>
            <w:r w:rsidRPr="00000000">
              <w:rPr>
                <w:sz w:val="24"/>
                <w:szCs w:val="24"/>
              </w:rPr>
              <w:t>1783.7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参保率</w:t>
            </w:r>
            <w:hyperlink w:history="true" w:anchor="_bookmark13">
              <w:r w:rsidRPr="00000000">
                <w:rPr>
                  <w:sz w:val="24"/>
                  <w:szCs w:val="24"/>
                </w:rPr>
                <w:t>5</w:t>
              </w:r>
            </w:hyperlink>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809" w:type="dxa"/>
          </w:tcPr>
          <w:p w:rsidR="0018722C">
            <w:pPr>
              <w:topLinePunct/>
              <w:ind w:leftChars="0" w:left="0" w:rightChars="0" w:right="0" w:firstLineChars="0" w:firstLine="0"/>
              <w:spacing w:line="240" w:lineRule="atLeast"/>
            </w:pPr>
            <w:r w:rsidRPr="00000000">
              <w:rPr>
                <w:sz w:val="24"/>
                <w:szCs w:val="24"/>
              </w:rPr>
              <w:t>19.44</w:t>
            </w:r>
          </w:p>
        </w:tc>
        <w:tc>
          <w:tcPr>
            <w:tcW w:w="809" w:type="dxa"/>
          </w:tcPr>
          <w:p w:rsidR="0018722C">
            <w:pPr>
              <w:topLinePunct/>
              <w:ind w:leftChars="0" w:left="0" w:rightChars="0" w:right="0" w:firstLineChars="0" w:firstLine="0"/>
              <w:spacing w:line="240" w:lineRule="atLeast"/>
            </w:pPr>
            <w:r w:rsidRPr="00000000">
              <w:rPr>
                <w:sz w:val="24"/>
                <w:szCs w:val="24"/>
              </w:rPr>
              <w:t>31.65</w:t>
            </w:r>
          </w:p>
        </w:tc>
        <w:tc>
          <w:tcPr>
            <w:tcW w:w="809" w:type="dxa"/>
          </w:tcPr>
          <w:p w:rsidR="0018722C">
            <w:pPr>
              <w:topLinePunct/>
              <w:ind w:leftChars="0" w:left="0" w:rightChars="0" w:right="0" w:firstLineChars="0" w:firstLine="0"/>
              <w:spacing w:line="240" w:lineRule="atLeast"/>
            </w:pPr>
            <w:r w:rsidRPr="00000000">
              <w:rPr>
                <w:sz w:val="24"/>
                <w:szCs w:val="24"/>
              </w:rPr>
              <w:t>37.88</w:t>
            </w:r>
          </w:p>
        </w:tc>
        <w:tc>
          <w:tcPr>
            <w:tcW w:w="809" w:type="dxa"/>
          </w:tcPr>
          <w:p w:rsidR="0018722C">
            <w:pPr>
              <w:topLinePunct/>
              <w:ind w:leftChars="0" w:left="0" w:rightChars="0" w:right="0" w:firstLineChars="0" w:firstLine="0"/>
              <w:spacing w:line="240" w:lineRule="atLeast"/>
            </w:pPr>
            <w:r w:rsidRPr="00000000">
              <w:rPr>
                <w:sz w:val="24"/>
                <w:szCs w:val="24"/>
              </w:rPr>
              <w:t>40.77</w:t>
            </w:r>
          </w:p>
        </w:tc>
        <w:tc>
          <w:tcPr>
            <w:tcW w:w="809" w:type="dxa"/>
          </w:tcPr>
          <w:p w:rsidR="0018722C">
            <w:pPr>
              <w:topLinePunct/>
              <w:ind w:leftChars="0" w:left="0" w:rightChars="0" w:right="0" w:firstLineChars="0" w:firstLine="0"/>
              <w:spacing w:line="240" w:lineRule="atLeast"/>
            </w:pPr>
            <w:r w:rsidRPr="00000000">
              <w:rPr>
                <w:sz w:val="24"/>
                <w:szCs w:val="24"/>
              </w:rPr>
              <w:t>44.69</w:t>
            </w:r>
          </w:p>
        </w:tc>
        <w:tc>
          <w:tcPr>
            <w:tcW w:w="809" w:type="dxa"/>
          </w:tcPr>
          <w:p w:rsidR="0018722C">
            <w:pPr>
              <w:topLinePunct/>
              <w:ind w:leftChars="0" w:left="0" w:rightChars="0" w:right="0" w:firstLineChars="0" w:firstLine="0"/>
              <w:spacing w:line="240" w:lineRule="atLeast"/>
            </w:pPr>
            <w:r w:rsidRPr="00000000">
              <w:rPr>
                <w:sz w:val="24"/>
                <w:szCs w:val="24"/>
              </w:rPr>
              <w:t>50.33</w:t>
            </w:r>
          </w:p>
        </w:tc>
        <w:tc>
          <w:tcPr>
            <w:tcW w:w="809" w:type="dxa"/>
          </w:tcPr>
          <w:p w:rsidR="0018722C">
            <w:pPr>
              <w:topLinePunct/>
              <w:ind w:leftChars="0" w:left="0" w:rightChars="0" w:right="0" w:firstLineChars="0" w:firstLine="0"/>
              <w:spacing w:line="240" w:lineRule="atLeast"/>
            </w:pPr>
            <w:r w:rsidRPr="00000000">
              <w:rPr>
                <w:sz w:val="24"/>
                <w:szCs w:val="24"/>
              </w:rPr>
              <w:t>55.29</w:t>
            </w:r>
          </w:p>
        </w:tc>
        <w:tc>
          <w:tcPr>
            <w:tcW w:w="809" w:type="dxa"/>
          </w:tcPr>
          <w:p w:rsidR="0018722C">
            <w:pPr>
              <w:topLinePunct/>
              <w:ind w:leftChars="0" w:left="0" w:rightChars="0" w:right="0" w:firstLineChars="0" w:firstLine="0"/>
              <w:spacing w:line="240" w:lineRule="atLeast"/>
            </w:pPr>
            <w:r w:rsidRPr="00000000">
              <w:rPr>
                <w:sz w:val="24"/>
                <w:szCs w:val="24"/>
              </w:rPr>
              <w:t>57.93</w:t>
            </w:r>
          </w:p>
        </w:tc>
        <w:tc>
          <w:tcPr>
            <w:tcW w:w="809" w:type="dxa"/>
          </w:tcPr>
          <w:p w:rsidR="0018722C">
            <w:pPr>
              <w:topLinePunct/>
              <w:ind w:leftChars="0" w:left="0" w:rightChars="0" w:right="0" w:firstLineChars="0" w:firstLine="0"/>
              <w:spacing w:line="240" w:lineRule="atLeast"/>
            </w:pPr>
            <w:r w:rsidRPr="00000000">
              <w:rPr>
                <w:sz w:val="24"/>
                <w:szCs w:val="24"/>
              </w:rPr>
              <w:t>59.35</w:t>
            </w:r>
          </w:p>
        </w:tc>
        <w:tc>
          <w:tcPr>
            <w:tcW w:w="809" w:type="dxa"/>
          </w:tcPr>
          <w:p w:rsidR="0018722C">
            <w:pPr>
              <w:topLinePunct/>
              <w:ind w:leftChars="0" w:left="0" w:rightChars="0" w:right="0" w:firstLineChars="0" w:firstLine="0"/>
              <w:spacing w:line="240" w:lineRule="atLeast"/>
            </w:pPr>
            <w:r w:rsidRPr="00000000">
              <w:rPr>
                <w:sz w:val="24"/>
                <w:szCs w:val="24"/>
              </w:rPr>
              <w:t>63.08</w:t>
            </w:r>
          </w:p>
        </w:tc>
        <w:tc>
          <w:tcPr>
            <w:tcW w:w="809" w:type="dxa"/>
          </w:tcPr>
          <w:p w:rsidR="0018722C">
            <w:pPr>
              <w:topLinePunct/>
              <w:ind w:leftChars="0" w:left="0" w:rightChars="0" w:right="0" w:firstLineChars="0" w:firstLine="0"/>
              <w:spacing w:line="240" w:lineRule="atLeast"/>
            </w:pPr>
            <w:r w:rsidRPr="00000000">
              <w:rPr>
                <w:sz w:val="24"/>
                <w:szCs w:val="24"/>
              </w:rPr>
              <w:t>68.25</w:t>
            </w:r>
          </w:p>
        </w:tc>
        <w:tc>
          <w:tcPr>
            <w:tcW w:w="809" w:type="dxa"/>
          </w:tcPr>
          <w:p w:rsidR="0018722C">
            <w:pPr>
              <w:topLinePunct/>
              <w:ind w:leftChars="0" w:left="0" w:rightChars="0" w:right="0" w:firstLineChars="0" w:firstLine="0"/>
              <w:spacing w:line="240" w:lineRule="atLeast"/>
            </w:pPr>
            <w:r w:rsidRPr="00000000">
              <w:rPr>
                <w:sz w:val="24"/>
                <w:szCs w:val="24"/>
              </w:rPr>
              <w:t>71.74</w:t>
            </w:r>
          </w:p>
        </w:tc>
      </w:tr>
    </w:tbl>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41" w:lineRule="exact" w:before="0"/>
        <w:ind w:leftChars="0" w:left="1360" w:rightChars="0" w:right="0" w:firstLineChars="0" w:firstLine="0"/>
        <w:jc w:val="left"/>
        <w:rPr>
          <w:sz w:val="18"/>
        </w:rPr>
      </w:pPr>
      <w:r>
        <w:rPr>
          <w:rFonts w:ascii="Times New Roman" w:eastAsia="Times New Roman"/>
          <w:position w:val="6"/>
          <w:sz w:val="11"/>
        </w:rPr>
        <w:t>5   </w:t>
      </w:r>
      <w:r>
        <w:rPr>
          <w:sz w:val="18"/>
        </w:rPr>
        <w:t>参保率</w:t>
      </w:r>
      <w:r>
        <w:rPr>
          <w:rFonts w:ascii="Times New Roman" w:eastAsia="Times New Roman"/>
          <w:sz w:val="18"/>
        </w:rPr>
        <w:t>=</w:t>
      </w:r>
      <w:r>
        <w:rPr>
          <w:sz w:val="18"/>
        </w:rPr>
        <w:t>参保人数</w:t>
      </w:r>
      <w:r>
        <w:rPr>
          <w:rFonts w:ascii="Times New Roman" w:eastAsia="Times New Roman"/>
          <w:sz w:val="18"/>
        </w:rPr>
        <w:t>/</w:t>
      </w:r>
      <w:r>
        <w:rPr>
          <w:sz w:val="18"/>
        </w:rPr>
        <w:t>城镇人口数</w:t>
      </w:r>
    </w:p>
    <w:p w:rsidR="0018722C">
      <w:pPr>
        <w:topLinePunct/>
      </w:pPr>
      <w:bookmarkStart w:name="_bookmark14" w:id="10"/>
      <w:bookmarkEnd w:id="10"/>
      <w:r>
        <w:t>北京市城镇职工基本医疗保险制度是在相关部门充分的调研的基础上出台</w:t>
      </w:r>
      <w:r>
        <w:t>的。缴费比例的确定是综合了北京市企业承受能力，职工平均工资、医疗费用等</w:t>
      </w:r>
      <w:r>
        <w:t>各个因素。具体规定如下：“首先，城镇职工基本医疗保险的个人缴费基数定为</w:t>
      </w:r>
      <w:r>
        <w:t>本人上一年度月平均工资，需要特别注意的是城镇职工的上一年度月平均工资低</w:t>
      </w:r>
      <w:r>
        <w:t>于北京市上一年度职工月平均工资</w:t>
      </w:r>
      <w:r>
        <w:rPr>
          <w:rFonts w:ascii="Times New Roman" w:hAnsi="Times New Roman" w:eastAsia="Times New Roman"/>
        </w:rPr>
        <w:t>60%</w:t>
      </w:r>
      <w:r>
        <w:t>的，应按北京市上一年度职工月平均工资</w:t>
      </w:r>
      <w:r>
        <w:t>的</w:t>
      </w:r>
      <w:r>
        <w:rPr>
          <w:rFonts w:ascii="Times New Roman" w:hAnsi="Times New Roman" w:eastAsia="Times New Roman"/>
        </w:rPr>
        <w:t>60%</w:t>
      </w:r>
      <w:r>
        <w:t>作为缴费基数；城镇职工的上一年度月平均工资高于北京市上一年度职工月平均工资</w:t>
      </w:r>
      <w:r>
        <w:rPr>
          <w:rFonts w:ascii="Times New Roman" w:hAnsi="Times New Roman" w:eastAsia="Times New Roman"/>
        </w:rPr>
        <w:t>300%</w:t>
      </w:r>
      <w:r>
        <w:t>的，应以北京市上一年度职工月平均工资</w:t>
      </w:r>
      <w:r>
        <w:rPr>
          <w:rFonts w:ascii="Times New Roman" w:hAnsi="Times New Roman" w:eastAsia="Times New Roman"/>
        </w:rPr>
        <w:t>300%</w:t>
      </w:r>
      <w:r>
        <w:t>为基数缴纳，</w:t>
      </w:r>
      <w:r>
        <w:t>超过部分不作为缴费基数；无法确定职工本人上一年月平均工资的，以上一年本</w:t>
      </w:r>
      <w:r>
        <w:t>市职工月平均工资为缴费工资基数，缴纳基本医疗保险费。单位缴费基数为本单</w:t>
      </w:r>
      <w:r>
        <w:t>位中全体职工缴费基数之和。其次，确定缴费比例，单位缴纳</w:t>
      </w:r>
      <w:r>
        <w:rPr>
          <w:rFonts w:ascii="Times New Roman" w:hAnsi="Times New Roman" w:eastAsia="Times New Roman"/>
        </w:rPr>
        <w:t>10%</w:t>
      </w:r>
      <w:r>
        <w:t>，职工个人缴</w:t>
      </w:r>
      <w:r>
        <w:t>纳</w:t>
      </w:r>
      <w:r>
        <w:rPr>
          <w:rFonts w:ascii="Times New Roman" w:hAnsi="Times New Roman" w:eastAsia="Times New Roman"/>
        </w:rPr>
        <w:t>2%</w:t>
      </w:r>
      <w:r>
        <w:t>并且缴纳</w:t>
      </w:r>
      <w:r>
        <w:rPr>
          <w:rFonts w:ascii="Times New Roman" w:hAnsi="Times New Roman" w:eastAsia="Times New Roman"/>
        </w:rPr>
        <w:t>3</w:t>
      </w:r>
      <w:r>
        <w:t>元大额医疗费用互助金，退休职工个人不缴费，每月划入个人</w:t>
      </w:r>
      <w:r>
        <w:t>账户资金的基数为上一年本市职工月平均工资。最后，确定个人账户与社会统筹</w:t>
      </w:r>
      <w:r>
        <w:t>账户的划分比例，个人单位缴纳的</w:t>
      </w:r>
      <w:r>
        <w:rPr>
          <w:rFonts w:ascii="Times New Roman" w:hAnsi="Times New Roman" w:eastAsia="Times New Roman"/>
        </w:rPr>
        <w:t>10%</w:t>
      </w:r>
      <w:r>
        <w:t>中，</w:t>
      </w:r>
      <w:r>
        <w:rPr>
          <w:rFonts w:ascii="Times New Roman" w:hAnsi="Times New Roman" w:eastAsia="Times New Roman"/>
        </w:rPr>
        <w:t>1%</w:t>
      </w:r>
      <w:r>
        <w:t>纳入大额医疗费用互助，根据参</w:t>
      </w:r>
      <w:r>
        <w:t>保者年龄不同，有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2%</w:t>
      </w:r>
      <w:r>
        <w:t>不等的部分划入个人账户，其余部分全部划入统筹</w:t>
      </w:r>
      <w:r>
        <w:t>账户。职工个人缴纳的</w:t>
      </w:r>
      <w:r>
        <w:rPr>
          <w:rFonts w:ascii="Times New Roman" w:hAnsi="Times New Roman" w:eastAsia="Times New Roman"/>
        </w:rPr>
        <w:t>2%</w:t>
      </w:r>
      <w:r>
        <w:t>全部划入个人账户。”</w:t>
      </w:r>
      <w:r>
        <w:rPr>
          <w:rFonts w:ascii="Times New Roman" w:hAnsi="Times New Roman" w:eastAsia="Times New Roman"/>
        </w:rPr>
        <w:t>2008</w:t>
      </w:r>
      <w:r>
        <w:t>年</w:t>
      </w:r>
      <w:r>
        <w:rPr>
          <w:rFonts w:ascii="Times New Roman" w:hAnsi="Times New Roman" w:eastAsia="Times New Roman"/>
        </w:rPr>
        <w:t>12</w:t>
      </w:r>
      <w:r>
        <w:t>月，北京市针对灵活</w:t>
      </w:r>
      <w:r>
        <w:t>就业人员出台了《北京市灵活就业人员参加职工基本医疗保险办法》，规定灵活</w:t>
      </w:r>
      <w:r>
        <w:t>就业人员不设立个人账户，将上年度北京市职工月平均工资的</w:t>
      </w:r>
      <w:r>
        <w:rPr>
          <w:rFonts w:ascii="Times New Roman" w:hAnsi="Times New Roman" w:eastAsia="Times New Roman"/>
        </w:rPr>
        <w:t>70%</w:t>
      </w:r>
      <w:r>
        <w:t>作为缴费基</w:t>
      </w:r>
      <w:r>
        <w:t>数，按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的比例缴费，全部统筹账户。</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放映了各群体参保的缴费标准。</w:t>
      </w:r>
    </w:p>
    <w:p w:rsidR="0018722C">
      <w:pPr>
        <w:pStyle w:val="a8"/>
        <w:topLinePunct/>
      </w:pPr>
      <w:r>
        <w:t>表</w:t>
      </w:r>
      <w:r>
        <w:t>2</w:t>
      </w:r>
      <w:r>
        <w:t>.</w:t>
      </w:r>
      <w:r>
        <w:t>3</w:t>
      </w:r>
      <w:r>
        <w:t xml:space="preserve">  </w:t>
      </w:r>
      <w:r>
        <w:t>北京市城镇职工基本医疗保险缴费标准</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1646"/>
        <w:gridCol w:w="1701"/>
        <w:gridCol w:w="1701"/>
        <w:gridCol w:w="1275"/>
        <w:gridCol w:w="1134"/>
        <w:gridCol w:w="181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0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在职职工</w:t>
            </w:r>
          </w:p>
        </w:tc>
        <w:tc>
          <w:tcPr>
            <w:tcW w:w="11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退休职工</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灵活就业人员</w:t>
            </w:r>
          </w:p>
        </w:tc>
      </w:tr>
      <w:tr>
        <w:tc>
          <w:tcPr>
            <w:tcW w:w="394" w:type="pct"/>
            <w:vAlign w:val="center"/>
          </w:tcPr>
          <w:p w:rsidR="0018722C">
            <w:pPr>
              <w:pStyle w:val="ac"/>
              <w:topLinePunct/>
              <w:ind w:leftChars="0" w:left="0" w:rightChars="0" w:right="0" w:firstLineChars="0" w:firstLine="0"/>
              <w:spacing w:line="240" w:lineRule="atLeast"/>
            </w:pPr>
            <w:r>
              <w:t>年龄</w:t>
            </w:r>
          </w:p>
        </w:tc>
        <w:tc>
          <w:tcPr>
            <w:tcW w:w="818" w:type="pct"/>
            <w:vAlign w:val="center"/>
          </w:tcPr>
          <w:p w:rsidR="0018722C">
            <w:pPr>
              <w:pStyle w:val="a5"/>
              <w:topLinePunct/>
              <w:ind w:leftChars="0" w:left="0" w:rightChars="0" w:right="0" w:firstLineChars="0" w:firstLine="0"/>
              <w:spacing w:line="240" w:lineRule="atLeast"/>
            </w:pPr>
            <w:r>
              <w:t>≤</w:t>
            </w:r>
            <w:r>
              <w:t>35 </w:t>
            </w:r>
            <w:r>
              <w:t>周岁</w:t>
            </w:r>
          </w:p>
        </w:tc>
        <w:tc>
          <w:tcPr>
            <w:tcW w:w="845" w:type="pct"/>
            <w:vAlign w:val="center"/>
          </w:tcPr>
          <w:p w:rsidR="0018722C">
            <w:pPr>
              <w:pStyle w:val="a5"/>
              <w:topLinePunct/>
              <w:ind w:leftChars="0" w:left="0" w:rightChars="0" w:right="0" w:firstLineChars="0" w:firstLine="0"/>
              <w:spacing w:line="240" w:lineRule="atLeast"/>
            </w:pPr>
            <w:r>
              <w:t>35</w:t>
            </w:r>
            <w:r>
              <w:t>— </w:t>
            </w:r>
            <w:r>
              <w:t>45 </w:t>
            </w:r>
            <w:r>
              <w:t>周岁</w:t>
            </w:r>
          </w:p>
        </w:tc>
        <w:tc>
          <w:tcPr>
            <w:tcW w:w="845" w:type="pct"/>
            <w:vAlign w:val="center"/>
          </w:tcPr>
          <w:p w:rsidR="0018722C">
            <w:pPr>
              <w:pStyle w:val="a5"/>
              <w:topLinePunct/>
              <w:ind w:leftChars="0" w:left="0" w:rightChars="0" w:right="0" w:firstLineChars="0" w:firstLine="0"/>
              <w:spacing w:line="240" w:lineRule="atLeast"/>
            </w:pPr>
            <w:r>
              <w:t>≥</w:t>
            </w:r>
            <w:r>
              <w:t>45 </w:t>
            </w:r>
            <w:r>
              <w:t>周岁</w:t>
            </w:r>
          </w:p>
        </w:tc>
        <w:tc>
          <w:tcPr>
            <w:tcW w:w="633" w:type="pct"/>
            <w:vAlign w:val="center"/>
          </w:tcPr>
          <w:p w:rsidR="0018722C">
            <w:pPr>
              <w:pStyle w:val="a5"/>
              <w:topLinePunct/>
              <w:ind w:leftChars="0" w:left="0" w:rightChars="0" w:right="0" w:firstLineChars="0" w:firstLine="0"/>
              <w:spacing w:line="240" w:lineRule="atLeast"/>
            </w:pPr>
            <w:r>
              <w:t>≤</w:t>
            </w:r>
            <w:r>
              <w:t>70 </w:t>
            </w:r>
            <w:r>
              <w:t>周岁</w:t>
            </w:r>
          </w:p>
        </w:tc>
        <w:tc>
          <w:tcPr>
            <w:tcW w:w="563" w:type="pct"/>
            <w:vAlign w:val="center"/>
          </w:tcPr>
          <w:p w:rsidR="0018722C">
            <w:pPr>
              <w:pStyle w:val="a5"/>
              <w:topLinePunct/>
              <w:ind w:leftChars="0" w:left="0" w:rightChars="0" w:right="0" w:firstLineChars="0" w:firstLine="0"/>
              <w:spacing w:line="240" w:lineRule="atLeast"/>
            </w:pPr>
            <w:r>
              <w:t>＞</w:t>
            </w:r>
            <w:r>
              <w:t>70 </w:t>
            </w:r>
            <w:r>
              <w:t>周岁</w:t>
            </w:r>
          </w:p>
        </w:tc>
        <w:tc>
          <w:tcPr>
            <w:tcW w:w="901" w:type="pct"/>
            <w:vAlign w:val="center"/>
          </w:tcPr>
          <w:p w:rsidR="0018722C">
            <w:pPr>
              <w:pStyle w:val="ad"/>
              <w:topLinePunct/>
              <w:ind w:leftChars="0" w:left="0" w:rightChars="0" w:right="0" w:firstLineChars="0" w:firstLine="0"/>
              <w:spacing w:line="240" w:lineRule="atLeast"/>
            </w:pPr>
          </w:p>
        </w:tc>
      </w:tr>
      <w:tr>
        <w:tc>
          <w:tcPr>
            <w:tcW w:w="394" w:type="pct"/>
            <w:vAlign w:val="center"/>
          </w:tcPr>
          <w:p w:rsidR="0018722C">
            <w:pPr>
              <w:pStyle w:val="ac"/>
              <w:topLinePunct/>
              <w:ind w:leftChars="0" w:left="0" w:rightChars="0" w:right="0" w:firstLineChars="0" w:firstLine="0"/>
              <w:spacing w:line="240" w:lineRule="atLeast"/>
            </w:pPr>
            <w:r>
              <w:t>个人</w:t>
            </w:r>
          </w:p>
          <w:p w:rsidR="0018722C">
            <w:pPr>
              <w:pStyle w:val="a5"/>
              <w:topLinePunct/>
              <w:ind w:leftChars="0" w:left="0" w:rightChars="0" w:right="0" w:firstLineChars="0" w:firstLine="0"/>
              <w:spacing w:line="240" w:lineRule="atLeast"/>
            </w:pPr>
            <w:r>
              <w:t>账户</w:t>
            </w:r>
          </w:p>
        </w:tc>
        <w:tc>
          <w:tcPr>
            <w:tcW w:w="818"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0.8%</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1%</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2%</w:t>
            </w:r>
          </w:p>
        </w:tc>
        <w:tc>
          <w:tcPr>
            <w:tcW w:w="633" w:type="pct"/>
            <w:vAlign w:val="center"/>
          </w:tcPr>
          <w:p w:rsidR="0018722C">
            <w:pPr>
              <w:pStyle w:val="affff9"/>
              <w:topLinePunct/>
              <w:ind w:leftChars="0" w:left="0" w:rightChars="0" w:right="0" w:firstLineChars="0" w:firstLine="0"/>
              <w:spacing w:line="240" w:lineRule="atLeast"/>
            </w:pPr>
            <w:r>
              <w:t>4.3%</w:t>
            </w:r>
          </w:p>
        </w:tc>
        <w:tc>
          <w:tcPr>
            <w:tcW w:w="563" w:type="pct"/>
            <w:vAlign w:val="center"/>
          </w:tcPr>
          <w:p w:rsidR="0018722C">
            <w:pPr>
              <w:pStyle w:val="affff9"/>
              <w:topLinePunct/>
              <w:ind w:leftChars="0" w:left="0" w:rightChars="0" w:right="0" w:firstLineChars="0" w:firstLine="0"/>
              <w:spacing w:line="240" w:lineRule="atLeast"/>
            </w:pPr>
            <w:r>
              <w:t>4.8%</w:t>
            </w:r>
          </w:p>
        </w:tc>
        <w:tc>
          <w:tcPr>
            <w:tcW w:w="901" w:type="pct"/>
            <w:vAlign w:val="center"/>
          </w:tcPr>
          <w:p w:rsidR="0018722C">
            <w:pPr>
              <w:pStyle w:val="ad"/>
              <w:topLinePunct/>
              <w:ind w:leftChars="0" w:left="0" w:rightChars="0" w:right="0" w:firstLineChars="0" w:firstLine="0"/>
              <w:spacing w:line="240" w:lineRule="atLeast"/>
            </w:pPr>
            <w:r>
              <w:t>不设立</w:t>
            </w:r>
          </w:p>
        </w:tc>
      </w:tr>
      <w:tr>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t>社会统筹</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7%</w:t>
            </w:r>
          </w:p>
        </w:tc>
        <w:tc>
          <w:tcPr>
            <w:tcW w:w="119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不缴费</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上年度北京市职工月平均工资</w:t>
            </w:r>
          </w:p>
          <w:p w:rsidR="0018722C">
            <w:pPr>
              <w:pStyle w:val="ad"/>
              <w:topLinePunct/>
              <w:ind w:leftChars="0" w:left="0" w:rightChars="0" w:right="0" w:firstLineChars="0" w:firstLine="0"/>
              <w:spacing w:line="240" w:lineRule="atLeast"/>
            </w:pPr>
            <w:r>
              <w:t>*4.5%</w:t>
            </w:r>
          </w:p>
        </w:tc>
      </w:tr>
    </w:tbl>
    <w:p w:rsidR="0018722C">
      <w:pPr>
        <w:pStyle w:val="Heading3"/>
        <w:topLinePunct/>
        <w:ind w:left="200" w:hangingChars="200" w:hanging="200"/>
      </w:pPr>
      <w:bookmarkStart w:id="569925" w:name="_Toc686569925"/>
      <w:r>
        <w:t>2.3.2</w:t>
      </w:r>
      <w:r>
        <w:t xml:space="preserve"> </w:t>
      </w:r>
      <w:r>
        <w:t>新型农村合作医疗</w:t>
      </w:r>
      <w:bookmarkEnd w:id="569925"/>
    </w:p>
    <w:p w:rsidR="0018722C">
      <w:pPr>
        <w:topLinePunct/>
      </w:pPr>
      <w:r>
        <w:t>自</w:t>
      </w:r>
      <w:r>
        <w:rPr>
          <w:rFonts w:ascii="Times New Roman" w:hAnsi="Times New Roman" w:eastAsia="Times New Roman"/>
        </w:rPr>
        <w:t>2003</w:t>
      </w:r>
      <w:r>
        <w:t>年北京市新型农村合作医疗制度出台以来，新农合参合率基本呈现</w:t>
      </w:r>
      <w:r>
        <w:t>逐年上涨的趋势，新型农村合作医疗基金筹资总额、人均筹资额及补偿收益水平</w:t>
      </w:r>
      <w:r>
        <w:t>也不断提高，在一定程度上减少了农民“因病致贫、因病返贫”现象的发生。</w:t>
      </w:r>
      <w:r>
        <w:t>表</w:t>
      </w:r>
    </w:p>
    <w:p w:rsidR="0018722C">
      <w:pPr>
        <w:pStyle w:val="cw20"/>
        <w:topLinePunct/>
      </w:pPr>
      <w:r>
        <w:rPr>
          <w:rFonts w:ascii="Times New Roman" w:eastAsia="宋体"/>
        </w:rPr>
        <w:t>2.4</w:t>
      </w:r>
      <w:r>
        <w:t>反映了</w:t>
      </w:r>
      <w:r>
        <w:rPr>
          <w:rFonts w:ascii="Times New Roman" w:eastAsia="宋体"/>
        </w:rPr>
        <w:t>2004</w:t>
      </w:r>
      <w:r>
        <w:t>年到</w:t>
      </w:r>
      <w:r>
        <w:rPr>
          <w:rFonts w:ascii="Times New Roman" w:eastAsia="宋体"/>
        </w:rPr>
        <w:t>2012</w:t>
      </w:r>
      <w:r>
        <w:t>年北京市新型农村合作医疗参合人数和参合率的变化</w:t>
      </w:r>
      <w:r>
        <w:t>情况。截止到</w:t>
      </w:r>
      <w:r>
        <w:rPr>
          <w:rFonts w:ascii="Times New Roman" w:eastAsia="宋体"/>
        </w:rPr>
        <w:t>2012</w:t>
      </w:r>
      <w:r>
        <w:t>年年末，北京市农村新型合作医疗参合人数为</w:t>
      </w:r>
      <w:r>
        <w:rPr>
          <w:rFonts w:ascii="Times New Roman" w:eastAsia="宋体"/>
        </w:rPr>
        <w:t>267</w:t>
      </w:r>
      <w:r>
        <w:rPr>
          <w:rFonts w:ascii="Times New Roman" w:eastAsia="宋体"/>
        </w:rPr>
        <w:t>.</w:t>
      </w:r>
      <w:r>
        <w:rPr>
          <w:rFonts w:ascii="Times New Roman" w:eastAsia="宋体"/>
        </w:rPr>
        <w:t>5</w:t>
      </w:r>
      <w:r>
        <w:t>万人，</w:t>
      </w:r>
      <w:r>
        <w:t>参合率为</w:t>
      </w:r>
      <w:r>
        <w:rPr>
          <w:rFonts w:ascii="Times New Roman" w:eastAsia="宋体"/>
        </w:rPr>
        <w:t>98</w:t>
      </w:r>
      <w:r>
        <w:rPr>
          <w:rFonts w:ascii="Times New Roman" w:eastAsia="宋体"/>
        </w:rPr>
        <w:t>.</w:t>
      </w:r>
      <w:r>
        <w:rPr>
          <w:rFonts w:ascii="Times New Roman" w:eastAsia="宋体"/>
        </w:rPr>
        <w:t>1%</w:t>
      </w:r>
      <w:r>
        <w:t>。</w:t>
      </w:r>
    </w:p>
    <w:p w:rsidR="0018722C">
      <w:pPr>
        <w:topLinePunct/>
      </w:pPr>
      <w:bookmarkStart w:name="_bookmark15" w:id="11"/>
      <w:bookmarkEnd w:id="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北京市历年新农合参合人数情况</w:t>
      </w:r>
      <w:hyperlink w:history="true" w:anchor="_bookmark16">
        <w:r>
          <w:rPr>
            <w:vertAlign w:val="superscript"/>
            /&gt;
          </w:rPr>
          <w:t>6</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t>2004</w:t>
            </w:r>
          </w:p>
        </w:tc>
        <w:tc>
          <w:tcPr>
            <w:tcW w:w="809" w:type="dxa"/>
          </w:tcPr>
          <w:p w:rsidR="0018722C">
            <w:pPr>
              <w:topLinePunct/>
              <w:ind w:leftChars="0" w:left="0" w:rightChars="0" w:right="0" w:firstLineChars="0" w:firstLine="0"/>
              <w:spacing w:line="240" w:lineRule="atLeast"/>
            </w:pPr>
            <w:r>
              <w:t>2005</w:t>
            </w:r>
          </w:p>
        </w:tc>
        <w:tc>
          <w:tcPr>
            <w:tcW w:w="809" w:type="dxa"/>
          </w:tcPr>
          <w:p w:rsidR="0018722C">
            <w:pPr>
              <w:topLinePunct/>
              <w:ind w:leftChars="0" w:left="0" w:rightChars="0" w:right="0" w:firstLineChars="0" w:firstLine="0"/>
              <w:spacing w:line="240" w:lineRule="atLeast"/>
            </w:pPr>
            <w:r>
              <w:t>2006</w:t>
            </w:r>
          </w:p>
        </w:tc>
        <w:tc>
          <w:tcPr>
            <w:tcW w:w="809" w:type="dxa"/>
          </w:tcPr>
          <w:p w:rsidR="0018722C">
            <w:pPr>
              <w:topLinePunct/>
              <w:ind w:leftChars="0" w:left="0" w:rightChars="0" w:right="0" w:firstLineChars="0" w:firstLine="0"/>
              <w:spacing w:line="240" w:lineRule="atLeast"/>
            </w:pPr>
            <w:r>
              <w:t>2007</w:t>
            </w:r>
          </w:p>
        </w:tc>
        <w:tc>
          <w:tcPr>
            <w:tcW w:w="809" w:type="dxa"/>
          </w:tcPr>
          <w:p w:rsidR="0018722C">
            <w:pPr>
              <w:topLinePunct/>
              <w:ind w:leftChars="0" w:left="0" w:rightChars="0" w:right="0" w:firstLineChars="0" w:firstLine="0"/>
              <w:spacing w:line="240" w:lineRule="atLeast"/>
            </w:pPr>
            <w:r>
              <w:t>2008</w:t>
            </w:r>
          </w:p>
        </w:tc>
        <w:tc>
          <w:tcPr>
            <w:tcW w:w="809" w:type="dxa"/>
          </w:tcPr>
          <w:p w:rsidR="0018722C">
            <w:pPr>
              <w:topLinePunct/>
              <w:ind w:leftChars="0" w:left="0" w:rightChars="0" w:right="0" w:firstLineChars="0" w:firstLine="0"/>
              <w:spacing w:line="240" w:lineRule="atLeast"/>
            </w:pPr>
            <w:r>
              <w:t>2009</w:t>
            </w:r>
          </w:p>
        </w:tc>
        <w:tc>
          <w:tcPr>
            <w:tcW w:w="809" w:type="dxa"/>
          </w:tcPr>
          <w:p w:rsidR="0018722C">
            <w:pPr>
              <w:topLinePunct/>
              <w:ind w:leftChars="0" w:left="0" w:rightChars="0" w:right="0" w:firstLineChars="0" w:firstLine="0"/>
              <w:spacing w:line="240" w:lineRule="atLeast"/>
            </w:pPr>
            <w:r>
              <w:t>2010</w:t>
            </w:r>
          </w:p>
        </w:tc>
        <w:tc>
          <w:tcPr>
            <w:tcW w:w="809" w:type="dxa"/>
          </w:tcPr>
          <w:p w:rsidR="0018722C">
            <w:pPr>
              <w:topLinePunct/>
              <w:ind w:leftChars="0" w:left="0" w:rightChars="0" w:right="0" w:firstLineChars="0" w:firstLine="0"/>
              <w:spacing w:line="240" w:lineRule="atLeast"/>
            </w:pPr>
            <w:r>
              <w:t>2011</w:t>
            </w:r>
          </w:p>
        </w:tc>
        <w:tc>
          <w:tcPr>
            <w:tcW w:w="809" w:type="dxa"/>
          </w:tcPr>
          <w:p w:rsidR="0018722C">
            <w:pPr>
              <w:topLinePunct/>
              <w:ind w:leftChars="0" w:left="0" w:rightChars="0" w:right="0" w:firstLineChars="0" w:firstLine="0"/>
              <w:spacing w:line="240" w:lineRule="atLeast"/>
            </w:pPr>
            <w:r>
              <w:t>2012</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w:t>
            </w:r>
          </w:p>
          <w:p w:rsidR="0018722C">
            <w:pPr>
              <w:topLinePunct/>
              <w:ind w:leftChars="0" w:left="0" w:rightChars="0" w:right="0" w:firstLineChars="0" w:firstLine="0"/>
              <w:spacing w:line="240" w:lineRule="atLeast"/>
            </w:pPr>
            <w:r>
              <w:rPr>
                <w:rFonts w:ascii="宋体" w:eastAsia="宋体" w:hint="eastAsia"/>
              </w:rPr>
              <w:t>人数</w:t>
            </w:r>
          </w:p>
        </w:tc>
        <w:tc>
          <w:tcPr>
            <w:tcW w:w="809" w:type="dxa"/>
          </w:tcPr>
          <w:p w:rsidR="0018722C">
            <w:pPr>
              <w:topLinePunct/>
              <w:ind w:leftChars="0" w:left="0" w:rightChars="0" w:right="0" w:firstLineChars="0" w:firstLine="0"/>
              <w:spacing w:line="240" w:lineRule="atLeast"/>
            </w:pPr>
            <w:r>
              <w:t>234</w:t>
            </w:r>
          </w:p>
        </w:tc>
        <w:tc>
          <w:tcPr>
            <w:tcW w:w="809" w:type="dxa"/>
          </w:tcPr>
          <w:p w:rsidR="0018722C">
            <w:pPr>
              <w:topLinePunct/>
              <w:ind w:leftChars="0" w:left="0" w:rightChars="0" w:right="0" w:firstLineChars="0" w:firstLine="0"/>
              <w:spacing w:line="240" w:lineRule="atLeast"/>
            </w:pPr>
            <w:r>
              <w:t>250.4</w:t>
            </w:r>
          </w:p>
        </w:tc>
        <w:tc>
          <w:tcPr>
            <w:tcW w:w="809" w:type="dxa"/>
          </w:tcPr>
          <w:p w:rsidR="0018722C">
            <w:pPr>
              <w:topLinePunct/>
              <w:ind w:leftChars="0" w:left="0" w:rightChars="0" w:right="0" w:firstLineChars="0" w:firstLine="0"/>
              <w:spacing w:line="240" w:lineRule="atLeast"/>
            </w:pPr>
            <w:r>
              <w:t>261</w:t>
            </w:r>
          </w:p>
        </w:tc>
        <w:tc>
          <w:tcPr>
            <w:tcW w:w="809" w:type="dxa"/>
          </w:tcPr>
          <w:p w:rsidR="0018722C">
            <w:pPr>
              <w:topLinePunct/>
              <w:ind w:leftChars="0" w:left="0" w:rightChars="0" w:right="0" w:firstLineChars="0" w:firstLine="0"/>
              <w:spacing w:line="240" w:lineRule="atLeast"/>
            </w:pPr>
            <w:r>
              <w:t>268.5</w:t>
            </w:r>
          </w:p>
        </w:tc>
        <w:tc>
          <w:tcPr>
            <w:tcW w:w="809" w:type="dxa"/>
          </w:tcPr>
          <w:p w:rsidR="0018722C">
            <w:pPr>
              <w:topLinePunct/>
              <w:ind w:leftChars="0" w:left="0" w:rightChars="0" w:right="0" w:firstLineChars="0" w:firstLine="0"/>
              <w:spacing w:line="240" w:lineRule="atLeast"/>
            </w:pPr>
            <w:r>
              <w:t>272.5</w:t>
            </w:r>
          </w:p>
        </w:tc>
        <w:tc>
          <w:tcPr>
            <w:tcW w:w="809" w:type="dxa"/>
          </w:tcPr>
          <w:p w:rsidR="0018722C">
            <w:pPr>
              <w:topLinePunct/>
              <w:ind w:leftChars="0" w:left="0" w:rightChars="0" w:right="0" w:firstLineChars="0" w:firstLine="0"/>
              <w:spacing w:line="240" w:lineRule="atLeast"/>
            </w:pPr>
            <w:r>
              <w:t>274.9</w:t>
            </w:r>
          </w:p>
        </w:tc>
        <w:tc>
          <w:tcPr>
            <w:tcW w:w="809" w:type="dxa"/>
          </w:tcPr>
          <w:p w:rsidR="0018722C">
            <w:pPr>
              <w:topLinePunct/>
              <w:ind w:leftChars="0" w:left="0" w:rightChars="0" w:right="0" w:firstLineChars="0" w:firstLine="0"/>
              <w:spacing w:line="240" w:lineRule="atLeast"/>
            </w:pPr>
            <w:r>
              <w:t>278.5</w:t>
            </w:r>
          </w:p>
        </w:tc>
        <w:tc>
          <w:tcPr>
            <w:tcW w:w="809" w:type="dxa"/>
          </w:tcPr>
          <w:p w:rsidR="0018722C">
            <w:pPr>
              <w:topLinePunct/>
              <w:ind w:leftChars="0" w:left="0" w:rightChars="0" w:right="0" w:firstLineChars="0" w:firstLine="0"/>
              <w:spacing w:line="240" w:lineRule="atLeast"/>
            </w:pPr>
            <w:r>
              <w:t>276.8</w:t>
            </w:r>
          </w:p>
        </w:tc>
        <w:tc>
          <w:tcPr>
            <w:tcW w:w="809" w:type="dxa"/>
          </w:tcPr>
          <w:p w:rsidR="0018722C">
            <w:pPr>
              <w:topLinePunct/>
              <w:ind w:leftChars="0" w:left="0" w:rightChars="0" w:right="0" w:firstLineChars="0" w:firstLine="0"/>
              <w:spacing w:line="240" w:lineRule="atLeast"/>
            </w:pPr>
            <w:r>
              <w:t>267.5</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09" w:type="dxa"/>
          </w:tcPr>
          <w:p w:rsidR="0018722C">
            <w:pPr>
              <w:topLinePunct/>
              <w:ind w:leftChars="0" w:left="0" w:rightChars="0" w:right="0" w:firstLineChars="0" w:firstLine="0"/>
              <w:spacing w:line="240" w:lineRule="atLeast"/>
            </w:pPr>
            <w:r>
              <w:t>71.9</w:t>
            </w:r>
          </w:p>
        </w:tc>
        <w:tc>
          <w:tcPr>
            <w:tcW w:w="809" w:type="dxa"/>
          </w:tcPr>
          <w:p w:rsidR="0018722C">
            <w:pPr>
              <w:topLinePunct/>
              <w:ind w:leftChars="0" w:left="0" w:rightChars="0" w:right="0" w:firstLineChars="0" w:firstLine="0"/>
              <w:spacing w:line="240" w:lineRule="atLeast"/>
            </w:pPr>
            <w:r>
              <w:t>80.3</w:t>
            </w:r>
          </w:p>
        </w:tc>
        <w:tc>
          <w:tcPr>
            <w:tcW w:w="809" w:type="dxa"/>
          </w:tcPr>
          <w:p w:rsidR="0018722C">
            <w:pPr>
              <w:topLinePunct/>
              <w:ind w:leftChars="0" w:left="0" w:rightChars="0" w:right="0" w:firstLineChars="0" w:firstLine="0"/>
              <w:spacing w:line="240" w:lineRule="atLeast"/>
            </w:pPr>
            <w:r>
              <w:t>86.9</w:t>
            </w:r>
          </w:p>
        </w:tc>
        <w:tc>
          <w:tcPr>
            <w:tcW w:w="809" w:type="dxa"/>
          </w:tcPr>
          <w:p w:rsidR="0018722C">
            <w:pPr>
              <w:topLinePunct/>
              <w:ind w:leftChars="0" w:left="0" w:rightChars="0" w:right="0" w:firstLineChars="0" w:firstLine="0"/>
              <w:spacing w:line="240" w:lineRule="atLeast"/>
            </w:pPr>
            <w:r>
              <w:t>88.9</w:t>
            </w:r>
          </w:p>
        </w:tc>
        <w:tc>
          <w:tcPr>
            <w:tcW w:w="809" w:type="dxa"/>
          </w:tcPr>
          <w:p w:rsidR="0018722C">
            <w:pPr>
              <w:topLinePunct/>
              <w:ind w:leftChars="0" w:left="0" w:rightChars="0" w:right="0" w:firstLineChars="0" w:firstLine="0"/>
              <w:spacing w:line="240" w:lineRule="atLeast"/>
            </w:pPr>
            <w:r>
              <w:t>92.9</w:t>
            </w:r>
          </w:p>
        </w:tc>
        <w:tc>
          <w:tcPr>
            <w:tcW w:w="809" w:type="dxa"/>
          </w:tcPr>
          <w:p w:rsidR="0018722C">
            <w:pPr>
              <w:topLinePunct/>
              <w:ind w:leftChars="0" w:left="0" w:rightChars="0" w:right="0" w:firstLineChars="0" w:firstLine="0"/>
              <w:spacing w:line="240" w:lineRule="atLeast"/>
            </w:pPr>
            <w:r>
              <w:t>95.7</w:t>
            </w:r>
          </w:p>
        </w:tc>
        <w:tc>
          <w:tcPr>
            <w:tcW w:w="809" w:type="dxa"/>
          </w:tcPr>
          <w:p w:rsidR="0018722C">
            <w:pPr>
              <w:topLinePunct/>
              <w:ind w:leftChars="0" w:left="0" w:rightChars="0" w:right="0" w:firstLineChars="0" w:firstLine="0"/>
              <w:spacing w:line="240" w:lineRule="atLeast"/>
            </w:pPr>
            <w:r>
              <w:t>96.7</w:t>
            </w:r>
          </w:p>
        </w:tc>
        <w:tc>
          <w:tcPr>
            <w:tcW w:w="809" w:type="dxa"/>
          </w:tcPr>
          <w:p w:rsidR="0018722C">
            <w:pPr>
              <w:topLinePunct/>
              <w:ind w:leftChars="0" w:left="0" w:rightChars="0" w:right="0" w:firstLineChars="0" w:firstLine="0"/>
              <w:spacing w:line="240" w:lineRule="atLeast"/>
            </w:pPr>
            <w:r>
              <w:t>97.7</w:t>
            </w:r>
          </w:p>
        </w:tc>
        <w:tc>
          <w:tcPr>
            <w:tcW w:w="809" w:type="dxa"/>
          </w:tcPr>
          <w:p w:rsidR="0018722C">
            <w:pPr>
              <w:topLinePunct/>
              <w:ind w:leftChars="0" w:left="0" w:rightChars="0" w:right="0" w:firstLineChars="0" w:firstLine="0"/>
              <w:spacing w:line="240" w:lineRule="atLeast"/>
            </w:pPr>
            <w:r>
              <w:t>98.1</w:t>
            </w:r>
          </w:p>
        </w:tc>
      </w:tr>
    </w:tbl>
    <w:p w:rsidR="0018722C">
      <w:pPr>
        <w:pStyle w:val="Heading3"/>
        <w:topLinePunct/>
        <w:ind w:left="200" w:hangingChars="200" w:hanging="200"/>
      </w:pPr>
      <w:bookmarkStart w:id="569926" w:name="_Toc686569926"/>
      <w:r>
        <w:t>2.3.3</w:t>
      </w:r>
      <w:r>
        <w:t xml:space="preserve"> </w:t>
      </w:r>
      <w:r w:rsidRPr="00DB64CE">
        <w:t>城镇居民基本医疗保险</w:t>
      </w:r>
      <w:bookmarkEnd w:id="569926"/>
    </w:p>
    <w:p w:rsidR="0018722C">
      <w:pPr>
        <w:topLinePunct/>
      </w:pPr>
      <w:r>
        <w:t>北京市城镇居民基本医疗保险自</w:t>
      </w:r>
      <w:r>
        <w:rPr>
          <w:rFonts w:ascii="Times New Roman" w:eastAsia="Times New Roman"/>
        </w:rPr>
        <w:t>2007</w:t>
      </w:r>
      <w:r>
        <w:t>年正式启动以来，参保人数稳步增加，</w:t>
      </w:r>
      <w:r>
        <w:t>具体情况如</w:t>
      </w:r>
      <w:r>
        <w:t>表</w:t>
      </w:r>
      <w:r>
        <w:rPr>
          <w:rFonts w:ascii="Times New Roman" w:eastAsia="Times New Roman"/>
        </w:rPr>
        <w:t>2</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北京市历年城镇居民参保人数情况</w:t>
      </w:r>
      <w:hyperlink w:history="true" w:anchor="_bookmark17">
        <w:r>
          <w:rPr>
            <w:rFonts w:ascii="Times New Roman" w:eastAsia="Times New Roman" w:cstheme="minorBidi" w:hAnsiTheme="minorHAnsi"/>
          </w:rPr>
          <w:t>7</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7"/>
        <w:gridCol w:w="1160"/>
        <w:gridCol w:w="1161"/>
        <w:gridCol w:w="1161"/>
        <w:gridCol w:w="1161"/>
        <w:gridCol w:w="1161"/>
        <w:gridCol w:w="1161"/>
      </w:tblGrid>
      <w:tr>
        <w:trPr>
          <w:trHeight w:val="300" w:hRule="atLeast"/>
        </w:trPr>
        <w:tc>
          <w:tcPr>
            <w:tcW w:w="1557"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r>
              <w:t>2007</w:t>
            </w:r>
          </w:p>
        </w:tc>
        <w:tc>
          <w:tcPr>
            <w:tcW w:w="1161" w:type="dxa"/>
          </w:tcPr>
          <w:p w:rsidR="0018722C">
            <w:pPr>
              <w:topLinePunct/>
              <w:ind w:leftChars="0" w:left="0" w:rightChars="0" w:right="0" w:firstLineChars="0" w:firstLine="0"/>
              <w:spacing w:line="240" w:lineRule="atLeast"/>
            </w:pPr>
            <w:r>
              <w:t>2008</w:t>
            </w:r>
          </w:p>
        </w:tc>
        <w:tc>
          <w:tcPr>
            <w:tcW w:w="1161"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61" w:type="dxa"/>
          </w:tcPr>
          <w:p w:rsidR="0018722C">
            <w:pPr>
              <w:topLinePunct/>
              <w:ind w:leftChars="0" w:left="0" w:rightChars="0" w:right="0" w:firstLineChars="0" w:firstLine="0"/>
              <w:spacing w:line="240" w:lineRule="atLeast"/>
            </w:pPr>
            <w:r>
              <w:t>2011</w:t>
            </w:r>
          </w:p>
        </w:tc>
        <w:tc>
          <w:tcPr>
            <w:tcW w:w="1161" w:type="dxa"/>
          </w:tcPr>
          <w:p w:rsidR="0018722C">
            <w:pPr>
              <w:topLinePunct/>
              <w:ind w:leftChars="0" w:left="0" w:rightChars="0" w:right="0" w:firstLineChars="0" w:firstLine="0"/>
              <w:spacing w:line="240" w:lineRule="atLeast"/>
            </w:pPr>
            <w:r>
              <w:t>2012</w:t>
            </w:r>
          </w:p>
        </w:tc>
      </w:tr>
      <w:tr>
        <w:trPr>
          <w:trHeight w:val="300" w:hRule="atLeast"/>
        </w:trPr>
        <w:tc>
          <w:tcPr>
            <w:tcW w:w="1557" w:type="dxa"/>
          </w:tcPr>
          <w:p w:rsidR="0018722C">
            <w:pPr>
              <w:topLinePunct/>
              <w:ind w:leftChars="0" w:left="0" w:rightChars="0" w:right="0" w:firstLineChars="0" w:firstLine="0"/>
              <w:spacing w:line="240" w:lineRule="atLeast"/>
            </w:pPr>
            <w:r>
              <w:rPr>
                <w:rFonts w:ascii="宋体" w:eastAsia="宋体" w:hint="eastAsia"/>
              </w:rPr>
              <w:t>3.1.1</w:t>
            </w:r>
            <w:r>
              <w:t xml:space="preserve"> </w:t>
            </w:r>
            <w:r>
              <w:rPr>
                <w:rFonts w:ascii="宋体" w:eastAsia="宋体" w:hint="eastAsia"/>
              </w:rPr>
              <w:t>参保人数</w:t>
            </w:r>
          </w:p>
        </w:tc>
        <w:tc>
          <w:tcPr>
            <w:tcW w:w="1160" w:type="dxa"/>
          </w:tcPr>
          <w:p w:rsidR="0018722C">
            <w:pPr>
              <w:topLinePunct/>
              <w:ind w:leftChars="0" w:left="0" w:rightChars="0" w:right="0" w:firstLineChars="0" w:firstLine="0"/>
              <w:spacing w:line="240" w:lineRule="atLeast"/>
            </w:pPr>
            <w:r>
              <w:t>146.4</w:t>
            </w:r>
          </w:p>
        </w:tc>
        <w:tc>
          <w:tcPr>
            <w:tcW w:w="1161" w:type="dxa"/>
          </w:tcPr>
          <w:p w:rsidR="0018722C">
            <w:pPr>
              <w:topLinePunct/>
              <w:ind w:leftChars="0" w:left="0" w:rightChars="0" w:right="0" w:firstLineChars="0" w:firstLine="0"/>
              <w:spacing w:line="240" w:lineRule="atLeast"/>
            </w:pPr>
            <w:r>
              <w:t>146.1</w:t>
            </w:r>
          </w:p>
        </w:tc>
        <w:tc>
          <w:tcPr>
            <w:tcW w:w="1161" w:type="dxa"/>
          </w:tcPr>
          <w:p w:rsidR="0018722C">
            <w:pPr>
              <w:topLinePunct/>
              <w:ind w:leftChars="0" w:left="0" w:rightChars="0" w:right="0" w:firstLineChars="0" w:firstLine="0"/>
              <w:spacing w:line="240" w:lineRule="atLeast"/>
            </w:pPr>
            <w:r>
              <w:t>145.5</w:t>
            </w:r>
          </w:p>
        </w:tc>
        <w:tc>
          <w:tcPr>
            <w:tcW w:w="1161" w:type="dxa"/>
          </w:tcPr>
          <w:p w:rsidR="0018722C">
            <w:pPr>
              <w:topLinePunct/>
              <w:ind w:leftChars="0" w:left="0" w:rightChars="0" w:right="0" w:firstLineChars="0" w:firstLine="0"/>
              <w:spacing w:line="240" w:lineRule="atLeast"/>
            </w:pPr>
            <w:r>
              <w:t>143.7</w:t>
            </w:r>
          </w:p>
        </w:tc>
        <w:tc>
          <w:tcPr>
            <w:tcW w:w="1161" w:type="dxa"/>
          </w:tcPr>
          <w:p w:rsidR="0018722C">
            <w:pPr>
              <w:topLinePunct/>
              <w:ind w:leftChars="0" w:left="0" w:rightChars="0" w:right="0" w:firstLineChars="0" w:firstLine="0"/>
              <w:spacing w:line="240" w:lineRule="atLeast"/>
            </w:pPr>
            <w:r>
              <w:t>159.9</w:t>
            </w:r>
          </w:p>
        </w:tc>
        <w:tc>
          <w:tcPr>
            <w:tcW w:w="1161" w:type="dxa"/>
          </w:tcPr>
          <w:p w:rsidR="0018722C">
            <w:pPr>
              <w:topLinePunct/>
              <w:ind w:leftChars="0" w:left="0" w:rightChars="0" w:right="0" w:firstLineChars="0" w:firstLine="0"/>
              <w:spacing w:line="240" w:lineRule="atLeast"/>
            </w:pPr>
            <w:r>
              <w:t>151.9</w:t>
            </w:r>
          </w:p>
        </w:tc>
      </w:tr>
    </w:tbl>
    <w:p w:rsidR="0018722C">
      <w:pPr>
        <w:topLinePunct/>
      </w:pPr>
      <w:r>
        <w:rPr>
          <w:rFonts w:ascii="Times New Roman" w:eastAsia="Times New Roman"/>
        </w:rPr>
        <w:t>2013</w:t>
      </w:r>
      <w:r>
        <w:t>年北京市城镇居民基本医疗保险个人缴费标准为：城镇无业居民个人</w:t>
      </w:r>
    </w:p>
    <w:p w:rsidR="0018722C">
      <w:pPr>
        <w:topLinePunct/>
      </w:pPr>
      <w:r>
        <w:t>缴费</w:t>
      </w:r>
      <w:r>
        <w:rPr>
          <w:rFonts w:ascii="Times New Roman" w:eastAsia="Times New Roman"/>
        </w:rPr>
        <w:t>600</w:t>
      </w:r>
      <w:r>
        <w:t>元，城镇老年人及残疾无业居民个人缴费</w:t>
      </w:r>
      <w:r>
        <w:rPr>
          <w:rFonts w:ascii="Times New Roman" w:eastAsia="Times New Roman"/>
        </w:rPr>
        <w:t>300</w:t>
      </w:r>
      <w:r>
        <w:t>元，学生儿童个人缴费</w:t>
      </w:r>
    </w:p>
    <w:p w:rsidR="0018722C">
      <w:pPr>
        <w:topLinePunct/>
      </w:pPr>
      <w:r>
        <w:rPr>
          <w:rFonts w:ascii="Times New Roman" w:eastAsia="Times New Roman"/>
        </w:rPr>
        <w:t>100</w:t>
      </w:r>
      <w:r>
        <w:t>元。医疗保险基金具体支付标准为：门诊治疗起付线为</w:t>
      </w:r>
      <w:r>
        <w:rPr>
          <w:rFonts w:ascii="Times New Roman" w:eastAsia="Times New Roman"/>
        </w:rPr>
        <w:t>650</w:t>
      </w:r>
      <w:r>
        <w:t>元，起付线以上</w:t>
      </w:r>
      <w:r>
        <w:t>部分医疗保险报销</w:t>
      </w:r>
      <w:r>
        <w:rPr>
          <w:rFonts w:ascii="Times New Roman" w:eastAsia="Times New Roman"/>
        </w:rPr>
        <w:t>50%</w:t>
      </w:r>
      <w:r>
        <w:t>，</w:t>
      </w:r>
      <w:r>
        <w:rPr>
          <w:rFonts w:ascii="Times New Roman" w:eastAsia="Times New Roman"/>
        </w:rPr>
        <w:t>2000</w:t>
      </w:r>
      <w:r>
        <w:t>元封顶。住院治疗，城镇老年人、无业居民起付</w:t>
      </w:r>
      <w:r>
        <w:t>线为</w:t>
      </w:r>
      <w:r>
        <w:rPr>
          <w:rFonts w:ascii="Times New Roman" w:eastAsia="Times New Roman"/>
        </w:rPr>
        <w:t>1300</w:t>
      </w:r>
      <w:r>
        <w:t>元，起付线以上部分医疗保险报销</w:t>
      </w:r>
      <w:r>
        <w:rPr>
          <w:rFonts w:ascii="Times New Roman" w:eastAsia="Times New Roman"/>
        </w:rPr>
        <w:t>60%</w:t>
      </w:r>
      <w:r>
        <w:t>，</w:t>
      </w:r>
      <w:r>
        <w:rPr>
          <w:rFonts w:ascii="Times New Roman" w:eastAsia="Times New Roman"/>
        </w:rPr>
        <w:t>15</w:t>
      </w:r>
      <w:r>
        <w:t>万元封顶。学生儿童起付</w:t>
      </w:r>
      <w:r>
        <w:t>线为</w:t>
      </w:r>
      <w:r>
        <w:rPr>
          <w:rFonts w:ascii="Times New Roman" w:eastAsia="Times New Roman"/>
        </w:rPr>
        <w:t>650</w:t>
      </w:r>
      <w:r>
        <w:t>元，起付线以上部分医疗保险报销</w:t>
      </w:r>
      <w:r>
        <w:rPr>
          <w:rFonts w:ascii="Times New Roman" w:eastAsia="Times New Roman"/>
        </w:rPr>
        <w:t>70%</w:t>
      </w:r>
      <w:r>
        <w:t>，</w:t>
      </w:r>
      <w:r>
        <w:rPr>
          <w:rFonts w:ascii="Times New Roman" w:eastAsia="Times New Roman"/>
        </w:rPr>
        <w:t>17</w:t>
      </w:r>
      <w:r>
        <w:t>万元封顶。</w:t>
      </w:r>
    </w:p>
    <w:p w:rsidR="0018722C">
      <w:pPr>
        <w:pStyle w:val="Heading2"/>
        <w:topLinePunct/>
        <w:ind w:left="171" w:hangingChars="171" w:hanging="171"/>
      </w:pPr>
      <w:bookmarkStart w:id="569927" w:name="_Toc686569927"/>
      <w:r>
        <w:t>2.4</w:t>
      </w:r>
      <w:r>
        <w:t xml:space="preserve"> </w:t>
      </w:r>
      <w:r w:rsidRPr="00DB64CE">
        <w:t>北京市医疗保险基金收支情况</w:t>
      </w:r>
      <w:bookmarkEnd w:id="569927"/>
    </w:p>
    <w:p w:rsidR="0018722C">
      <w:pPr>
        <w:pStyle w:val="Heading3"/>
        <w:topLinePunct/>
        <w:ind w:left="200" w:hangingChars="200" w:hanging="200"/>
      </w:pPr>
      <w:bookmarkStart w:id="569928" w:name="_Toc686569928"/>
      <w:r>
        <w:t>2.4.1</w:t>
      </w:r>
      <w:r>
        <w:t xml:space="preserve"> </w:t>
      </w:r>
      <w:r w:rsidRPr="00DB64CE">
        <w:t>城镇职工基本医疗保险基金收支情况</w:t>
      </w:r>
      <w:bookmarkEnd w:id="569928"/>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6</w:t>
      </w:r>
      <w:r>
        <w:t>反映了自</w:t>
      </w:r>
      <w:r>
        <w:rPr>
          <w:rFonts w:ascii="Times New Roman" w:eastAsia="Times New Roman"/>
        </w:rPr>
        <w:t>2007</w:t>
      </w:r>
      <w:r>
        <w:t>年以来北京市城镇职工基本医疗保险基金收入、支</w:t>
      </w:r>
    </w:p>
    <w:p w:rsidR="0018722C">
      <w:pPr>
        <w:topLinePunct/>
      </w:pPr>
      <w:r>
        <w:t>出、当期结余及累计结余的情况。截止</w:t>
      </w:r>
      <w:r>
        <w:rPr>
          <w:rFonts w:ascii="Times New Roman" w:eastAsia="Times New Roman"/>
        </w:rPr>
        <w:t>2012</w:t>
      </w:r>
      <w:r>
        <w:t>年年末，北京市城镇职工基本医疗</w:t>
      </w:r>
    </w:p>
    <w:p w:rsidR="0018722C">
      <w:pPr>
        <w:topLinePunct/>
      </w:pPr>
      <w:r>
        <w:t>保险统筹基金收入</w:t>
      </w:r>
      <w:r>
        <w:rPr>
          <w:rFonts w:ascii="Times New Roman" w:eastAsia="Times New Roman"/>
        </w:rPr>
        <w:t>506</w:t>
      </w:r>
      <w:r>
        <w:rPr>
          <w:rFonts w:ascii="Times New Roman" w:eastAsia="Times New Roman"/>
        </w:rPr>
        <w:t>.</w:t>
      </w:r>
      <w:r>
        <w:rPr>
          <w:rFonts w:ascii="Times New Roman" w:eastAsia="Times New Roman"/>
        </w:rPr>
        <w:t>9</w:t>
      </w:r>
      <w:r>
        <w:t>亿元，支出</w:t>
      </w:r>
      <w:r>
        <w:rPr>
          <w:rFonts w:ascii="Times New Roman" w:eastAsia="Times New Roman"/>
        </w:rPr>
        <w:t>500</w:t>
      </w:r>
      <w:r>
        <w:rPr>
          <w:rFonts w:ascii="Times New Roman" w:eastAsia="Times New Roman"/>
        </w:rPr>
        <w:t>.</w:t>
      </w:r>
      <w:r>
        <w:rPr>
          <w:rFonts w:ascii="Times New Roman" w:eastAsia="Times New Roman"/>
        </w:rPr>
        <w:t>4</w:t>
      </w:r>
      <w:r>
        <w:t>亿元，当年结余</w:t>
      </w:r>
      <w:r>
        <w:rPr>
          <w:rFonts w:ascii="Times New Roman" w:eastAsia="Times New Roman"/>
        </w:rPr>
        <w:t>6</w:t>
      </w:r>
      <w:r>
        <w:rPr>
          <w:rFonts w:ascii="Times New Roman" w:eastAsia="Times New Roman"/>
        </w:rPr>
        <w:t>.</w:t>
      </w:r>
      <w:r>
        <w:rPr>
          <w:rFonts w:ascii="Times New Roman" w:eastAsia="Times New Roman"/>
        </w:rPr>
        <w:t>5</w:t>
      </w:r>
      <w:r>
        <w:t>亿元，累计结余</w:t>
      </w:r>
    </w:p>
    <w:p w:rsidR="0018722C">
      <w:pPr>
        <w:topLinePunct/>
      </w:pPr>
      <w:r>
        <w:rPr>
          <w:rFonts w:ascii="Times New Roman" w:eastAsia="Times New Roman"/>
        </w:rPr>
        <w:t>189.4</w:t>
      </w: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 xml:space="preserve"> 2007-2012</w:t>
      </w:r>
      <w:r>
        <w:rPr>
          <w:rFonts w:cstheme="minorBidi" w:hAnsiTheme="minorHAnsi" w:eastAsiaTheme="minorHAnsi" w:asciiTheme="minorHAnsi"/>
        </w:rPr>
        <w:t>年北京市城镇职工基本医疗保险基金结余情况</w:t>
      </w:r>
      <w:hyperlink w:history="true" w:anchor="_bookmark18">
        <w:r>
          <w:rPr>
            <w:rFonts w:ascii="Times New Roman" w:eastAsia="Times New Roman" w:cstheme="minorBidi" w:hAnsiTheme="minorHAnsi"/>
          </w:rPr>
          <w:t>8</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155.1</w:t>
            </w:r>
          </w:p>
        </w:tc>
        <w:tc>
          <w:tcPr>
            <w:tcW w:w="1163" w:type="dxa"/>
          </w:tcPr>
          <w:p w:rsidR="0018722C">
            <w:pPr>
              <w:topLinePunct/>
              <w:ind w:leftChars="0" w:left="0" w:rightChars="0" w:right="0" w:firstLineChars="0" w:firstLine="0"/>
              <w:spacing w:line="240" w:lineRule="atLeast"/>
            </w:pPr>
            <w:r>
              <w:t>191.2</w:t>
            </w:r>
          </w:p>
        </w:tc>
        <w:tc>
          <w:tcPr>
            <w:tcW w:w="1163" w:type="dxa"/>
          </w:tcPr>
          <w:p w:rsidR="0018722C">
            <w:pPr>
              <w:topLinePunct/>
              <w:ind w:leftChars="0" w:left="0" w:rightChars="0" w:right="0" w:firstLineChars="0" w:firstLine="0"/>
              <w:spacing w:line="240" w:lineRule="atLeast"/>
            </w:pPr>
            <w:r>
              <w:t>237.9</w:t>
            </w:r>
          </w:p>
        </w:tc>
        <w:tc>
          <w:tcPr>
            <w:tcW w:w="1161" w:type="dxa"/>
          </w:tcPr>
          <w:p w:rsidR="0018722C">
            <w:pPr>
              <w:topLinePunct/>
              <w:ind w:leftChars="0" w:left="0" w:rightChars="0" w:right="0" w:firstLineChars="0" w:firstLine="0"/>
              <w:spacing w:line="240" w:lineRule="atLeast"/>
            </w:pPr>
            <w:r>
              <w:t>296.8</w:t>
            </w:r>
          </w:p>
        </w:tc>
        <w:tc>
          <w:tcPr>
            <w:tcW w:w="1159" w:type="dxa"/>
          </w:tcPr>
          <w:p w:rsidR="0018722C">
            <w:pPr>
              <w:topLinePunct/>
              <w:ind w:leftChars="0" w:left="0" w:rightChars="0" w:right="0" w:firstLineChars="0" w:firstLine="0"/>
              <w:spacing w:line="240" w:lineRule="atLeast"/>
            </w:pPr>
            <w:r>
              <w:t>375.3</w:t>
            </w:r>
          </w:p>
        </w:tc>
        <w:tc>
          <w:tcPr>
            <w:tcW w:w="1154" w:type="dxa"/>
          </w:tcPr>
          <w:p w:rsidR="0018722C">
            <w:pPr>
              <w:topLinePunct/>
              <w:ind w:leftChars="0" w:left="0" w:rightChars="0" w:right="0" w:firstLineChars="0" w:firstLine="0"/>
              <w:spacing w:line="240" w:lineRule="atLeast"/>
            </w:pPr>
            <w:r>
              <w:t>506.9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112.8</w:t>
            </w:r>
          </w:p>
        </w:tc>
        <w:tc>
          <w:tcPr>
            <w:tcW w:w="1163" w:type="dxa"/>
          </w:tcPr>
          <w:p w:rsidR="0018722C">
            <w:pPr>
              <w:topLinePunct/>
              <w:ind w:leftChars="0" w:left="0" w:rightChars="0" w:right="0" w:firstLineChars="0" w:firstLine="0"/>
              <w:spacing w:line="240" w:lineRule="atLeast"/>
            </w:pPr>
            <w:r>
              <w:t>133.1</w:t>
            </w:r>
          </w:p>
        </w:tc>
        <w:tc>
          <w:tcPr>
            <w:tcW w:w="1163" w:type="dxa"/>
          </w:tcPr>
          <w:p w:rsidR="0018722C">
            <w:pPr>
              <w:topLinePunct/>
              <w:ind w:leftChars="0" w:left="0" w:rightChars="0" w:right="0" w:firstLineChars="0" w:firstLine="0"/>
              <w:spacing w:line="240" w:lineRule="atLeast"/>
            </w:pPr>
            <w:r>
              <w:t>207.9</w:t>
            </w:r>
          </w:p>
        </w:tc>
        <w:tc>
          <w:tcPr>
            <w:tcW w:w="1161" w:type="dxa"/>
          </w:tcPr>
          <w:p w:rsidR="0018722C">
            <w:pPr>
              <w:topLinePunct/>
              <w:ind w:leftChars="0" w:left="0" w:rightChars="0" w:right="0" w:firstLineChars="0" w:firstLine="0"/>
              <w:spacing w:line="240" w:lineRule="atLeast"/>
            </w:pPr>
            <w:r>
              <w:t>285.7</w:t>
            </w:r>
          </w:p>
        </w:tc>
        <w:tc>
          <w:tcPr>
            <w:tcW w:w="1159" w:type="dxa"/>
          </w:tcPr>
          <w:p w:rsidR="0018722C">
            <w:pPr>
              <w:topLinePunct/>
              <w:ind w:leftChars="0" w:left="0" w:rightChars="0" w:right="0" w:firstLineChars="0" w:firstLine="0"/>
              <w:spacing w:line="240" w:lineRule="atLeast"/>
            </w:pPr>
            <w:r>
              <w:t>374.5</w:t>
            </w:r>
          </w:p>
        </w:tc>
        <w:tc>
          <w:tcPr>
            <w:tcW w:w="1154" w:type="dxa"/>
          </w:tcPr>
          <w:p w:rsidR="0018722C">
            <w:pPr>
              <w:topLinePunct/>
              <w:ind w:leftChars="0" w:left="0" w:rightChars="0" w:right="0" w:firstLineChars="0" w:firstLine="0"/>
              <w:spacing w:line="240" w:lineRule="atLeast"/>
            </w:pPr>
            <w:r>
              <w:t>500.4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42.3</w:t>
            </w:r>
          </w:p>
        </w:tc>
        <w:tc>
          <w:tcPr>
            <w:tcW w:w="1163" w:type="dxa"/>
          </w:tcPr>
          <w:p w:rsidR="0018722C">
            <w:pPr>
              <w:topLinePunct/>
              <w:ind w:leftChars="0" w:left="0" w:rightChars="0" w:right="0" w:firstLineChars="0" w:firstLine="0"/>
              <w:spacing w:line="240" w:lineRule="atLeast"/>
            </w:pPr>
            <w:r>
              <w:t>58.1</w:t>
            </w:r>
          </w:p>
        </w:tc>
        <w:tc>
          <w:tcPr>
            <w:tcW w:w="1163" w:type="dxa"/>
          </w:tcPr>
          <w:p w:rsidR="0018722C">
            <w:pPr>
              <w:topLinePunct/>
              <w:ind w:leftChars="0" w:left="0" w:rightChars="0" w:right="0" w:firstLineChars="0" w:firstLine="0"/>
              <w:spacing w:line="240" w:lineRule="atLeast"/>
            </w:pPr>
            <w:r>
              <w:t>30</w:t>
            </w:r>
          </w:p>
        </w:tc>
        <w:tc>
          <w:tcPr>
            <w:tcW w:w="1161" w:type="dxa"/>
          </w:tcPr>
          <w:p w:rsidR="0018722C">
            <w:pPr>
              <w:topLinePunct/>
              <w:ind w:leftChars="0" w:left="0" w:rightChars="0" w:right="0" w:firstLineChars="0" w:firstLine="0"/>
              <w:spacing w:line="240" w:lineRule="atLeast"/>
            </w:pPr>
            <w:r>
              <w:t>11.1</w:t>
            </w:r>
          </w:p>
        </w:tc>
        <w:tc>
          <w:tcPr>
            <w:tcW w:w="1159" w:type="dxa"/>
          </w:tcPr>
          <w:p w:rsidR="0018722C">
            <w:pPr>
              <w:topLinePunct/>
              <w:ind w:leftChars="0" w:left="0" w:rightChars="0" w:right="0" w:firstLineChars="0" w:firstLine="0"/>
              <w:spacing w:line="240" w:lineRule="atLeast"/>
            </w:pPr>
            <w:r>
              <w:t>0.8</w:t>
            </w:r>
          </w:p>
        </w:tc>
        <w:tc>
          <w:tcPr>
            <w:tcW w:w="1154" w:type="dxa"/>
          </w:tcPr>
          <w:p w:rsidR="0018722C">
            <w:pPr>
              <w:topLinePunct/>
              <w:ind w:leftChars="0" w:left="0" w:rightChars="0" w:right="0" w:firstLineChars="0" w:firstLine="0"/>
              <w:spacing w:line="240" w:lineRule="atLeast"/>
            </w:pPr>
            <w:r>
              <w:t>6.5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hyperlink w:history="true" w:anchor="_bookmark19">
              <w:r>
                <w:t>9</w:t>
              </w:r>
            </w:hyperlink>
            <w:r>
              <w:rPr>
                <w:rFonts w:ascii="宋体" w:eastAsia="宋体" w:hint="eastAsia"/>
                <w:rFonts w:ascii="宋体" w:eastAsia="宋体" w:hint="eastAsia"/>
              </w:rPr>
              <w:t>(</w:t>
            </w:r>
            <w:r>
              <w:t>%</w:t>
            </w:r>
            <w:r>
              <w:rPr>
                <w:rFonts w:ascii="宋体" w:eastAsia="宋体" w:hint="eastAsia"/>
                <w:rFonts w:ascii="宋体" w:eastAsia="宋体" w:hint="eastAsia"/>
              </w:rPr>
              <w:t>)</w:t>
            </w:r>
          </w:p>
        </w:tc>
        <w:tc>
          <w:tcPr>
            <w:tcW w:w="1163" w:type="dxa"/>
          </w:tcPr>
          <w:p w:rsidR="0018722C">
            <w:pPr>
              <w:topLinePunct/>
              <w:ind w:leftChars="0" w:left="0" w:rightChars="0" w:right="0" w:firstLineChars="0" w:firstLine="0"/>
              <w:spacing w:line="240" w:lineRule="atLeast"/>
            </w:pPr>
            <w:r>
              <w:t>27.27</w:t>
            </w:r>
          </w:p>
        </w:tc>
        <w:tc>
          <w:tcPr>
            <w:tcW w:w="1163" w:type="dxa"/>
          </w:tcPr>
          <w:p w:rsidR="0018722C">
            <w:pPr>
              <w:topLinePunct/>
              <w:ind w:leftChars="0" w:left="0" w:rightChars="0" w:right="0" w:firstLineChars="0" w:firstLine="0"/>
              <w:spacing w:line="240" w:lineRule="atLeast"/>
            </w:pPr>
            <w:r>
              <w:t>30.39</w:t>
            </w:r>
          </w:p>
        </w:tc>
        <w:tc>
          <w:tcPr>
            <w:tcW w:w="1163" w:type="dxa"/>
          </w:tcPr>
          <w:p w:rsidR="0018722C">
            <w:pPr>
              <w:topLinePunct/>
              <w:ind w:leftChars="0" w:left="0" w:rightChars="0" w:right="0" w:firstLineChars="0" w:firstLine="0"/>
              <w:spacing w:line="240" w:lineRule="atLeast"/>
            </w:pPr>
            <w:r>
              <w:t>12.61</w:t>
            </w:r>
          </w:p>
        </w:tc>
        <w:tc>
          <w:tcPr>
            <w:tcW w:w="1161" w:type="dxa"/>
          </w:tcPr>
          <w:p w:rsidR="0018722C">
            <w:pPr>
              <w:topLinePunct/>
              <w:ind w:leftChars="0" w:left="0" w:rightChars="0" w:right="0" w:firstLineChars="0" w:firstLine="0"/>
              <w:spacing w:line="240" w:lineRule="atLeast"/>
            </w:pPr>
            <w:r>
              <w:t>3.74</w:t>
            </w:r>
          </w:p>
        </w:tc>
        <w:tc>
          <w:tcPr>
            <w:tcW w:w="1159" w:type="dxa"/>
          </w:tcPr>
          <w:p w:rsidR="0018722C">
            <w:pPr>
              <w:topLinePunct/>
              <w:ind w:leftChars="0" w:left="0" w:rightChars="0" w:right="0" w:firstLineChars="0" w:firstLine="0"/>
              <w:spacing w:line="240" w:lineRule="atLeast"/>
            </w:pPr>
            <w:r>
              <w:t>0.21</w:t>
            </w:r>
          </w:p>
        </w:tc>
        <w:tc>
          <w:tcPr>
            <w:tcW w:w="1154" w:type="dxa"/>
          </w:tcPr>
          <w:p w:rsidR="0018722C">
            <w:pPr>
              <w:topLinePunct/>
              <w:ind w:leftChars="0" w:left="0" w:rightChars="0" w:right="0" w:firstLineChars="0" w:firstLine="0"/>
              <w:spacing w:line="240" w:lineRule="atLeast"/>
            </w:pPr>
            <w:r>
              <w:t>1.28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129.2</w:t>
            </w:r>
          </w:p>
        </w:tc>
        <w:tc>
          <w:tcPr>
            <w:tcW w:w="1163" w:type="dxa"/>
          </w:tcPr>
          <w:p w:rsidR="0018722C">
            <w:pPr>
              <w:topLinePunct/>
              <w:ind w:leftChars="0" w:left="0" w:rightChars="0" w:right="0" w:firstLineChars="0" w:firstLine="0"/>
              <w:spacing w:line="240" w:lineRule="atLeast"/>
            </w:pPr>
            <w:r>
              <w:t>191.1</w:t>
            </w:r>
          </w:p>
        </w:tc>
        <w:tc>
          <w:tcPr>
            <w:tcW w:w="1163" w:type="dxa"/>
          </w:tcPr>
          <w:p w:rsidR="0018722C">
            <w:pPr>
              <w:topLinePunct/>
              <w:ind w:leftChars="0" w:left="0" w:rightChars="0" w:right="0" w:firstLineChars="0" w:firstLine="0"/>
              <w:spacing w:line="240" w:lineRule="atLeast"/>
            </w:pPr>
            <w:r>
              <w:t>180.5</w:t>
            </w:r>
          </w:p>
        </w:tc>
        <w:tc>
          <w:tcPr>
            <w:tcW w:w="1161" w:type="dxa"/>
          </w:tcPr>
          <w:p w:rsidR="0018722C">
            <w:pPr>
              <w:topLinePunct/>
              <w:ind w:leftChars="0" w:left="0" w:rightChars="0" w:right="0" w:firstLineChars="0" w:firstLine="0"/>
              <w:spacing w:line="240" w:lineRule="atLeast"/>
            </w:pPr>
            <w:r>
              <w:t>191.6</w:t>
            </w:r>
          </w:p>
        </w:tc>
        <w:tc>
          <w:tcPr>
            <w:tcW w:w="1159" w:type="dxa"/>
          </w:tcPr>
          <w:p w:rsidR="0018722C">
            <w:pPr>
              <w:topLinePunct/>
              <w:ind w:leftChars="0" w:left="0" w:rightChars="0" w:right="0" w:firstLineChars="0" w:firstLine="0"/>
              <w:spacing w:line="240" w:lineRule="atLeast"/>
            </w:pPr>
            <w:r>
              <w:t>192.4</w:t>
            </w:r>
          </w:p>
        </w:tc>
        <w:tc>
          <w:tcPr>
            <w:tcW w:w="1154" w:type="dxa"/>
          </w:tcPr>
          <w:p w:rsidR="0018722C">
            <w:pPr>
              <w:topLinePunct/>
              <w:ind w:leftChars="0" w:left="0" w:rightChars="0" w:right="0" w:firstLineChars="0" w:firstLine="0"/>
              <w:spacing w:line="240" w:lineRule="atLeast"/>
            </w:pPr>
            <w:r>
              <w:t>189.4</w:t>
            </w:r>
          </w:p>
        </w:tc>
      </w:tr>
      <w:tr>
        <w:trPr>
          <w:trHeight w:val="300" w:hRule="atLeast"/>
        </w:trPr>
        <w:tc>
          <w:tcPr>
            <w:tcW w:w="1954" w:type="dxa"/>
          </w:tcPr>
          <w:p w:rsidR="0018722C">
            <w:pPr>
              <w:topLinePunct/>
              <w:ind w:leftChars="0" w:left="0" w:rightChars="0" w:right="0" w:firstLineChars="0" w:firstLine="0"/>
            </w:pPr>
            <w:r>
              <w:rPr>
                <w:rFonts w:ascii="宋体" w:eastAsia="宋体" w:hint="eastAsia"/>
              </w:rPr>
              <w:t>累计结余率</w:t>
            </w:r>
            <w:hyperlink w:history="true" w:anchor="_bookmark20">
              <w:r>
                <w:t>10</w:t>
              </w:r>
            </w:hyperlink>
            <w:r>
              <w:rPr>
                <w:rFonts w:ascii="宋体" w:eastAsia="宋体" w:hint="eastAsia"/>
                <w:rFonts w:ascii="宋体" w:eastAsia="宋体" w:hint="eastAsia"/>
                <w:spacing w:line="240" w:lineRule="atLeast"/>
              </w:rPr>
              <w:t>(</w:t>
            </w:r>
            <w:r>
              <w:t>%</w:t>
            </w:r>
            <w:r>
              <w:rPr>
                <w:rFonts w:ascii="宋体" w:eastAsia="宋体" w:hint="eastAsia"/>
                <w:rFonts w:ascii="宋体" w:eastAsia="宋体" w:hint="eastAsia"/>
                <w:spacing w:val="-2"/>
              </w:rPr>
              <w:t>)</w:t>
            </w:r>
          </w:p>
        </w:tc>
        <w:tc>
          <w:tcPr>
            <w:tcW w:w="1163" w:type="dxa"/>
          </w:tcPr>
          <w:p w:rsidR="0018722C">
            <w:pPr>
              <w:topLinePunct/>
              <w:ind w:leftChars="0" w:left="0" w:rightChars="0" w:right="0" w:firstLineChars="0" w:firstLine="0"/>
              <w:spacing w:line="240" w:lineRule="atLeast"/>
            </w:pPr>
            <w:r>
              <w:t>114.54</w:t>
            </w:r>
          </w:p>
        </w:tc>
        <w:tc>
          <w:tcPr>
            <w:tcW w:w="1163" w:type="dxa"/>
          </w:tcPr>
          <w:p w:rsidR="0018722C">
            <w:pPr>
              <w:topLinePunct/>
              <w:ind w:leftChars="0" w:left="0" w:rightChars="0" w:right="0" w:firstLineChars="0" w:firstLine="0"/>
              <w:spacing w:line="240" w:lineRule="atLeast"/>
            </w:pPr>
            <w:r>
              <w:t>143.58</w:t>
            </w:r>
          </w:p>
        </w:tc>
        <w:tc>
          <w:tcPr>
            <w:tcW w:w="1163" w:type="dxa"/>
          </w:tcPr>
          <w:p w:rsidR="0018722C">
            <w:pPr>
              <w:topLinePunct/>
              <w:ind w:leftChars="0" w:left="0" w:rightChars="0" w:right="0" w:firstLineChars="0" w:firstLine="0"/>
              <w:spacing w:line="240" w:lineRule="atLeast"/>
            </w:pPr>
            <w:r>
              <w:t>86.82</w:t>
            </w:r>
          </w:p>
        </w:tc>
        <w:tc>
          <w:tcPr>
            <w:tcW w:w="1161" w:type="dxa"/>
          </w:tcPr>
          <w:p w:rsidR="0018722C">
            <w:pPr>
              <w:topLinePunct/>
              <w:ind w:leftChars="0" w:left="0" w:rightChars="0" w:right="0" w:firstLineChars="0" w:firstLine="0"/>
              <w:spacing w:line="240" w:lineRule="atLeast"/>
            </w:pPr>
            <w:r>
              <w:t>67.06</w:t>
            </w:r>
          </w:p>
        </w:tc>
        <w:tc>
          <w:tcPr>
            <w:tcW w:w="1159" w:type="dxa"/>
          </w:tcPr>
          <w:p w:rsidR="0018722C">
            <w:pPr>
              <w:topLinePunct/>
              <w:ind w:leftChars="0" w:left="0" w:rightChars="0" w:right="0" w:firstLineChars="0" w:firstLine="0"/>
              <w:spacing w:line="240" w:lineRule="atLeast"/>
            </w:pPr>
            <w:r>
              <w:t>51.38</w:t>
            </w:r>
          </w:p>
        </w:tc>
        <w:tc>
          <w:tcPr>
            <w:tcW w:w="1154" w:type="dxa"/>
          </w:tcPr>
          <w:p w:rsidR="0018722C">
            <w:pPr>
              <w:topLinePunct/>
              <w:ind w:leftChars="0" w:left="0" w:rightChars="0" w:right="0" w:firstLineChars="0" w:firstLine="0"/>
              <w:spacing w:line="240" w:lineRule="atLeast"/>
            </w:pPr>
            <w:r>
              <w:t>37.85</w:t>
            </w:r>
          </w:p>
        </w:tc>
      </w:tr>
    </w:tbl>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26" w:lineRule="exact" w:before="0"/>
        <w:ind w:leftChars="0" w:left="420" w:rightChars="0" w:right="0" w:firstLineChars="0" w:firstLine="0"/>
        <w:jc w:val="both"/>
        <w:rPr>
          <w:sz w:val="18"/>
        </w:rPr>
      </w:pPr>
      <w:r>
        <w:rPr>
          <w:rFonts w:ascii="Times New Roman" w:eastAsia="Times New Roman"/>
          <w:position w:val="6"/>
          <w:sz w:val="11"/>
        </w:rPr>
        <w:t>7   </w:t>
      </w:r>
      <w:r>
        <w:rPr>
          <w:sz w:val="18"/>
        </w:rPr>
        <w:t>数据来源：中国统计年鉴</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数据来源：本人根据中国统计年鉴数据整理所得</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当年结余率</w:t>
      </w:r>
      <w:r>
        <w:rPr>
          <w:rFonts w:ascii="Times New Roman" w:eastAsia="Times New Roman" w:cstheme="minorBidi" w:hAnsiTheme="minorHAnsi"/>
        </w:rPr>
        <w:t>=</w:t>
      </w:r>
      <w:r>
        <w:rPr>
          <w:rFonts w:cstheme="minorBidi" w:hAnsiTheme="minorHAnsi" w:eastAsiaTheme="minorHAnsi" w:asciiTheme="minorHAnsi"/>
        </w:rPr>
        <w:t>当年结余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累计结余率</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cstheme="minorBidi" w:hAnsiTheme="minorHAnsi" w:eastAsiaTheme="minorHAnsi" w:asciiTheme="minorHAnsi"/>
        </w:rPr>
        <w:t>基金收入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widowControl w:val="0"/>
              <w:snapToGrid w:val="1"/>
              <w:spacing w:beforeLines="0" w:afterLines="0" w:after="0" w:line="267" w:lineRule="exact" w:before="0"/>
              <w:ind w:firstLineChars="0" w:firstLine="0" w:leftChars="0" w:left="106" w:rightChars="0" w:right="-15"/>
              <w:jc w:val="left"/>
              <w:autoSpaceDE w:val="0"/>
              <w:autoSpaceDN w:val="0"/>
              <w:pBdr>
                <w:bottom w:val="none" w:sz="0" w:space="0" w:color="auto"/>
              </w:pBdr>
              <w:rPr>
                <w:kern w:val="2"/>
                <w:sz w:val="22"/>
                <w:szCs w:val="22"/>
                <w:rFonts w:cstheme="minorBidi" w:ascii="宋体" w:hAnsi="Times New Roman" w:eastAsia="宋体" w:cs="Times New Roman" w:hint="eastAsia"/>
              </w:rPr>
            </w:pPr>
            <w:bookmarkStart w:name="_bookmark21" w:id="12"/>
            <w:bookmarkEnd w:id="12"/>
            <w:r>
              <w:rPr>
                <w:kern w:val="2"/>
                <w:szCs w:val="22"/>
                <w:rFonts w:ascii="宋体" w:eastAsia="宋体" w:hint="eastAsia" w:cstheme="minorBidi" w:hAnsi="Times New Roman" w:cs="Times New Roman"/>
                <w:spacing w:val="-2"/>
                <w:w w:val="100"/>
                <w:sz w:val="22"/>
              </w:rPr>
              <w:t>可支付月数</w:t>
            </w:r>
            <w:hyperlink w:history="true" w:anchor="_bookmark22">
              <w:r>
                <w:rPr>
                  <w:kern w:val="2"/>
                  <w:szCs w:val="22"/>
                  <w:rFonts w:cstheme="minorBidi" w:ascii="Times New Roman" w:hAnsi="Times New Roman" w:eastAsia="Times New Roman" w:cs="Times New Roman"/>
                  <w:spacing w:val="0"/>
                  <w:w w:val="101"/>
                  <w:position w:val="7"/>
                  <w:sz w:val="14"/>
                </w:rPr>
                <w:t>1</w:t>
              </w:r>
              <w:r>
                <w:rPr>
                  <w:kern w:val="2"/>
                  <w:szCs w:val="22"/>
                  <w:rFonts w:cstheme="minorBidi" w:ascii="Times New Roman" w:hAnsi="Times New Roman" w:eastAsia="Times New Roman" w:cs="Times New Roman"/>
                  <w:spacing w:val="-57"/>
                  <w:w w:val="101"/>
                  <w:position w:val="7"/>
                  <w:sz w:val="14"/>
                </w:rPr>
                <w:t>1</w:t>
              </w:r>
            </w:hyperlink>
            <w:r>
              <w:rPr>
                <w:kern w:val="2"/>
                <w:szCs w:val="22"/>
                <w:rFonts w:ascii="宋体" w:eastAsia="宋体" w:hint="eastAsia" w:cstheme="minorBidi" w:hAnsi="Times New Roman" w:cs="Times New Roman"/>
                <w:spacing w:val="-1"/>
                <w:w w:val="100"/>
                <w:sz w:val="22"/>
              </w:rPr>
              <w:t>（月</w:t>
            </w:r>
            <w:r>
              <w:rPr>
                <w:kern w:val="2"/>
                <w:szCs w:val="22"/>
                <w:rFonts w:ascii="宋体" w:eastAsia="宋体" w:hint="eastAsia" w:cstheme="minorBidi" w:hAnsi="Times New Roman" w:cs="Times New Roman"/>
                <w:w w:val="100"/>
                <w:sz w:val="22"/>
              </w:rPr>
              <w:t>）</w:t>
            </w:r>
          </w:p>
        </w:tc>
        <w:tc>
          <w:tcPr>
            <w:tcW w:w="1163" w:type="dxa"/>
          </w:tcPr>
          <w:p w:rsidR="0018722C">
            <w:pPr>
              <w:widowControl w:val="0"/>
              <w:snapToGrid w:val="1"/>
              <w:spacing w:beforeLines="0" w:afterLines="0" w:lineRule="auto" w:line="240" w:after="0" w:before="28"/>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13.74</w:t>
            </w:r>
          </w:p>
        </w:tc>
        <w:tc>
          <w:tcPr>
            <w:tcW w:w="1163" w:type="dxa"/>
          </w:tcPr>
          <w:p w:rsidR="0018722C">
            <w:pPr>
              <w:widowControl w:val="0"/>
              <w:snapToGrid w:val="1"/>
              <w:spacing w:beforeLines="0" w:afterLines="0" w:lineRule="auto" w:line="240" w:after="0" w:before="28"/>
              <w:ind w:firstLineChars="0" w:firstLine="0" w:rightChars="0" w:right="0" w:leftChars="0" w:left="33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w:t>
            </w:r>
          </w:p>
        </w:tc>
        <w:tc>
          <w:tcPr>
            <w:tcW w:w="1163" w:type="dxa"/>
          </w:tcPr>
          <w:p w:rsidR="0018722C">
            <w:pPr>
              <w:widowControl w:val="0"/>
              <w:snapToGrid w:val="1"/>
              <w:spacing w:beforeLines="0" w:afterLines="0" w:lineRule="auto" w:line="240" w:after="0" w:before="28"/>
              <w:ind w:firstLineChars="0" w:firstLine="0" w:rightChars="0" w:right="0" w:leftChars="0" w:left="33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10.42</w:t>
            </w:r>
          </w:p>
        </w:tc>
        <w:tc>
          <w:tcPr>
            <w:tcW w:w="1161" w:type="dxa"/>
          </w:tcPr>
          <w:p w:rsidR="0018722C">
            <w:pPr>
              <w:widowControl w:val="0"/>
              <w:snapToGrid w:val="1"/>
              <w:spacing w:beforeLines="0" w:afterLines="0" w:lineRule="auto" w:line="240" w:after="0" w:before="28"/>
              <w:ind w:firstLineChars="0" w:firstLine="0" w:rightChars="0" w:right="0" w:leftChars="0" w:left="38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8.05</w:t>
            </w:r>
          </w:p>
        </w:tc>
        <w:tc>
          <w:tcPr>
            <w:tcW w:w="1159" w:type="dxa"/>
          </w:tcPr>
          <w:p w:rsidR="0018722C">
            <w:pPr>
              <w:widowControl w:val="0"/>
              <w:snapToGrid w:val="1"/>
              <w:spacing w:beforeLines="0" w:afterLines="0" w:lineRule="auto" w:line="240" w:after="0" w:before="28"/>
              <w:ind w:firstLineChars="0" w:firstLine="0" w:rightChars="0" w:right="0" w:leftChars="0" w:left="3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6.17</w:t>
            </w:r>
          </w:p>
        </w:tc>
        <w:tc>
          <w:tcPr>
            <w:tcW w:w="1154" w:type="dxa"/>
          </w:tcPr>
          <w:p w:rsidR="0018722C">
            <w:pPr>
              <w:widowControl w:val="0"/>
              <w:snapToGrid w:val="1"/>
              <w:spacing w:beforeLines="0" w:afterLines="0" w:lineRule="auto" w:line="240" w:after="0" w:before="28"/>
              <w:ind w:firstLineChars="0" w:firstLine="0" w:rightChars="0" w:right="0" w:leftChars="0" w:left="38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4.54</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1</w:t>
      </w:r>
      <w:r>
        <w:t>可以看出，自</w:t>
      </w:r>
      <w:r>
        <w:rPr>
          <w:rFonts w:ascii="Times New Roman" w:eastAsia="宋体"/>
        </w:rPr>
        <w:t>2007</w:t>
      </w:r>
      <w:r>
        <w:t>年以来，基金收入逐年稳步上升，同时，基</w:t>
      </w:r>
      <w:r>
        <w:t>金支出也呈现出逐年增加的趋势。而且，基金支出的增长速度大于基金收入的增</w:t>
      </w:r>
      <w:r>
        <w:t>长速度，当年结余率从</w:t>
      </w:r>
      <w:r>
        <w:rPr>
          <w:rFonts w:ascii="Times New Roman" w:eastAsia="宋体"/>
        </w:rPr>
        <w:t>2007</w:t>
      </w:r>
      <w:r>
        <w:t>年的</w:t>
      </w:r>
      <w:r>
        <w:rPr>
          <w:rFonts w:ascii="Times New Roman" w:eastAsia="宋体"/>
        </w:rPr>
        <w:t>27</w:t>
      </w:r>
      <w:r>
        <w:rPr>
          <w:rFonts w:ascii="Times New Roman" w:eastAsia="宋体"/>
        </w:rPr>
        <w:t>.</w:t>
      </w:r>
      <w:r>
        <w:rPr>
          <w:rFonts w:ascii="Times New Roman" w:eastAsia="宋体"/>
        </w:rPr>
        <w:t>27%</w:t>
      </w:r>
      <w:r>
        <w:t>降到</w:t>
      </w:r>
      <w:r>
        <w:rPr>
          <w:rFonts w:ascii="Times New Roman" w:eastAsia="宋体"/>
        </w:rPr>
        <w:t>2011</w:t>
      </w:r>
      <w:r>
        <w:t>年的</w:t>
      </w:r>
      <w:r>
        <w:rPr>
          <w:rFonts w:ascii="Times New Roman" w:eastAsia="宋体"/>
        </w:rPr>
        <w:t>0</w:t>
      </w:r>
      <w:r>
        <w:rPr>
          <w:rFonts w:ascii="Times New Roman" w:eastAsia="宋体"/>
        </w:rPr>
        <w:t>.</w:t>
      </w:r>
      <w:r>
        <w:rPr>
          <w:rFonts w:ascii="Times New Roman" w:eastAsia="宋体"/>
        </w:rPr>
        <w:t>21%</w:t>
      </w:r>
      <w:r>
        <w:t>，</w:t>
      </w:r>
      <w:r>
        <w:rPr>
          <w:rFonts w:ascii="Times New Roman" w:eastAsia="宋体"/>
        </w:rPr>
        <w:t>2012</w:t>
      </w:r>
      <w:r>
        <w:t>年略有上</w:t>
      </w:r>
      <w:r>
        <w:t>升。累计结余率在</w:t>
      </w:r>
      <w:r>
        <w:rPr>
          <w:rFonts w:ascii="Times New Roman" w:eastAsia="宋体"/>
        </w:rPr>
        <w:t>2008</w:t>
      </w:r>
      <w:r>
        <w:t>年出现高峰，为</w:t>
      </w:r>
      <w:r>
        <w:rPr>
          <w:rFonts w:ascii="Times New Roman" w:eastAsia="宋体"/>
        </w:rPr>
        <w:t>143</w:t>
      </w:r>
      <w:r>
        <w:rPr>
          <w:rFonts w:ascii="Times New Roman" w:eastAsia="宋体"/>
        </w:rPr>
        <w:t>.</w:t>
      </w:r>
      <w:r>
        <w:rPr>
          <w:rFonts w:ascii="Times New Roman" w:eastAsia="宋体"/>
        </w:rPr>
        <w:t>58%</w:t>
      </w:r>
      <w:r>
        <w:t>，可支付月数高达</w:t>
      </w:r>
      <w:r>
        <w:rPr>
          <w:rFonts w:ascii="Times New Roman" w:eastAsia="宋体"/>
        </w:rPr>
        <w:t>17</w:t>
      </w:r>
      <w:r>
        <w:rPr>
          <w:rFonts w:ascii="Times New Roman" w:eastAsia="宋体"/>
        </w:rPr>
        <w:t>.</w:t>
      </w:r>
      <w:r>
        <w:rPr>
          <w:rFonts w:ascii="Times New Roman" w:eastAsia="宋体"/>
        </w:rPr>
        <w:t>23</w:t>
      </w:r>
      <w:r>
        <w:t>，远远</w:t>
      </w:r>
      <w:r>
        <w:t>高于我国人力资源与社会保障部</w:t>
      </w:r>
      <w:r>
        <w:rPr>
          <w:rFonts w:ascii="Times New Roman" w:eastAsia="宋体"/>
        </w:rPr>
        <w:t>2009</w:t>
      </w:r>
      <w:r>
        <w:t>年</w:t>
      </w:r>
      <w:r>
        <w:rPr>
          <w:rFonts w:ascii="Times New Roman" w:eastAsia="宋体"/>
        </w:rPr>
        <w:t>67</w:t>
      </w:r>
      <w:r>
        <w:t>号文件规定的</w:t>
      </w:r>
      <w:r>
        <w:rPr>
          <w:rFonts w:ascii="Times New Roman" w:eastAsia="宋体"/>
        </w:rPr>
        <w:t>6</w:t>
      </w:r>
      <w:r>
        <w:t>至</w:t>
      </w:r>
      <w:r>
        <w:rPr>
          <w:rFonts w:ascii="Times New Roman" w:eastAsia="宋体"/>
        </w:rPr>
        <w:t>9</w:t>
      </w:r>
      <w:r>
        <w:t>个月平均支付水</w:t>
      </w:r>
      <w:r>
        <w:t>平，之后逐年递减，直到</w:t>
      </w:r>
      <w:r>
        <w:rPr>
          <w:rFonts w:ascii="Times New Roman" w:eastAsia="宋体"/>
        </w:rPr>
        <w:t>2010</w:t>
      </w:r>
      <w:r>
        <w:t>年达到</w:t>
      </w:r>
      <w:r>
        <w:rPr>
          <w:rFonts w:ascii="Times New Roman" w:eastAsia="宋体"/>
        </w:rPr>
        <w:t>9</w:t>
      </w:r>
      <w:r>
        <w:t>个月之下。总体看来，近三年来，北京市城镇职工医疗保险统筹基金以从过去的结余过多的状态中调整了过来。</w:t>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年北京市城镇职工基本医疗保险基金结余情况</w:t>
      </w:r>
    </w:p>
    <w:p w:rsidR="0018722C">
      <w:pPr>
        <w:pStyle w:val="Heading3"/>
        <w:topLinePunct/>
        <w:ind w:left="200" w:hangingChars="200" w:hanging="200"/>
      </w:pPr>
      <w:bookmarkStart w:id="569929" w:name="_Toc686569929"/>
      <w:r>
        <w:t>2.4.2</w:t>
      </w:r>
      <w:r>
        <w:t xml:space="preserve"> </w:t>
      </w:r>
      <w:r>
        <w:t>新型农村合作医疗基金筹资情况</w:t>
      </w:r>
      <w:bookmarkEnd w:id="569929"/>
    </w:p>
    <w:p w:rsidR="0018722C">
      <w:pPr>
        <w:topLinePunct/>
      </w:pPr>
      <w:r>
        <w:t>从下</w:t>
      </w:r>
      <w:r>
        <w:t>表</w:t>
      </w:r>
      <w:r>
        <w:rPr>
          <w:rFonts w:ascii="Times New Roman" w:eastAsia="Times New Roman"/>
        </w:rPr>
        <w:t>2</w:t>
      </w:r>
      <w:r>
        <w:rPr>
          <w:rFonts w:ascii="Times New Roman" w:eastAsia="Times New Roman"/>
        </w:rPr>
        <w:t>.</w:t>
      </w:r>
      <w:r>
        <w:rPr>
          <w:rFonts w:ascii="Times New Roman" w:eastAsia="Times New Roman"/>
        </w:rPr>
        <w:t>7</w:t>
      </w:r>
      <w:r>
        <w:t>可以看出，自</w:t>
      </w:r>
      <w:r>
        <w:rPr>
          <w:rFonts w:ascii="Times New Roman" w:eastAsia="Times New Roman"/>
        </w:rPr>
        <w:t>2007</w:t>
      </w:r>
      <w:r>
        <w:t>年到</w:t>
      </w:r>
      <w:r>
        <w:rPr>
          <w:rFonts w:ascii="Times New Roman" w:eastAsia="Times New Roman"/>
        </w:rPr>
        <w:t>2012</w:t>
      </w:r>
      <w:r>
        <w:t>年，北京市新型农村合作医疗筹资</w:t>
      </w:r>
      <w:r>
        <w:t>额逐年递增，参合农民人均筹资水平由</w:t>
      </w:r>
      <w:r>
        <w:rPr>
          <w:rFonts w:ascii="Times New Roman" w:eastAsia="Times New Roman"/>
        </w:rPr>
        <w:t>237</w:t>
      </w:r>
      <w:r>
        <w:t>元增加到</w:t>
      </w:r>
      <w:r>
        <w:rPr>
          <w:rFonts w:ascii="Times New Roman" w:eastAsia="Times New Roman"/>
        </w:rPr>
        <w:t>707</w:t>
      </w:r>
      <w:r>
        <w:t>元，增长了</w:t>
      </w:r>
      <w:r>
        <w:rPr>
          <w:rFonts w:ascii="Times New Roman" w:eastAsia="Times New Roman"/>
        </w:rPr>
        <w:t>3</w:t>
      </w:r>
      <w:r>
        <w:t>倍多。总</w:t>
      </w:r>
      <w:r>
        <w:t>筹资额从</w:t>
      </w:r>
      <w:r>
        <w:rPr>
          <w:rFonts w:ascii="Times New Roman" w:eastAsia="Times New Roman"/>
        </w:rPr>
        <w:t>6</w:t>
      </w:r>
      <w:r>
        <w:rPr>
          <w:rFonts w:ascii="Times New Roman" w:eastAsia="Times New Roman"/>
        </w:rPr>
        <w:t>.</w:t>
      </w:r>
      <w:r>
        <w:rPr>
          <w:rFonts w:ascii="Times New Roman" w:eastAsia="Times New Roman"/>
        </w:rPr>
        <w:t>37</w:t>
      </w:r>
      <w:r>
        <w:t>亿元上升到</w:t>
      </w:r>
      <w:r>
        <w:rPr>
          <w:rFonts w:ascii="Times New Roman" w:eastAsia="Times New Roman"/>
        </w:rPr>
        <w:t>18</w:t>
      </w:r>
      <w:r>
        <w:rPr>
          <w:rFonts w:ascii="Times New Roman" w:eastAsia="Times New Roman"/>
        </w:rPr>
        <w:t>.</w:t>
      </w:r>
      <w:r>
        <w:rPr>
          <w:rFonts w:ascii="Times New Roman" w:eastAsia="Times New Roman"/>
        </w:rPr>
        <w:t>91</w:t>
      </w:r>
      <w:r>
        <w:t>亿元，增长了近</w:t>
      </w:r>
      <w:r>
        <w:rPr>
          <w:rFonts w:ascii="Times New Roman" w:eastAsia="Times New Roman"/>
        </w:rPr>
        <w:t>3</w:t>
      </w:r>
      <w:r>
        <w:t>倍。新型农村合作医疗补偿受</w:t>
      </w:r>
      <w:r>
        <w:t>益人次由</w:t>
      </w:r>
      <w:r>
        <w:rPr>
          <w:rFonts w:ascii="Times New Roman" w:eastAsia="Times New Roman"/>
        </w:rPr>
        <w:t>200</w:t>
      </w:r>
      <w:r>
        <w:rPr>
          <w:rFonts w:ascii="Times New Roman" w:eastAsia="Times New Roman"/>
        </w:rPr>
        <w:t>.</w:t>
      </w:r>
      <w:r>
        <w:rPr>
          <w:rFonts w:ascii="Times New Roman" w:eastAsia="Times New Roman"/>
        </w:rPr>
        <w:t>52</w:t>
      </w:r>
      <w:r>
        <w:t>万人次增加到</w:t>
      </w:r>
      <w:r>
        <w:rPr>
          <w:rFonts w:ascii="Times New Roman" w:eastAsia="Times New Roman"/>
        </w:rPr>
        <w:t>566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w:t>
      </w:r>
      <w:r>
        <w:t>万人次。</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 xml:space="preserve"> 2007-2012</w:t>
      </w:r>
      <w:r>
        <w:rPr>
          <w:rFonts w:cstheme="minorBidi" w:hAnsiTheme="minorHAnsi" w:eastAsiaTheme="minorHAnsi" w:asciiTheme="minorHAnsi"/>
        </w:rPr>
        <w:t>年北京市新型农村合作医疗运行情况</w:t>
      </w:r>
      <w:hyperlink w:history="true" w:anchor="_bookmark23">
        <w:r>
          <w:rPr>
            <w:rFonts w:ascii="Times New Roman" w:eastAsia="Times New Roman" w:cstheme="minorBidi" w:hAnsiTheme="minorHAnsi"/>
          </w:rPr>
          <w:t>12</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6"/>
        <w:gridCol w:w="1020"/>
        <w:gridCol w:w="1020"/>
        <w:gridCol w:w="1020"/>
        <w:gridCol w:w="1020"/>
        <w:gridCol w:w="1020"/>
        <w:gridCol w:w="1020"/>
      </w:tblGrid>
      <w:tr>
        <w:trPr>
          <w:trHeight w:val="300" w:hRule="atLeast"/>
        </w:trPr>
        <w:tc>
          <w:tcPr>
            <w:tcW w:w="2636" w:type="dxa"/>
          </w:tcPr>
          <w:p w:rsidR="0018722C">
            <w:pPr>
              <w:topLinePunct/>
              <w:ind w:leftChars="0" w:left="0" w:rightChars="0" w:right="0" w:firstLineChars="0" w:firstLine="0"/>
              <w:spacing w:line="240" w:lineRule="atLeast"/>
            </w:pPr>
          </w:p>
        </w:tc>
        <w:tc>
          <w:tcPr>
            <w:tcW w:w="1020" w:type="dxa"/>
          </w:tcPr>
          <w:p w:rsidR="0018722C">
            <w:pPr>
              <w:topLinePunct/>
              <w:ind w:leftChars="0" w:left="0" w:rightChars="0" w:right="0" w:firstLineChars="0" w:firstLine="0"/>
              <w:spacing w:line="240" w:lineRule="atLeast"/>
            </w:pPr>
            <w:r>
              <w:t>2007</w:t>
            </w:r>
          </w:p>
        </w:tc>
        <w:tc>
          <w:tcPr>
            <w:tcW w:w="1020" w:type="dxa"/>
          </w:tcPr>
          <w:p w:rsidR="0018722C">
            <w:pPr>
              <w:topLinePunct/>
              <w:ind w:leftChars="0" w:left="0" w:rightChars="0" w:right="0" w:firstLineChars="0" w:firstLine="0"/>
              <w:spacing w:line="240" w:lineRule="atLeast"/>
            </w:pPr>
            <w:r>
              <w:t>2008</w:t>
            </w:r>
          </w:p>
        </w:tc>
        <w:tc>
          <w:tcPr>
            <w:tcW w:w="1020" w:type="dxa"/>
          </w:tcPr>
          <w:p w:rsidR="0018722C">
            <w:pPr>
              <w:topLinePunct/>
              <w:ind w:leftChars="0" w:left="0" w:rightChars="0" w:right="0" w:firstLineChars="0" w:firstLine="0"/>
              <w:spacing w:line="240" w:lineRule="atLeast"/>
            </w:pPr>
            <w:r>
              <w:t>2009</w:t>
            </w:r>
          </w:p>
        </w:tc>
        <w:tc>
          <w:tcPr>
            <w:tcW w:w="1020" w:type="dxa"/>
          </w:tcPr>
          <w:p w:rsidR="0018722C">
            <w:pPr>
              <w:topLinePunct/>
              <w:ind w:leftChars="0" w:left="0" w:rightChars="0" w:right="0" w:firstLineChars="0" w:firstLine="0"/>
              <w:spacing w:line="240" w:lineRule="atLeast"/>
            </w:pPr>
            <w:r>
              <w:t>2010</w:t>
            </w:r>
          </w:p>
        </w:tc>
        <w:tc>
          <w:tcPr>
            <w:tcW w:w="1020" w:type="dxa"/>
          </w:tcPr>
          <w:p w:rsidR="0018722C">
            <w:pPr>
              <w:topLinePunct/>
              <w:ind w:leftChars="0" w:left="0" w:rightChars="0" w:right="0" w:firstLineChars="0" w:firstLine="0"/>
              <w:spacing w:line="240" w:lineRule="atLeast"/>
            </w:pPr>
            <w:r>
              <w:t>2011</w:t>
            </w:r>
          </w:p>
        </w:tc>
        <w:tc>
          <w:tcPr>
            <w:tcW w:w="1020" w:type="dxa"/>
          </w:tcPr>
          <w:p w:rsidR="0018722C">
            <w:pPr>
              <w:topLinePunct/>
              <w:ind w:leftChars="0" w:left="0" w:rightChars="0" w:right="0" w:firstLineChars="0" w:firstLine="0"/>
              <w:spacing w:line="240" w:lineRule="atLeast"/>
            </w:pPr>
            <w:r>
              <w:t>2012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筹资总额</w:t>
            </w:r>
            <w:r>
              <w:rPr>
                <w:rFonts w:ascii="宋体" w:eastAsia="宋体" w:hint="eastAsia"/>
              </w:rPr>
              <w:t>（</w:t>
            </w:r>
            <w:r>
              <w:rPr>
                <w:rFonts w:ascii="宋体" w:eastAsia="宋体" w:hint="eastAsia"/>
              </w:rPr>
              <w:t>亿元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6.37</w:t>
            </w:r>
          </w:p>
        </w:tc>
        <w:tc>
          <w:tcPr>
            <w:tcW w:w="1020" w:type="dxa"/>
          </w:tcPr>
          <w:p w:rsidR="0018722C">
            <w:pPr>
              <w:topLinePunct/>
              <w:ind w:leftChars="0" w:left="0" w:rightChars="0" w:right="0" w:firstLineChars="0" w:firstLine="0"/>
              <w:spacing w:line="240" w:lineRule="atLeast"/>
            </w:pPr>
            <w:r>
              <w:t>9.16</w:t>
            </w:r>
          </w:p>
        </w:tc>
        <w:tc>
          <w:tcPr>
            <w:tcW w:w="1020" w:type="dxa"/>
          </w:tcPr>
          <w:p w:rsidR="0018722C">
            <w:pPr>
              <w:topLinePunct/>
              <w:ind w:leftChars="0" w:left="0" w:rightChars="0" w:right="0" w:firstLineChars="0" w:firstLine="0"/>
              <w:spacing w:line="240" w:lineRule="atLeast"/>
            </w:pPr>
            <w:r>
              <w:t>11.92</w:t>
            </w:r>
          </w:p>
        </w:tc>
        <w:tc>
          <w:tcPr>
            <w:tcW w:w="1020" w:type="dxa"/>
          </w:tcPr>
          <w:p w:rsidR="0018722C">
            <w:pPr>
              <w:topLinePunct/>
              <w:ind w:leftChars="0" w:left="0" w:rightChars="0" w:right="0" w:firstLineChars="0" w:firstLine="0"/>
              <w:spacing w:line="240" w:lineRule="atLeast"/>
            </w:pPr>
            <w:r>
              <w:t>15.47</w:t>
            </w:r>
          </w:p>
        </w:tc>
        <w:tc>
          <w:tcPr>
            <w:tcW w:w="1020" w:type="dxa"/>
          </w:tcPr>
          <w:p w:rsidR="0018722C">
            <w:pPr>
              <w:topLinePunct/>
              <w:ind w:leftChars="0" w:left="0" w:rightChars="0" w:right="0" w:firstLineChars="0" w:firstLine="0"/>
              <w:spacing w:line="240" w:lineRule="atLeast"/>
            </w:pPr>
            <w:r>
              <w:t>17.64</w:t>
            </w:r>
          </w:p>
        </w:tc>
        <w:tc>
          <w:tcPr>
            <w:tcW w:w="1020" w:type="dxa"/>
          </w:tcPr>
          <w:p w:rsidR="0018722C">
            <w:pPr>
              <w:topLinePunct/>
              <w:ind w:leftChars="0" w:left="0" w:rightChars="0" w:right="0" w:firstLineChars="0" w:firstLine="0"/>
              <w:spacing w:line="240" w:lineRule="atLeast"/>
            </w:pPr>
            <w:r>
              <w:t>18.91</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参合人数</w:t>
            </w:r>
            <w:r>
              <w:rPr>
                <w:rFonts w:ascii="宋体" w:eastAsia="宋体" w:hint="eastAsia"/>
              </w:rPr>
              <w:t>（</w:t>
            </w:r>
            <w:r>
              <w:rPr>
                <w:rFonts w:ascii="宋体" w:eastAsia="宋体" w:hint="eastAsia"/>
              </w:rPr>
              <w:t>万人</w:t>
            </w:r>
            <w:r>
              <w:rPr>
                <w:rFonts w:ascii="宋体" w:eastAsia="宋体" w:hint="eastAsia"/>
              </w:rPr>
              <w:t>）</w:t>
            </w:r>
          </w:p>
        </w:tc>
        <w:tc>
          <w:tcPr>
            <w:tcW w:w="1020" w:type="dxa"/>
          </w:tcPr>
          <w:p w:rsidR="0018722C">
            <w:pPr>
              <w:topLinePunct/>
              <w:ind w:leftChars="0" w:left="0" w:rightChars="0" w:right="0" w:firstLineChars="0" w:firstLine="0"/>
              <w:spacing w:line="240" w:lineRule="atLeast"/>
            </w:pPr>
            <w:r>
              <w:t>268.5</w:t>
            </w:r>
          </w:p>
        </w:tc>
        <w:tc>
          <w:tcPr>
            <w:tcW w:w="1020" w:type="dxa"/>
          </w:tcPr>
          <w:p w:rsidR="0018722C">
            <w:pPr>
              <w:topLinePunct/>
              <w:ind w:leftChars="0" w:left="0" w:rightChars="0" w:right="0" w:firstLineChars="0" w:firstLine="0"/>
              <w:spacing w:line="240" w:lineRule="atLeast"/>
            </w:pPr>
            <w:r>
              <w:t>272.5</w:t>
            </w:r>
          </w:p>
        </w:tc>
        <w:tc>
          <w:tcPr>
            <w:tcW w:w="1020" w:type="dxa"/>
          </w:tcPr>
          <w:p w:rsidR="0018722C">
            <w:pPr>
              <w:topLinePunct/>
              <w:ind w:leftChars="0" w:left="0" w:rightChars="0" w:right="0" w:firstLineChars="0" w:firstLine="0"/>
              <w:spacing w:line="240" w:lineRule="atLeast"/>
            </w:pPr>
            <w:r>
              <w:t>274.9</w:t>
            </w:r>
          </w:p>
        </w:tc>
        <w:tc>
          <w:tcPr>
            <w:tcW w:w="1020" w:type="dxa"/>
          </w:tcPr>
          <w:p w:rsidR="0018722C">
            <w:pPr>
              <w:topLinePunct/>
              <w:ind w:leftChars="0" w:left="0" w:rightChars="0" w:right="0" w:firstLineChars="0" w:firstLine="0"/>
              <w:spacing w:line="240" w:lineRule="atLeast"/>
            </w:pPr>
            <w:r>
              <w:t>278.5</w:t>
            </w:r>
          </w:p>
        </w:tc>
        <w:tc>
          <w:tcPr>
            <w:tcW w:w="1020" w:type="dxa"/>
          </w:tcPr>
          <w:p w:rsidR="0018722C">
            <w:pPr>
              <w:topLinePunct/>
              <w:ind w:leftChars="0" w:left="0" w:rightChars="0" w:right="0" w:firstLineChars="0" w:firstLine="0"/>
              <w:spacing w:line="240" w:lineRule="atLeast"/>
            </w:pPr>
            <w:r>
              <w:t>276.8</w:t>
            </w:r>
          </w:p>
        </w:tc>
        <w:tc>
          <w:tcPr>
            <w:tcW w:w="1020" w:type="dxa"/>
          </w:tcPr>
          <w:p w:rsidR="0018722C">
            <w:pPr>
              <w:topLinePunct/>
              <w:ind w:leftChars="0" w:left="0" w:rightChars="0" w:right="0" w:firstLineChars="0" w:firstLine="0"/>
              <w:spacing w:line="240" w:lineRule="atLeast"/>
            </w:pPr>
            <w:r>
              <w:t>267.5</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人均筹资额</w:t>
            </w:r>
            <w:r>
              <w:rPr>
                <w:rFonts w:ascii="宋体" w:eastAsia="宋体" w:hint="eastAsia"/>
              </w:rPr>
              <w:t>（</w:t>
            </w:r>
            <w:r>
              <w:rPr>
                <w:rFonts w:ascii="宋体" w:eastAsia="宋体" w:hint="eastAsia"/>
              </w:rPr>
              <w:t>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237.24</w:t>
            </w:r>
          </w:p>
        </w:tc>
        <w:tc>
          <w:tcPr>
            <w:tcW w:w="1020" w:type="dxa"/>
          </w:tcPr>
          <w:p w:rsidR="0018722C">
            <w:pPr>
              <w:topLinePunct/>
              <w:ind w:leftChars="0" w:left="0" w:rightChars="0" w:right="0" w:firstLineChars="0" w:firstLine="0"/>
              <w:spacing w:line="240" w:lineRule="atLeast"/>
            </w:pPr>
            <w:r>
              <w:t>336.15</w:t>
            </w:r>
          </w:p>
        </w:tc>
        <w:tc>
          <w:tcPr>
            <w:tcW w:w="1020" w:type="dxa"/>
          </w:tcPr>
          <w:p w:rsidR="0018722C">
            <w:pPr>
              <w:topLinePunct/>
              <w:ind w:leftChars="0" w:left="0" w:rightChars="0" w:right="0" w:firstLineChars="0" w:firstLine="0"/>
              <w:spacing w:line="240" w:lineRule="atLeast"/>
            </w:pPr>
            <w:r>
              <w:t>433.61</w:t>
            </w:r>
          </w:p>
        </w:tc>
        <w:tc>
          <w:tcPr>
            <w:tcW w:w="1020" w:type="dxa"/>
          </w:tcPr>
          <w:p w:rsidR="0018722C">
            <w:pPr>
              <w:topLinePunct/>
              <w:ind w:leftChars="0" w:left="0" w:rightChars="0" w:right="0" w:firstLineChars="0" w:firstLine="0"/>
              <w:spacing w:line="240" w:lineRule="atLeast"/>
            </w:pPr>
            <w:r>
              <w:t>555.48</w:t>
            </w:r>
          </w:p>
        </w:tc>
        <w:tc>
          <w:tcPr>
            <w:tcW w:w="1020" w:type="dxa"/>
          </w:tcPr>
          <w:p w:rsidR="0018722C">
            <w:pPr>
              <w:topLinePunct/>
              <w:ind w:leftChars="0" w:left="0" w:rightChars="0" w:right="0" w:firstLineChars="0" w:firstLine="0"/>
              <w:spacing w:line="240" w:lineRule="atLeast"/>
            </w:pPr>
            <w:r>
              <w:t>637.28</w:t>
            </w:r>
          </w:p>
        </w:tc>
        <w:tc>
          <w:tcPr>
            <w:tcW w:w="1020" w:type="dxa"/>
          </w:tcPr>
          <w:p w:rsidR="0018722C">
            <w:pPr>
              <w:topLinePunct/>
              <w:ind w:leftChars="0" w:left="0" w:rightChars="0" w:right="0" w:firstLineChars="0" w:firstLine="0"/>
              <w:spacing w:line="240" w:lineRule="atLeast"/>
            </w:pPr>
            <w:r>
              <w:t>706.92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补偿受益人次</w:t>
            </w:r>
            <w:r>
              <w:rPr>
                <w:rFonts w:ascii="宋体" w:eastAsia="宋体" w:hint="eastAsia"/>
              </w:rPr>
              <w:t>（</w:t>
            </w:r>
            <w:r>
              <w:rPr>
                <w:rFonts w:ascii="宋体" w:eastAsia="宋体" w:hint="eastAsia"/>
              </w:rPr>
              <w:t>万人次</w:t>
            </w:r>
            <w:r>
              <w:rPr>
                <w:rFonts w:ascii="宋体" w:eastAsia="宋体" w:hint="eastAsia"/>
              </w:rPr>
              <w:t>）</w:t>
            </w:r>
          </w:p>
        </w:tc>
        <w:tc>
          <w:tcPr>
            <w:tcW w:w="1020" w:type="dxa"/>
          </w:tcPr>
          <w:p w:rsidR="0018722C">
            <w:pPr>
              <w:topLinePunct/>
              <w:ind w:leftChars="0" w:left="0" w:rightChars="0" w:right="0" w:firstLineChars="0" w:firstLine="0"/>
              <w:spacing w:line="240" w:lineRule="atLeast"/>
            </w:pPr>
            <w:r>
              <w:t>200.52</w:t>
            </w:r>
          </w:p>
        </w:tc>
        <w:tc>
          <w:tcPr>
            <w:tcW w:w="1020" w:type="dxa"/>
          </w:tcPr>
          <w:p w:rsidR="0018722C">
            <w:pPr>
              <w:topLinePunct/>
              <w:ind w:leftChars="0" w:left="0" w:rightChars="0" w:right="0" w:firstLineChars="0" w:firstLine="0"/>
              <w:spacing w:line="240" w:lineRule="atLeast"/>
            </w:pPr>
            <w:r>
              <w:t>277.51</w:t>
            </w:r>
          </w:p>
        </w:tc>
        <w:tc>
          <w:tcPr>
            <w:tcW w:w="1020" w:type="dxa"/>
          </w:tcPr>
          <w:p w:rsidR="0018722C">
            <w:pPr>
              <w:topLinePunct/>
              <w:ind w:leftChars="0" w:left="0" w:rightChars="0" w:right="0" w:firstLineChars="0" w:firstLine="0"/>
              <w:spacing w:line="240" w:lineRule="atLeast"/>
            </w:pPr>
            <w:r>
              <w:t>456.23</w:t>
            </w:r>
          </w:p>
        </w:tc>
        <w:tc>
          <w:tcPr>
            <w:tcW w:w="1020" w:type="dxa"/>
          </w:tcPr>
          <w:p w:rsidR="0018722C">
            <w:pPr>
              <w:topLinePunct/>
              <w:ind w:leftChars="0" w:left="0" w:rightChars="0" w:right="0" w:firstLineChars="0" w:firstLine="0"/>
              <w:spacing w:line="240" w:lineRule="atLeast"/>
            </w:pPr>
            <w:r>
              <w:t>694.5</w:t>
            </w:r>
          </w:p>
        </w:tc>
        <w:tc>
          <w:tcPr>
            <w:tcW w:w="1020" w:type="dxa"/>
          </w:tcPr>
          <w:p w:rsidR="0018722C">
            <w:pPr>
              <w:topLinePunct/>
              <w:ind w:leftChars="0" w:left="0" w:rightChars="0" w:right="0" w:firstLineChars="0" w:firstLine="0"/>
              <w:spacing w:line="240" w:lineRule="atLeast"/>
            </w:pPr>
            <w:r>
              <w:t>672.9</w:t>
            </w:r>
          </w:p>
        </w:tc>
        <w:tc>
          <w:tcPr>
            <w:tcW w:w="1020" w:type="dxa"/>
          </w:tcPr>
          <w:p w:rsidR="0018722C">
            <w:pPr>
              <w:topLinePunct/>
              <w:ind w:leftChars="0" w:left="0" w:rightChars="0" w:right="0" w:firstLineChars="0" w:firstLine="0"/>
              <w:spacing w:line="240" w:lineRule="atLeast"/>
            </w:pPr>
            <w:r>
              <w:t>565.6</w:t>
            </w:r>
          </w:p>
        </w:tc>
      </w:tr>
    </w:tbl>
    <w:p w:rsidR="0018722C">
      <w:pPr>
        <w:topLinePunct/>
      </w:pPr>
      <w:r>
        <w:t>根据《关于调整和完善本市新型农村合作医疗筹资标准和补偿政策意见》</w:t>
      </w:r>
      <w:r>
        <w:rPr>
          <w:rFonts w:ascii="Times New Roman" w:eastAsia="Times New Roman"/>
          <w:rFonts w:ascii="Times New Roman" w:eastAsia="Times New Roman"/>
        </w:rPr>
        <w:t>（</w:t>
      </w:r>
      <w:r>
        <w:t>京</w: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可支付月数</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基金支出</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p>
    <w:p w:rsidR="0018722C">
      <w:pPr>
        <w:pStyle w:val="cw20"/>
        <w:topLinePunct/>
      </w:pPr>
      <w:bookmarkStart w:name="_bookmark23" w:id="13"/>
      <w:bookmarkEnd w:id="13"/>
      <w:r>
        <w:t>12</w:t>
      </w:r>
      <w:r/>
      <w:bookmarkStart w:name="_bookmark23" w:id="14"/>
      <w:bookmarkEnd w:id="14"/>
      <w:r>
        <w:t>数据来源：中国卫生统计年鉴</w:t>
      </w:r>
    </w:p>
    <w:p w:rsidR="0018722C">
      <w:pPr>
        <w:topLinePunct/>
      </w:pPr>
      <w:r>
        <w:rPr>
          <w:rFonts w:cstheme="minorBidi" w:hAnsiTheme="minorHAnsi" w:eastAsiaTheme="minorHAnsi" w:asciiTheme="minorHAnsi" w:ascii="Times New Roman"/>
        </w:rPr>
        <w:t>10</w:t>
      </w:r>
    </w:p>
    <w:p w:rsidR="0018722C">
      <w:pPr>
        <w:topLinePunct/>
      </w:pPr>
      <w:bookmarkStart w:name="_bookmark24" w:id="15"/>
      <w:bookmarkEnd w:id="15"/>
      <w:r>
        <w:t>政办发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rPr>
          <w:rFonts w:ascii="Times New Roman" w:eastAsia="Times New Roman"/>
          <w:rFonts w:ascii="Times New Roman" w:eastAsia="Times New Roman"/>
          <w:spacing w:val="-9"/>
        </w:rPr>
        <w:t>）</w:t>
      </w:r>
      <w:r>
        <w:t>，北京市从</w:t>
      </w:r>
      <w:r>
        <w:rPr>
          <w:rFonts w:ascii="Times New Roman" w:eastAsia="Times New Roman"/>
        </w:rPr>
        <w:t>2007</w:t>
      </w:r>
      <w:r>
        <w:t>年开始在全国范围内率先在所有统筹区县实行门诊统筹。</w:t>
      </w:r>
    </w:p>
    <w:p w:rsidR="0018722C">
      <w:pPr>
        <w:pStyle w:val="Heading3"/>
        <w:topLinePunct/>
        <w:ind w:left="200" w:hangingChars="200" w:hanging="200"/>
      </w:pPr>
      <w:bookmarkStart w:id="569930" w:name="_Toc686569930"/>
      <w:r>
        <w:t>2.4.3</w:t>
      </w:r>
      <w:r>
        <w:t xml:space="preserve"> </w:t>
      </w:r>
      <w:r>
        <w:t>城镇居民基本医疗保险基金收支情况</w:t>
      </w:r>
      <w:bookmarkEnd w:id="569930"/>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8</w:t>
      </w:r>
      <w:r>
        <w:t>反映了自</w:t>
      </w:r>
      <w:r>
        <w:rPr>
          <w:rFonts w:ascii="Times New Roman" w:eastAsia="Times New Roman"/>
        </w:rPr>
        <w:t>2007</w:t>
      </w:r>
      <w:r>
        <w:t>年以来北京市城镇居民基本医疗保险基金收入、支</w:t>
      </w:r>
    </w:p>
    <w:p w:rsidR="0018722C">
      <w:pPr>
        <w:topLinePunct/>
      </w:pPr>
      <w:r>
        <w:t>出、当期结余及累计结余的情况。截止</w:t>
      </w:r>
      <w:r>
        <w:rPr>
          <w:rFonts w:ascii="Times New Roman" w:eastAsia="Times New Roman"/>
        </w:rPr>
        <w:t>2012</w:t>
      </w:r>
      <w:r>
        <w:t>年年末，北京市城镇居民基本医疗</w:t>
      </w:r>
    </w:p>
    <w:p w:rsidR="0018722C">
      <w:pPr>
        <w:topLinePunct/>
      </w:pPr>
      <w:r>
        <w:t>保险统筹基金收入</w:t>
      </w:r>
      <w:r>
        <w:rPr>
          <w:rFonts w:ascii="Times New Roman" w:eastAsia="Times New Roman"/>
        </w:rPr>
        <w:t>9</w:t>
      </w:r>
      <w:r>
        <w:rPr>
          <w:rFonts w:ascii="Times New Roman" w:eastAsia="Times New Roman"/>
        </w:rPr>
        <w:t>.</w:t>
      </w:r>
      <w:r>
        <w:rPr>
          <w:rFonts w:ascii="Times New Roman" w:eastAsia="Times New Roman"/>
        </w:rPr>
        <w:t>5</w:t>
      </w:r>
      <w:r>
        <w:t>亿元，支出</w:t>
      </w:r>
      <w:r>
        <w:rPr>
          <w:rFonts w:ascii="Times New Roman" w:eastAsia="Times New Roman"/>
        </w:rPr>
        <w:t>8</w:t>
      </w:r>
      <w:r>
        <w:rPr>
          <w:rFonts w:ascii="Times New Roman" w:eastAsia="Times New Roman"/>
        </w:rPr>
        <w:t>.</w:t>
      </w:r>
      <w:r>
        <w:rPr>
          <w:rFonts w:ascii="Times New Roman" w:eastAsia="Times New Roman"/>
        </w:rPr>
        <w:t>8</w:t>
      </w:r>
      <w:r>
        <w:t>亿元，当年结余</w:t>
      </w:r>
      <w:r>
        <w:rPr>
          <w:rFonts w:ascii="Times New Roman" w:eastAsia="Times New Roman"/>
        </w:rPr>
        <w:t>7000</w:t>
      </w:r>
      <w:r>
        <w:t>万元，累计结余 </w:t>
      </w:r>
      <w:r>
        <w:rPr>
          <w:rFonts w:ascii="Times New Roman" w:eastAsia="Times New Roman"/>
        </w:rPr>
        <w:t>9</w:t>
      </w:r>
    </w:p>
    <w:p w:rsidR="0018722C">
      <w:pPr>
        <w:topLinePunct/>
      </w:pP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82007-2012</w:t>
      </w:r>
      <w:r>
        <w:rPr>
          <w:rFonts w:cstheme="minorBidi" w:hAnsiTheme="minorHAnsi" w:eastAsiaTheme="minorHAnsi" w:asciiTheme="minorHAnsi"/>
        </w:rPr>
        <w:t>年北京市城镇居民基本医疗保险基金结余情况</w:t>
      </w:r>
      <w:hyperlink w:history="true" w:anchor="_bookmark25">
        <w:r>
          <w:rPr>
            <w:rFonts w:ascii="Times New Roman" w:eastAsia="Times New Roman" w:cstheme="minorBidi" w:hAnsiTheme="minorHAnsi"/>
          </w:rPr>
          <w:t>13</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4.4</w:t>
            </w:r>
          </w:p>
        </w:tc>
        <w:tc>
          <w:tcPr>
            <w:tcW w:w="1163" w:type="dxa"/>
          </w:tcPr>
          <w:p w:rsidR="0018722C">
            <w:pPr>
              <w:topLinePunct/>
              <w:ind w:leftChars="0" w:left="0" w:rightChars="0" w:right="0" w:firstLineChars="0" w:firstLine="0"/>
              <w:spacing w:line="240" w:lineRule="atLeast"/>
            </w:pPr>
            <w:r>
              <w:t>5.6</w:t>
            </w:r>
          </w:p>
        </w:tc>
        <w:tc>
          <w:tcPr>
            <w:tcW w:w="1163" w:type="dxa"/>
          </w:tcPr>
          <w:p w:rsidR="0018722C">
            <w:pPr>
              <w:topLinePunct/>
              <w:ind w:leftChars="0" w:left="0" w:rightChars="0" w:right="0" w:firstLineChars="0" w:firstLine="0"/>
              <w:spacing w:line="240" w:lineRule="atLeast"/>
            </w:pPr>
            <w:r>
              <w:t>5.1</w:t>
            </w:r>
          </w:p>
        </w:tc>
        <w:tc>
          <w:tcPr>
            <w:tcW w:w="1161" w:type="dxa"/>
          </w:tcPr>
          <w:p w:rsidR="0018722C">
            <w:pPr>
              <w:topLinePunct/>
              <w:ind w:leftChars="0" w:left="0" w:rightChars="0" w:right="0" w:firstLineChars="0" w:firstLine="0"/>
              <w:spacing w:line="240" w:lineRule="atLeast"/>
            </w:pPr>
            <w:r>
              <w:t>1.6</w:t>
            </w:r>
          </w:p>
        </w:tc>
        <w:tc>
          <w:tcPr>
            <w:tcW w:w="1159" w:type="dxa"/>
          </w:tcPr>
          <w:p w:rsidR="0018722C">
            <w:pPr>
              <w:topLinePunct/>
              <w:ind w:leftChars="0" w:left="0" w:rightChars="0" w:right="0" w:firstLineChars="0" w:firstLine="0"/>
              <w:spacing w:line="240" w:lineRule="atLeast"/>
            </w:pPr>
            <w:r>
              <w:t>11.4</w:t>
            </w:r>
          </w:p>
        </w:tc>
        <w:tc>
          <w:tcPr>
            <w:tcW w:w="1154" w:type="dxa"/>
          </w:tcPr>
          <w:p w:rsidR="0018722C">
            <w:pPr>
              <w:topLinePunct/>
              <w:ind w:leftChars="0" w:left="0" w:rightChars="0" w:right="0" w:firstLineChars="0" w:firstLine="0"/>
              <w:spacing w:line="240" w:lineRule="atLeast"/>
            </w:pPr>
            <w:r>
              <w:t>9.5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0.3</w:t>
            </w:r>
          </w:p>
        </w:tc>
        <w:tc>
          <w:tcPr>
            <w:tcW w:w="1163" w:type="dxa"/>
          </w:tcPr>
          <w:p w:rsidR="0018722C">
            <w:pPr>
              <w:topLinePunct/>
              <w:ind w:leftChars="0" w:left="0" w:rightChars="0" w:right="0" w:firstLineChars="0" w:firstLine="0"/>
              <w:spacing w:line="240" w:lineRule="atLeast"/>
            </w:pPr>
            <w:r>
              <w:t>3.3</w:t>
            </w:r>
          </w:p>
        </w:tc>
        <w:tc>
          <w:tcPr>
            <w:tcW w:w="1163" w:type="dxa"/>
          </w:tcPr>
          <w:p w:rsidR="0018722C">
            <w:pPr>
              <w:topLinePunct/>
              <w:ind w:leftChars="0" w:left="0" w:rightChars="0" w:right="0" w:firstLineChars="0" w:firstLine="0"/>
              <w:spacing w:line="240" w:lineRule="atLeast"/>
            </w:pPr>
            <w:r>
              <w:t>4.1</w:t>
            </w:r>
          </w:p>
        </w:tc>
        <w:tc>
          <w:tcPr>
            <w:tcW w:w="1161" w:type="dxa"/>
          </w:tcPr>
          <w:p w:rsidR="0018722C">
            <w:pPr>
              <w:topLinePunct/>
              <w:ind w:leftChars="0" w:left="0" w:rightChars="0" w:right="0" w:firstLineChars="0" w:firstLine="0"/>
              <w:spacing w:line="240" w:lineRule="atLeast"/>
            </w:pPr>
            <w:r>
              <w:t>4.7</w:t>
            </w:r>
          </w:p>
        </w:tc>
        <w:tc>
          <w:tcPr>
            <w:tcW w:w="1159" w:type="dxa"/>
          </w:tcPr>
          <w:p w:rsidR="0018722C">
            <w:pPr>
              <w:topLinePunct/>
              <w:ind w:leftChars="0" w:left="0" w:rightChars="0" w:right="0" w:firstLineChars="0" w:firstLine="0"/>
              <w:spacing w:line="240" w:lineRule="atLeast"/>
            </w:pPr>
            <w:r>
              <w:t>7.4</w:t>
            </w:r>
          </w:p>
        </w:tc>
        <w:tc>
          <w:tcPr>
            <w:tcW w:w="1154" w:type="dxa"/>
          </w:tcPr>
          <w:p w:rsidR="0018722C">
            <w:pPr>
              <w:topLinePunct/>
              <w:ind w:leftChars="0" w:left="0" w:rightChars="0" w:right="0" w:firstLineChars="0" w:firstLine="0"/>
              <w:spacing w:line="240" w:lineRule="atLeast"/>
            </w:pPr>
            <w:r>
              <w:t>8.8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4.1</w:t>
            </w:r>
          </w:p>
        </w:tc>
        <w:tc>
          <w:tcPr>
            <w:tcW w:w="1163" w:type="dxa"/>
          </w:tcPr>
          <w:p w:rsidR="0018722C">
            <w:pPr>
              <w:topLinePunct/>
              <w:ind w:leftChars="0" w:left="0" w:rightChars="0" w:right="0" w:firstLineChars="0" w:firstLine="0"/>
              <w:spacing w:line="240" w:lineRule="atLeast"/>
            </w:pPr>
            <w:r>
              <w:t>2.3</w:t>
            </w:r>
          </w:p>
        </w:tc>
        <w:tc>
          <w:tcPr>
            <w:tcW w:w="1163" w:type="dxa"/>
          </w:tcPr>
          <w:p w:rsidR="0018722C">
            <w:pPr>
              <w:topLinePunct/>
              <w:ind w:leftChars="0" w:left="0" w:rightChars="0" w:right="0" w:firstLineChars="0" w:firstLine="0"/>
              <w:spacing w:line="240" w:lineRule="atLeast"/>
            </w:pPr>
            <w:r>
              <w:t>1</w:t>
            </w:r>
          </w:p>
        </w:tc>
        <w:tc>
          <w:tcPr>
            <w:tcW w:w="1161" w:type="dxa"/>
          </w:tcPr>
          <w:p w:rsidR="0018722C">
            <w:pPr>
              <w:topLinePunct/>
              <w:ind w:leftChars="0" w:left="0" w:rightChars="0" w:right="0" w:firstLineChars="0" w:firstLine="0"/>
              <w:spacing w:line="240" w:lineRule="atLeast"/>
            </w:pPr>
            <w:r>
              <w:t>-3.1</w:t>
            </w:r>
          </w:p>
        </w:tc>
        <w:tc>
          <w:tcPr>
            <w:tcW w:w="1159" w:type="dxa"/>
          </w:tcPr>
          <w:p w:rsidR="0018722C">
            <w:pPr>
              <w:topLinePunct/>
              <w:ind w:leftChars="0" w:left="0" w:rightChars="0" w:right="0" w:firstLineChars="0" w:firstLine="0"/>
              <w:spacing w:line="240" w:lineRule="atLeast"/>
            </w:pPr>
            <w:r>
              <w:t>4</w:t>
            </w:r>
          </w:p>
        </w:tc>
        <w:tc>
          <w:tcPr>
            <w:tcW w:w="1154" w:type="dxa"/>
          </w:tcPr>
          <w:p w:rsidR="0018722C">
            <w:pPr>
              <w:topLinePunct/>
              <w:ind w:leftChars="0" w:left="0" w:rightChars="0" w:right="0" w:firstLineChars="0" w:firstLine="0"/>
              <w:spacing w:line="240" w:lineRule="atLeast"/>
            </w:pPr>
            <w:r>
              <w:t>0.7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93.18</w:t>
            </w:r>
          </w:p>
        </w:tc>
        <w:tc>
          <w:tcPr>
            <w:tcW w:w="1163" w:type="dxa"/>
          </w:tcPr>
          <w:p w:rsidR="0018722C">
            <w:pPr>
              <w:topLinePunct/>
              <w:ind w:leftChars="0" w:left="0" w:rightChars="0" w:right="0" w:firstLineChars="0" w:firstLine="0"/>
              <w:spacing w:line="240" w:lineRule="atLeast"/>
            </w:pPr>
            <w:r>
              <w:t>41.07</w:t>
            </w:r>
          </w:p>
        </w:tc>
        <w:tc>
          <w:tcPr>
            <w:tcW w:w="1163" w:type="dxa"/>
          </w:tcPr>
          <w:p w:rsidR="0018722C">
            <w:pPr>
              <w:topLinePunct/>
              <w:ind w:leftChars="0" w:left="0" w:rightChars="0" w:right="0" w:firstLineChars="0" w:firstLine="0"/>
              <w:spacing w:line="240" w:lineRule="atLeast"/>
            </w:pPr>
            <w:r>
              <w:t>19.61</w:t>
            </w:r>
          </w:p>
        </w:tc>
        <w:tc>
          <w:tcPr>
            <w:tcW w:w="1161" w:type="dxa"/>
          </w:tcPr>
          <w:p w:rsidR="0018722C">
            <w:pPr>
              <w:topLinePunct/>
              <w:ind w:leftChars="0" w:left="0" w:rightChars="0" w:right="0" w:firstLineChars="0" w:firstLine="0"/>
              <w:spacing w:line="240" w:lineRule="atLeast"/>
            </w:pPr>
            <w:r>
              <w:t>-193.75</w:t>
            </w:r>
          </w:p>
        </w:tc>
        <w:tc>
          <w:tcPr>
            <w:tcW w:w="1159" w:type="dxa"/>
          </w:tcPr>
          <w:p w:rsidR="0018722C">
            <w:pPr>
              <w:topLinePunct/>
              <w:ind w:leftChars="0" w:left="0" w:rightChars="0" w:right="0" w:firstLineChars="0" w:firstLine="0"/>
              <w:spacing w:line="240" w:lineRule="atLeast"/>
            </w:pPr>
            <w:r>
              <w:t>35.09</w:t>
            </w:r>
          </w:p>
        </w:tc>
        <w:tc>
          <w:tcPr>
            <w:tcW w:w="1154" w:type="dxa"/>
          </w:tcPr>
          <w:p w:rsidR="0018722C">
            <w:pPr>
              <w:topLinePunct/>
              <w:ind w:leftChars="0" w:left="0" w:rightChars="0" w:right="0" w:firstLineChars="0" w:firstLine="0"/>
              <w:spacing w:line="240" w:lineRule="atLeast"/>
            </w:pPr>
            <w:r>
              <w:t>7.37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4.2</w:t>
            </w:r>
          </w:p>
        </w:tc>
        <w:tc>
          <w:tcPr>
            <w:tcW w:w="1163" w:type="dxa"/>
          </w:tcPr>
          <w:p w:rsidR="0018722C">
            <w:pPr>
              <w:topLinePunct/>
              <w:ind w:leftChars="0" w:left="0" w:rightChars="0" w:right="0" w:firstLineChars="0" w:firstLine="0"/>
              <w:spacing w:line="240" w:lineRule="atLeast"/>
            </w:pPr>
            <w:r>
              <w:t>6.4</w:t>
            </w:r>
          </w:p>
        </w:tc>
        <w:tc>
          <w:tcPr>
            <w:tcW w:w="1163" w:type="dxa"/>
          </w:tcPr>
          <w:p w:rsidR="0018722C">
            <w:pPr>
              <w:topLinePunct/>
              <w:ind w:leftChars="0" w:left="0" w:rightChars="0" w:right="0" w:firstLineChars="0" w:firstLine="0"/>
              <w:spacing w:line="240" w:lineRule="atLeast"/>
            </w:pPr>
            <w:r>
              <w:t>7.4</w:t>
            </w:r>
          </w:p>
        </w:tc>
        <w:tc>
          <w:tcPr>
            <w:tcW w:w="1161" w:type="dxa"/>
          </w:tcPr>
          <w:p w:rsidR="0018722C">
            <w:pPr>
              <w:topLinePunct/>
              <w:ind w:leftChars="0" w:left="0" w:rightChars="0" w:right="0" w:firstLineChars="0" w:firstLine="0"/>
              <w:spacing w:line="240" w:lineRule="atLeast"/>
            </w:pPr>
            <w:r>
              <w:t>4.4</w:t>
            </w:r>
          </w:p>
        </w:tc>
        <w:tc>
          <w:tcPr>
            <w:tcW w:w="1159" w:type="dxa"/>
          </w:tcPr>
          <w:p w:rsidR="0018722C">
            <w:pPr>
              <w:topLinePunct/>
              <w:ind w:leftChars="0" w:left="0" w:rightChars="0" w:right="0" w:firstLineChars="0" w:firstLine="0"/>
              <w:spacing w:line="240" w:lineRule="atLeast"/>
            </w:pPr>
            <w:r>
              <w:t>8.3</w:t>
            </w:r>
          </w:p>
        </w:tc>
        <w:tc>
          <w:tcPr>
            <w:tcW w:w="1154" w:type="dxa"/>
          </w:tcPr>
          <w:p w:rsidR="0018722C">
            <w:pPr>
              <w:topLinePunct/>
              <w:ind w:leftChars="0" w:left="0" w:rightChars="0" w:right="0" w:firstLineChars="0" w:firstLine="0"/>
              <w:spacing w:line="240" w:lineRule="atLeast"/>
            </w:pPr>
            <w:r>
              <w:t>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95.45</w:t>
            </w:r>
          </w:p>
        </w:tc>
        <w:tc>
          <w:tcPr>
            <w:tcW w:w="1163" w:type="dxa"/>
          </w:tcPr>
          <w:p w:rsidR="0018722C">
            <w:pPr>
              <w:topLinePunct/>
              <w:ind w:leftChars="0" w:left="0" w:rightChars="0" w:right="0" w:firstLineChars="0" w:firstLine="0"/>
              <w:spacing w:line="240" w:lineRule="atLeast"/>
            </w:pPr>
            <w:r>
              <w:t>114.29</w:t>
            </w:r>
          </w:p>
        </w:tc>
        <w:tc>
          <w:tcPr>
            <w:tcW w:w="1163" w:type="dxa"/>
          </w:tcPr>
          <w:p w:rsidR="0018722C">
            <w:pPr>
              <w:topLinePunct/>
              <w:ind w:leftChars="0" w:left="0" w:rightChars="0" w:right="0" w:firstLineChars="0" w:firstLine="0"/>
              <w:spacing w:line="240" w:lineRule="atLeast"/>
            </w:pPr>
            <w:r>
              <w:t>145.10</w:t>
            </w:r>
          </w:p>
        </w:tc>
        <w:tc>
          <w:tcPr>
            <w:tcW w:w="1161" w:type="dxa"/>
          </w:tcPr>
          <w:p w:rsidR="0018722C">
            <w:pPr>
              <w:topLinePunct/>
              <w:ind w:leftChars="0" w:left="0" w:rightChars="0" w:right="0" w:firstLineChars="0" w:firstLine="0"/>
              <w:spacing w:line="240" w:lineRule="atLeast"/>
            </w:pPr>
            <w:r>
              <w:t>275.00</w:t>
            </w:r>
          </w:p>
        </w:tc>
        <w:tc>
          <w:tcPr>
            <w:tcW w:w="1159" w:type="dxa"/>
          </w:tcPr>
          <w:p w:rsidR="0018722C">
            <w:pPr>
              <w:topLinePunct/>
              <w:ind w:leftChars="0" w:left="0" w:rightChars="0" w:right="0" w:firstLineChars="0" w:firstLine="0"/>
              <w:spacing w:line="240" w:lineRule="atLeast"/>
            </w:pPr>
            <w:r>
              <w:t>72.81</w:t>
            </w:r>
          </w:p>
        </w:tc>
        <w:tc>
          <w:tcPr>
            <w:tcW w:w="1154" w:type="dxa"/>
          </w:tcPr>
          <w:p w:rsidR="0018722C">
            <w:pPr>
              <w:topLinePunct/>
              <w:ind w:leftChars="0" w:left="0" w:rightChars="0" w:right="0" w:firstLineChars="0" w:firstLine="0"/>
              <w:spacing w:line="240" w:lineRule="atLeast"/>
            </w:pPr>
            <w:r>
              <w:t>94.74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可支付月数</w:t>
            </w:r>
            <w:r>
              <w:rPr>
                <w:rFonts w:ascii="宋体" w:eastAsia="宋体" w:hint="eastAsia"/>
              </w:rPr>
              <w:t>（</w:t>
            </w:r>
            <w:r>
              <w:rPr>
                <w:rFonts w:ascii="宋体" w:eastAsia="宋体" w:hint="eastAsia"/>
              </w:rPr>
              <w:t>月</w:t>
            </w:r>
            <w:r>
              <w:rPr>
                <w:rFonts w:ascii="宋体" w:eastAsia="宋体" w:hint="eastAsia"/>
              </w:rPr>
              <w:t>）</w:t>
            </w:r>
          </w:p>
        </w:tc>
        <w:tc>
          <w:tcPr>
            <w:tcW w:w="1163" w:type="dxa"/>
          </w:tcPr>
          <w:p w:rsidR="0018722C">
            <w:pPr>
              <w:topLinePunct/>
              <w:ind w:leftChars="0" w:left="0" w:rightChars="0" w:right="0" w:firstLineChars="0" w:firstLine="0"/>
              <w:spacing w:line="240" w:lineRule="atLeast"/>
            </w:pPr>
            <w:r>
              <w:t>168.00</w:t>
            </w:r>
          </w:p>
        </w:tc>
        <w:tc>
          <w:tcPr>
            <w:tcW w:w="1163" w:type="dxa"/>
          </w:tcPr>
          <w:p w:rsidR="0018722C">
            <w:pPr>
              <w:topLinePunct/>
              <w:ind w:leftChars="0" w:left="0" w:rightChars="0" w:right="0" w:firstLineChars="0" w:firstLine="0"/>
              <w:spacing w:line="240" w:lineRule="atLeast"/>
            </w:pPr>
            <w:r>
              <w:t>23.27</w:t>
            </w:r>
          </w:p>
        </w:tc>
        <w:tc>
          <w:tcPr>
            <w:tcW w:w="1163" w:type="dxa"/>
          </w:tcPr>
          <w:p w:rsidR="0018722C">
            <w:pPr>
              <w:topLinePunct/>
              <w:ind w:leftChars="0" w:left="0" w:rightChars="0" w:right="0" w:firstLineChars="0" w:firstLine="0"/>
              <w:spacing w:line="240" w:lineRule="atLeast"/>
            </w:pPr>
            <w:r>
              <w:t>21.66</w:t>
            </w:r>
          </w:p>
        </w:tc>
        <w:tc>
          <w:tcPr>
            <w:tcW w:w="1161" w:type="dxa"/>
          </w:tcPr>
          <w:p w:rsidR="0018722C">
            <w:pPr>
              <w:topLinePunct/>
              <w:ind w:leftChars="0" w:left="0" w:rightChars="0" w:right="0" w:firstLineChars="0" w:firstLine="0"/>
              <w:spacing w:line="240" w:lineRule="atLeast"/>
            </w:pPr>
            <w:r>
              <w:t>11.23</w:t>
            </w:r>
          </w:p>
        </w:tc>
        <w:tc>
          <w:tcPr>
            <w:tcW w:w="1159" w:type="dxa"/>
          </w:tcPr>
          <w:p w:rsidR="0018722C">
            <w:pPr>
              <w:topLinePunct/>
              <w:ind w:leftChars="0" w:left="0" w:rightChars="0" w:right="0" w:firstLineChars="0" w:firstLine="0"/>
              <w:spacing w:line="240" w:lineRule="atLeast"/>
            </w:pPr>
            <w:r>
              <w:t>13.46</w:t>
            </w:r>
          </w:p>
        </w:tc>
        <w:tc>
          <w:tcPr>
            <w:tcW w:w="1154" w:type="dxa"/>
          </w:tcPr>
          <w:p w:rsidR="0018722C">
            <w:pPr>
              <w:widowControl w:val="0"/>
              <w:snapToGrid w:val="1"/>
              <w:spacing w:beforeLines="0" w:afterLines="0" w:lineRule="auto" w:line="240" w:after="0" w:before="29"/>
              <w:ind w:firstLineChars="0" w:firstLine="0" w:leftChars="0" w:left="309" w:rightChars="0" w:right="30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12.27</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2</w:t>
      </w:r>
      <w:r>
        <w:t>可以看出，北京市城镇居民基本医疗保险基金收入呈现不稳定的状况，</w:t>
      </w:r>
      <w:r>
        <w:rPr>
          <w:rFonts w:ascii="Times New Roman" w:eastAsia="宋体"/>
        </w:rPr>
        <w:t>2007-2009</w:t>
      </w:r>
      <w:r>
        <w:t>三年基金收入基本稳定在</w:t>
      </w:r>
      <w:r>
        <w:rPr>
          <w:rFonts w:ascii="Times New Roman" w:eastAsia="宋体"/>
        </w:rPr>
        <w:t>5</w:t>
      </w:r>
      <w:r>
        <w:t>亿元左右，</w:t>
      </w:r>
      <w:r>
        <w:rPr>
          <w:rFonts w:ascii="Times New Roman" w:eastAsia="宋体"/>
        </w:rPr>
        <w:t>2010</w:t>
      </w:r>
      <w:r>
        <w:t>年基金收入减少到不足两亿，</w:t>
      </w:r>
      <w:r>
        <w:rPr>
          <w:rFonts w:ascii="Times New Roman" w:eastAsia="宋体"/>
        </w:rPr>
        <w:t>2011</w:t>
      </w:r>
      <w:r>
        <w:t>年与</w:t>
      </w:r>
      <w:r>
        <w:rPr>
          <w:rFonts w:ascii="Times New Roman" w:eastAsia="宋体"/>
        </w:rPr>
        <w:t>2012</w:t>
      </w:r>
      <w:r>
        <w:t>年基金收入又大幅增长。而与此同时，自</w:t>
      </w:r>
      <w:r>
        <w:rPr>
          <w:rFonts w:ascii="Times New Roman" w:eastAsia="宋体"/>
        </w:rPr>
        <w:t>2007</w:t>
      </w:r>
      <w:r>
        <w:t>年以</w:t>
      </w:r>
      <w:r>
        <w:t>来，基金支出逐年增长。北京市城镇居民基本医疗保险基金结余率整体相比职工</w:t>
      </w:r>
      <w:r>
        <w:t>基本保险基金结余率来言明显偏高，可支付月数均在</w:t>
      </w:r>
      <w:r>
        <w:rPr>
          <w:rFonts w:ascii="Times New Roman" w:eastAsia="宋体"/>
        </w:rPr>
        <w:t>11</w:t>
      </w:r>
      <w:r>
        <w:t>个月以上，有些年份甚</w:t>
      </w:r>
      <w:r>
        <w:t>至超过</w:t>
      </w:r>
      <w:r>
        <w:rPr>
          <w:rFonts w:ascii="Times New Roman" w:eastAsia="宋体"/>
        </w:rPr>
        <w:t>20</w:t>
      </w:r>
      <w:r>
        <w:t>个月。由于</w:t>
      </w:r>
      <w:r>
        <w:rPr>
          <w:rFonts w:ascii="Times New Roman" w:eastAsia="宋体"/>
        </w:rPr>
        <w:t>2010</w:t>
      </w:r>
      <w:r>
        <w:t>年基金收入的突减，</w:t>
      </w:r>
      <w:r>
        <w:rPr>
          <w:rFonts w:ascii="Times New Roman" w:eastAsia="宋体"/>
        </w:rPr>
        <w:t>2010</w:t>
      </w:r>
      <w:r>
        <w:t>年当期结余率接近</w:t>
      </w:r>
      <w:r>
        <w:rPr>
          <w:rFonts w:ascii="Times New Roman" w:eastAsia="宋体"/>
        </w:rPr>
        <w:t>-200%</w:t>
      </w:r>
      <w:r>
        <w:t>，</w:t>
      </w:r>
      <w:r>
        <w:t>但是累计结余率在</w:t>
      </w:r>
      <w:r>
        <w:rPr>
          <w:rFonts w:ascii="Times New Roman" w:eastAsia="宋体"/>
        </w:rPr>
        <w:t>2010</w:t>
      </w:r>
      <w:r>
        <w:t>年出现高峰</w:t>
      </w:r>
      <w:r>
        <w:rPr>
          <w:rFonts w:ascii="Times New Roman" w:eastAsia="宋体"/>
        </w:rPr>
        <w:t>275%</w:t>
      </w:r>
      <w:r>
        <w:t>，说明</w:t>
      </w:r>
      <w:r>
        <w:rPr>
          <w:rFonts w:ascii="Times New Roman" w:eastAsia="宋体"/>
        </w:rPr>
        <w:t>2010</w:t>
      </w:r>
      <w:r>
        <w:t>年减少基金收入很好地降</w:t>
      </w:r>
      <w:r>
        <w:t>低了基金过量结余，将可支付月数降低到了</w:t>
      </w:r>
      <w:r>
        <w:rPr>
          <w:rFonts w:ascii="Times New Roman" w:eastAsia="宋体"/>
        </w:rPr>
        <w:t>11</w:t>
      </w:r>
      <w:r>
        <w:t>个月。</w:t>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年北京市城镇居民基本医疗保险基金结余情况</w: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cw20"/>
        <w:topLinePunct/>
      </w:pPr>
      <w:bookmarkStart w:name="_bookmark25" w:id="16"/>
      <w:bookmarkEnd w:id="16"/>
      <w:r>
        <w:t>13</w:t>
      </w:r>
      <w:r/>
      <w:bookmarkStart w:name="_bookmark25" w:id="17"/>
      <w:bookmarkEnd w:id="17"/>
      <w:r>
        <w:t>数据来源：本人根据中国统计年鉴数据整理所得</w:t>
      </w:r>
    </w:p>
    <w:p w:rsidR="0018722C">
      <w:pPr>
        <w:topLinePunct/>
      </w:pPr>
      <w:r>
        <w:t>总的来说，北京市城镇居民基本医疗保险基金结余率比较高，由于居民医疗</w:t>
      </w:r>
      <w:r>
        <w:t>保险制度实行的时间比较短，制度运行不太平稳，北京市医疗保险经办管理机构</w:t>
      </w:r>
      <w:r>
        <w:t>应该针对这一问题开展调查研究，通过调整缴费率、财政补贴比例、起付线、封</w:t>
      </w:r>
      <w:r>
        <w:t>顶线、医疗保险报销项目范围、医疗费用报销比例等方式，使城镇居民医疗保险基金能够实现“收支平衡、略有结余”的目标。</w:t>
      </w:r>
    </w:p>
    <w:p w:rsidR="0018722C">
      <w:pPr>
        <w:pStyle w:val="Heading1"/>
        <w:topLinePunct/>
      </w:pPr>
      <w:bookmarkStart w:id="569931" w:name="_Toc686569931"/>
      <w:bookmarkStart w:name="_bookmark26" w:id="18"/>
      <w:bookmarkEnd w:id="18"/>
      <w:bookmarkStart w:name="_bookmark27" w:id="19"/>
      <w:bookmarkEnd w:id="19"/>
      <w:r>
        <w:t>第 3 章</w:t>
      </w:r>
      <w:r>
        <w:t xml:space="preserve">  </w:t>
      </w:r>
      <w:r w:rsidRPr="00DB64CE">
        <w:t>影响医疗保险基金收支因素分析</w:t>
      </w:r>
      <w:bookmarkEnd w:id="569931"/>
    </w:p>
    <w:p w:rsidR="0018722C">
      <w:pPr>
        <w:topLinePunct/>
      </w:pPr>
      <w:r>
        <w:t>医疗保险统筹基金建立的原则是“收支平衡、略有结余”，一般来说，基金</w:t>
      </w:r>
      <w:r>
        <w:t>当期出现结余大多是因为当期收入高于当期支出。下面我们从基金收入与支出两个方面进行分析。</w:t>
      </w:r>
    </w:p>
    <w:p w:rsidR="0018722C">
      <w:pPr>
        <w:pStyle w:val="Heading2"/>
        <w:topLinePunct/>
        <w:ind w:left="171" w:hangingChars="171" w:hanging="171"/>
      </w:pPr>
      <w:bookmarkStart w:id="569932" w:name="_Toc686569932"/>
      <w:r>
        <w:t>3.1</w:t>
      </w:r>
      <w:r>
        <w:t xml:space="preserve"> </w:t>
      </w:r>
      <w:r w:rsidRPr="00DB64CE">
        <w:t>影响基金收入因素分析</w:t>
      </w:r>
      <w:bookmarkEnd w:id="569932"/>
    </w:p>
    <w:p w:rsidR="0018722C">
      <w:pPr>
        <w:topLinePunct/>
      </w:pPr>
      <w:r>
        <w:t>影响医疗保险基金收入的因素有很多，各因素对基金收入的影响程度也不同，总结起来，主要有：参保人数、职工平均工资、缴费比例、在职职工比例、死亡率、政府补助和人口老龄化程度等。</w:t>
      </w:r>
    </w:p>
    <w:p w:rsidR="0018722C">
      <w:pPr>
        <w:pStyle w:val="Heading3"/>
        <w:topLinePunct/>
        <w:ind w:left="200" w:hangingChars="200" w:hanging="200"/>
      </w:pPr>
      <w:bookmarkStart w:id="569933" w:name="_Toc686569933"/>
      <w:r>
        <w:t>3.1.1</w:t>
      </w:r>
      <w:r>
        <w:t xml:space="preserve"> </w:t>
      </w:r>
      <w:r w:rsidRPr="00DB64CE">
        <w:t>参保人数</w:t>
      </w:r>
      <w:bookmarkEnd w:id="569933"/>
    </w:p>
    <w:p w:rsidR="0018722C">
      <w:pPr>
        <w:topLinePunct/>
      </w:pPr>
      <w:r>
        <w:t>参保人数是医疗保险基金收入的重要影响因素。并且参保人数与医疗保险基</w:t>
      </w:r>
      <w:r>
        <w:t>金收入呈完全正相关的关系，即在其他变量不变的情况下，参保人数越多，医疗</w:t>
      </w:r>
      <w:r>
        <w:t>保险基金收入越多，且参保人数变化比例与基金收入变化比例相同。下</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w:t>
      </w:r>
    </w:p>
    <w:p w:rsidR="0018722C">
      <w:pPr>
        <w:topLinePunct/>
      </w:pPr>
      <w:r>
        <w:rPr>
          <w:rFonts w:ascii="Times New Roman" w:eastAsia="Times New Roman"/>
        </w:rPr>
        <w:t>3.3</w:t>
      </w:r>
      <w:r>
        <w:t>分别将</w:t>
      </w:r>
      <w:r>
        <w:t>近年</w:t>
      </w:r>
      <w:r>
        <w:t>来北京市三项医疗保险的基金收入与参保人数变化进行对比，可</w:t>
      </w:r>
      <w:r>
        <w:t>以看出，</w:t>
      </w:r>
      <w:r>
        <w:rPr>
          <w:rFonts w:ascii="Times New Roman" w:eastAsia="Times New Roman"/>
        </w:rPr>
        <w:t>2007</w:t>
      </w:r>
      <w:r>
        <w:t>年以来，北京市城镇职工医疗保险制度的参保人数逐年显著上升，</w:t>
      </w:r>
      <w:r>
        <w:t>医疗保险基金收入也呈现出逐年稳步增加的态势，同样，城镇居民基本医疗保险</w:t>
      </w:r>
      <w:r>
        <w:t>的参保人数与基金收入在</w:t>
      </w:r>
      <w:r>
        <w:rPr>
          <w:rFonts w:ascii="Times New Roman" w:eastAsia="Times New Roman"/>
        </w:rPr>
        <w:t>2007</w:t>
      </w:r>
      <w:r>
        <w:t>到</w:t>
      </w:r>
      <w:r>
        <w:rPr>
          <w:rFonts w:ascii="Times New Roman" w:eastAsia="Times New Roman"/>
        </w:rPr>
        <w:t>2012</w:t>
      </w:r>
      <w:r>
        <w:t>年的变化趋势也完全趋同，而且，新型农</w:t>
      </w:r>
      <w:r>
        <w:t>村合作医疗的参合人数与筹资总额除了在</w:t>
      </w:r>
      <w:r>
        <w:rPr>
          <w:rFonts w:ascii="Times New Roman" w:eastAsia="Times New Roman"/>
        </w:rPr>
        <w:t>2012</w:t>
      </w:r>
      <w:r>
        <w:t>年出现反向的关系外，其他年份基本呈现出相同的变化。</w:t>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北京市城镇职工基本医疗保险基金收入与参保人数关系</w:t>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9"/>
        <w:topLinePunct/>
      </w:pPr>
      <w:bookmarkStart w:name="_bookmark28" w:id="20"/>
      <w:bookmarkEnd w:id="20"/>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北京市城镇居民基本医疗保险基金收入与参保人数关系</w:t>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北京市新型农村合作医疗基金筹资总额与参合人数关系</w:t>
      </w:r>
    </w:p>
    <w:p w:rsidR="0018722C">
      <w:pPr>
        <w:pStyle w:val="Heading3"/>
        <w:topLinePunct/>
        <w:ind w:left="200" w:hangingChars="200" w:hanging="200"/>
      </w:pPr>
      <w:bookmarkStart w:id="569934" w:name="_Toc686569934"/>
      <w:r>
        <w:t>3.1.2</w:t>
      </w:r>
      <w:r>
        <w:t xml:space="preserve"> </w:t>
      </w:r>
      <w:r>
        <w:t>职工平均工资</w:t>
      </w:r>
      <w:bookmarkEnd w:id="569934"/>
    </w:p>
    <w:p w:rsidR="0018722C">
      <w:pPr>
        <w:topLinePunct/>
      </w:pPr>
      <w:r>
        <w:t>北京市城镇职工基本医疗保险基金是按照缴费基数的一定比例征收的，缴费</w:t>
      </w:r>
      <w:r>
        <w:t>基数又是按照职工工资确定的。其中，个人缴费基数为本人上一年度月平均工资，</w:t>
      </w:r>
      <w:r>
        <w:t>单位缴费基数为本单位中全体职工缴费基数之和，退休职工每月划入个人账户资</w:t>
      </w:r>
      <w:r>
        <w:t>金的基数为上一年北京市职工的月平均工资。所以，北京市职工的平均工资变化</w:t>
      </w:r>
      <w:r>
        <w:t>会影响城镇职工医疗保险基金的收入，在其他条件不变的情况下，职工平均工资</w:t>
      </w:r>
      <w:r>
        <w:t>与基金收入正相关。北京市城镇居民基本医疗保险制度实行的标准的几次提高对</w:t>
      </w:r>
      <w:r>
        <w:t>基金收入也产生了正向影响。新型农村合作医疗基金中个人缴费比例的确定也与</w:t>
      </w:r>
      <w:r>
        <w:t>参合农民纯收入相关。下</w:t>
      </w:r>
      <w:r>
        <w:t>图</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3.5</w:t>
      </w:r>
      <w:r>
        <w:t>反映的是北京市职工的年平均工资水平分</w:t>
      </w:r>
      <w:r>
        <w:t>别</w:t>
      </w:r>
    </w:p>
    <w:p w:rsidR="0018722C">
      <w:pPr>
        <w:topLinePunct/>
      </w:pPr>
      <w:bookmarkStart w:name="_bookmark29" w:id="21"/>
      <w:bookmarkEnd w:id="21"/>
      <w:r/>
      <w:r>
        <w:t>与城镇职工基本医疗保险基金收入及城镇居民基本医疗保险基金收入之间的关</w:t>
      </w:r>
      <w:r>
        <w:t>系，可以看出，北京市城镇职工基本医疗保险基金收入与城镇居民基本医疗保险基金收入均随着北京市职工年平均工资水平的升高而升高。</w:t>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北京市城镇职工基本医疗保险基金收入与职工工资水平关系</w:t>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北京市城镇居民基本医疗保险基金收入与职工工资水平关系</w:t>
      </w:r>
    </w:p>
    <w:p w:rsidR="0018722C">
      <w:pPr>
        <w:pStyle w:val="Heading3"/>
        <w:topLinePunct/>
        <w:ind w:left="200" w:hangingChars="200" w:hanging="200"/>
      </w:pPr>
      <w:bookmarkStart w:id="569935" w:name="_Toc686569935"/>
      <w:r>
        <w:t>3.1.3</w:t>
      </w:r>
      <w:r>
        <w:t xml:space="preserve"> </w:t>
      </w:r>
      <w:r>
        <w:t>缴费比例</w:t>
      </w:r>
      <w:bookmarkEnd w:id="569935"/>
    </w:p>
    <w:p w:rsidR="0018722C">
      <w:pPr>
        <w:topLinePunct/>
      </w:pPr>
      <w:r>
        <w:t>缴费比例是一项政策性因素，北京市城镇职工基本医疗保险缴费率实行单位</w:t>
      </w:r>
      <w:r>
        <w:t>缴纳</w:t>
      </w:r>
      <w:r>
        <w:rPr>
          <w:rFonts w:ascii="Times New Roman" w:eastAsia="Times New Roman"/>
        </w:rPr>
        <w:t>10%</w:t>
      </w:r>
      <w:r>
        <w:t>，个人缴纳</w:t>
      </w:r>
      <w:r>
        <w:rPr>
          <w:rFonts w:ascii="Times New Roman" w:eastAsia="Times New Roman"/>
        </w:rPr>
        <w:t>2%</w:t>
      </w:r>
      <w:r>
        <w:t>，略高于全国平均水平。我国各个地区根据自身经济发</w:t>
      </w:r>
      <w:r>
        <w:t>展情况及单位与个人承受能力规定不同的缴费比例。一般而言，在其他条件不变的情况下，缴费比例越高，医疗保险基金收入越高。</w:t>
      </w:r>
    </w:p>
    <w:p w:rsidR="0018722C">
      <w:pPr>
        <w:pStyle w:val="Heading3"/>
        <w:topLinePunct/>
        <w:ind w:left="200" w:hangingChars="200" w:hanging="200"/>
      </w:pPr>
      <w:bookmarkStart w:id="569936" w:name="_Toc686569936"/>
      <w:bookmarkStart w:name="_bookmark30" w:id="22"/>
      <w:bookmarkEnd w:id="22"/>
      <w:r>
        <w:t>3.1.4</w:t>
      </w:r>
      <w:r>
        <w:t xml:space="preserve"> </w:t>
      </w:r>
      <w:bookmarkStart w:name="_bookmark30" w:id="23"/>
      <w:bookmarkEnd w:id="23"/>
      <w:r>
        <w:t>在职职工比例</w:t>
      </w:r>
      <w:bookmarkEnd w:id="569936"/>
    </w:p>
    <w:p w:rsidR="0018722C">
      <w:pPr>
        <w:topLinePunct/>
      </w:pPr>
      <w:r>
        <w:t>由于在职职工与所在单位承担着全部城镇职工基本医疗保险金缴纳的任务，</w:t>
      </w:r>
      <w:r>
        <w:t>而退休职工需要不缴费，所以，在职职工比例越多，城镇职工基本医疗保险基金</w:t>
      </w:r>
      <w:r>
        <w:t>收入就越多，退休职工比例越多，城镇职工基本医疗保险基金收入就越少。下图</w:t>
      </w:r>
      <w:r>
        <w:t>反映了北京市</w:t>
      </w:r>
      <w:r>
        <w:rPr>
          <w:rFonts w:ascii="Times New Roman" w:eastAsia="Times New Roman"/>
        </w:rPr>
        <w:t>2007</w:t>
      </w:r>
      <w:r>
        <w:t>年以来在职职工比例及城镇职工基本医疗保险基金收入的关系，两者基本呈现正相关的关系。</w:t>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北京市城镇职工基本医疗保险基金收入与在职职工比例关系</w:t>
      </w:r>
    </w:p>
    <w:p w:rsidR="0018722C">
      <w:pPr>
        <w:pStyle w:val="Heading3"/>
        <w:topLinePunct/>
        <w:ind w:left="200" w:hangingChars="200" w:hanging="200"/>
      </w:pPr>
      <w:bookmarkStart w:id="569937" w:name="_Toc686569937"/>
      <w:r>
        <w:t>3.1.5</w:t>
      </w:r>
      <w:r>
        <w:t xml:space="preserve"> </w:t>
      </w:r>
      <w:r>
        <w:t>死亡率</w:t>
      </w:r>
      <w:bookmarkEnd w:id="569937"/>
    </w:p>
    <w:p w:rsidR="0018722C">
      <w:pPr>
        <w:topLinePunct/>
      </w:pPr>
      <w:r>
        <w:t>这里的死亡率特指，非正常死亡，即尚处于医疗保险缴费阶段的参保的死亡</w:t>
      </w:r>
      <w:r>
        <w:t>率。由于各项疾病及交通意外等突发情况的发生，每年都会发生大量医疗保险参</w:t>
      </w:r>
      <w:r>
        <w:t>保人死亡的现象。这部分人群随着死亡的发生，其缴费义务也会消失，会对医疗保险基金收入产生影响。死亡率越高，医疗保险基金收入越低。</w:t>
      </w:r>
    </w:p>
    <w:p w:rsidR="0018722C">
      <w:pPr>
        <w:pStyle w:val="Heading3"/>
        <w:topLinePunct/>
        <w:ind w:left="200" w:hangingChars="200" w:hanging="200"/>
      </w:pPr>
      <w:bookmarkStart w:id="569938" w:name="_Toc686569938"/>
      <w:r>
        <w:t>3.1.6</w:t>
      </w:r>
      <w:r>
        <w:t xml:space="preserve"> </w:t>
      </w:r>
      <w:r>
        <w:t>政府补助</w:t>
      </w:r>
      <w:bookmarkEnd w:id="569938"/>
    </w:p>
    <w:p w:rsidR="0018722C">
      <w:pPr>
        <w:topLinePunct/>
      </w:pPr>
      <w:r>
        <w:t>北京市城镇职工医疗保险基金由个人和单位共同缴纳，而城镇居民基本医疗</w:t>
      </w:r>
      <w:r>
        <w:t>保险基金与新型农村合作医疗基金由个人和集体缴纳，并由各级政府财政提供补</w:t>
      </w:r>
      <w:r>
        <w:t>贴。所以，政府补贴的水平也会影响城镇居民基本医疗保险基金及新型农村合作</w:t>
      </w:r>
      <w:r>
        <w:t>医疗基金的收入。北京市各级政府也多次提高以上两项医疗保险基金政府补贴水平，以此来保障城镇老人和学生儿童以及失业人员与农民的医疗。</w:t>
      </w:r>
    </w:p>
    <w:p w:rsidR="0018722C">
      <w:pPr>
        <w:pStyle w:val="Heading3"/>
        <w:topLinePunct/>
        <w:ind w:left="200" w:hangingChars="200" w:hanging="200"/>
      </w:pPr>
      <w:bookmarkStart w:id="569939" w:name="_Toc686569939"/>
      <w:r>
        <w:t>3.1.7</w:t>
      </w:r>
      <w:r>
        <w:t xml:space="preserve"> </w:t>
      </w:r>
      <w:r>
        <w:t>人口老龄化</w:t>
      </w:r>
      <w:bookmarkEnd w:id="569939"/>
    </w:p>
    <w:p w:rsidR="0018722C">
      <w:pPr>
        <w:topLinePunct/>
      </w:pPr>
      <w:r>
        <w:t>老年人对医疗保险需求明显要高于年轻人。另外，由于《社会保险法》规定</w:t>
      </w:r>
      <w:r>
        <w:t>退休职工不缴费，所以，老龄化程度与基金收入呈负相关。老龄化程度越高，基</w:t>
      </w:r>
      <w:r>
        <w:t>金收入相对将会减少。老龄化程度对医疗保险基金的影响是一个长期的过程。</w:t>
      </w:r>
      <w:r>
        <w:t>我</w:t>
      </w:r>
    </w:p>
    <w:p w:rsidR="0018722C">
      <w:pPr>
        <w:topLinePunct/>
      </w:pPr>
      <w:bookmarkStart w:name="_bookmark31" w:id="24"/>
      <w:bookmarkEnd w:id="24"/>
      <w:r>
        <w:t>国已经进入快速老龄化阶段，北京市人口老龄化程度也在增加，</w:t>
      </w:r>
      <w:r>
        <w:rPr>
          <w:rFonts w:ascii="Times New Roman" w:eastAsia="Times New Roman"/>
        </w:rPr>
        <w:t>2012</w:t>
      </w:r>
      <w:r>
        <w:t>年，北京</w:t>
      </w:r>
      <w:r>
        <w:t>市</w:t>
      </w:r>
      <w:r>
        <w:rPr>
          <w:rFonts w:ascii="Times New Roman" w:eastAsia="Times New Roman"/>
        </w:rPr>
        <w:t>60</w:t>
      </w:r>
      <w:r>
        <w:t>周岁以上老人占常住人口的</w:t>
      </w:r>
      <w:r>
        <w:rPr>
          <w:rFonts w:ascii="Times New Roman" w:eastAsia="Times New Roman"/>
        </w:rPr>
        <w:t>13</w:t>
      </w:r>
      <w:r>
        <w:rPr>
          <w:rFonts w:ascii="Times New Roman" w:eastAsia="Times New Roman"/>
        </w:rPr>
        <w:t>.</w:t>
      </w:r>
      <w:r>
        <w:rPr>
          <w:rFonts w:ascii="Times New Roman" w:eastAsia="Times New Roman"/>
        </w:rPr>
        <w:t>8%</w:t>
      </w:r>
      <w:r>
        <w:t>，远远超过国际标准</w:t>
      </w:r>
      <w:r>
        <w:rPr>
          <w:rFonts w:ascii="Times New Roman" w:eastAsia="Times New Roman"/>
        </w:rPr>
        <w:t>10%</w:t>
      </w:r>
      <w:r>
        <w:t>，</w:t>
      </w:r>
      <w:r>
        <w:rPr>
          <w:rFonts w:ascii="Times New Roman" w:eastAsia="Times New Roman"/>
        </w:rPr>
        <w:t>65</w:t>
      </w:r>
      <w:r>
        <w:t>周岁以上</w:t>
      </w:r>
      <w:r>
        <w:t>老人占常住人口的</w:t>
      </w:r>
      <w:r>
        <w:rPr>
          <w:rFonts w:ascii="Times New Roman" w:eastAsia="Times New Roman"/>
        </w:rPr>
        <w:t>8</w:t>
      </w:r>
      <w:r>
        <w:rPr>
          <w:rFonts w:ascii="Times New Roman" w:eastAsia="Times New Roman"/>
        </w:rPr>
        <w:t>.</w:t>
      </w:r>
      <w:r>
        <w:rPr>
          <w:rFonts w:ascii="Times New Roman" w:eastAsia="Times New Roman"/>
        </w:rPr>
        <w:t>9%</w:t>
      </w:r>
      <w:r>
        <w:t>，也远远超过国际标准</w:t>
      </w:r>
      <w:r>
        <w:rPr>
          <w:rFonts w:ascii="Times New Roman" w:eastAsia="Times New Roman"/>
        </w:rPr>
        <w:t>7%</w:t>
      </w:r>
      <w:r>
        <w:t>.</w:t>
      </w:r>
      <w:hyperlink w:history="true" w:anchor="_bookmark32">
        <w:r>
          <w:rPr>
            <w:rFonts w:ascii="Times New Roman" w:eastAsia="Times New Roman"/>
          </w:rPr>
          <w:t>1</w:t>
        </w:r>
        <w:r>
          <w:rPr>
            <w:rFonts w:ascii="Times New Roman" w:eastAsia="Times New Roman"/>
          </w:rPr>
          <w:t>4</w:t>
        </w:r>
      </w:hyperlink>
    </w:p>
    <w:p w:rsidR="0018722C">
      <w:pPr>
        <w:pStyle w:val="Heading2"/>
        <w:topLinePunct/>
        <w:ind w:left="171" w:hangingChars="171" w:hanging="171"/>
      </w:pPr>
      <w:bookmarkStart w:id="569940" w:name="_Toc686569940"/>
      <w:r>
        <w:t>3.2</w:t>
      </w:r>
      <w:r>
        <w:t xml:space="preserve"> </w:t>
      </w:r>
      <w:r>
        <w:t>影响基金支出因素分析</w:t>
      </w:r>
      <w:bookmarkEnd w:id="569940"/>
    </w:p>
    <w:p w:rsidR="0018722C">
      <w:pPr>
        <w:topLinePunct/>
      </w:pPr>
      <w:r>
        <w:t>影响基金支出的因素主要包括：预期寿命、起付标准和最高支付限额、医疗费用报销标准、疾病谱的变化、居民健康和保健意识、医疗科技的进步等。</w:t>
      </w:r>
    </w:p>
    <w:p w:rsidR="0018722C">
      <w:pPr>
        <w:pStyle w:val="Heading3"/>
        <w:topLinePunct/>
        <w:ind w:left="200" w:hangingChars="200" w:hanging="200"/>
      </w:pPr>
      <w:bookmarkStart w:id="569941" w:name="_Toc686569941"/>
      <w:r>
        <w:t>3.2.1</w:t>
      </w:r>
      <w:r>
        <w:t xml:space="preserve"> </w:t>
      </w:r>
      <w:r>
        <w:t>预期寿命</w:t>
      </w:r>
      <w:bookmarkEnd w:id="569941"/>
    </w:p>
    <w:p w:rsidR="0018722C">
      <w:pPr>
        <w:topLinePunct/>
      </w:pPr>
      <w:r>
        <w:t>老年人对医疗服务的需求是年轻人的几倍到十几倍，人的预期寿命越长，需</w:t>
      </w:r>
      <w:r>
        <w:t>要的医疗服务就越多。</w:t>
      </w:r>
      <w:r>
        <w:t>近年</w:t>
      </w:r>
      <w:r>
        <w:t>来，北京市人口预期寿命在不断延长，北京市户籍人</w:t>
      </w:r>
      <w:r>
        <w:t>口的预期寿命已经从</w:t>
      </w:r>
      <w:r>
        <w:rPr>
          <w:rFonts w:ascii="Times New Roman" w:eastAsia="Times New Roman"/>
        </w:rPr>
        <w:t>2008</w:t>
      </w:r>
      <w:r>
        <w:t>年的</w:t>
      </w:r>
      <w:r>
        <w:rPr>
          <w:rFonts w:ascii="Times New Roman" w:eastAsia="Times New Roman"/>
        </w:rPr>
        <w:t>80</w:t>
      </w:r>
      <w:r>
        <w:rPr>
          <w:rFonts w:ascii="Times New Roman" w:eastAsia="Times New Roman"/>
        </w:rPr>
        <w:t>.</w:t>
      </w:r>
      <w:r>
        <w:rPr>
          <w:rFonts w:ascii="Times New Roman" w:eastAsia="Times New Roman"/>
        </w:rPr>
        <w:t>27%</w:t>
      </w:r>
      <w:r>
        <w:t>增长到了</w:t>
      </w:r>
      <w:r>
        <w:rPr>
          <w:rFonts w:ascii="Times New Roman" w:eastAsia="Times New Roman"/>
        </w:rPr>
        <w:t>2012</w:t>
      </w:r>
      <w:r>
        <w:t>年的</w:t>
      </w:r>
      <w:r>
        <w:rPr>
          <w:rFonts w:ascii="Times New Roman" w:eastAsia="Times New Roman"/>
        </w:rPr>
        <w:t>81</w:t>
      </w:r>
      <w:r>
        <w:rPr>
          <w:rFonts w:ascii="Times New Roman" w:eastAsia="Times New Roman"/>
        </w:rPr>
        <w:t>.</w:t>
      </w:r>
      <w:r>
        <w:rPr>
          <w:rFonts w:ascii="Times New Roman" w:eastAsia="Times New Roman"/>
        </w:rPr>
        <w:t>35%</w:t>
      </w:r>
      <w:hyperlink w:history="true" w:anchor="_bookmark33">
        <w:r>
          <w:rPr>
            <w:rFonts w:ascii="Times New Roman" w:eastAsia="Times New Roman"/>
          </w:rPr>
          <w:t>15</w:t>
        </w:r>
      </w:hyperlink>
      <w:r>
        <w:t>。人口老龄</w:t>
      </w:r>
      <w:r>
        <w:t>化程度在不断加深，使城镇职工基本医疗保险基金、城镇居民基本医疗保险基金与新型农村合作医疗基金支出的压力也不断增加。</w:t>
      </w:r>
    </w:p>
    <w:p w:rsidR="0018722C">
      <w:pPr>
        <w:pStyle w:val="Heading3"/>
        <w:topLinePunct/>
        <w:ind w:left="200" w:hangingChars="200" w:hanging="200"/>
      </w:pPr>
      <w:bookmarkStart w:id="569942" w:name="_Toc686569942"/>
      <w:r>
        <w:t>3.2.2</w:t>
      </w:r>
      <w:r>
        <w:t xml:space="preserve"> </w:t>
      </w:r>
      <w:r>
        <w:t>起付标准和最高支付限额</w:t>
      </w:r>
      <w:bookmarkEnd w:id="569942"/>
    </w:p>
    <w:p w:rsidR="0018722C">
      <w:pPr>
        <w:topLinePunct/>
      </w:pPr>
      <w:r>
        <w:t>为了防止医疗保险基金的道德风险，医疗保险一般都设置一定的起付线和封</w:t>
      </w:r>
      <w:r>
        <w:t>顶线。一般情况下，起付标准越高，最高支付限额越低，医疗保险基金支出越少。相反，支付标准越低，最高支付限额越高，医疗保险基金支付越多。</w:t>
      </w:r>
    </w:p>
    <w:p w:rsidR="0018722C">
      <w:pPr>
        <w:pStyle w:val="Heading3"/>
        <w:topLinePunct/>
        <w:ind w:left="200" w:hangingChars="200" w:hanging="200"/>
      </w:pPr>
      <w:bookmarkStart w:id="569943" w:name="_Toc686569943"/>
      <w:r>
        <w:t>3.2.3</w:t>
      </w:r>
      <w:r>
        <w:t xml:space="preserve"> </w:t>
      </w:r>
      <w:r>
        <w:t>医疗费用报销标准</w:t>
      </w:r>
      <w:bookmarkEnd w:id="569943"/>
    </w:p>
    <w:p w:rsidR="0018722C">
      <w:pPr>
        <w:topLinePunct/>
      </w:pPr>
      <w:r>
        <w:t>同样为了防范医疗道德风险，维持医疗保险基金可持续发展，医疗保险制度</w:t>
      </w:r>
      <w:r>
        <w:t>中明确规定可报销的医疗项目与各项诊疗项目费用的报销比例。一般来说，可报</w:t>
      </w:r>
      <w:r>
        <w:t>销的项目范围越大，医疗保险基金支出越多，在其他条件不变的情况下，医疗费用报销比例与医疗保险基金支出呈现完全正相关的关系。</w:t>
      </w:r>
    </w:p>
    <w:p w:rsidR="0018722C">
      <w:pPr>
        <w:pStyle w:val="Heading3"/>
        <w:topLinePunct/>
        <w:ind w:left="200" w:hangingChars="200" w:hanging="200"/>
      </w:pPr>
      <w:bookmarkStart w:id="569944" w:name="_Toc686569944"/>
      <w:r>
        <w:t>3.2.4</w:t>
      </w:r>
      <w:r>
        <w:t xml:space="preserve"> </w:t>
      </w:r>
      <w:r>
        <w:t>疾病谱的变化</w:t>
      </w:r>
      <w:bookmarkEnd w:id="569944"/>
    </w:p>
    <w:p w:rsidR="0018722C">
      <w:pPr>
        <w:topLinePunct/>
      </w:pPr>
      <w:r>
        <w:t>疾病谱是指某一地区危害人群健康的所有疾病中按其危害程度</w:t>
      </w:r>
      <w:r>
        <w:t>（</w:t>
      </w:r>
      <w:r>
        <w:t xml:space="preserve">导致死亡</w:t>
      </w:r>
      <w:r>
        <w:t>）</w:t>
      </w:r>
      <w:r>
        <w:t>的顺序排列成的疾病谱带。根据</w:t>
      </w:r>
      <w:r>
        <w:rPr>
          <w:rFonts w:ascii="Times New Roman" w:eastAsia="Times New Roman"/>
        </w:rPr>
        <w:t>2012</w:t>
      </w:r>
      <w:r>
        <w:t>年北京市卫生工作统计资料显示，</w:t>
      </w:r>
      <w:r>
        <w:rPr>
          <w:rFonts w:ascii="Times New Roman" w:eastAsia="Times New Roman"/>
        </w:rPr>
        <w:t>2012</w:t>
      </w:r>
      <w:r>
        <w:t>年</w:t>
      </w:r>
      <w:r>
        <w:t>北京市导致死亡最多的四项疾病分别为：恶性肿瘤、心脏病、脑血管病和呼吸疾</w:t>
      </w:r>
      <w:r>
        <w:t>病，所占比例分别为</w:t>
      </w:r>
      <w:r>
        <w:rPr>
          <w:rFonts w:ascii="Times New Roman" w:eastAsia="Times New Roman"/>
        </w:rPr>
        <w:t>26</w:t>
      </w:r>
      <w:r>
        <w:rPr>
          <w:rFonts w:ascii="Times New Roman" w:eastAsia="Times New Roman"/>
        </w:rPr>
        <w:t>.</w:t>
      </w:r>
      <w:r>
        <w:rPr>
          <w:rFonts w:ascii="Times New Roman" w:eastAsia="Times New Roman"/>
        </w:rPr>
        <w:t>76%</w:t>
      </w:r>
      <w:r>
        <w:t>、</w:t>
      </w:r>
      <w:r>
        <w:rPr>
          <w:rFonts w:ascii="Times New Roman" w:eastAsia="Times New Roman"/>
        </w:rPr>
        <w:t>25.08%</w:t>
      </w:r>
      <w:r>
        <w:t>、</w:t>
      </w:r>
      <w:r>
        <w:rPr>
          <w:rFonts w:ascii="Times New Roman" w:eastAsia="Times New Roman"/>
        </w:rPr>
        <w:t>21.45%</w:t>
      </w:r>
      <w:r>
        <w:t>、</w:t>
      </w:r>
      <w:r>
        <w:rPr>
          <w:rFonts w:ascii="Times New Roman" w:eastAsia="Times New Roman"/>
        </w:rPr>
        <w:t>9.87%</w:t>
      </w:r>
      <w:r>
        <w:t>，合计占比超过</w:t>
      </w:r>
      <w:r>
        <w:rPr>
          <w:rFonts w:ascii="Times New Roman" w:eastAsia="Times New Roman"/>
        </w:rPr>
        <w:t>80%</w:t>
      </w:r>
      <w:r>
        <w:t>。</w:t>
      </w:r>
      <w:r>
        <w:t>以上四项疾病的发生与人们的社会因素、心理因素、环境因素以及生活方式有很</w:t>
      </w:r>
      <w:r>
        <w:t>大关系。北京市人们生活节奏交快，工作压力大，再加上</w:t>
      </w:r>
      <w:r>
        <w:t>近年</w:t>
      </w:r>
      <w:r>
        <w:t>来城市环境污染严</w:t>
      </w:r>
      <w:r>
        <w:t>重，经常出现雾霾，这些因素与恶性肿瘤、心脏病、脑血管病和呼吸疾病的发生</w:t>
      </w:r>
      <w:r>
        <w:t>有很大影响。然而这四种疾病的医疗费用都非常高，所以，疾病谱的变化对医</w:t>
      </w:r>
      <w:r>
        <w:t>疗</w: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数据来源：北京市卫生工作统计资料简编</w:t>
      </w:r>
    </w:p>
    <w:p w:rsidR="0018722C">
      <w:pPr>
        <w:pStyle w:val="Heading3"/>
        <w:topLinePunct/>
        <w:ind w:left="200" w:hangingChars="200" w:hanging="200"/>
      </w:pPr>
      <w:bookmarkStart w:id="569945" w:name="_Toc686569945"/>
      <w:bookmarkStart w:name="_bookmark34" w:id="25"/>
      <w:bookmarkEnd w:id="25"/>
      <w:r/>
      <w:r>
        <w:t>保险基金支出有重要影响。</w:t>
      </w:r>
      <w:bookmarkEnd w:id="569945"/>
    </w:p>
    <w:p w:rsidR="0018722C">
      <w:pPr>
        <w:pStyle w:val="Heading3"/>
        <w:topLinePunct/>
        <w:ind w:left="200" w:hangingChars="200" w:hanging="200"/>
      </w:pPr>
      <w:bookmarkStart w:id="569946" w:name="_Toc686569946"/>
      <w:r>
        <w:t>3.2.5</w:t>
      </w:r>
      <w:r>
        <w:t xml:space="preserve"> </w:t>
      </w:r>
      <w:r>
        <w:t>居民健康和保健意识</w:t>
      </w:r>
      <w:bookmarkEnd w:id="569946"/>
    </w:p>
    <w:p w:rsidR="0018722C">
      <w:pPr>
        <w:topLinePunct/>
      </w:pPr>
      <w:r>
        <w:t>从发达国家来看，随着经济的发展，人民生活水平的提高，卫生、医疗、保</w:t>
      </w:r>
      <w:r>
        <w:t>健费用必然随之上涨。这是因为，一方面，人民收入水平提高，必然会对健康加</w:t>
      </w:r>
      <w:r>
        <w:t>以重视。主要表现在注意锻炼身体、关注营养和饮食、改善不良饮食习惯。另一方面，人们更加注重个人健康，会增加就业频率，导致医疗服务需求增加，就诊和住院量增加，医疗保险基金支出增加。</w:t>
      </w:r>
    </w:p>
    <w:p w:rsidR="0018722C">
      <w:pPr>
        <w:pStyle w:val="Heading3"/>
        <w:topLinePunct/>
        <w:ind w:left="200" w:hangingChars="200" w:hanging="200"/>
      </w:pPr>
      <w:bookmarkStart w:id="569947" w:name="_Toc686569947"/>
      <w:r>
        <w:t>3.2.6</w:t>
      </w:r>
      <w:r>
        <w:t xml:space="preserve"> </w:t>
      </w:r>
      <w:r>
        <w:t>医疗科技的进步</w:t>
      </w:r>
      <w:bookmarkEnd w:id="569947"/>
    </w:p>
    <w:p w:rsidR="0018722C">
      <w:pPr>
        <w:topLinePunct/>
      </w:pPr>
      <w:r>
        <w:t>科学技术是第一生产力，医学事业的发展、医疗质量的提高和功能的扩展都</w:t>
      </w:r>
      <w:r>
        <w:t>依赖于医学科技的进步。我国现阶段医学和医疗科技技术的不断发展带来和药品</w:t>
      </w:r>
      <w:r>
        <w:t>的更新换代，检查和治疗设备的推陈出新，如</w:t>
      </w:r>
      <w:r>
        <w:rPr>
          <w:rFonts w:ascii="Times New Roman" w:eastAsia="Times New Roman"/>
        </w:rPr>
        <w:t>CT</w:t>
      </w:r>
      <w:r>
        <w:t>、</w:t>
      </w:r>
      <w:r>
        <w:rPr>
          <w:rFonts w:ascii="Times New Roman" w:eastAsia="Times New Roman"/>
        </w:rPr>
        <w:t>MRI</w:t>
      </w:r>
      <w:r>
        <w:t>等高精尖仪器的引进和</w:t>
      </w:r>
      <w:r>
        <w:t>使用，对于患者来说，改善了参保者的健康状况，同时也带来了医疗服务成本的提高。医疗科技进步的后果必然是推动医疗费用的增长，导致医疗保险费用支出增加。</w:t>
      </w:r>
    </w:p>
    <w:p w:rsidR="0018722C">
      <w:pPr>
        <w:pStyle w:val="Heading1"/>
        <w:topLinePunct/>
      </w:pPr>
      <w:bookmarkStart w:id="569948" w:name="_Toc686569948"/>
      <w:bookmarkStart w:name="_bookmark35" w:id="26"/>
      <w:bookmarkEnd w:id="26"/>
      <w:bookmarkStart w:name="_bookmark36" w:id="27"/>
      <w:bookmarkEnd w:id="27"/>
      <w:r>
        <w:t>第 4 章</w:t>
      </w:r>
      <w:r>
        <w:t xml:space="preserve">  </w:t>
      </w:r>
      <w:r w:rsidRPr="00DB64CE">
        <w:t>国外及我国其他地区基金管理经验</w:t>
      </w:r>
      <w:bookmarkEnd w:id="569948"/>
    </w:p>
    <w:p w:rsidR="0018722C">
      <w:pPr>
        <w:topLinePunct/>
      </w:pPr>
      <w:r>
        <w:t>基金收支平衡管理是医疗保障制度持续发展的基础，国外部分国家为控制基</w:t>
      </w:r>
      <w:r>
        <w:t>金合理结余，提高基金的使用效率，纷纷建立了风险储备金制度。我国其他地区对医疗保险基金结余管理也进行了相关探索。</w:t>
      </w:r>
    </w:p>
    <w:p w:rsidR="0018722C">
      <w:pPr>
        <w:pStyle w:val="Heading2"/>
        <w:topLinePunct/>
        <w:ind w:left="171" w:hangingChars="171" w:hanging="171"/>
      </w:pPr>
      <w:bookmarkStart w:id="569949" w:name="_Toc686569949"/>
      <w:r>
        <w:t>4.1</w:t>
      </w:r>
      <w:r>
        <w:t xml:space="preserve"> </w:t>
      </w:r>
      <w:r>
        <w:t>国外部分国家医疗保险基金收支管理</w:t>
      </w:r>
      <w:bookmarkEnd w:id="569949"/>
    </w:p>
    <w:p w:rsidR="0018722C">
      <w:pPr>
        <w:topLinePunct/>
      </w:pPr>
      <w:r>
        <w:t>国际上很多国家的医疗保险制度已经实行几十年甚至上百年了，发达国家在医疗保险基金管理和费用控制方面也有着十分丰富的管理经验。</w:t>
      </w:r>
    </w:p>
    <w:p w:rsidR="0018722C">
      <w:pPr>
        <w:topLinePunct/>
      </w:pPr>
      <w:r>
        <w:t>国际劳工组织在《卫生筹资建模》中指出，医疗保险风险储备金累计最高提</w:t>
      </w:r>
      <w:r>
        <w:t>取额会受到基金波动程度、当期提取比例和基金管理水平等因素的影响，一般在</w:t>
      </w:r>
      <w:r>
        <w:t>年支出的</w:t>
      </w:r>
      <w:r>
        <w:rPr>
          <w:rFonts w:ascii="Times New Roman" w:hAnsi="Times New Roman" w:eastAsia="Times New Roman"/>
        </w:rPr>
        <w:t>25%</w:t>
      </w:r>
      <w:r>
        <w:t>至</w:t>
      </w:r>
      <w:r>
        <w:rPr>
          <w:rFonts w:ascii="Times New Roman" w:hAnsi="Times New Roman" w:eastAsia="Times New Roman"/>
        </w:rPr>
        <w:t>100%</w:t>
      </w:r>
      <w:r>
        <w:t>之间。医疗保险制度覆盖范围大并且人口稳定的国家，可</w:t>
      </w:r>
      <w:r>
        <w:t>将风险储备金累计最高提取额定在</w:t>
      </w:r>
      <w:r>
        <w:rPr>
          <w:rFonts w:ascii="Times New Roman" w:hAnsi="Times New Roman" w:eastAsia="Times New Roman"/>
        </w:rPr>
        <w:t>3</w:t>
      </w:r>
      <w:r>
        <w:t>个月的支出水平。基金规模小，人群发病率</w:t>
      </w:r>
      <w:r>
        <w:t>变动大的统筹地区，可能需要将风险储备金累计最高提取额定在</w:t>
      </w:r>
      <w:r>
        <w:rPr>
          <w:rFonts w:ascii="Times New Roman" w:hAnsi="Times New Roman" w:eastAsia="Times New Roman"/>
        </w:rPr>
        <w:t>3</w:t>
      </w:r>
      <w:r>
        <w:t>年的支出水平</w:t>
      </w:r>
      <w:r>
        <w:t>以上。发生瘟疫或者其他公共卫生危机时，常常通过财政拨款弥补医保基金赤字。</w:t>
      </w:r>
      <w:r>
        <w:t>德国风险当期风险储备金提取比例</w:t>
      </w:r>
      <w:r>
        <w:t>（</w:t>
      </w:r>
      <w:r>
        <w:t>占年支出额的比例</w:t>
      </w:r>
      <w:r>
        <w:t>）</w:t>
      </w:r>
      <w:r>
        <w:t>不低于十二分之一</w:t>
      </w:r>
      <w:r>
        <w:t>（</w:t>
      </w:r>
      <w:r>
        <w:t>即一个月的支付水平</w:t>
      </w:r>
      <w:r>
        <w:t>）</w:t>
      </w:r>
      <w:r>
        <w:t>，法国储备金率为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w:t>
      </w:r>
      <w:r>
        <w:t>，荷兰风险储备金是年预期支</w:t>
      </w:r>
      <w:r>
        <w:t>出的</w:t>
      </w:r>
      <w:r>
        <w:rPr>
          <w:rFonts w:ascii="Times New Roman" w:hAnsi="Times New Roman" w:eastAsia="Times New Roman"/>
        </w:rPr>
        <w:t>6%</w:t>
      </w:r>
      <w:r>
        <w:t>。</w:t>
      </w:r>
      <w:hyperlink w:history="true" w:anchor="_bookmark37">
        <w:r>
          <w:rPr>
            <w:vertAlign w:val="superscript"/>
            /&gt;
          </w:rPr>
          <w:t>16</w:t>
        </w:r>
      </w:hyperlink>
      <w:r>
        <w:t>三个国家当期医疗保险风险储备金提取比例均小于</w:t>
      </w:r>
      <w:r>
        <w:rPr>
          <w:rFonts w:ascii="Times New Roman" w:hAnsi="Times New Roman" w:eastAsia="Times New Roman"/>
        </w:rPr>
        <w:t>15%</w:t>
      </w:r>
      <w:r>
        <w:t>。下面将分</w:t>
      </w:r>
      <w:r>
        <w:t>别分析法国、德国、美国医疗保险基金管理方法，探索其保持医疗保险基金平衡</w:t>
      </w:r>
      <w:r>
        <w:t>的有效手段，尤其是如何有效控制医疗费用的方法，从而为北京市医疗保险基金管理提供一定的借鉴意义。</w:t>
      </w:r>
    </w:p>
    <w:p w:rsidR="0018722C">
      <w:pPr>
        <w:pStyle w:val="Heading3"/>
        <w:topLinePunct/>
        <w:ind w:left="200" w:hangingChars="200" w:hanging="200"/>
      </w:pPr>
      <w:bookmarkStart w:id="569950" w:name="_Toc686569950"/>
      <w:r>
        <w:t>4.1.1</w:t>
      </w:r>
      <w:r>
        <w:t xml:space="preserve"> </w:t>
      </w:r>
      <w:r>
        <w:t>法国医疗保险基金管理</w:t>
      </w:r>
      <w:bookmarkEnd w:id="569950"/>
    </w:p>
    <w:p w:rsidR="0018722C">
      <w:pPr>
        <w:topLinePunct/>
      </w:pPr>
      <w:r>
        <w:t>法国在</w:t>
      </w:r>
      <w:r>
        <w:rPr>
          <w:rFonts w:ascii="Times New Roman" w:eastAsia="Times New Roman"/>
        </w:rPr>
        <w:t>1945</w:t>
      </w:r>
      <w:r>
        <w:t>年便创立了医疗保险体系，并且社保体系覆盖了包括企事业单</w:t>
      </w:r>
      <w:r>
        <w:t>位雇员、公务员、工人、农民、自由职业者及退休人员所有国民。目前法国的医</w:t>
      </w:r>
      <w:r>
        <w:t>疗保险制度覆盖率高达</w:t>
      </w:r>
      <w:r>
        <w:rPr>
          <w:rFonts w:ascii="Times New Roman" w:eastAsia="Times New Roman"/>
        </w:rPr>
        <w:t>99</w:t>
      </w:r>
      <w:r>
        <w:rPr>
          <w:rFonts w:ascii="Times New Roman" w:eastAsia="Times New Roman"/>
        </w:rPr>
        <w:t>.</w:t>
      </w:r>
      <w:r>
        <w:rPr>
          <w:rFonts w:ascii="Times New Roman" w:eastAsia="Times New Roman"/>
        </w:rPr>
        <w:t>2%</w:t>
      </w:r>
      <w:r>
        <w:t>，包括全体国民必须参加的基本医疗保险以及自愿</w:t>
      </w:r>
      <w:r>
        <w:t>参加的补充医疗保险，还为部分月均收入低于六百欧元的弱势群体提供免费医</w:t>
      </w:r>
      <w:r>
        <w:t>疗。法国医疗保险基金的管理机构为国家医疗保险管理局，并设有</w:t>
      </w:r>
      <w:r>
        <w:rPr>
          <w:rFonts w:ascii="Times New Roman" w:eastAsia="Times New Roman"/>
        </w:rPr>
        <w:t>17</w:t>
      </w:r>
      <w:r>
        <w:t>个大区分</w:t>
      </w:r>
      <w:r>
        <w:t>局，医疗保险费是由</w:t>
      </w:r>
      <w:r>
        <w:rPr>
          <w:rFonts w:ascii="Times New Roman" w:eastAsia="Times New Roman"/>
        </w:rPr>
        <w:t>ACOSS</w:t>
      </w:r>
      <w:r>
        <w:t>负责征收。</w:t>
      </w:r>
    </w:p>
    <w:p w:rsidR="0018722C">
      <w:pPr>
        <w:topLinePunct/>
      </w:pPr>
      <w:r>
        <w:t>法国医疗卫生费用</w:t>
      </w:r>
      <w:r>
        <w:t>近年</w:t>
      </w:r>
      <w:r>
        <w:t>来呈逐步增长的态势，医疗费用支出总额占</w:t>
      </w:r>
      <w:r>
        <w:rPr>
          <w:rFonts w:ascii="Times New Roman" w:eastAsia="Times New Roman"/>
        </w:rPr>
        <w:t>GDP</w:t>
      </w:r>
      <w:r>
        <w:t>的</w:t>
      </w:r>
      <w:r>
        <w:t>比重均在</w:t>
      </w:r>
      <w:r>
        <w:rPr>
          <w:rFonts w:ascii="Times New Roman" w:eastAsia="Times New Roman"/>
        </w:rPr>
        <w:t>10%</w:t>
      </w:r>
      <w:r>
        <w:t>以上，超过了西方经济发展合作组织成员国家</w:t>
      </w:r>
      <w:r>
        <w:rPr>
          <w:rFonts w:ascii="Times New Roman" w:eastAsia="Times New Roman"/>
        </w:rPr>
        <w:t>9%</w:t>
      </w:r>
      <w:r>
        <w:t>的平均水平。法</w:t>
      </w:r>
      <w:r>
        <w:t>国规定的各项医疗保险基金支付医疗费用的比例为：基本医疗保险基金支</w:t>
      </w:r>
      <w:r>
        <w:t>付</w:t>
      </w:r>
    </w:p>
    <w:p w:rsidR="0018722C">
      <w:pPr>
        <w:topLinePunct/>
      </w:pPr>
      <w:r>
        <w:rPr>
          <w:rFonts w:ascii="Times New Roman" w:eastAsia="Times New Roman"/>
        </w:rPr>
        <w:t>77%</w:t>
      </w:r>
      <w:r>
        <w:t>，补充医疗保险基金支付</w:t>
      </w:r>
      <w:r>
        <w:rPr>
          <w:rFonts w:ascii="Times New Roman" w:eastAsia="Times New Roman"/>
        </w:rPr>
        <w:t>12</w:t>
      </w:r>
      <w:r>
        <w:rPr>
          <w:rFonts w:ascii="Times New Roman" w:eastAsia="Times New Roman"/>
        </w:rPr>
        <w:t>.</w:t>
      </w:r>
      <w:r>
        <w:rPr>
          <w:rFonts w:ascii="Times New Roman" w:eastAsia="Times New Roman"/>
        </w:rPr>
        <w:t>5%</w:t>
      </w:r>
      <w:r>
        <w:t>，个人支付</w:t>
      </w:r>
      <w:r>
        <w:rPr>
          <w:rFonts w:ascii="Times New Roman" w:eastAsia="Times New Roman"/>
        </w:rPr>
        <w:t>9%</w:t>
      </w:r>
      <w:r>
        <w:t>，剩余的</w:t>
      </w:r>
      <w:r>
        <w:rPr>
          <w:rFonts w:ascii="Times New Roman" w:eastAsia="Times New Roman"/>
        </w:rPr>
        <w:t>1</w:t>
      </w:r>
      <w:r>
        <w:rPr>
          <w:rFonts w:ascii="Times New Roman" w:eastAsia="Times New Roman"/>
        </w:rPr>
        <w:t>.</w:t>
      </w:r>
      <w:r>
        <w:rPr>
          <w:rFonts w:ascii="Times New Roman" w:eastAsia="Times New Roman"/>
        </w:rPr>
        <w:t>5%</w:t>
      </w:r>
      <w:r>
        <w:t>由国家补助。</w: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国际劳动工组织，卫生筹资建模，</w:t>
      </w:r>
      <w:r>
        <w:rPr>
          <w:rFonts w:ascii="Times New Roman" w:eastAsia="Times New Roman" w:cstheme="minorBidi" w:hAnsiTheme="minorHAnsi"/>
        </w:rPr>
        <w:t>1999</w:t>
      </w:r>
    </w:p>
    <w:p w:rsidR="0018722C">
      <w:pPr>
        <w:topLinePunct/>
      </w:pPr>
      <w:bookmarkStart w:name="_bookmark38" w:id="28"/>
      <w:bookmarkEnd w:id="28"/>
      <w:r>
        <w:t>但在</w:t>
      </w:r>
      <w:r>
        <w:rPr>
          <w:rFonts w:ascii="Times New Roman" w:eastAsia="Times New Roman"/>
        </w:rPr>
        <w:t>2004</w:t>
      </w:r>
      <w:r>
        <w:t>年之前，个人承担医疗卫生费用的比例高达</w:t>
      </w:r>
      <w:r>
        <w:rPr>
          <w:rFonts w:ascii="Times New Roman" w:eastAsia="Times New Roman"/>
        </w:rPr>
        <w:t>16</w:t>
      </w:r>
      <w:r>
        <w:rPr>
          <w:rFonts w:ascii="Times New Roman" w:eastAsia="Times New Roman"/>
        </w:rPr>
        <w:t>.</w:t>
      </w:r>
      <w:r>
        <w:rPr>
          <w:rFonts w:ascii="Times New Roman" w:eastAsia="Times New Roman"/>
        </w:rPr>
        <w:t>8%</w:t>
      </w:r>
      <w:r>
        <w:t>。随着医疗卫生费用的不断上涨，医疗保险支出费用的比例也逐步攀升。</w:t>
      </w:r>
    </w:p>
    <w:p w:rsidR="0018722C">
      <w:pPr>
        <w:topLinePunct/>
      </w:pPr>
      <w:r>
        <w:t>法国医疗保险基金长期处于赤字状态，为了控制法国卫生费用的过快增长，</w:t>
      </w:r>
      <w:r>
        <w:t>改善医疗保险基金入不敷出的状况，调节卫生资源的配置，提高其利用效率，法</w:t>
      </w:r>
      <w:r>
        <w:t>国政府开展了一系列调控政策和措施。</w:t>
      </w:r>
      <w:r>
        <w:rPr>
          <w:rFonts w:ascii="Times New Roman" w:eastAsia="Times New Roman"/>
        </w:rPr>
        <w:t>2004</w:t>
      </w:r>
      <w:r>
        <w:t>年法国开始实施</w:t>
      </w:r>
      <w:r>
        <w:rPr>
          <w:rFonts w:ascii="Times New Roman" w:eastAsia="Times New Roman"/>
        </w:rPr>
        <w:t>Douste-Blazy</w:t>
      </w:r>
      <w:r>
        <w:t>改革，</w:t>
      </w:r>
      <w:r>
        <w:t>该项政策主要从以下七个方面进行改革：一是强化医疗服务程序的规范性和协调</w:t>
      </w:r>
      <w:r>
        <w:t>性，医生需要为病人建立个人档案并且严格按照医疗服务程序执行，否则会受到</w:t>
      </w:r>
      <w:r>
        <w:t>处罚。二是加强医疗服务的质量控制，对各项医疗服务进行严格评估，监督医疗</w:t>
      </w:r>
      <w:r>
        <w:t>服务决策权的实行。三是优化项目管理，减少医疗保险基金支付过程中的错误操</w:t>
      </w:r>
      <w:r>
        <w:t>作。四是充分发挥国家医疗保险管理中心的统筹协调管理职能。五是通过设置自</w:t>
      </w:r>
      <w:r>
        <w:t>付比例和起付线来防范道德风险，制度规定单次诊疗的费用需由个人自付</w:t>
      </w:r>
      <w:r>
        <w:rPr>
          <w:rFonts w:ascii="Times New Roman" w:eastAsia="Times New Roman"/>
        </w:rPr>
        <w:t>1</w:t>
      </w:r>
      <w:r>
        <w:t>欧</w:t>
      </w:r>
      <w:r>
        <w:t>元，每盒药自付</w:t>
      </w:r>
      <w:r>
        <w:rPr>
          <w:rFonts w:ascii="Times New Roman" w:eastAsia="Times New Roman"/>
        </w:rPr>
        <w:t>0</w:t>
      </w:r>
      <w:r>
        <w:rPr>
          <w:rFonts w:ascii="Times New Roman" w:eastAsia="Times New Roman"/>
        </w:rPr>
        <w:t>.</w:t>
      </w:r>
      <w:r>
        <w:rPr>
          <w:rFonts w:ascii="Times New Roman" w:eastAsia="Times New Roman"/>
        </w:rPr>
        <w:t>5</w:t>
      </w:r>
      <w:r>
        <w:t>欧元，同时规定了一些需要完全自费的非常规检查项目。六</w:t>
      </w:r>
      <w:r>
        <w:t>是医疗保险机构参与公共健康管理，确保医疗服务信息的真实可靠。七是加大对医疗保险参保者的政策宣传力度。</w:t>
      </w:r>
    </w:p>
    <w:p w:rsidR="0018722C">
      <w:pPr>
        <w:pStyle w:val="Heading3"/>
        <w:topLinePunct/>
        <w:ind w:left="200" w:hangingChars="200" w:hanging="200"/>
      </w:pPr>
      <w:bookmarkStart w:id="569951" w:name="_Toc686569951"/>
      <w:r>
        <w:t>4.1.2</w:t>
      </w:r>
      <w:r>
        <w:t xml:space="preserve"> </w:t>
      </w:r>
      <w:r>
        <w:t>德国医疗保险基金管理</w:t>
      </w:r>
      <w:bookmarkEnd w:id="569951"/>
    </w:p>
    <w:p w:rsidR="0018722C">
      <w:pPr>
        <w:topLinePunct/>
      </w:pPr>
      <w:r>
        <w:t>德国在</w:t>
      </w:r>
      <w:r>
        <w:rPr>
          <w:rFonts w:ascii="Times New Roman" w:eastAsia="Times New Roman"/>
        </w:rPr>
        <w:t>1883</w:t>
      </w:r>
      <w:r>
        <w:t>年通过立法建立了国家医疗保险，即《工人疾病保险法》，这一</w:t>
      </w:r>
      <w:r>
        <w:t>法律的颁布至今已有</w:t>
      </w:r>
      <w:r>
        <w:rPr>
          <w:rFonts w:ascii="Times New Roman" w:eastAsia="Times New Roman"/>
        </w:rPr>
        <w:t>130</w:t>
      </w:r>
      <w:r>
        <w:t>年了，在这一百多年中，德国医疗保险也在不断地完善</w:t>
      </w:r>
      <w:r>
        <w:t>与改革，医疗保险的覆盖率以及待遇水平都有了很大的提高，大约</w:t>
      </w:r>
      <w:r>
        <w:rPr>
          <w:rFonts w:ascii="Times New Roman" w:eastAsia="Times New Roman"/>
        </w:rPr>
        <w:t>88%</w:t>
      </w:r>
      <w:r>
        <w:t>的国民均</w:t>
      </w:r>
      <w:r>
        <w:t>参加了强制性健康保险，有</w:t>
      </w:r>
      <w:r>
        <w:rPr>
          <w:rFonts w:ascii="Times New Roman" w:eastAsia="Times New Roman"/>
        </w:rPr>
        <w:t>10%</w:t>
      </w:r>
      <w:r>
        <w:t>的高收入群体参加私人保险，另外还有</w:t>
      </w:r>
      <w:r>
        <w:rPr>
          <w:rFonts w:ascii="Times New Roman" w:eastAsia="Times New Roman"/>
        </w:rPr>
        <w:t>2%</w:t>
      </w:r>
      <w:r>
        <w:t>的人口享受免费医疗，主要是军人与警察。</w:t>
      </w:r>
    </w:p>
    <w:p w:rsidR="0018722C">
      <w:pPr>
        <w:topLinePunct/>
      </w:pPr>
      <w:r>
        <w:t>在德国的社保体系下，通常每个险种都会有一个独立的社会保险经办机构，</w:t>
      </w:r>
      <w:r>
        <w:t>医疗保险的经办机构也是医疗保险基金管理机构。这种组织机构形式保障了医疗</w:t>
      </w:r>
      <w:r>
        <w:t>保险本身和保险机构的财务分离。德国所有的社会保险经办机构都是具有权利能</w:t>
      </w:r>
      <w:r>
        <w:t>力的法人，而不是国家机关，所以，社会保险的财政预算与决策都需要议会的批准，这在一定程度上使得德国社会保险在履行自身职责时被有效的监督。</w:t>
      </w:r>
    </w:p>
    <w:p w:rsidR="0018722C">
      <w:pPr>
        <w:topLinePunct/>
      </w:pPr>
      <w:r>
        <w:t>与法国相比，德国卫生费用支出总体保持稳定，其中公共医疗支出占总医疗</w:t>
      </w:r>
      <w:r>
        <w:t>支出的比重也相对比较平衡，人均医疗费用较其他</w:t>
      </w:r>
      <w:r>
        <w:rPr>
          <w:rFonts w:ascii="Times New Roman" w:eastAsia="宋体"/>
        </w:rPr>
        <w:t>OECD</w:t>
      </w:r>
      <w:r>
        <w:t>国家较低。</w:t>
      </w:r>
      <w:r>
        <w:t>近年</w:t>
      </w:r>
      <w:r>
        <w:t>来，</w:t>
      </w:r>
      <w:r>
        <w:t>德国联邦政府采取了一系列措施来控制卫生保健费用，并竭力稳定健康保险制度</w:t>
      </w:r>
      <w:r>
        <w:t>保险金收费率。</w:t>
      </w:r>
      <w:r>
        <w:rPr>
          <w:rFonts w:ascii="Times New Roman" w:eastAsia="宋体"/>
        </w:rPr>
        <w:t>1989</w:t>
      </w:r>
      <w:r>
        <w:t>年德国制定了药品参考价格制度，这项制度规定了药店</w:t>
      </w:r>
      <w:r>
        <w:t>从</w:t>
      </w:r>
    </w:p>
    <w:p w:rsidR="0018722C">
      <w:pPr>
        <w:topLinePunct/>
      </w:pPr>
      <w:bookmarkStart w:name="_bookmark39" w:id="29"/>
      <w:bookmarkEnd w:id="29"/>
      <w:r/>
      <w:r>
        <w:t>健康保险制度疾病基金会取得药品的价格上限，从而有效控制了药品费用支出。</w:t>
      </w:r>
    </w:p>
    <w:p w:rsidR="0018722C">
      <w:pPr>
        <w:topLinePunct/>
      </w:pPr>
      <w:r>
        <w:rPr>
          <w:rFonts w:ascii="Times New Roman" w:eastAsia="Times New Roman"/>
        </w:rPr>
        <w:t>1993</w:t>
      </w:r>
      <w:r>
        <w:t>年德国制定了卫生保健部门全面预算制度，规定各卫生保健部门必须在预算内开展医疗服务，并且规定预算涵盖了所有的卫生保健费用，包括住院治疗、</w:t>
      </w:r>
      <w:r>
        <w:t>门诊治疗、处方药品费用以及残疾基金会的管理费用等。同时对医院实行新的价</w:t>
      </w:r>
      <w:r>
        <w:t>格制度，限制新的医生进入，加强门诊与住院服务之间的联系，允许参保者自由</w:t>
      </w:r>
      <w:r>
        <w:t>选择疾病基金会。</w:t>
      </w:r>
      <w:r>
        <w:rPr>
          <w:rFonts w:ascii="Times New Roman" w:eastAsia="Times New Roman"/>
        </w:rPr>
        <w:t>1997</w:t>
      </w:r>
      <w:r>
        <w:t>年德国对健康保险制度进行了重组与重新定，规定各个</w:t>
      </w:r>
      <w:r>
        <w:t>疾病基金会之间可以进行资金调剂。主要包括：用于大额支付的州协会和全联邦</w:t>
      </w:r>
      <w:r>
        <w:t>协会的机构间协调金、由最高一级医疗保险管理机构协会形成的可以在紧急情况</w:t>
      </w:r>
      <w:r>
        <w:t>下使用的转移财政援助、医疗管理机构之间的风险调剂金和用于改善慢性病患者</w:t>
      </w:r>
      <w:r>
        <w:t>医疗的项目特别调剂金。单就医疗管理机构之间的风险调剂金一项，在</w:t>
      </w:r>
      <w:r>
        <w:rPr>
          <w:rFonts w:ascii="Times New Roman" w:eastAsia="Times New Roman"/>
        </w:rPr>
        <w:t>2001</w:t>
      </w:r>
      <w:r>
        <w:t>年</w:t>
      </w:r>
      <w:r>
        <w:t>资金转移规模就有</w:t>
      </w:r>
      <w:r>
        <w:rPr>
          <w:rFonts w:ascii="Times New Roman" w:eastAsia="Times New Roman"/>
        </w:rPr>
        <w:t>130</w:t>
      </w:r>
      <w:r>
        <w:t>亿欧元。</w:t>
      </w:r>
      <w:hyperlink w:history="true" w:anchor="_bookmark40">
        <w:r>
          <w:rPr>
            <w:rFonts w:ascii="Times New Roman" w:eastAsia="Times New Roman"/>
          </w:rPr>
          <w:t>1</w:t>
        </w:r>
        <w:r>
          <w:rPr>
            <w:rFonts w:ascii="Times New Roman" w:eastAsia="Times New Roman"/>
          </w:rPr>
          <w:t>7</w:t>
        </w:r>
      </w:hyperlink>
    </w:p>
    <w:p w:rsidR="0018722C">
      <w:pPr>
        <w:topLinePunct/>
      </w:pPr>
      <w:r>
        <w:t>事实上，德国的医疗保险基金调剂制度也在逐步改革，从以收入为导向的调</w:t>
      </w:r>
      <w:r>
        <w:t>剂制度向以发病率为导向的调剂制度进行转变，以期能够有效遏制医疗保险基金管理机构间被扭曲的竞争，从而将医疗保险的费用支出控制在更为合理的范围。</w:t>
      </w:r>
      <w:r>
        <w:t>除了财政调剂金的规定，德国为减轻财政负担，进一步改善医疗保险基金的运营</w:t>
      </w:r>
      <w:r>
        <w:t>情况，在</w:t>
      </w:r>
      <w:r>
        <w:rPr>
          <w:rFonts w:ascii="Times New Roman" w:eastAsia="宋体"/>
        </w:rPr>
        <w:t>2004</w:t>
      </w:r>
      <w:r>
        <w:t>年实行了一系列旨在控制医疗费用的改革措施开源节流。开源方</w:t>
      </w:r>
      <w:r>
        <w:t>面包括增加缴费，将非工资性收入也纳入工资收入之中，全部计入缴费基数，通</w:t>
      </w:r>
      <w:r>
        <w:t>过提高烟草税收来弥补家庭护理费开支。节流方面包括减少医疗保险不必要的支</w:t>
      </w:r>
      <w:r>
        <w:t>出项目，例如假牙、隐形眼镜等，提高住院费用的自付比例，加强家庭医疗护理。</w:t>
      </w:r>
    </w:p>
    <w:p w:rsidR="0018722C">
      <w:pPr>
        <w:pStyle w:val="Heading3"/>
        <w:topLinePunct/>
        <w:ind w:left="200" w:hangingChars="200" w:hanging="200"/>
      </w:pPr>
      <w:bookmarkStart w:id="569952" w:name="_Toc686569952"/>
      <w:r>
        <w:t>4.1.3</w:t>
      </w:r>
      <w:r>
        <w:t xml:space="preserve"> </w:t>
      </w:r>
      <w:r>
        <w:t>美国医疗保险基金管理</w:t>
      </w:r>
      <w:bookmarkEnd w:id="569952"/>
    </w:p>
    <w:p w:rsidR="0018722C">
      <w:pPr>
        <w:topLinePunct/>
      </w:pPr>
      <w:r>
        <w:t>美国现行的医疗保险制度不同于德国和法国，美国并没有全国统一的医疗保险，而国民医疗保障主要由私人医疗保险和公共医疗保险两大类保险计划提供，</w:t>
      </w:r>
      <w:r w:rsidR="001852F3">
        <w:t xml:space="preserve">它属于混合型的医疗保障制度。</w:t>
      </w:r>
      <w:hyperlink w:history="true" w:anchor="_bookmark41">
        <w:r>
          <w:rPr>
            <w:rFonts w:ascii="Times New Roman" w:eastAsia="Times New Roman"/>
          </w:rPr>
          <w:t>18</w:t>
        </w:r>
      </w:hyperlink>
      <w:r>
        <w:t>其中，公共医疗保险主要包含七个保险项目：</w:t>
      </w:r>
      <w:r>
        <w:t>联邦雇员健康福利项目</w:t>
      </w:r>
      <w:r>
        <w:t>（</w:t>
      </w:r>
      <w:r>
        <w:rPr>
          <w:rFonts w:ascii="Times New Roman" w:eastAsia="Times New Roman"/>
          <w:spacing w:val="-1"/>
        </w:rPr>
        <w:t>F</w:t>
      </w:r>
      <w:r>
        <w:rPr>
          <w:rFonts w:ascii="Times New Roman" w:eastAsia="Times New Roman"/>
          <w:spacing w:val="0"/>
        </w:rPr>
        <w:t>EH</w:t>
      </w:r>
      <w:r>
        <w:rPr>
          <w:rFonts w:ascii="Times New Roman" w:eastAsia="Times New Roman"/>
        </w:rPr>
        <w:t>B</w:t>
      </w:r>
      <w:r>
        <w:rPr>
          <w:rFonts w:ascii="Times New Roman" w:eastAsia="Times New Roman"/>
          <w:spacing w:val="1"/>
        </w:rPr>
        <w:t>P</w:t>
      </w:r>
      <w:r>
        <w:t>）</w:t>
      </w:r>
      <w:r>
        <w:t>、三军医疗照护计划</w:t>
      </w:r>
      <w:r>
        <w:t>（</w:t>
      </w:r>
      <w:r>
        <w:rPr>
          <w:rFonts w:ascii="Times New Roman" w:eastAsia="Times New Roman"/>
          <w:spacing w:val="0"/>
        </w:rPr>
        <w:t>T</w:t>
      </w:r>
      <w:r>
        <w:rPr>
          <w:rFonts w:ascii="Times New Roman" w:eastAsia="Times New Roman"/>
        </w:rPr>
        <w:t>R</w:t>
      </w:r>
      <w:r>
        <w:rPr>
          <w:rFonts w:ascii="Times New Roman" w:eastAsia="Times New Roman"/>
          <w:spacing w:val="-2"/>
        </w:rPr>
        <w:t>I</w:t>
      </w:r>
      <w:r>
        <w:rPr>
          <w:rFonts w:ascii="Times New Roman" w:eastAsia="Times New Roman"/>
        </w:rPr>
        <w:t>C</w:t>
      </w:r>
      <w:r>
        <w:rPr>
          <w:rFonts w:ascii="Times New Roman" w:eastAsia="Times New Roman"/>
          <w:spacing w:val="0"/>
        </w:rPr>
        <w:t>A</w:t>
      </w:r>
      <w:r>
        <w:rPr>
          <w:rFonts w:ascii="Times New Roman" w:eastAsia="Times New Roman"/>
        </w:rPr>
        <w:t>R</w:t>
      </w:r>
      <w:r>
        <w:rPr>
          <w:rFonts w:ascii="Times New Roman" w:eastAsia="Times New Roman"/>
          <w:spacing w:val="0"/>
        </w:rPr>
        <w:t>E</w:t>
      </w:r>
      <w:r>
        <w:t>）</w:t>
      </w:r>
      <w:r>
        <w:t>、退伍军人</w:t>
      </w:r>
      <w:r>
        <w:t>健康计划</w:t>
      </w:r>
      <w:r>
        <w:t>（</w:t>
      </w:r>
      <w:r>
        <w:rPr>
          <w:rFonts w:ascii="Times New Roman" w:eastAsia="Times New Roman"/>
          <w:spacing w:val="0"/>
        </w:rPr>
        <w:t>VH</w:t>
      </w:r>
      <w:r>
        <w:rPr>
          <w:rFonts w:ascii="Times New Roman" w:eastAsia="Times New Roman"/>
          <w:spacing w:val="0"/>
        </w:rPr>
        <w:t>A</w:t>
      </w:r>
      <w:r>
        <w:t>）</w:t>
      </w:r>
      <w:r>
        <w:t>、印第安人健康计划</w:t>
      </w:r>
      <w:r>
        <w:t>（</w:t>
      </w:r>
      <w:r>
        <w:rPr>
          <w:rFonts w:ascii="Times New Roman" w:eastAsia="Times New Roman"/>
          <w:spacing w:val="-2"/>
        </w:rPr>
        <w:t>I</w:t>
      </w:r>
      <w:r>
        <w:rPr>
          <w:rFonts w:ascii="Times New Roman" w:eastAsia="Times New Roman"/>
          <w:spacing w:val="0"/>
        </w:rPr>
        <w:t>H</w:t>
      </w:r>
      <w:r>
        <w:rPr>
          <w:rFonts w:ascii="Times New Roman" w:eastAsia="Times New Roman"/>
        </w:rPr>
        <w:t>S</w:t>
      </w:r>
      <w:r>
        <w:t>）</w:t>
      </w:r>
      <w:r>
        <w:t>、医疗救助计划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rPr>
        <w:t>i</w:t>
      </w:r>
      <w:r>
        <w:rPr>
          <w:rFonts w:ascii="Times New Roman" w:eastAsia="Times New Roman"/>
          <w:spacing w:val="0"/>
        </w:rPr>
        <w:t>d</w:t>
      </w:r>
      <w:r>
        <w:t>）</w:t>
      </w:r>
      <w:r>
        <w:t>、州儿</w:t>
      </w:r>
      <w:r>
        <w:t>童健康保险计划</w:t>
      </w:r>
      <w:r>
        <w:t>（</w:t>
      </w:r>
      <w:r>
        <w:rPr>
          <w:rFonts w:ascii="Times New Roman" w:eastAsia="Times New Roman"/>
        </w:rPr>
        <w:t>SC</w:t>
      </w:r>
      <w:r>
        <w:rPr>
          <w:rFonts w:ascii="Times New Roman" w:eastAsia="Times New Roman"/>
          <w:spacing w:val="0"/>
        </w:rPr>
        <w:t>H</w:t>
      </w:r>
      <w:r>
        <w:rPr>
          <w:rFonts w:ascii="Times New Roman" w:eastAsia="Times New Roman"/>
          <w:spacing w:val="-2"/>
        </w:rPr>
        <w:t>I</w:t>
      </w:r>
      <w:r>
        <w:rPr>
          <w:rFonts w:ascii="Times New Roman" w:eastAsia="Times New Roman"/>
          <w:spacing w:val="1"/>
        </w:rPr>
        <w:t>P</w:t>
      </w:r>
      <w:r>
        <w:t>）</w:t>
      </w:r>
      <w:r>
        <w:t>、医疗照顾计划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spacing w:val="0"/>
        </w:rPr>
        <w:t>re</w:t>
      </w:r>
      <w:r>
        <w:t>）</w:t>
      </w:r>
      <w:r>
        <w:t>。它由联邦政府进行筹资，</w:t>
      </w:r>
      <w:r>
        <w:t>专门为以上特定人群提供医疗保障。私人医疗保险主要由雇主性医疗保险和个人</w:t>
      </w:r>
      <w:r>
        <w:t>医疗保险两部分组成。雇主性医疗保险由雇主自愿提供的，商业性个人医疗保险，</w:t>
      </w:r>
      <w:r w:rsidR="001852F3">
        <w:t xml:space="preserve">可以为自己在市场上自由购买，目前美国在此保险覆盖范围内的人口数量大约</w:t>
      </w:r>
      <w:r w:rsidR="001852F3">
        <w:t>有</w: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Axel Reimann</w:t>
      </w:r>
      <w:r>
        <w:rPr>
          <w:rFonts w:cstheme="minorBidi" w:hAnsiTheme="minorHAnsi" w:eastAsiaTheme="minorHAnsi" w:asciiTheme="minorHAnsi"/>
        </w:rPr>
        <w:t>，中德社会保险基金管理法之比较</w:t>
      </w:r>
    </w:p>
    <w:p w:rsidR="0018722C">
      <w:pPr>
        <w:topLinePunct/>
      </w:pPr>
      <w:r>
        <w:rPr>
          <w:rFonts w:cstheme="minorBidi" w:hAnsiTheme="minorHAnsi" w:eastAsiaTheme="minorHAnsi" w:asciiTheme="minorHAnsi" w:ascii="Times New Roman" w:hAnsi="Times New Roman" w:eastAsia="Times New Roman"/>
        </w:rPr>
        <w:t>18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郑功成</w:t>
      </w:r>
      <w:r>
        <w:rPr>
          <w:rFonts w:ascii="Times New Roman" w:hAnsi="Times New Roman" w:eastAsia="Times New Roman" w:cstheme="minorBidi"/>
        </w:rPr>
        <w:t>.</w:t>
      </w:r>
      <w:r>
        <w:rPr>
          <w:rFonts w:cstheme="minorBidi" w:hAnsiTheme="minorHAnsi" w:eastAsiaTheme="minorHAnsi" w:asciiTheme="minorHAnsi"/>
        </w:rPr>
        <w:t>社会保障学——理念、制度、实践与思辨，商务印书馆</w:t>
      </w:r>
      <w:r>
        <w:rPr>
          <w:rFonts w:ascii="Times New Roman" w:hAnsi="Times New Roman" w:eastAsia="Times New Roman" w:cstheme="minorBidi"/>
        </w:rPr>
        <w:t>.2000</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ascii="Times New Roman" w:hAnsi="Times New Roman" w:eastAsia="Times New Roman" w:cstheme="minorBidi"/>
        </w:rPr>
        <w:t>287.</w:t>
      </w:r>
    </w:p>
    <w:p w:rsidR="0018722C">
      <w:pPr>
        <w:topLinePunct/>
      </w:pPr>
      <w:bookmarkStart w:name="_bookmark42" w:id="30"/>
      <w:bookmarkEnd w:id="30"/>
      <w:r/>
      <w:r>
        <w:rPr>
          <w:rFonts w:ascii="Times New Roman" w:eastAsia="Times New Roman"/>
        </w:rPr>
        <w:t>1700</w:t>
      </w:r>
      <w:r>
        <w:t>万。有研究认为，美国以商业医疗保险为主的模式，充分发挥了市场调剂功能，广泛存在的健康维护组织</w:t>
      </w:r>
      <w:r>
        <w:t>（</w:t>
      </w:r>
      <w:r>
        <w:rPr>
          <w:rFonts w:ascii="Times New Roman" w:eastAsia="Times New Roman"/>
        </w:rPr>
        <w:t>HMO</w:t>
      </w:r>
      <w:r>
        <w:t>）</w:t>
      </w:r>
      <w:r>
        <w:t>打破了传统的参保者、医疗保险和医</w:t>
      </w:r>
      <w:r>
        <w:t>疗服务提供者的三角关系，将医疗保险机构与医疗服务机构合二为一，从而能够有效地控制医疗费用支出。</w:t>
      </w:r>
      <w:hyperlink w:history="true" w:anchor="_bookmark43">
        <w:r>
          <w:rPr>
            <w:rFonts w:ascii="Times New Roman" w:eastAsia="Times New Roman"/>
          </w:rPr>
          <w:t>1</w:t>
        </w:r>
        <w:r>
          <w:rPr>
            <w:rFonts w:ascii="Times New Roman" w:eastAsia="Times New Roman"/>
          </w:rPr>
          <w:t>9</w:t>
        </w:r>
      </w:hyperlink>
    </w:p>
    <w:p w:rsidR="0018722C">
      <w:pPr>
        <w:topLinePunct/>
      </w:pPr>
      <w:r>
        <w:t>美国医疗费用支出占</w:t>
      </w:r>
      <w:r>
        <w:rPr>
          <w:rFonts w:ascii="Times New Roman" w:eastAsia="Times New Roman"/>
        </w:rPr>
        <w:t>GDP</w:t>
      </w:r>
      <w:r>
        <w:t>的比重明显高于其他</w:t>
      </w:r>
      <w:r>
        <w:rPr>
          <w:rFonts w:ascii="Times New Roman" w:eastAsia="Times New Roman"/>
        </w:rPr>
        <w:t>OECD</w:t>
      </w:r>
      <w:r>
        <w:t>国家，超出其他主要</w:t>
      </w:r>
      <w:r>
        <w:t>工业化国家的两倍。虽然美国以私人医疗保险为主，商业医疗保险基金支付占医</w:t>
      </w:r>
      <w:r>
        <w:t>疗费用支出的</w:t>
      </w:r>
      <w:r>
        <w:rPr>
          <w:rFonts w:ascii="Times New Roman" w:eastAsia="Times New Roman"/>
        </w:rPr>
        <w:t>66%</w:t>
      </w:r>
      <w:r>
        <w:t>，但公共医疗费用支出的增长速度高于私人医疗费用支出。</w:t>
      </w:r>
      <w:r>
        <w:t>近</w:t>
      </w:r>
      <w:r>
        <w:t>年</w:t>
      </w:r>
      <w:r>
        <w:t>来，美国采取了多项改革措施来降低医疗费用支出的上涨速度，包括：改革医</w:t>
      </w:r>
      <w:r>
        <w:t>疗服务的提供方式、改革医疗费用支付方式、需求证明书法案、增强医患的费用意识和按资源投入为基准的相对值费用计算法等。</w:t>
      </w:r>
    </w:p>
    <w:p w:rsidR="0018722C">
      <w:pPr>
        <w:topLinePunct/>
      </w:pPr>
      <w:r>
        <w:t>从政府承担主要责任的几个社会医疗保险计划来看，基金运行效果较好，实现了收支平衡、略有结余的目标，基本上保证了保险计划的顺利进行。</w:t>
      </w:r>
    </w:p>
    <w:p w:rsidR="0018722C">
      <w:pPr>
        <w:pStyle w:val="Heading2"/>
        <w:topLinePunct/>
        <w:ind w:left="171" w:hangingChars="171" w:hanging="171"/>
      </w:pPr>
      <w:bookmarkStart w:id="569953" w:name="_Toc686569953"/>
      <w:r>
        <w:t>4.2</w:t>
      </w:r>
      <w:r>
        <w:t xml:space="preserve"> </w:t>
      </w:r>
      <w:r w:rsidRPr="00DB64CE">
        <w:t>我国其他地区医疗保险基金收支管理</w:t>
      </w:r>
      <w:bookmarkEnd w:id="569953"/>
    </w:p>
    <w:p w:rsidR="0018722C">
      <w:pPr>
        <w:topLinePunct/>
      </w:pPr>
      <w:r>
        <w:t>我国各地在基本医疗保险制度运行过程中，根据国家相关政策，结合当地实</w:t>
      </w:r>
      <w:r>
        <w:t>际情况，采取了各式各样的方式来保持基金平衡，防止基金出险。比较有代表性</w:t>
      </w:r>
      <w:r>
        <w:t>的地区有云南省楚雄彝族自治州、辽宁省大连市、四川省成都市等，下面将分别分析各地基金管理实践经验。</w:t>
      </w:r>
    </w:p>
    <w:p w:rsidR="0018722C">
      <w:pPr>
        <w:pStyle w:val="Heading3"/>
        <w:topLinePunct/>
        <w:ind w:left="200" w:hangingChars="200" w:hanging="200"/>
      </w:pPr>
      <w:bookmarkStart w:id="569954" w:name="_Toc686569954"/>
      <w:r>
        <w:t>4.2.1</w:t>
      </w:r>
      <w:r>
        <w:t xml:space="preserve"> </w:t>
      </w:r>
      <w:r w:rsidRPr="00DB64CE">
        <w:t>云南楚雄医疗保险基金管理</w:t>
      </w:r>
      <w:bookmarkEnd w:id="569954"/>
    </w:p>
    <w:p w:rsidR="0018722C">
      <w:pPr>
        <w:topLinePunct/>
      </w:pPr>
      <w:r>
        <w:t>云南省楚雄州城镇职工基本医疗保险</w:t>
      </w:r>
      <w:r>
        <w:rPr>
          <w:rFonts w:ascii="Times New Roman" w:eastAsia="Times New Roman"/>
        </w:rPr>
        <w:t>2000</w:t>
      </w:r>
      <w:r>
        <w:t>年开始实施，城镇居民基本医疗</w:t>
      </w:r>
      <w:r>
        <w:t>保险作为国务院首批试点</w:t>
      </w:r>
      <w:r>
        <w:rPr>
          <w:rFonts w:ascii="Times New Roman" w:eastAsia="Times New Roman"/>
        </w:rPr>
        <w:t>2007</w:t>
      </w:r>
      <w:r>
        <w:t>年正式启动。截止</w:t>
      </w:r>
      <w:r>
        <w:rPr>
          <w:rFonts w:ascii="Times New Roman" w:eastAsia="Times New Roman"/>
        </w:rPr>
        <w:t>2012</w:t>
      </w:r>
      <w:r>
        <w:t>年底，基本医疗保险参</w:t>
      </w:r>
      <w:r>
        <w:t>保</w:t>
      </w:r>
    </w:p>
    <w:p w:rsidR="0018722C">
      <w:pPr>
        <w:topLinePunct/>
      </w:pPr>
      <w:r>
        <w:rPr>
          <w:rFonts w:ascii="Times New Roman" w:eastAsia="Times New Roman"/>
        </w:rPr>
        <w:t>41.92</w:t>
      </w:r>
      <w:r>
        <w:t>万人，新型农村合作医疗参保</w:t>
      </w:r>
      <w:r>
        <w:rPr>
          <w:rFonts w:ascii="Times New Roman" w:eastAsia="Times New Roman"/>
        </w:rPr>
        <w:t>210</w:t>
      </w:r>
      <w:r>
        <w:rPr>
          <w:rFonts w:ascii="Times New Roman" w:eastAsia="Times New Roman"/>
        </w:rPr>
        <w:t>.</w:t>
      </w:r>
      <w:r>
        <w:rPr>
          <w:rFonts w:ascii="Times New Roman" w:eastAsia="Times New Roman"/>
        </w:rPr>
        <w:t>95</w:t>
      </w:r>
      <w:r>
        <w:t>万人。</w:t>
      </w:r>
      <w:hyperlink w:history="true" w:anchor="_bookmark44">
        <w:r>
          <w:rPr>
            <w:vertAlign w:val="superscript"/>
            /&gt;
          </w:rPr>
          <w:t>20</w:t>
        </w:r>
      </w:hyperlink>
      <w:r>
        <w:rPr>
          <w:rFonts w:ascii="Times New Roman" w:eastAsia="Times New Roman"/>
        </w:rPr>
        <w:t>2009</w:t>
      </w:r>
      <w:r>
        <w:t>年，人力资源与社会保障部出台《关于进一步加强基本医疗保险基金管理的指导意见》</w:t>
      </w:r>
      <w:r>
        <w:t>（</w:t>
      </w:r>
      <w:r>
        <w:t>人社部</w:t>
      </w:r>
      <w:r>
        <w:t>发</w:t>
      </w:r>
    </w:p>
    <w:p w:rsidR="0018722C">
      <w:pPr>
        <w:topLinePunct/>
      </w:pP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67</w:t>
      </w:r>
      <w:r>
        <w:t>号</w:t>
      </w:r>
      <w:r>
        <w:t>）</w:t>
      </w:r>
      <w:r>
        <w:t>后，楚雄自治州按照云南省《关于进一步提高城镇职工和城镇居民</w:t>
      </w:r>
      <w:r>
        <w:t>基本医疗保险待遇水平和基金使用效率的意见》，于</w:t>
      </w:r>
      <w:r>
        <w:rPr>
          <w:rFonts w:ascii="Times New Roman" w:hAnsi="Times New Roman" w:eastAsia="Times New Roman"/>
        </w:rPr>
        <w:t>2010</w:t>
      </w:r>
      <w:r>
        <w:t>年出台《楚雄州医药卫</w:t>
      </w:r>
      <w:r>
        <w:t>生体制改革</w:t>
      </w:r>
      <w:r>
        <w:rPr>
          <w:rFonts w:ascii="Times New Roman" w:hAnsi="Times New Roman" w:eastAsia="Times New Roman"/>
        </w:rPr>
        <w:t>3</w:t>
      </w:r>
      <w:r>
        <w:t>年实施方案》，开始建立完善楚雄自治州基本医疗保险基金的风险</w:t>
      </w:r>
      <w:r>
        <w:t>防范机制，增大医疗保险基金监管力度，并且按照医疗保险基金“以收定支、收</w:t>
      </w:r>
      <w:r>
        <w:t>支平衡、略有结余”这一原则来将三项医疗保险基金水平控制在一个合理的范围</w:t>
      </w:r>
      <w:r>
        <w:t>内。楚雄自治州根据当地医疗保险基金收支情况将当期结余适控制在</w:t>
      </w:r>
      <w:r>
        <w:rPr>
          <w:rFonts w:ascii="Times New Roman" w:hAnsi="Times New Roman" w:eastAsia="Times New Roman"/>
        </w:rPr>
        <w:t>15%</w:t>
      </w:r>
      <w:r>
        <w:t>以内。其主要做法包括以下几点：</w:t>
      </w:r>
    </w:p>
    <w:p w:rsidR="0018722C">
      <w:pPr>
        <w:topLinePunct/>
      </w:pPr>
      <w:r>
        <w:t>一是实行浮动费率制。按照《楚雄州人民政府关于全州城镇职工基本医疗保</w:t>
      </w:r>
      <w:r>
        <w:t>险实行州级统筹管理的通知》，城镇职工基本医疗保险于</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1</w:t>
      </w:r>
      <w:r>
        <w:t>日开始实</w:t>
      </w:r>
      <w:r>
        <w:t>施浮动费率制。具体规定如下：“城镇职工基本医疗保险实行</w:t>
      </w:r>
      <w:r>
        <w:rPr>
          <w:rFonts w:hint="eastAsia"/>
        </w:rPr>
        <w:t>”</w:t>
      </w:r>
      <w:r>
        <w:t>单基数</w:t>
      </w:r>
      <w:r>
        <w:rPr>
          <w:rFonts w:hint="eastAsia"/>
        </w:rPr>
        <w:t>“</w:t>
      </w:r>
      <w:r>
        <w:t>缴费</w:t>
      </w:r>
      <w:r>
        <w:t>，</w: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穆怀中</w:t>
      </w:r>
      <w:r>
        <w:rPr>
          <w:rFonts w:ascii="Times New Roman" w:eastAsia="Times New Roman" w:cstheme="minorBidi" w:hAnsiTheme="minorHAnsi"/>
        </w:rPr>
        <w:t>.</w:t>
      </w:r>
      <w:r>
        <w:rPr>
          <w:rFonts w:cstheme="minorBidi" w:hAnsiTheme="minorHAnsi" w:eastAsiaTheme="minorHAnsi" w:asciiTheme="minorHAnsi"/>
        </w:rPr>
        <w:t>社会保障国际比较</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北京：中国劳动社会保障出版社</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226</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数据来源：楚雄州</w:t>
      </w:r>
      <w:r>
        <w:rPr>
          <w:rFonts w:ascii="Times New Roman" w:eastAsia="Times New Roman" w:cstheme="minorBidi" w:hAnsiTheme="minorHAnsi"/>
        </w:rPr>
        <w:t>2012</w:t>
      </w:r>
      <w:r>
        <w:rPr>
          <w:rFonts w:cstheme="minorBidi" w:hAnsiTheme="minorHAnsi" w:eastAsiaTheme="minorHAnsi" w:asciiTheme="minorHAnsi"/>
        </w:rPr>
        <w:t>年国民经济和社会发展统计公报</w:t>
      </w:r>
    </w:p>
    <w:p w:rsidR="0018722C">
      <w:pPr>
        <w:topLinePunct/>
      </w:pPr>
      <w:r>
        <w:t>基本医疗保险费由用人单位和在职职工共同缴纳，单位缴费根据统筹基金结余情</w:t>
      </w:r>
      <w:r>
        <w:t>况进行浮动调整，统筹基金当期结余率高于</w:t>
      </w:r>
      <w:r>
        <w:rPr>
          <w:rFonts w:ascii="Times New Roman" w:eastAsia="Times New Roman"/>
        </w:rPr>
        <w:t>5%</w:t>
      </w:r>
      <w:r>
        <w:t>时，下一统筹年度执行</w:t>
      </w:r>
      <w:r>
        <w:rPr>
          <w:rFonts w:ascii="Times New Roman" w:eastAsia="Times New Roman"/>
        </w:rPr>
        <w:t>8%</w:t>
      </w:r>
      <w:r>
        <w:t>的基</w:t>
      </w:r>
      <w:r>
        <w:t>准费率。统筹基金当期结余率低于</w:t>
      </w:r>
      <w:r>
        <w:rPr>
          <w:rFonts w:ascii="Times New Roman" w:eastAsia="Times New Roman"/>
        </w:rPr>
        <w:t>5%</w:t>
      </w:r>
      <w:r>
        <w:t>时，下一年度单位缴费费率上浮为</w:t>
      </w:r>
      <w:r>
        <w:rPr>
          <w:rFonts w:ascii="Times New Roman" w:eastAsia="Times New Roman"/>
        </w:rPr>
        <w:t>9%</w:t>
      </w:r>
      <w:r>
        <w:t>，</w:t>
      </w:r>
      <w:r>
        <w:t>直至当年统筹基金结余率上升到</w:t>
      </w:r>
      <w:r>
        <w:rPr>
          <w:rFonts w:ascii="Times New Roman" w:eastAsia="Times New Roman"/>
        </w:rPr>
        <w:t>5%</w:t>
      </w:r>
      <w:r>
        <w:t>以上。统筹基金当期结余率连续</w:t>
      </w:r>
      <w:r>
        <w:rPr>
          <w:rFonts w:ascii="Times New Roman" w:eastAsia="Times New Roman"/>
        </w:rPr>
        <w:t>3</w:t>
      </w:r>
      <w:r>
        <w:t>年高</w:t>
      </w:r>
      <w:r>
        <w:t>于</w:t>
      </w:r>
    </w:p>
    <w:p w:rsidR="0018722C">
      <w:pPr>
        <w:topLinePunct/>
      </w:pPr>
      <w:r>
        <w:rPr>
          <w:rFonts w:ascii="Times New Roman" w:eastAsia="Times New Roman"/>
        </w:rPr>
        <w:t>10%</w:t>
      </w:r>
      <w:r>
        <w:t>时，下一年度单位缴费费率下调为</w:t>
      </w:r>
      <w:r>
        <w:rPr>
          <w:rFonts w:ascii="Times New Roman" w:eastAsia="Times New Roman"/>
        </w:rPr>
        <w:t>7%</w:t>
      </w:r>
      <w:r>
        <w:t>，直至统筹基金当期结余率降至</w:t>
      </w:r>
      <w:r>
        <w:rPr>
          <w:rFonts w:ascii="Times New Roman" w:eastAsia="Times New Roman"/>
        </w:rPr>
        <w:t>10%</w:t>
      </w:r>
    </w:p>
    <w:p w:rsidR="0018722C">
      <w:pPr>
        <w:topLinePunct/>
      </w:pPr>
      <w:r>
        <w:t>以下时，再恢复为</w:t>
      </w:r>
      <w:r>
        <w:rPr>
          <w:rFonts w:ascii="Times New Roman" w:hAnsi="Times New Roman" w:eastAsia="Times New Roman"/>
        </w:rPr>
        <w:t>8%</w:t>
      </w:r>
      <w:r>
        <w:t>的基准费率。</w:t>
      </w:r>
      <w:r>
        <w:rPr>
          <w:rFonts w:hint="eastAsia"/>
        </w:rPr>
        <w:t>“</w:t>
      </w:r>
    </w:p>
    <w:p w:rsidR="0018722C">
      <w:pPr>
        <w:topLinePunct/>
      </w:pPr>
      <w:r>
        <w:t>二是提高统筹层次，建立风险调剂金。为了抵御更大风险，扩大风险池，</w:t>
      </w:r>
      <w:r>
        <w:rPr>
          <w:rFonts w:ascii="Times New Roman" w:hAnsi="Times New Roman" w:eastAsia="Times New Roman"/>
        </w:rPr>
        <w:t>2010</w:t>
      </w:r>
      <w:r>
        <w:t>年</w:t>
      </w:r>
      <w:r>
        <w:rPr>
          <w:rFonts w:ascii="Times New Roman" w:hAnsi="Times New Roman" w:eastAsia="Times New Roman"/>
        </w:rPr>
        <w:t>4</w:t>
      </w:r>
      <w:r>
        <w:t>月，楚雄彝族自治州开始实施城镇职工基本医疗保险州级统筹的制度，并且</w:t>
      </w:r>
      <w:r>
        <w:t>建立了州级调剂金。《楚雄州人民政府关于全州城镇职工基本医疗保险实行州级</w:t>
      </w:r>
      <w:r>
        <w:t>统筹管理的通知》中规定“州级统筹坚持统一制度、统一标准、统一管理、统一</w:t>
      </w:r>
      <w:r>
        <w:t>结算和统一调剂的原则。州级统筹前城镇职工基本医疗保险基金的累积和州级统</w:t>
      </w:r>
      <w:r>
        <w:t>筹实施后基金的当期结余全部作为州级统筹调剂金，县市在严格执行全州统一的</w:t>
      </w:r>
      <w:r>
        <w:t>城镇职工基本医疗保险政策和基金预算，完成当年城镇职工基本医疗保险年度目</w:t>
      </w:r>
      <w:r>
        <w:t>标任务的前提下，基金出险当期赤字的，可申请使用调剂金进行弥补。”楚雄彝</w:t>
      </w:r>
      <w:r>
        <w:t>族自治州于</w:t>
      </w:r>
      <w:r>
        <w:rPr>
          <w:rFonts w:ascii="Times New Roman" w:hAnsi="Times New Roman" w:eastAsia="Times New Roman"/>
        </w:rPr>
        <w:t>2007</w:t>
      </w:r>
      <w:r>
        <w:t>年试点启动时建立州级风险储备基金，由财政安排</w:t>
      </w:r>
      <w:r>
        <w:rPr>
          <w:rFonts w:ascii="Times New Roman" w:hAnsi="Times New Roman" w:eastAsia="Times New Roman"/>
        </w:rPr>
        <w:t>300</w:t>
      </w:r>
      <w:r>
        <w:t>万元，</w:t>
      </w:r>
      <w:r>
        <w:t>今后每年财政增加</w:t>
      </w:r>
      <w:r>
        <w:rPr>
          <w:rFonts w:ascii="Times New Roman" w:hAnsi="Times New Roman" w:eastAsia="Times New Roman"/>
        </w:rPr>
        <w:t>100</w:t>
      </w:r>
      <w:r>
        <w:t>万元，</w:t>
      </w:r>
      <w:r>
        <w:rPr>
          <w:rFonts w:ascii="Times New Roman" w:hAnsi="Times New Roman" w:eastAsia="Times New Roman"/>
        </w:rPr>
        <w:t>2010</w:t>
      </w:r>
      <w:r>
        <w:t>年达到</w:t>
      </w:r>
      <w:r>
        <w:rPr>
          <w:rFonts w:ascii="Times New Roman" w:hAnsi="Times New Roman" w:eastAsia="Times New Roman"/>
        </w:rPr>
        <w:t>600</w:t>
      </w:r>
      <w:r>
        <w:t>万元后不再增加。</w:t>
      </w:r>
    </w:p>
    <w:p w:rsidR="0018722C">
      <w:pPr>
        <w:topLinePunct/>
      </w:pPr>
      <w:r>
        <w:t>三是引入医疗保险服务协议管理。首先，建立协议管理，制定了《医疗保险</w:t>
      </w:r>
      <w:r>
        <w:t>定点医疗机构管理暂行办法》，对定点医疗机构平均住院天数、支付标准等都作</w:t>
      </w:r>
      <w:r>
        <w:t>了具体的控制指标以及量化规定，使监管更具操作性。同时，对定点医疗机构的</w:t>
      </w:r>
      <w:r>
        <w:t>准入条件、审批流程、推出机制等作了明确的规定。制定了“医疗保险结算办法”，</w:t>
      </w:r>
      <w:r>
        <w:t>控制定点医疗机构的费用。制定了《定点医疗机构和定点零售药店服务质量考核</w:t>
      </w:r>
      <w:r>
        <w:t>办法》，对达到要求的定点医疗机构返还服务质量保证金并依此作为次年签订服</w:t>
      </w:r>
      <w:r>
        <w:t>务协议的依据，强化了对定点医疗机构的管理。制定了《医保反欺诈暂行办法》，</w:t>
      </w:r>
      <w:r>
        <w:t>加大违规处罚力度。每年定期或不定期组织开展基金专项检查，尤其对“两定机</w:t>
      </w:r>
      <w:r>
        <w:t>构”挂病床住院、弄虚作假等欺诈行为进行重点查处，及时追回或拒付违约费用，</w:t>
      </w:r>
      <w:r>
        <w:t>责令限期整改或取消定点资格。其次，考核管理。采取日常审核和不定期查访的</w:t>
      </w:r>
      <w:r>
        <w:t>形式，对定点医疗机构上传的医疗费用发生数据或参保患者的病历进行检查，对</w:t>
      </w:r>
      <w:r>
        <w:t>违规费用不予支付并放大</w:t>
      </w:r>
      <w:r>
        <w:rPr>
          <w:rFonts w:ascii="Times New Roman" w:hAnsi="Times New Roman" w:eastAsia="Times New Roman"/>
        </w:rPr>
        <w:t>2</w:t>
      </w:r>
      <w:r>
        <w:t>至</w:t>
      </w:r>
      <w:r>
        <w:rPr>
          <w:rFonts w:ascii="Times New Roman" w:hAnsi="Times New Roman" w:eastAsia="Times New Roman"/>
        </w:rPr>
        <w:t>5</w:t>
      </w:r>
      <w:r>
        <w:t>倍扣减，同时进行及时的登记和量分。并突出年</w:t>
      </w:r>
      <w:r>
        <w:t>终考核管理，对医院在执行医保政策、组织管理、药品及诊疗项目管理、医疗服务控制指标、信息系统建设等方面进行综合考核。再次，开展专项检查，对定点医疗机构定期或不定期开展专项检查，重点检查是否弄虚作假、骗保套保行为，</w:t>
      </w:r>
      <w:r>
        <w:t>对存在严重问题的医疗机构采取限期整改、取消医保定点资格和加大违规处罚的</w:t>
      </w:r>
      <w:r>
        <w:t>措施，进一步规范定点医疗机构的管理。最后，实施分类审核，在审核过程中注</w:t>
      </w:r>
      <w:r>
        <w:t>意突出重点，对不同级别、性质的医院因地制宜、有侧重的分别审核。对三级</w:t>
      </w:r>
      <w:r>
        <w:t>定</w:t>
      </w:r>
    </w:p>
    <w:p w:rsidR="0018722C">
      <w:pPr>
        <w:topLinePunct/>
      </w:pPr>
      <w:bookmarkStart w:name="_bookmark45" w:id="31"/>
      <w:bookmarkEnd w:id="31"/>
      <w:r/>
      <w:r>
        <w:t>点医疗机构的审核主要侧重于其医疗行为的合理性。包括大型价差、特殊诊疗是</w:t>
      </w:r>
      <w:r>
        <w:t>否合理，是否扩大检查范围，是否存在分解收费，是否严格超药品目录限制的用药等。</w:t>
      </w:r>
    </w:p>
    <w:p w:rsidR="0018722C">
      <w:pPr>
        <w:topLinePunct/>
      </w:pPr>
      <w:r>
        <w:t>从实施效果来看，统筹基金当期结余率快速下降，统筹基金累计结余率也出现了明显下降。</w:t>
      </w:r>
    </w:p>
    <w:p w:rsidR="0018722C">
      <w:pPr>
        <w:pStyle w:val="Heading3"/>
        <w:topLinePunct/>
        <w:ind w:left="200" w:hangingChars="200" w:hanging="200"/>
      </w:pPr>
      <w:bookmarkStart w:id="569955" w:name="_Toc686569955"/>
      <w:r>
        <w:t>4.2.2</w:t>
      </w:r>
      <w:r>
        <w:t xml:space="preserve"> </w:t>
      </w:r>
      <w:r>
        <w:t>辽宁大连医疗保险基金管理</w:t>
      </w:r>
      <w:bookmarkEnd w:id="569955"/>
    </w:p>
    <w:p w:rsidR="0018722C">
      <w:pPr>
        <w:topLinePunct/>
      </w:pPr>
      <w:r>
        <w:t>大连市职工医疗保险制度</w:t>
      </w:r>
      <w:r>
        <w:rPr>
          <w:rFonts w:ascii="Times New Roman" w:eastAsia="Times New Roman"/>
        </w:rPr>
        <w:t>1996</w:t>
      </w:r>
      <w:r>
        <w:t>年</w:t>
      </w:r>
      <w:r>
        <w:rPr>
          <w:rFonts w:ascii="Times New Roman" w:eastAsia="Times New Roman"/>
        </w:rPr>
        <w:t>7</w:t>
      </w:r>
      <w:r>
        <w:t>月开始实施，城镇居民医疗保险</w:t>
      </w:r>
      <w:r>
        <w:rPr>
          <w:rFonts w:ascii="Times New Roman" w:eastAsia="Times New Roman"/>
        </w:rPr>
        <w:t>2007</w:t>
      </w:r>
      <w:r>
        <w:t>年</w:t>
      </w:r>
      <w:r>
        <w:rPr>
          <w:rFonts w:ascii="Times New Roman" w:eastAsia="Times New Roman"/>
        </w:rPr>
        <w:t>9</w:t>
      </w:r>
      <w:r>
        <w:t>月开始运行。截止</w:t>
      </w:r>
      <w:r>
        <w:rPr>
          <w:rFonts w:ascii="Times New Roman" w:eastAsia="Times New Roman"/>
        </w:rPr>
        <w:t>2012</w:t>
      </w:r>
      <w:r>
        <w:t>年末，医疗保险参保人数</w:t>
      </w:r>
      <w:r>
        <w:rPr>
          <w:rFonts w:ascii="Times New Roman" w:eastAsia="Times New Roman"/>
        </w:rPr>
        <w:t>453</w:t>
      </w:r>
      <w:r>
        <w:rPr>
          <w:rFonts w:ascii="Times New Roman" w:eastAsia="Times New Roman"/>
        </w:rPr>
        <w:t>.</w:t>
      </w:r>
      <w:r>
        <w:rPr>
          <w:rFonts w:ascii="Times New Roman" w:eastAsia="Times New Roman"/>
        </w:rPr>
        <w:t>1</w:t>
      </w:r>
      <w:r>
        <w:t>万人，基金收入</w:t>
      </w:r>
      <w:r>
        <w:rPr>
          <w:rFonts w:ascii="Times New Roman" w:eastAsia="Times New Roman"/>
        </w:rPr>
        <w:t>83</w:t>
      </w:r>
      <w:r>
        <w:rPr>
          <w:rFonts w:ascii="Times New Roman" w:eastAsia="Times New Roman"/>
        </w:rPr>
        <w:t>.</w:t>
      </w:r>
      <w:r>
        <w:rPr>
          <w:rFonts w:ascii="Times New Roman" w:eastAsia="Times New Roman"/>
        </w:rPr>
        <w:t>2</w:t>
      </w:r>
      <w:r>
        <w:t>亿元，基金支出</w:t>
      </w:r>
      <w:r>
        <w:rPr>
          <w:rFonts w:ascii="Times New Roman" w:eastAsia="Times New Roman"/>
        </w:rPr>
        <w:t>74</w:t>
      </w:r>
      <w:r>
        <w:rPr>
          <w:rFonts w:ascii="Times New Roman" w:eastAsia="Times New Roman"/>
        </w:rPr>
        <w:t>.</w:t>
      </w:r>
      <w:r>
        <w:rPr>
          <w:rFonts w:ascii="Times New Roman" w:eastAsia="Times New Roman"/>
        </w:rPr>
        <w:t>2</w:t>
      </w:r>
      <w:r>
        <w:t>亿元。</w:t>
      </w:r>
      <w:hyperlink w:history="true" w:anchor="_bookmark46">
        <w:r>
          <w:rPr>
            <w:rFonts w:ascii="Times New Roman" w:eastAsia="Times New Roman"/>
          </w:rPr>
          <w:t>2</w:t>
        </w:r>
        <w:r>
          <w:rPr>
            <w:rFonts w:ascii="Times New Roman" w:eastAsia="Times New Roman"/>
          </w:rPr>
          <w:t>1</w:t>
        </w:r>
      </w:hyperlink>
    </w:p>
    <w:p w:rsidR="0018722C">
      <w:pPr>
        <w:topLinePunct/>
      </w:pPr>
      <w:r>
        <w:rPr>
          <w:rFonts w:ascii="Times New Roman" w:hAnsi="Times New Roman" w:eastAsia="宋体"/>
        </w:rPr>
        <w:t>2009</w:t>
      </w:r>
      <w:r>
        <w:t>年</w:t>
      </w:r>
      <w:r>
        <w:rPr>
          <w:rFonts w:ascii="Times New Roman" w:hAnsi="Times New Roman" w:eastAsia="宋体"/>
        </w:rPr>
        <w:t>1</w:t>
      </w:r>
      <w:r>
        <w:t>月，大连出台《大连市关于压缩城镇职工基本医疗保险基金结余</w:t>
      </w:r>
      <w:r>
        <w:t>适当提高城镇职工基本医疗保险待遇的指导意见》，意见规定</w:t>
      </w:r>
      <w:r>
        <w:t>，“各统筹地区城镇</w:t>
      </w:r>
      <w:r>
        <w:t>职工基本医疗保险统筹基金，扣除困难企业退休人员一次性参保筹集的资金及预</w:t>
      </w:r>
      <w:r>
        <w:t>期应支付的部分，要实现当期收支平衡。市级统筹地区要控制在当期统筹基金收</w:t>
      </w:r>
      <w:r>
        <w:t>入额</w:t>
      </w:r>
      <w:r>
        <w:rPr>
          <w:rFonts w:ascii="Times New Roman" w:hAnsi="Times New Roman" w:eastAsia="宋体"/>
        </w:rPr>
        <w:t>15%</w:t>
      </w:r>
      <w:r>
        <w:t>左右，县级统筹地区要控制在</w:t>
      </w:r>
      <w:r>
        <w:rPr>
          <w:rFonts w:ascii="Times New Roman" w:hAnsi="Times New Roman" w:eastAsia="宋体"/>
        </w:rPr>
        <w:t>20%</w:t>
      </w:r>
      <w:r>
        <w:t>左右，作为风险调剂金，超过的部</w:t>
      </w:r>
      <w:r>
        <w:t>分，要采取措施逐年消化，以进一步发挥基金效能，使参保人员基本医疗保险待</w:t>
      </w:r>
      <w:r>
        <w:t>遇不断提高，用人单位参保缴费负担有所减轻。</w:t>
      </w:r>
      <w:r>
        <w:t>”</w:t>
      </w:r>
    </w:p>
    <w:p w:rsidR="0018722C">
      <w:pPr>
        <w:topLinePunct/>
      </w:pPr>
      <w:r>
        <w:t>根据城镇职工基本医疗保险基金结余比例控制的总体要求，基金结余过多的，采取以下政策措施逐步消化。主要措施：</w:t>
      </w:r>
    </w:p>
    <w:p w:rsidR="0018722C">
      <w:pPr>
        <w:topLinePunct/>
      </w:pPr>
      <w:r>
        <w:t>一是提高参保人员的待遇水平。包括适当降低统筹基金起付标准。为减轻参</w:t>
      </w:r>
      <w:r>
        <w:t>保患者负担，并合理利用各级各类医疗资源，对参保患者在社区定点医疗卫生服</w:t>
      </w:r>
      <w:r>
        <w:t>务机构治疗的，可不设统筹基金起付标准，在其他定点医院住院或特殊病种门诊</w:t>
      </w:r>
      <w:r>
        <w:t>治疗的，可根据医院级别适当降低现行统筹基金起付标准。如将</w:t>
      </w:r>
      <w:r>
        <w:rPr>
          <w:rFonts w:ascii="Times New Roman" w:eastAsia="Times New Roman"/>
        </w:rPr>
        <w:t>70</w:t>
      </w:r>
      <w:r>
        <w:t>岁以上老人</w:t>
      </w:r>
      <w:r>
        <w:t>三级住院起付线由</w:t>
      </w:r>
      <w:r>
        <w:rPr>
          <w:rFonts w:ascii="Times New Roman" w:eastAsia="Times New Roman"/>
        </w:rPr>
        <w:t>850</w:t>
      </w:r>
      <w:r>
        <w:t>元降为</w:t>
      </w:r>
      <w:r>
        <w:rPr>
          <w:rFonts w:ascii="Times New Roman" w:eastAsia="Times New Roman"/>
        </w:rPr>
        <w:t>450</w:t>
      </w:r>
      <w:r>
        <w:t>元。适当提高统筹基金支付比例。各个统筹地</w:t>
      </w:r>
      <w:r>
        <w:t>区可根据本地实际情况，适当提高参保患者在社区定点医疗卫生机构和二级以下</w:t>
      </w:r>
      <w:r>
        <w:t>定点机构就医费用的统筹基金支付比例。扩大门诊特殊病种数量，门诊特殊病种，</w:t>
      </w:r>
      <w:r>
        <w:t>是指纳入基本医疗保险统筹基金支付范围的一些治疗周期较长，且不需要住院治</w:t>
      </w:r>
      <w:r>
        <w:t>疗，只需门诊治疗，但治疗费用较高的病种。适当扩大参保患者的受益面，解决</w:t>
      </w:r>
      <w:r>
        <w:t>患大病和慢性病参保患者的负担，各统筹地区要结合本地实际，适当扩大门诊特</w:t>
      </w:r>
      <w:r>
        <w:t>殊病种的数量，有条件的统筹地区，可研究探索门诊费用统筹办法。放开乙类药品的部分限制。</w:t>
      </w:r>
    </w:p>
    <w:p w:rsidR="0018722C">
      <w:pPr>
        <w:topLinePunct/>
      </w:pPr>
      <w:r>
        <w:t>二是确定统筹基金结算方式。各统筹地区要根据本地实际情况，确定统筹基</w:t>
      </w:r>
      <w:r>
        <w:t>金的科学结算方式，有条件的统筹地区，要逐步扩大病种结算范围。统筹基金结算标准，要根据费用增长情况，及时进行调整。统筹基金最高支付限额未达到</w:t>
      </w:r>
      <w:r>
        <w:t>国</w: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年大连市人力资源和社会保障事业发展统计公报</w:t>
      </w:r>
    </w:p>
    <w:p w:rsidR="0018722C">
      <w:pPr>
        <w:topLinePunct/>
      </w:pPr>
      <w:bookmarkStart w:name="_bookmark47" w:id="32"/>
      <w:bookmarkEnd w:id="32"/>
      <w:r/>
      <w:r>
        <w:t>家规定标准的，要及时进行调整。各级医疗保险经办机构要按定点协议，及时与定点医疗机构进行基金的结算、拨付。</w:t>
      </w:r>
    </w:p>
    <w:p w:rsidR="0018722C">
      <w:pPr>
        <w:topLinePunct/>
      </w:pPr>
      <w:r>
        <w:t>从初步实施效果来看，以上措施实施以来统筹基金当期结余率出现了明显的下降。</w:t>
      </w:r>
    </w:p>
    <w:p w:rsidR="0018722C">
      <w:pPr>
        <w:pStyle w:val="Heading3"/>
        <w:topLinePunct/>
        <w:ind w:left="200" w:hangingChars="200" w:hanging="200"/>
      </w:pPr>
      <w:bookmarkStart w:id="569956" w:name="_Toc686569956"/>
      <w:r>
        <w:t>4.2.3</w:t>
      </w:r>
      <w:r>
        <w:t xml:space="preserve"> </w:t>
      </w:r>
      <w:r>
        <w:t>其他地区医疗保险基金管理</w:t>
      </w:r>
      <w:bookmarkEnd w:id="569956"/>
    </w:p>
    <w:p w:rsidR="0018722C">
      <w:pPr>
        <w:topLinePunct/>
      </w:pPr>
      <w:r>
        <w:t>除上述两个地区外，国内不少城市通过建立针对不同制度的风险储备金。如</w:t>
      </w:r>
      <w:r>
        <w:t>成都市</w:t>
      </w:r>
      <w:r>
        <w:rPr>
          <w:rFonts w:ascii="Times New Roman" w:eastAsia="Times New Roman"/>
        </w:rPr>
        <w:t>2009</w:t>
      </w:r>
      <w:r>
        <w:t>年实施市级统筹，并根据区</w:t>
      </w:r>
      <w:r>
        <w:t>（</w:t>
      </w:r>
      <w:r>
        <w:t>市</w:t>
      </w:r>
      <w:r>
        <w:t>）</w:t>
      </w:r>
      <w:r>
        <w:t>县上年度基本医疗保险基金会计</w:t>
      </w:r>
      <w:r>
        <w:t>决算报表中的基本医疗保险基金支出数据，按月平均支付额</w:t>
      </w:r>
      <w:r>
        <w:rPr>
          <w:rFonts w:ascii="Times New Roman" w:eastAsia="Times New Roman"/>
        </w:rPr>
        <w:t>3</w:t>
      </w:r>
      <w:r>
        <w:t>个月的标准核定基</w:t>
      </w:r>
      <w:r>
        <w:t>本医疗保险备用金，报经市劳动保障局、市财政局审批后，从区</w:t>
      </w:r>
      <w:r>
        <w:t>（</w:t>
      </w:r>
      <w:r>
        <w:t>市</w:t>
      </w:r>
      <w:r>
        <w:t>）</w:t>
      </w:r>
      <w:r>
        <w:t>县历年积累的基金结余中划转到同级基本医疗保险基金支出户作为市级统筹基金支付备用金。</w:t>
      </w:r>
    </w:p>
    <w:p w:rsidR="0018722C">
      <w:pPr>
        <w:topLinePunct/>
      </w:pPr>
      <w:r>
        <w:rPr>
          <w:rFonts w:ascii="Times New Roman" w:eastAsia="Times New Roman"/>
        </w:rPr>
        <w:t>2001</w:t>
      </w:r>
      <w:r>
        <w:t>年，南昌市出台了《南昌市城镇退休人员一次性缴纳基本医疗保险风</w:t>
      </w:r>
      <w:r>
        <w:t>险储备金暂行办法》，建立的退休人员医疗保险风险储备金主要用于弥补基本医</w:t>
      </w:r>
      <w:r>
        <w:t>疗保险统筹基金的不足，并且实行财政专款专户管理。风险储备金的来源由用人</w:t>
      </w:r>
      <w:r>
        <w:t>单位按已参保退休人员的实际数每人</w:t>
      </w:r>
      <w:r>
        <w:rPr>
          <w:rFonts w:ascii="Times New Roman" w:eastAsia="Times New Roman"/>
        </w:rPr>
        <w:t>600</w:t>
      </w:r>
      <w:r>
        <w:t>元的标准一次性缴纳。</w:t>
      </w:r>
    </w:p>
    <w:p w:rsidR="0018722C">
      <w:pPr>
        <w:topLinePunct/>
      </w:pPr>
      <w:r>
        <w:t>张家界市城镇居民基本医疗保险风险储备金制度是风险储备金按基金年收</w:t>
      </w:r>
      <w:r>
        <w:t>入的</w:t>
      </w:r>
      <w:r>
        <w:rPr>
          <w:rFonts w:ascii="Times New Roman" w:eastAsia="Times New Roman"/>
        </w:rPr>
        <w:t>3%</w:t>
      </w:r>
      <w:r>
        <w:t>逐年提取，总量累计达到统筹基金的年收入的</w:t>
      </w:r>
      <w:r>
        <w:rPr>
          <w:rFonts w:ascii="Times New Roman" w:eastAsia="Times New Roman"/>
        </w:rPr>
        <w:t>15%</w:t>
      </w:r>
      <w:r>
        <w:t>后不再提取。风险储</w:t>
      </w:r>
      <w:r>
        <w:t>备金由市医保经办机构统一管理，市级进行风险调剂，区县财政按是调剂金</w:t>
      </w:r>
      <w:r>
        <w:rPr>
          <w:rFonts w:ascii="Times New Roman" w:eastAsia="Times New Roman"/>
        </w:rPr>
        <w:t>1</w:t>
      </w:r>
      <w:r>
        <w:rPr>
          <w:rFonts w:ascii="Times New Roman" w:eastAsia="Times New Roman"/>
        </w:rPr>
        <w:t xml:space="preserve">: </w:t>
      </w:r>
      <w:r>
        <w:rPr>
          <w:rFonts w:ascii="Times New Roman" w:eastAsia="Times New Roman"/>
        </w:rPr>
        <w:t>1</w:t>
      </w:r>
      <w:r>
        <w:t>配套。</w:t>
      </w:r>
    </w:p>
    <w:p w:rsidR="0018722C">
      <w:pPr>
        <w:pStyle w:val="Heading1"/>
        <w:topLinePunct/>
      </w:pPr>
      <w:bookmarkStart w:id="569957" w:name="_Toc686569957"/>
      <w:bookmarkStart w:name="_bookmark48" w:id="33"/>
      <w:bookmarkEnd w:id="33"/>
      <w:bookmarkStart w:name="_bookmark49" w:id="34"/>
      <w:bookmarkEnd w:id="34"/>
      <w:r>
        <w:t>第 5 章</w:t>
      </w:r>
      <w:r>
        <w:t xml:space="preserve">  </w:t>
      </w:r>
      <w:r w:rsidRPr="00DB64CE">
        <w:t>思路与对策</w:t>
      </w:r>
      <w:bookmarkEnd w:id="569957"/>
    </w:p>
    <w:p w:rsidR="0018722C">
      <w:pPr>
        <w:topLinePunct/>
      </w:pPr>
      <w:r>
        <w:t>通过对北京市城镇职工基本医疗保险、城镇居民基本医疗保险及新型农村合</w:t>
      </w:r>
      <w:r>
        <w:t>作医疗的基金收支平衡分析，借鉴国外及我国其他地区的先进经验，从基金管理、</w:t>
      </w:r>
      <w:r>
        <w:t>基金收入与基金支出三个方面对北京市医疗保险基金收支平衡管理提出以下对策建议。</w:t>
      </w:r>
    </w:p>
    <w:p w:rsidR="0018722C">
      <w:pPr>
        <w:pStyle w:val="Heading2"/>
        <w:topLinePunct/>
        <w:ind w:left="171" w:hangingChars="171" w:hanging="171"/>
      </w:pPr>
      <w:bookmarkStart w:id="569958" w:name="_Toc686569958"/>
      <w:r>
        <w:t>5.1</w:t>
      </w:r>
      <w:r>
        <w:t xml:space="preserve"> </w:t>
      </w:r>
      <w:r>
        <w:t>基金管理方面</w:t>
      </w:r>
      <w:bookmarkEnd w:id="569958"/>
    </w:p>
    <w:p w:rsidR="0018722C">
      <w:pPr>
        <w:pStyle w:val="Heading3"/>
        <w:topLinePunct/>
        <w:ind w:left="200" w:hangingChars="200" w:hanging="200"/>
      </w:pPr>
      <w:bookmarkStart w:id="569959" w:name="_Toc686569959"/>
      <w:r>
        <w:t>5.1.1</w:t>
      </w:r>
      <w:r>
        <w:t xml:space="preserve"> </w:t>
      </w:r>
      <w:r>
        <w:t>建立风险储备金制度</w:t>
      </w:r>
      <w:bookmarkEnd w:id="569959"/>
    </w:p>
    <w:p w:rsidR="0018722C">
      <w:pPr>
        <w:topLinePunct/>
      </w:pPr>
      <w:r>
        <w:t>通过上文分析，北京市医疗保险累计结余率较高，部分年份超过</w:t>
      </w:r>
      <w:r>
        <w:rPr>
          <w:rFonts w:ascii="Times New Roman" w:eastAsia="Times New Roman"/>
        </w:rPr>
        <w:t>100%</w:t>
      </w:r>
      <w:r>
        <w:t>，</w:t>
      </w:r>
      <w:r>
        <w:t>近</w:t>
      </w:r>
      <w:r>
        <w:t>年</w:t>
      </w:r>
      <w:r>
        <w:t>来三项医疗保险基金结余率逐年下降。建议北京市建立医疗保险风险储备金制</w:t>
      </w:r>
      <w:r>
        <w:t>度，将医疗保险基金的一部分划入风险储备金，以实现基金的年度调剂。一方面能够防范地区流行病、自然灾害造成医疗保险基金支出剧增的风险，另一方面，</w:t>
      </w:r>
      <w:r>
        <w:t>在风险储备金制度保障下，可以通过调整缴费率和支付水平来适当降低基金的结余率。</w:t>
      </w:r>
    </w:p>
    <w:p w:rsidR="0018722C">
      <w:pPr>
        <w:pStyle w:val="Heading3"/>
        <w:topLinePunct/>
        <w:ind w:left="200" w:hangingChars="200" w:hanging="200"/>
      </w:pPr>
      <w:bookmarkStart w:id="569960" w:name="_Toc686569960"/>
      <w:r>
        <w:t>5.1.2</w:t>
      </w:r>
      <w:r>
        <w:t xml:space="preserve"> </w:t>
      </w:r>
      <w:r>
        <w:t>建立医疗保险风险预警机制</w:t>
      </w:r>
      <w:bookmarkEnd w:id="569960"/>
    </w:p>
    <w:p w:rsidR="0018722C">
      <w:pPr>
        <w:topLinePunct/>
      </w:pPr>
      <w:r>
        <w:t>为了保证医疗保险基金收支平衡，北京市医疗保险经办管理机构应该建立医</w:t>
      </w:r>
      <w:r>
        <w:t>疗保险风险预警机制，对基金可能发生的风险进行预警，从而防止基金收不抵支</w:t>
      </w:r>
      <w:r>
        <w:t>或者过度结余。医疗保险风险预警机制的建立包括，对医疗保险基金结余率、医</w:t>
      </w:r>
      <w:r>
        <w:t>疗费用等指标的监控与分析，建立评价体系，根据风险程度划分预警分级，对预</w:t>
      </w:r>
      <w:r>
        <w:t>警进行信息反馈，及时调整医疗保险基金缴费率和支付水平，使医疗保险基金结余始终控制在一个合理的区间，保持基金动态平衡。</w:t>
      </w:r>
    </w:p>
    <w:p w:rsidR="0018722C">
      <w:pPr>
        <w:pStyle w:val="Heading3"/>
        <w:topLinePunct/>
        <w:ind w:left="200" w:hangingChars="200" w:hanging="200"/>
      </w:pPr>
      <w:bookmarkStart w:id="569961" w:name="_Toc686569961"/>
      <w:r>
        <w:t>5.1.3</w:t>
      </w:r>
      <w:r>
        <w:t xml:space="preserve"> </w:t>
      </w:r>
      <w:r>
        <w:t>提高统筹层次，促进基金区域调剂</w:t>
      </w:r>
      <w:bookmarkEnd w:id="569961"/>
    </w:p>
    <w:p w:rsidR="0018722C">
      <w:pPr>
        <w:topLinePunct/>
      </w:pPr>
      <w:r>
        <w:t>目前北京市城镇职工基本医疗保险和城镇居民基本医疗保险实行的都是市</w:t>
      </w:r>
      <w:r>
        <w:t>级统筹，而新型农村合作医疗采取的是区县级统筹的模式，北京市卫生局应该提</w:t>
      </w:r>
      <w:r>
        <w:t>高新农合的统筹层次。国家卫生部与人力资源与社会保障部也应该尽快出台全国</w:t>
      </w:r>
      <w:r>
        <w:t>统一的医疗保险数据标准与结算规范，使基金能够实现跨区域管理与结算。并且</w:t>
      </w:r>
      <w:r>
        <w:t>应该通过医疗保险基金的区域间调剂实现医疗保险基金收支平衡、适度结余的目标。</w:t>
      </w:r>
    </w:p>
    <w:p w:rsidR="0018722C">
      <w:pPr>
        <w:pStyle w:val="Heading2"/>
        <w:topLinePunct/>
        <w:ind w:left="171" w:hangingChars="171" w:hanging="171"/>
      </w:pPr>
      <w:bookmarkStart w:id="569962" w:name="_Toc686569962"/>
      <w:r>
        <w:t>5.2</w:t>
      </w:r>
      <w:r>
        <w:t xml:space="preserve"> </w:t>
      </w:r>
      <w:r>
        <w:t>基金收入方面</w:t>
      </w:r>
      <w:bookmarkEnd w:id="569962"/>
    </w:p>
    <w:p w:rsidR="0018722C">
      <w:pPr>
        <w:pStyle w:val="Heading3"/>
        <w:topLinePunct/>
        <w:ind w:left="200" w:hangingChars="200" w:hanging="200"/>
      </w:pPr>
      <w:bookmarkStart w:id="569963" w:name="_Toc686569963"/>
      <w:r>
        <w:t>5.2.1</w:t>
      </w:r>
      <w:r>
        <w:t xml:space="preserve"> </w:t>
      </w:r>
      <w:r>
        <w:t>科学测算并动态调整基金筹资水平及比例</w:t>
      </w:r>
      <w:bookmarkEnd w:id="569963"/>
    </w:p>
    <w:p w:rsidR="0018722C">
      <w:pPr>
        <w:topLinePunct/>
      </w:pPr>
      <w:r>
        <w:t>医疗保险基金的筹集是保障北京市城镇职工基本医疗保险制度、城镇居民基</w:t>
      </w:r>
      <w:r>
        <w:t>本医疗保险制度和新型农村合作医疗制度的持续发展与稳步推行的基础，北京市</w:t>
      </w:r>
      <w:r>
        <w:t>三项医疗保险基金筹资水平及比例在很长一段时期较少出现变动。然而，医疗</w:t>
      </w:r>
      <w:r>
        <w:t>保</w:t>
      </w:r>
    </w:p>
    <w:p w:rsidR="0018722C">
      <w:pPr>
        <w:topLinePunct/>
      </w:pPr>
      <w:bookmarkStart w:name="_bookmark50" w:id="35"/>
      <w:bookmarkEnd w:id="35"/>
      <w:r/>
      <w:r>
        <w:t>险基金的长期与短期的收支平衡离不开对影响基金收入与支出的影响因子的测</w:t>
      </w:r>
      <w:r>
        <w:t>算，所以要运用科学有效的方法对北京市三项医疗保险基金消费进行抽样，结合</w:t>
      </w:r>
      <w:r>
        <w:t>缴费基数，应用保险精算的手段对基金出险进行测算，从而动态调整北京市城镇</w:t>
      </w:r>
      <w:r>
        <w:t>职工基本医疗保险的个人及单位缴费水平，以及城镇居民和农村人口每人每年所</w:t>
      </w:r>
      <w:r>
        <w:t>缴纳的费用额度、政府给予的补助比例等。这样有助于确保医疗保险资金来源的稳定与充足，保障医疗保险基金的支付能力。</w:t>
      </w:r>
    </w:p>
    <w:p w:rsidR="0018722C">
      <w:pPr>
        <w:pStyle w:val="Heading3"/>
        <w:topLinePunct/>
        <w:ind w:left="200" w:hangingChars="200" w:hanging="200"/>
      </w:pPr>
      <w:bookmarkStart w:id="569964" w:name="_Toc686569964"/>
      <w:r>
        <w:t>5.2.2</w:t>
      </w:r>
      <w:r>
        <w:t xml:space="preserve"> </w:t>
      </w:r>
      <w:r>
        <w:t>加强政府补贴力度</w:t>
      </w:r>
      <w:bookmarkEnd w:id="569964"/>
    </w:p>
    <w:p w:rsidR="0018722C">
      <w:pPr>
        <w:topLinePunct/>
      </w:pPr>
      <w:r>
        <w:t>北京市政府应致力于提高城镇居民及农民的生活水平，并对城镇居民基本医</w:t>
      </w:r>
      <w:r>
        <w:t>疗保险基金及新型农村合作医疗基金给予财政补贴。以上两项医疗保险制度的建</w:t>
      </w:r>
      <w:r>
        <w:t>立，是为了保证“一老一小”、无业居民和农村居民基本医疗需求，减轻参保人</w:t>
      </w:r>
      <w:r>
        <w:t>因高昂的医疗费用而带来的经济负担，因此，这两项制度的顺利运行需要充足的</w:t>
      </w:r>
      <w:r>
        <w:t>基金收入为基础，加大政府财政补贴的力度，保证城镇居民基本医疗保险基金和</w:t>
      </w:r>
      <w:r>
        <w:t>新型农村合作医疗基金的充足来源。北京市各级政府要明确对这两项医疗保险的</w:t>
      </w:r>
      <w:r>
        <w:t>财政补贴责任和水平，并且做到随着经济社会的发展逐年增加财政补贴，同时保证财政补贴增加的幅度大于或等于同期医疗保险支出的增长幅度。</w:t>
      </w:r>
    </w:p>
    <w:p w:rsidR="0018722C">
      <w:pPr>
        <w:pStyle w:val="Heading3"/>
        <w:topLinePunct/>
        <w:ind w:left="200" w:hangingChars="200" w:hanging="200"/>
      </w:pPr>
      <w:bookmarkStart w:id="569965" w:name="_Toc686569965"/>
      <w:r>
        <w:t>5.2.3</w:t>
      </w:r>
      <w:r>
        <w:t xml:space="preserve"> </w:t>
      </w:r>
      <w:r>
        <w:t>扩宽医疗保险基金投资渠道与运用方式</w:t>
      </w:r>
      <w:bookmarkEnd w:id="569965"/>
    </w:p>
    <w:p w:rsidR="0018722C">
      <w:pPr>
        <w:topLinePunct/>
      </w:pPr>
      <w:r>
        <w:t>北京市目前对于医疗保险基金累计结余一般都是存入银行或者购买国债等稳定性较高的金融产品，这类产品的投资能够很好地保障医疗保险基金的安全。</w:t>
      </w:r>
      <w:r>
        <w:t>但是随着通货膨胀的发生，为了使医疗保险基金保值增值，建议北京市医疗保险</w:t>
      </w:r>
      <w:r>
        <w:t>经办管理机构在充分保障基金安全性的前提下，可以适当投资收益率相对较高的</w:t>
      </w:r>
      <w:r>
        <w:t>金融产品，如债券、股票、基金等，以此来提高基金投资收益。但是必须要严格</w:t>
      </w:r>
      <w:r>
        <w:t>控制基金投资风险，对单项投资设立限额。此外，也可以设置基金结余的一个合</w:t>
      </w:r>
      <w:r>
        <w:t>理比例，将超过该比例的部分基金用于建立健身中心及老年活动中心等，为人们提供健康锻炼的场所。</w:t>
      </w:r>
    </w:p>
    <w:p w:rsidR="0018722C">
      <w:pPr>
        <w:pStyle w:val="Heading2"/>
        <w:topLinePunct/>
        <w:ind w:left="171" w:hangingChars="171" w:hanging="171"/>
      </w:pPr>
      <w:bookmarkStart w:id="569966" w:name="_Toc686569966"/>
      <w:r>
        <w:t>5.3</w:t>
      </w:r>
      <w:r>
        <w:t xml:space="preserve"> </w:t>
      </w:r>
      <w:r>
        <w:t>基金支出方面</w:t>
      </w:r>
      <w:bookmarkEnd w:id="569966"/>
    </w:p>
    <w:p w:rsidR="0018722C">
      <w:pPr>
        <w:pStyle w:val="Heading3"/>
        <w:topLinePunct/>
        <w:ind w:left="200" w:hangingChars="200" w:hanging="200"/>
      </w:pPr>
      <w:bookmarkStart w:id="569967" w:name="_Toc686569967"/>
      <w:r>
        <w:t>5.3.1</w:t>
      </w:r>
      <w:r>
        <w:t xml:space="preserve"> </w:t>
      </w:r>
      <w:r>
        <w:t>建立完善的基金支出监督管理机制</w:t>
      </w:r>
      <w:bookmarkEnd w:id="569967"/>
    </w:p>
    <w:p w:rsidR="0018722C">
      <w:pPr>
        <w:topLinePunct/>
      </w:pPr>
      <w:r>
        <w:t>建立完善的基金支出监督管理机制是医疗保险基金健康运行的保障，北京市</w:t>
      </w:r>
      <w:r>
        <w:t>医疗保险经办机构必须建立健全基金支出监督机制，严格规范定点医疗机构设备</w:t>
      </w:r>
      <w:r>
        <w:t>引进及药品采购流程，监督定点医疗机构提供医疗服务的操作标准，重点监督其合理收费、合理用药，坚决打击骗保、套保行为。定期对每一家定点医疗机构进</w:t>
      </w:r>
      <w:r>
        <w:t>行评估，不定期对其进行抽查。同时加强信息系统建设，通过信息系统对医疗机构进行实时监管，提高监管能力。规范医疗保险支出，保障基金运行安全。</w:t>
      </w:r>
    </w:p>
    <w:p w:rsidR="0018722C">
      <w:pPr>
        <w:pStyle w:val="Heading3"/>
        <w:topLinePunct/>
        <w:ind w:left="200" w:hangingChars="200" w:hanging="200"/>
      </w:pPr>
      <w:bookmarkStart w:id="569968" w:name="_Toc686569968"/>
      <w:r>
        <w:t>5.3.2</w:t>
      </w:r>
      <w:r>
        <w:t xml:space="preserve"> </w:t>
      </w:r>
      <w:r>
        <w:t>制定与收入相关并且适度的起付标准及报销比例</w:t>
      </w:r>
      <w:bookmarkEnd w:id="569968"/>
    </w:p>
    <w:p w:rsidR="0018722C">
      <w:pPr>
        <w:topLinePunct/>
      </w:pPr>
      <w:bookmarkStart w:name="_bookmark51" w:id="36"/>
      <w:bookmarkEnd w:id="36"/>
      <w:r/>
      <w:r>
        <w:t>北京市依据自身经济发展水平一直在不断探索与调整医疗保险基金报销起</w:t>
      </w:r>
      <w:r>
        <w:t>付线、报销比例及封顶线，城镇职工、城镇居民及农村居民的医疗保障水平也在不断提高，这对实现医疗保险基金收支平衡、适度结余的目标起到很大的作用。</w:t>
      </w:r>
      <w:r>
        <w:t>我们可以借鉴发达国家的经验，对收入水平不同的人设定不同的医疗保险起付</w:t>
      </w:r>
      <w:r>
        <w:t>线、报销比例及封顶线，适当提高高收入人群的医疗保险起付线，降低其报销比</w:t>
      </w:r>
      <w:r>
        <w:t>例及封顶线，同时适当降低低收入人群的医疗保险起付线，提高其报销比例及封顶线，充分发挥社会医疗保险维护稳定，通过二次分配促进公平的功能。</w:t>
      </w:r>
    </w:p>
    <w:p w:rsidR="0018722C">
      <w:pPr>
        <w:pStyle w:val="Heading3"/>
        <w:topLinePunct/>
        <w:ind w:left="200" w:hangingChars="200" w:hanging="200"/>
      </w:pPr>
      <w:bookmarkStart w:id="569969" w:name="_Toc686569969"/>
      <w:r>
        <w:t>5.3.3</w:t>
      </w:r>
      <w:r>
        <w:t xml:space="preserve"> </w:t>
      </w:r>
      <w:r>
        <w:t>建立复合的医疗保险基金结算方式</w:t>
      </w:r>
      <w:bookmarkEnd w:id="569969"/>
    </w:p>
    <w:p w:rsidR="0018722C">
      <w:pPr>
        <w:topLinePunct/>
      </w:pPr>
      <w:r>
        <w:t>国际上主要的医疗保险基金结算方式有：总额预付、按服务项目付费、按病</w:t>
      </w:r>
      <w:r>
        <w:t>种付费、按人头付费、按平均床日付费等，各种结算方式都有各自的优缺点。北</w:t>
      </w:r>
      <w:r>
        <w:t>京市采取的是按照项目付费的结算方式，按照门诊、住院发生的费用以一定比例进行偿付。为了有效控制医疗保险基金支出，防止基金过度使用，使之能够达到</w:t>
      </w:r>
      <w:r>
        <w:t>收支平衡，建议北京市采用复合的基金结算方式，即以总额预付制为主，并且按照病种、人头和服务项目付费相结合的方式，既能够对定点医疗机构的固定成本</w:t>
      </w:r>
      <w:r>
        <w:t>进行补偿，又能够按照服务项目和人数以及病种综合补偿，实现医疗保险基金多层次、动态结算。</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00006pt;margin-top:781.22998pt;width:10pt;height:12pt;mso-position-horizontal-relative:page;mso-position-vertical-relative:page;z-index:-60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pt;height:12pt;mso-position-horizontal-relative:page;mso-position-vertical-relative:page;z-index:-6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_Ref665354455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6"/>
      <w:numFmt w:val="decimal"/>
      <w:lvlText w:val="[%1]"/>
      <w:lvlJc w:val="left"/>
      <w:pPr>
        <w:ind w:left="120" w:hanging="481"/>
        <w:jc w:val="left"/>
      </w:pPr>
      <w:rPr>
        <w:rFonts w:hint="default" w:ascii="宋体" w:hAnsi="宋体" w:eastAsia="宋体" w:cs="宋体"/>
        <w:w w:val="100"/>
        <w:sz w:val="22"/>
        <w:szCs w:val="22"/>
      </w:rPr>
    </w:lvl>
    <w:lvl w:ilvl="1">
      <w:start w:val="0"/>
      <w:numFmt w:val="bullet"/>
      <w:lvlText w:val="•"/>
      <w:lvlJc w:val="left"/>
      <w:pPr>
        <w:ind w:left="962" w:hanging="481"/>
      </w:pPr>
      <w:rPr>
        <w:rFonts w:hint="default"/>
      </w:rPr>
    </w:lvl>
    <w:lvl w:ilvl="2">
      <w:start w:val="0"/>
      <w:numFmt w:val="bullet"/>
      <w:lvlText w:val="•"/>
      <w:lvlJc w:val="left"/>
      <w:pPr>
        <w:ind w:left="1805" w:hanging="481"/>
      </w:pPr>
      <w:rPr>
        <w:rFonts w:hint="default"/>
      </w:rPr>
    </w:lvl>
    <w:lvl w:ilvl="3">
      <w:start w:val="0"/>
      <w:numFmt w:val="bullet"/>
      <w:lvlText w:val="•"/>
      <w:lvlJc w:val="left"/>
      <w:pPr>
        <w:ind w:left="2647" w:hanging="481"/>
      </w:pPr>
      <w:rPr>
        <w:rFonts w:hint="default"/>
      </w:rPr>
    </w:lvl>
    <w:lvl w:ilvl="4">
      <w:start w:val="0"/>
      <w:numFmt w:val="bullet"/>
      <w:lvlText w:val="•"/>
      <w:lvlJc w:val="left"/>
      <w:pPr>
        <w:ind w:left="3490" w:hanging="481"/>
      </w:pPr>
      <w:rPr>
        <w:rFonts w:hint="default"/>
      </w:rPr>
    </w:lvl>
    <w:lvl w:ilvl="5">
      <w:start w:val="0"/>
      <w:numFmt w:val="bullet"/>
      <w:lvlText w:val="•"/>
      <w:lvlJc w:val="left"/>
      <w:pPr>
        <w:ind w:left="4333" w:hanging="481"/>
      </w:pPr>
      <w:rPr>
        <w:rFonts w:hint="default"/>
      </w:rPr>
    </w:lvl>
    <w:lvl w:ilvl="6">
      <w:start w:val="0"/>
      <w:numFmt w:val="bullet"/>
      <w:lvlText w:val="•"/>
      <w:lvlJc w:val="left"/>
      <w:pPr>
        <w:ind w:left="5175" w:hanging="481"/>
      </w:pPr>
      <w:rPr>
        <w:rFonts w:hint="default"/>
      </w:rPr>
    </w:lvl>
    <w:lvl w:ilvl="7">
      <w:start w:val="0"/>
      <w:numFmt w:val="bullet"/>
      <w:lvlText w:val="•"/>
      <w:lvlJc w:val="left"/>
      <w:pPr>
        <w:ind w:left="6018" w:hanging="481"/>
      </w:pPr>
      <w:rPr>
        <w:rFonts w:hint="default"/>
      </w:rPr>
    </w:lvl>
    <w:lvl w:ilvl="8">
      <w:start w:val="0"/>
      <w:numFmt w:val="bullet"/>
      <w:lvlText w:val="•"/>
      <w:lvlJc w:val="left"/>
      <w:pPr>
        <w:ind w:left="6860" w:hanging="481"/>
      </w:pPr>
      <w:rPr>
        <w:rFonts w:hint="default"/>
      </w:rPr>
    </w:lvl>
  </w:abstractNum>
  <w:abstractNum w:abstractNumId="18">
    <w:multiLevelType w:val="hybridMultilevel"/>
    <w:lvl w:ilvl="0">
      <w:start w:val="32"/>
      <w:numFmt w:val="decimal"/>
      <w:lvlText w:val="[%1]"/>
      <w:lvlJc w:val="left"/>
      <w:pPr>
        <w:ind w:left="120" w:hanging="481"/>
        <w:jc w:val="left"/>
      </w:pPr>
      <w:rPr>
        <w:rFonts w:hint="default" w:ascii="宋体" w:hAnsi="宋体" w:eastAsia="宋体" w:cs="宋体"/>
        <w:spacing w:val="-44"/>
        <w:w w:val="100"/>
        <w:sz w:val="22"/>
        <w:szCs w:val="22"/>
      </w:rPr>
    </w:lvl>
    <w:lvl w:ilvl="1">
      <w:start w:val="0"/>
      <w:numFmt w:val="bullet"/>
      <w:lvlText w:val="•"/>
      <w:lvlJc w:val="left"/>
      <w:pPr>
        <w:ind w:left="974" w:hanging="481"/>
      </w:pPr>
      <w:rPr>
        <w:rFonts w:hint="default"/>
      </w:rPr>
    </w:lvl>
    <w:lvl w:ilvl="2">
      <w:start w:val="0"/>
      <w:numFmt w:val="bullet"/>
      <w:lvlText w:val="•"/>
      <w:lvlJc w:val="left"/>
      <w:pPr>
        <w:ind w:left="1829" w:hanging="481"/>
      </w:pPr>
      <w:rPr>
        <w:rFonts w:hint="default"/>
      </w:rPr>
    </w:lvl>
    <w:lvl w:ilvl="3">
      <w:start w:val="0"/>
      <w:numFmt w:val="bullet"/>
      <w:lvlText w:val="•"/>
      <w:lvlJc w:val="left"/>
      <w:pPr>
        <w:ind w:left="2683" w:hanging="481"/>
      </w:pPr>
      <w:rPr>
        <w:rFonts w:hint="default"/>
      </w:rPr>
    </w:lvl>
    <w:lvl w:ilvl="4">
      <w:start w:val="0"/>
      <w:numFmt w:val="bullet"/>
      <w:lvlText w:val="•"/>
      <w:lvlJc w:val="left"/>
      <w:pPr>
        <w:ind w:left="3538" w:hanging="481"/>
      </w:pPr>
      <w:rPr>
        <w:rFonts w:hint="default"/>
      </w:rPr>
    </w:lvl>
    <w:lvl w:ilvl="5">
      <w:start w:val="0"/>
      <w:numFmt w:val="bullet"/>
      <w:lvlText w:val="•"/>
      <w:lvlJc w:val="left"/>
      <w:pPr>
        <w:ind w:left="4393" w:hanging="481"/>
      </w:pPr>
      <w:rPr>
        <w:rFonts w:hint="default"/>
      </w:rPr>
    </w:lvl>
    <w:lvl w:ilvl="6">
      <w:start w:val="0"/>
      <w:numFmt w:val="bullet"/>
      <w:lvlText w:val="•"/>
      <w:lvlJc w:val="left"/>
      <w:pPr>
        <w:ind w:left="5247" w:hanging="481"/>
      </w:pPr>
      <w:rPr>
        <w:rFonts w:hint="default"/>
      </w:rPr>
    </w:lvl>
    <w:lvl w:ilvl="7">
      <w:start w:val="0"/>
      <w:numFmt w:val="bullet"/>
      <w:lvlText w:val="•"/>
      <w:lvlJc w:val="left"/>
      <w:pPr>
        <w:ind w:left="6102" w:hanging="481"/>
      </w:pPr>
      <w:rPr>
        <w:rFonts w:hint="default"/>
      </w:rPr>
    </w:lvl>
    <w:lvl w:ilvl="8">
      <w:start w:val="0"/>
      <w:numFmt w:val="bullet"/>
      <w:lvlText w:val="•"/>
      <w:lvlJc w:val="left"/>
      <w:pPr>
        <w:ind w:left="6956" w:hanging="481"/>
      </w:pPr>
      <w:rPr>
        <w:rFonts w:hint="default"/>
      </w:rPr>
    </w:lvl>
  </w:abstractNum>
  <w:abstractNum w:abstractNumId="17">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2" w:hanging="480"/>
      </w:pPr>
      <w:rPr>
        <w:rFonts w:hint="default"/>
      </w:rPr>
    </w:lvl>
  </w:abstractNum>
  <w:abstractNum w:abstractNumId="16">
    <w:multiLevelType w:val="hybridMultilevel"/>
    <w:lvl w:ilvl="0">
      <w:start w:val="5"/>
      <w:numFmt w:val="decimal"/>
      <w:lvlText w:val="%1"/>
      <w:lvlJc w:val="left"/>
      <w:pPr>
        <w:ind w:left="609" w:hanging="490"/>
        <w:jc w:val="left"/>
      </w:pPr>
      <w:rPr>
        <w:rFonts w:hint="default"/>
      </w:rPr>
    </w:lvl>
    <w:lvl w:ilvl="1">
      <w:start w:val="3"/>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5">
    <w:multiLevelType w:val="hybridMultilevel"/>
    <w:lvl w:ilvl="0">
      <w:start w:val="5"/>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4">
    <w:multiLevelType w:val="hybridMultilevel"/>
    <w:lvl w:ilvl="0">
      <w:start w:val="5"/>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3">
    <w:multiLevelType w:val="hybridMultilevel"/>
    <w:lvl w:ilvl="0">
      <w:start w:val="4"/>
      <w:numFmt w:val="decimal"/>
      <w:lvlText w:val="%1"/>
      <w:lvlJc w:val="left"/>
      <w:pPr>
        <w:ind w:left="780" w:hanging="660"/>
        <w:jc w:val="left"/>
      </w:pPr>
      <w:rPr>
        <w:rFonts w:hint="default"/>
      </w:rPr>
    </w:lvl>
    <w:lvl w:ilvl="1">
      <w:start w:val="2"/>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12">
    <w:multiLevelType w:val="hybridMultilevel"/>
    <w:lvl w:ilvl="0">
      <w:start w:val="4"/>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1">
    <w:multiLevelType w:val="hybridMultilevel"/>
    <w:lvl w:ilvl="0">
      <w:start w:val="3"/>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0">
    <w:multiLevelType w:val="hybridMultilevel"/>
    <w:lvl w:ilvl="0">
      <w:start w:val="3"/>
      <w:numFmt w:val="decimal"/>
      <w:lvlText w:val="%1"/>
      <w:lvlJc w:val="left"/>
      <w:pPr>
        <w:ind w:left="780" w:hanging="660"/>
        <w:jc w:val="left"/>
      </w:pPr>
      <w:rPr>
        <w:rFonts w:hint="default"/>
      </w:rPr>
    </w:lvl>
    <w:lvl w:ilvl="1">
      <w:start w:val="1"/>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9">
    <w:multiLevelType w:val="hybridMultilevel"/>
    <w:lvl w:ilvl="0">
      <w:start w:val="12"/>
      <w:numFmt w:val="decimal"/>
      <w:lvlText w:val="%1"/>
      <w:lvlJc w:val="left"/>
      <w:pPr>
        <w:ind w:left="626" w:hanging="207"/>
        <w:jc w:val="left"/>
      </w:pPr>
      <w:rPr>
        <w:rFonts w:hint="default" w:ascii="Times New Roman" w:hAnsi="Times New Roman" w:eastAsia="Times New Roman" w:cs="Times New Roman"/>
        <w:w w:val="104"/>
        <w:position w:val="6"/>
        <w:sz w:val="11"/>
        <w:szCs w:val="11"/>
      </w:rPr>
    </w:lvl>
    <w:lvl w:ilvl="1">
      <w:start w:val="0"/>
      <w:numFmt w:val="bullet"/>
      <w:lvlText w:val="•"/>
      <w:lvlJc w:val="left"/>
      <w:pPr>
        <w:ind w:left="1478" w:hanging="207"/>
      </w:pPr>
      <w:rPr>
        <w:rFonts w:hint="default"/>
      </w:rPr>
    </w:lvl>
    <w:lvl w:ilvl="2">
      <w:start w:val="0"/>
      <w:numFmt w:val="bullet"/>
      <w:lvlText w:val="•"/>
      <w:lvlJc w:val="left"/>
      <w:pPr>
        <w:ind w:left="2337" w:hanging="207"/>
      </w:pPr>
      <w:rPr>
        <w:rFonts w:hint="default"/>
      </w:rPr>
    </w:lvl>
    <w:lvl w:ilvl="3">
      <w:start w:val="0"/>
      <w:numFmt w:val="bullet"/>
      <w:lvlText w:val="•"/>
      <w:lvlJc w:val="left"/>
      <w:pPr>
        <w:ind w:left="3195" w:hanging="207"/>
      </w:pPr>
      <w:rPr>
        <w:rFonts w:hint="default"/>
      </w:rPr>
    </w:lvl>
    <w:lvl w:ilvl="4">
      <w:start w:val="0"/>
      <w:numFmt w:val="bullet"/>
      <w:lvlText w:val="•"/>
      <w:lvlJc w:val="left"/>
      <w:pPr>
        <w:ind w:left="4054" w:hanging="207"/>
      </w:pPr>
      <w:rPr>
        <w:rFonts w:hint="default"/>
      </w:rPr>
    </w:lvl>
    <w:lvl w:ilvl="5">
      <w:start w:val="0"/>
      <w:numFmt w:val="bullet"/>
      <w:lvlText w:val="•"/>
      <w:lvlJc w:val="left"/>
      <w:pPr>
        <w:ind w:left="4913" w:hanging="207"/>
      </w:pPr>
      <w:rPr>
        <w:rFonts w:hint="default"/>
      </w:rPr>
    </w:lvl>
    <w:lvl w:ilvl="6">
      <w:start w:val="0"/>
      <w:numFmt w:val="bullet"/>
      <w:lvlText w:val="•"/>
      <w:lvlJc w:val="left"/>
      <w:pPr>
        <w:ind w:left="5771" w:hanging="207"/>
      </w:pPr>
      <w:rPr>
        <w:rFonts w:hint="default"/>
      </w:rPr>
    </w:lvl>
    <w:lvl w:ilvl="7">
      <w:start w:val="0"/>
      <w:numFmt w:val="bullet"/>
      <w:lvlText w:val="•"/>
      <w:lvlJc w:val="left"/>
      <w:pPr>
        <w:ind w:left="6630" w:hanging="207"/>
      </w:pPr>
      <w:rPr>
        <w:rFonts w:hint="default"/>
      </w:rPr>
    </w:lvl>
    <w:lvl w:ilvl="8">
      <w:start w:val="0"/>
      <w:numFmt w:val="bullet"/>
      <w:lvlText w:val="•"/>
      <w:lvlJc w:val="left"/>
      <w:pPr>
        <w:ind w:left="7488" w:hanging="207"/>
      </w:pPr>
      <w:rPr>
        <w:rFonts w:hint="default"/>
      </w:rPr>
    </w:lvl>
  </w:abstractNum>
  <w:abstractNum w:abstractNumId="8">
    <w:multiLevelType w:val="hybridMultilevel"/>
    <w:lvl w:ilvl="0">
      <w:start w:val="2"/>
      <w:numFmt w:val="decimal"/>
      <w:lvlText w:val="%1"/>
      <w:lvlJc w:val="left"/>
      <w:pPr>
        <w:ind w:left="1080" w:hanging="660"/>
        <w:jc w:val="left"/>
      </w:pPr>
      <w:rPr>
        <w:rFonts w:hint="default"/>
      </w:rPr>
    </w:lvl>
    <w:lvl w:ilvl="1">
      <w:start w:val="4"/>
      <w:numFmt w:val="decimal"/>
      <w:lvlText w:val="%1.%2"/>
      <w:lvlJc w:val="left"/>
      <w:pPr>
        <w:ind w:left="1080" w:hanging="660"/>
        <w:jc w:val="left"/>
      </w:pPr>
      <w:rPr>
        <w:rFonts w:hint="default"/>
      </w:rPr>
    </w:lvl>
    <w:lvl w:ilvl="2">
      <w:start w:val="2"/>
      <w:numFmt w:val="decimal"/>
      <w:lvlText w:val="%1.%2.%3"/>
      <w:lvlJc w:val="left"/>
      <w:pPr>
        <w:ind w:left="1080" w:hanging="660"/>
        <w:jc w:val="left"/>
      </w:pPr>
      <w:rPr>
        <w:rFonts w:hint="default" w:ascii="黑体" w:hAnsi="黑体" w:eastAsia="黑体" w:cs="黑体"/>
        <w:w w:val="100"/>
        <w:sz w:val="24"/>
        <w:szCs w:val="24"/>
      </w:rPr>
    </w:lvl>
    <w:lvl w:ilvl="3">
      <w:start w:val="0"/>
      <w:numFmt w:val="bullet"/>
      <w:lvlText w:val="•"/>
      <w:lvlJc w:val="left"/>
      <w:pPr>
        <w:ind w:left="3517" w:hanging="660"/>
      </w:pPr>
      <w:rPr>
        <w:rFonts w:hint="default"/>
      </w:rPr>
    </w:lvl>
    <w:lvl w:ilvl="4">
      <w:start w:val="0"/>
      <w:numFmt w:val="bullet"/>
      <w:lvlText w:val="•"/>
      <w:lvlJc w:val="left"/>
      <w:pPr>
        <w:ind w:left="4330" w:hanging="660"/>
      </w:pPr>
      <w:rPr>
        <w:rFonts w:hint="default"/>
      </w:rPr>
    </w:lvl>
    <w:lvl w:ilvl="5">
      <w:start w:val="0"/>
      <w:numFmt w:val="bullet"/>
      <w:lvlText w:val="•"/>
      <w:lvlJc w:val="left"/>
      <w:pPr>
        <w:ind w:left="5143" w:hanging="660"/>
      </w:pPr>
      <w:rPr>
        <w:rFonts w:hint="default"/>
      </w:rPr>
    </w:lvl>
    <w:lvl w:ilvl="6">
      <w:start w:val="0"/>
      <w:numFmt w:val="bullet"/>
      <w:lvlText w:val="•"/>
      <w:lvlJc w:val="left"/>
      <w:pPr>
        <w:ind w:left="5955" w:hanging="660"/>
      </w:pPr>
      <w:rPr>
        <w:rFonts w:hint="default"/>
      </w:rPr>
    </w:lvl>
    <w:lvl w:ilvl="7">
      <w:start w:val="0"/>
      <w:numFmt w:val="bullet"/>
      <w:lvlText w:val="•"/>
      <w:lvlJc w:val="left"/>
      <w:pPr>
        <w:ind w:left="6768" w:hanging="660"/>
      </w:pPr>
      <w:rPr>
        <w:rFonts w:hint="default"/>
      </w:rPr>
    </w:lvl>
    <w:lvl w:ilvl="8">
      <w:start w:val="0"/>
      <w:numFmt w:val="bullet"/>
      <w:lvlText w:val="•"/>
      <w:lvlJc w:val="left"/>
      <w:pPr>
        <w:ind w:left="7580" w:hanging="660"/>
      </w:pPr>
      <w:rPr>
        <w:rFonts w:hint="default"/>
      </w:rPr>
    </w:lvl>
  </w:abstractNum>
  <w:abstractNum w:abstractNumId="7">
    <w:multiLevelType w:val="hybridMultilevel"/>
    <w:lvl w:ilvl="0">
      <w:start w:val="2"/>
      <w:numFmt w:val="decimal"/>
      <w:lvlText w:val="%1"/>
      <w:lvlJc w:val="left"/>
      <w:pPr>
        <w:ind w:left="1849" w:hanging="490"/>
        <w:jc w:val="left"/>
      </w:pPr>
      <w:rPr>
        <w:rFonts w:hint="default"/>
      </w:rPr>
    </w:lvl>
    <w:lvl w:ilvl="1">
      <w:start w:val="3"/>
      <w:numFmt w:val="decimal"/>
      <w:lvlText w:val="%1.%2"/>
      <w:lvlJc w:val="left"/>
      <w:pPr>
        <w:ind w:left="1000" w:hanging="490"/>
        <w:jc w:val="right"/>
      </w:pPr>
      <w:rPr>
        <w:rFonts w:hint="default"/>
        <w:spacing w:val="-2"/>
        <w:w w:val="100"/>
      </w:rPr>
    </w:lvl>
    <w:lvl w:ilvl="2">
      <w:start w:val="1"/>
      <w:numFmt w:val="decimal"/>
      <w:lvlText w:val="%1.%2.%3"/>
      <w:lvlJc w:val="left"/>
      <w:pPr>
        <w:ind w:left="2020" w:hanging="660"/>
        <w:jc w:val="righ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4271" w:hanging="660"/>
      </w:pPr>
      <w:rPr>
        <w:rFonts w:hint="default"/>
      </w:rPr>
    </w:lvl>
    <w:lvl w:ilvl="5">
      <w:start w:val="0"/>
      <w:numFmt w:val="bullet"/>
      <w:lvlText w:val="•"/>
      <w:lvlJc w:val="left"/>
      <w:pPr>
        <w:ind w:left="5397" w:hanging="660"/>
      </w:pPr>
      <w:rPr>
        <w:rFonts w:hint="default"/>
      </w:rPr>
    </w:lvl>
    <w:lvl w:ilvl="6">
      <w:start w:val="0"/>
      <w:numFmt w:val="bullet"/>
      <w:lvlText w:val="•"/>
      <w:lvlJc w:val="left"/>
      <w:pPr>
        <w:ind w:left="6523" w:hanging="660"/>
      </w:pPr>
      <w:rPr>
        <w:rFonts w:hint="default"/>
      </w:rPr>
    </w:lvl>
    <w:lvl w:ilvl="7">
      <w:start w:val="0"/>
      <w:numFmt w:val="bullet"/>
      <w:lvlText w:val="•"/>
      <w:lvlJc w:val="left"/>
      <w:pPr>
        <w:ind w:left="7648" w:hanging="660"/>
      </w:pPr>
      <w:rPr>
        <w:rFonts w:hint="default"/>
      </w:rPr>
    </w:lvl>
    <w:lvl w:ilvl="8">
      <w:start w:val="0"/>
      <w:numFmt w:val="bullet"/>
      <w:lvlText w:val="•"/>
      <w:lvlJc w:val="left"/>
      <w:pPr>
        <w:ind w:left="8774" w:hanging="660"/>
      </w:pPr>
      <w:rPr>
        <w:rFonts w:hint="default"/>
      </w:rPr>
    </w:lvl>
  </w:abstractNum>
  <w:abstractNum w:abstractNumId="6">
    <w:multiLevelType w:val="hybridMultilevel"/>
    <w:lvl w:ilvl="0">
      <w:start w:val="2"/>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5">
    <w:multiLevelType w:val="hybridMultilevel"/>
    <w:lvl w:ilvl="0">
      <w:start w:val="1"/>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05" w:hanging="660"/>
      </w:pPr>
      <w:rPr>
        <w:rFonts w:hint="default"/>
      </w:rPr>
    </w:lvl>
    <w:lvl w:ilvl="4">
      <w:start w:val="0"/>
      <w:numFmt w:val="bullet"/>
      <w:lvlText w:val="•"/>
      <w:lvlJc w:val="left"/>
      <w:pPr>
        <w:ind w:left="3368" w:hanging="660"/>
      </w:pPr>
      <w:rPr>
        <w:rFonts w:hint="default"/>
      </w:rPr>
    </w:lvl>
    <w:lvl w:ilvl="5">
      <w:start w:val="0"/>
      <w:numFmt w:val="bullet"/>
      <w:lvlText w:val="•"/>
      <w:lvlJc w:val="left"/>
      <w:pPr>
        <w:ind w:left="4231" w:hanging="660"/>
      </w:pPr>
      <w:rPr>
        <w:rFonts w:hint="default"/>
      </w:rPr>
    </w:lvl>
    <w:lvl w:ilvl="6">
      <w:start w:val="0"/>
      <w:numFmt w:val="bullet"/>
      <w:lvlText w:val="•"/>
      <w:lvlJc w:val="left"/>
      <w:pPr>
        <w:ind w:left="5094" w:hanging="660"/>
      </w:pPr>
      <w:rPr>
        <w:rFonts w:hint="default"/>
      </w:rPr>
    </w:lvl>
    <w:lvl w:ilvl="7">
      <w:start w:val="0"/>
      <w:numFmt w:val="bullet"/>
      <w:lvlText w:val="•"/>
      <w:lvlJc w:val="left"/>
      <w:pPr>
        <w:ind w:left="5957" w:hanging="660"/>
      </w:pPr>
      <w:rPr>
        <w:rFonts w:hint="default"/>
      </w:rPr>
    </w:lvl>
    <w:lvl w:ilvl="8">
      <w:start w:val="0"/>
      <w:numFmt w:val="bullet"/>
      <w:lvlText w:val="•"/>
      <w:lvlJc w:val="left"/>
      <w:pPr>
        <w:ind w:left="6820" w:hanging="660"/>
      </w:pPr>
      <w:rPr>
        <w:rFonts w:hint="default"/>
      </w:rPr>
    </w:lvl>
  </w:abstractNum>
  <w:abstractNum w:abstractNumId="4">
    <w:multiLevelType w:val="hybridMultilevel"/>
    <w:lvl w:ilvl="0">
      <w:start w:val="5"/>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3">
    <w:multiLevelType w:val="hybridMultilevel"/>
    <w:lvl w:ilvl="0">
      <w:start w:val="4"/>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2">
    <w:multiLevelType w:val="hybridMultilevel"/>
    <w:lvl w:ilvl="0">
      <w:start w:val="3"/>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1">
    <w:multiLevelType w:val="hybridMultilevel"/>
    <w:lvl w:ilvl="0">
      <w:start w:val="2"/>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0">
    <w:multiLevelType w:val="hybridMultilevel"/>
    <w:lvl w:ilvl="0">
      <w:start w:val="1"/>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51"/>
      <w:ind w:leftChars="0" w:left="1116" w:hanging="576"/>
    </w:pPr>
    <w:rPr>
      <w:rFonts w:ascii="宋体" w:hAnsi="宋体" w:eastAsia="宋体" w:cs="宋体"/>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7.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第一章</dc:title>
  <dcterms:created xsi:type="dcterms:W3CDTF">2017-03-14T22:09:29Z</dcterms:created>
  <dcterms:modified xsi:type="dcterms:W3CDTF">2017-03-14T22:09:29Z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WPS Office 个人版</vt:lpwstr>
  </property>
  <property fmtid="{D5CDD505-2E9C-101B-9397-08002B2CF9AE}" pid="4" name="LastSaved">
    <vt:filetime>2017-03-14T00:00:00Z</vt:filetime>
  </property>
</Properties>
</file>