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footer27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28.xml" ContentType="application/vnd.openxmlformats-officedocument.wordprocessingml.foot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header35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6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6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pic="http://schemas.openxmlformats.org/drawingml/2006/picture" mc:Ignorable="w14 w15 w16se w16cid w16 w16cex wp14" xml:space="preserve">
  <w:body>
    <w:p w:rsidR="0018722C">
      <w:pPr>
        <w:pStyle w:val="af6"/>
        <w:topLinePunct/>
      </w:pPr>
      <w:bookmarkStart w:name="中文摘要 " w:id="3"/>
      <w:bookmarkEnd w:id="3"/>
      <w:r/>
      <w:bookmarkStart w:name="_bookmark0" w:id="4"/>
      <w:bookmarkEnd w:id="4"/>
      <w:r/>
      <w:r>
        <w:t>摘</w:t>
      </w:r>
      <w:r w:rsidR="004F241D">
        <w:t xml:space="preserve">  </w:t>
      </w:r>
      <w:r w:rsidR="004F241D">
        <w:t xml:space="preserve">要</w:t>
      </w:r>
    </w:p>
    <w:p w:rsidR="0018722C">
      <w:pPr>
        <w:pStyle w:val="aff0"/>
        <w:topLinePunct/>
      </w:pPr>
      <w:r>
        <w:t>投资决策在公司的三大财务决策中扮演着举足轻重的角色，有效的投资关系到</w:t>
      </w:r>
      <w:r>
        <w:t>企业的经营风险、盈利能力和持续发展。在我国逐年增长的投资背后隐藏着投资效</w:t>
      </w:r>
      <w:r>
        <w:t>率的问题，现实的投资水平往往偏离了企业最优投资模型，有悖于企业价值最大化目标。由于所有权与经营权两权分离的现代企业特征，引发了信息不对称，导致股</w:t>
      </w:r>
      <w:r>
        <w:t>东不能对经营者实施有效的监督，未持股的代理人在选择投资项目时会优先选择对</w:t>
      </w:r>
      <w:r>
        <w:t>自己有利的投资项目，而不是考虑股东利益。当自由现金流充足时，由于建立企业</w:t>
      </w:r>
      <w:r>
        <w:t>帝国的动机，代理人通过扩大公司规模，控制更多资源，并从中获取更多私人收益，</w:t>
      </w:r>
      <w:r>
        <w:t>容易引发过度投资。随着管理层持股制度的产生和发展，管理层持股作为一种有效</w:t>
      </w:r>
      <w:r>
        <w:t>的激励机制</w:t>
      </w:r>
      <w:r>
        <w:t>近年</w:t>
      </w:r>
      <w:r>
        <w:t>来被上市公司广泛接纳。但由于我国引进管理层持股激励机制较</w:t>
      </w:r>
      <w:r>
        <w:t>晚，政策和法律的不完善，一定程度上制约了管理层持股激励机制作用的有效发挥，</w:t>
      </w:r>
      <w:r>
        <w:t>直到</w:t>
      </w:r>
      <w:r>
        <w:rPr>
          <w:rFonts w:ascii="Times New Roman" w:eastAsia="Times New Roman"/>
        </w:rPr>
        <w:t>2006</w:t>
      </w:r>
      <w:r>
        <w:t>年随着股权分置改革的完成，股权激励的管理办法消除了法律障碍，管</w:t>
      </w:r>
      <w:r>
        <w:t>理层持股才开始得到大规模的运用。直到目前，我国还存在着管理层持股比例普遍</w:t>
      </w:r>
      <w:r>
        <w:t>较低的问题，因此管理层持股能否达到预期的激励效果有待进一步研究。</w:t>
      </w:r>
    </w:p>
    <w:p w:rsidR="0018722C">
      <w:pPr>
        <w:pStyle w:val="aff0"/>
        <w:topLinePunct/>
      </w:pPr>
      <w:r>
        <w:t>本文从我国的经济制度和宏观环境出发，以公司治理的角度，首先在委托代理</w:t>
      </w:r>
      <w:r>
        <w:t>理论框架下分析了代理成本与过度投资的关系，研究发现代理成本越高的上市公</w:t>
      </w:r>
      <w:r>
        <w:t>司，道德风险越高，过度投资越严重；然后从激励机制的角度研究发现管理层持股</w:t>
      </w:r>
      <w:r>
        <w:t>能起到使股东与代理人利益趋同的效应，从而抑制过度投资；并进一步分析管理层</w:t>
      </w:r>
      <w:r>
        <w:t>持股在代理成本对过度投资的正向关系中能起到抑制作用。理论分析之后本文选取</w:t>
      </w:r>
      <w:r>
        <w:t>了</w:t>
      </w:r>
      <w:r>
        <w:rPr>
          <w:rFonts w:ascii="Times New Roman" w:hAnsi="Times New Roman" w:eastAsia="宋体"/>
        </w:rPr>
        <w:t>2010</w:t>
      </w:r>
      <w:r>
        <w:t>—</w:t>
      </w:r>
      <w:r>
        <w:rPr>
          <w:rFonts w:ascii="Times New Roman" w:hAnsi="Times New Roman" w:eastAsia="宋体"/>
        </w:rPr>
        <w:t>2014</w:t>
      </w:r>
      <w:r>
        <w:t>年我国深沪两市</w:t>
      </w:r>
      <w:r>
        <w:rPr>
          <w:rFonts w:ascii="Times New Roman" w:hAnsi="Times New Roman" w:eastAsia="宋体"/>
        </w:rPr>
        <w:t>A</w:t>
      </w:r>
      <w:r>
        <w:t>股上市公司的原始数据为样本，通过</w:t>
      </w:r>
      <w:r>
        <w:rPr>
          <w:rFonts w:ascii="Times New Roman" w:hAnsi="Times New Roman" w:eastAsia="宋体"/>
        </w:rPr>
        <w:t>OLS</w:t>
      </w:r>
      <w:r>
        <w:t>回归模</w:t>
      </w:r>
      <w:r>
        <w:t>型，探究管理层持股、代理成本对过度投资的影响，并按照是否有管理层持股分样</w:t>
      </w:r>
      <w:r>
        <w:t>本，以及按产权性质分样本做进一步研究，研究结果表明：</w:t>
      </w:r>
      <w:r>
        <w:t>（</w:t>
      </w:r>
      <w:r>
        <w:rPr>
          <w:rFonts w:ascii="Times New Roman" w:hAnsi="Times New Roman" w:eastAsia="宋体"/>
        </w:rPr>
        <w:t>1</w:t>
      </w:r>
      <w:r>
        <w:t>）</w:t>
      </w:r>
      <w:r>
        <w:t>过度投资行为在我国上市公司中比较普遍</w:t>
      </w:r>
      <w:r>
        <w:t>（</w:t>
      </w:r>
      <w:r>
        <w:rPr>
          <w:rFonts w:ascii="Times New Roman" w:hAnsi="Times New Roman" w:eastAsia="宋体"/>
        </w:rPr>
        <w:t>2</w:t>
      </w:r>
      <w:r>
        <w:t>）</w:t>
      </w:r>
      <w:r>
        <w:t>代理成本越高的上市公司，过度投资行为越严重</w:t>
      </w:r>
      <w:r>
        <w:t>（</w:t>
      </w:r>
      <w:r>
        <w:rPr>
          <w:rFonts w:ascii="Times New Roman" w:hAnsi="Times New Roman" w:eastAsia="宋体"/>
        </w:rPr>
        <w:t>3</w:t>
      </w:r>
      <w:r>
        <w:t>）</w:t>
      </w:r>
      <w:r>
        <w:t>公司存在过度投资行为时，管理层持股表现出激励效应，能够抑制上市公司的过度</w:t>
      </w:r>
      <w:r>
        <w:t>投资行为</w:t>
      </w:r>
      <w:r>
        <w:t>（</w:t>
      </w:r>
      <w:r>
        <w:rPr>
          <w:rFonts w:ascii="Times New Roman" w:hAnsi="Times New Roman" w:eastAsia="宋体"/>
          <w:spacing w:val="-9"/>
        </w:rPr>
        <w:t>4</w:t>
      </w:r>
      <w:r>
        <w:t>）</w:t>
      </w:r>
      <w:r>
        <w:t>管理层持股的激励机制能够抑制代理成本对过度投资的正向作用</w:t>
      </w:r>
      <w:r>
        <w:t>（</w:t>
      </w:r>
      <w:r>
        <w:rPr>
          <w:rFonts w:ascii="Times New Roman" w:hAnsi="Times New Roman" w:eastAsia="宋体"/>
        </w:rPr>
        <w:t>5</w:t>
      </w:r>
      <w:r>
        <w:t>）</w:t>
      </w:r>
      <w:r>
        <w:t>管理层持股的激励效果在非国有企业中更明显。最后，根据本文的研究结果，结合管理层持股激励机制和过度投资现象，提出优化管理层持股方案的相关政策建议，</w:t>
      </w:r>
      <w:r>
        <w:t>在一定程度上为上市公司改善激励机制，提升企业的投资效率，优化企业的资源配置提供参考。</w:t>
      </w:r>
    </w:p>
    <w:p w:rsidR="0018722C">
      <w:pPr>
        <w:pStyle w:val="aff"/>
        <w:topLinePunct/>
      </w:pPr>
      <w:r>
        <w:rPr>
          <w:rFonts w:eastAsia="黑体" w:ascii="Times New Roman"/>
          <w:rStyle w:val="afe"/>
          <w:b/>
        </w:rPr>
        <w:t>关键词</w:t>
      </w:r>
      <w:r>
        <w:rPr>
          <w:rFonts w:eastAsia="黑体" w:ascii="Times New Roman"/>
          <w:rStyle w:val="afe"/>
          <w:b/>
        </w:rPr>
        <w:t>：</w:t>
      </w:r>
      <w:r>
        <w:t>管理层持股；代理成本；过度投资；委托代理</w:t>
      </w:r>
      <w:r>
        <w:t xml:space="preserve"> </w:t>
      </w:r>
      <w:r/>
      <w:r>
        <w:t xml:space="preserve"> </w:t>
      </w:r>
      <w:r/>
      <w:r>
        <w:t xml:space="preserve"> </w:t>
      </w:r>
      <w:r/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I</w:t>
      </w:r>
    </w:p>
    <w:p w:rsidR="0018722C">
      <w:pPr>
        <w:topLinePunct/>
      </w:pPr>
      <w:r>
        <w:rPr>
          <w:rFonts w:cstheme="minorBidi" w:hAnsiTheme="minorHAnsi" w:eastAsiaTheme="minorHAnsi" w:asciiTheme="minorHAnsi" w:ascii="Times New Roman"/>
        </w:rPr>
        <w:t>II</w:t>
      </w:r>
    </w:p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隶书">
    <w:altName w:val="隶书"/>
    <w:charset w:val="86"/>
    <w:family w:val="modern"/>
    <w:pitch w:val="fixed"/>
  </w:font>
  <w:font w:name="仿宋">
    <w:altName w:val="仿宋"/>
    <w:charset w:val="86"/>
    <w:family w:val="modern"/>
    <w:pitch w:val="fixed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7.326233pt;width:42pt;height:12pt;mso-position-horizontal-relative:page;mso-position-vertical-relative:page;z-index:-14756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96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94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570.726257pt;width:42pt;height:12pt;mso-position-horizontal-relative:page;mso-position-vertical-relative:page;z-index:-14692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570.726257pt;width:42pt;height:12pt;mso-position-horizontal-relative:page;mso-position-vertical-relative:page;z-index:-14689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7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75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63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60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44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41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749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747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77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75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63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60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44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641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7544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752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749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pt;margin-top:817.326233pt;width:42pt;height:12pt;mso-position-horizontal-relative:page;mso-position-vertical-relative:page;z-index:-14747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44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42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06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182.860001pt;margin-top:45.509827pt;width:243.75pt;height:13.7pt;mso-position-horizontal-relative:page;mso-position-vertical-relative:page;z-index:-147040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 </w:t>
                </w:r>
                <w:r>
                  <w:rPr>
                    <w:sz w:val="21"/>
                  </w:rPr>
                  <w:t>管理层持股、代理成本对过度投资影响的实证研究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016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99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872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84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82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182.860001pt;margin-top:45.509827pt;width:243.75pt;height:13.7pt;mso-position-horizontal-relative:page;mso-position-vertical-relative:page;z-index:-146800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 </w:t>
                </w:r>
                <w:r>
                  <w:rPr>
                    <w:sz w:val="21"/>
                  </w:rPr>
                  <w:t>管理层持股、代理成本对过度投资影响的实证研究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72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51.289993pt;margin-top:45.509827pt;width:107.15pt;height:13.7pt;mso-position-horizontal-relative:page;mso-position-vertical-relative:page;z-index:-146704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 </w:t>
                </w:r>
                <w:r>
                  <w:rPr>
                    <w:sz w:val="21"/>
                  </w:rPr>
                  <w:t>研究结论与对策建议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680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65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58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93.290009pt;margin-top:45.844982pt;width:23.15pt;height:12.6pt;mso-position-horizontal-relative:page;mso-position-vertical-relative:page;z-index:-14656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致谢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400" from="83.664001pt,58.679981pt" to="525.934001pt,58.679981pt" stroked="true" strokeweight=".48pt" strokecolor="#000000">
          <v:stroke dashstyle="solid"/>
          <w10:wrap type="none"/>
        </v:line>
      </w:pict>
    </w:r>
    <w:r>
      <w:rPr/>
      <w:pict>
        <v:shape style="position:absolute;margin-left:285.970001pt;margin-top:44.549828pt;width:37.7pt;height:13.7pt;mso-position-horizontal-relative:page;mso-position-vertical-relative:page;z-index:-147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Abstract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536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82.730011pt;margin-top:45.844982pt;width:44.15pt;height:12.6pt;mso-position-horizontal-relative:page;mso-position-vertical-relative:page;z-index:-14651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参考文献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48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46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392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177.699997pt;margin-top:45.844982pt;width:254.3pt;height:12.6pt;mso-position-horizontal-relative:page;mso-position-vertical-relative:page;z-index:-14636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个人简历、在学期间发表的学术论文及取得的研究成果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400" from="83.664001pt,58.679981pt" to="525.934001pt,58.679981pt" stroked="true" strokeweight=".48pt" strokecolor="#000000">
          <v:stroke dashstyle="solid"/>
          <w10:wrap type="none"/>
        </v:line>
      </w:pict>
    </w:r>
    <w:r>
      <w:rPr/>
      <w:pict>
        <v:shape style="position:absolute;margin-left:285.970001pt;margin-top:44.549828pt;width:37.7pt;height:13.7pt;mso-position-horizontal-relative:page;mso-position-vertical-relative:page;z-index:-147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1"/>
                  </w:rPr>
                </w:pPr>
                <w:r>
                  <w:rPr>
                    <w:rFonts w:ascii="Times New Roman"/>
                    <w:sz w:val="21"/>
                  </w:rPr>
                  <w:t>Abstract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44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42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352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88.010010pt;margin-top:45.509827pt;width:33.7pt;height:13.7pt;mso-position-horizontal-relative:page;mso-position-vertical-relative:page;z-index:-147328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1  </w:t>
                </w:r>
                <w:r>
                  <w:rPr>
                    <w:sz w:val="21"/>
                  </w:rPr>
                  <w:t>绪论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30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28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256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25.009995pt;margin-top:45.509827pt;width:159.75pt;height:13.7pt;mso-position-horizontal-relative:page;mso-position-vertical-relative:page;z-index:-147232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2  </w:t>
                </w:r>
                <w:r>
                  <w:rPr>
                    <w:sz w:val="21"/>
                  </w:rPr>
                  <w:t>概念界定、理论基础及研究假设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20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18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82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182.860001pt;margin-top:45.509827pt;width:243.75pt;height:13.7pt;mso-position-horizontal-relative:page;mso-position-vertical-relative:page;z-index:-146800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4  </w:t>
                </w:r>
                <w:r>
                  <w:rPr>
                    <w:sz w:val="21"/>
                  </w:rPr>
                  <w:t>管理层持股、代理成本对过度投资影响的实证研究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352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88.010010pt;margin-top:45.509827pt;width:33.7pt;height:13.7pt;mso-position-horizontal-relative:page;mso-position-vertical-relative:page;z-index:-147328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1  </w:t>
                </w:r>
                <w:r>
                  <w:rPr>
                    <w:sz w:val="21"/>
                  </w:rPr>
                  <w:t>绪论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872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84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72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51.289993pt;margin-top:45.509827pt;width:107.15pt;height:13.7pt;mso-position-horizontal-relative:page;mso-position-vertical-relative:page;z-index:-146704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5  </w:t>
                </w:r>
                <w:r>
                  <w:rPr>
                    <w:sz w:val="21"/>
                  </w:rPr>
                  <w:t>研究结论与对策建议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680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65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58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93.290009pt;margin-top:45.844982pt;width:23.15pt;height:12.6pt;mso-position-horizontal-relative:page;mso-position-vertical-relative:page;z-index:-14656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致谢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536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82.730011pt;margin-top:45.844982pt;width:44.15pt;height:12.6pt;mso-position-horizontal-relative:page;mso-position-vertical-relative:page;z-index:-146512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参考文献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648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646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 STYLEREF  "</w:instrText>
    </w:r>
    <w:r>
      <w:rPr>
        <w:kern w:val="2"/>
        <w:sz w:val="21"/>
        <w:szCs w:val="21"/>
        <w:rFonts w:eastAsia="华文中宋"/>
      </w:rPr>
      <w:instrText>标题</w:instrText>
    </w:r>
    <w:r>
      <w:rPr>
        <w:kern w:val="2"/>
        <w:sz w:val="21"/>
        <w:szCs w:val="21"/>
        <w:rFonts w:eastAsia="华文中宋"/>
      </w:rPr>
      <w:instrText xml:space="preserve"> 1"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 w:hint="eastAsia"/>
        <w:noProof/>
      </w:rPr>
      <w:t xml:space="preserve">1  </w:t>
    </w:r>
    <w:r>
      <w:rPr>
        <w:kern w:val="2"/>
        <w:sz w:val="21"/>
        <w:szCs w:val="21"/>
        <w:rFonts w:eastAsia="华文中宋" w:hint="eastAsia"/>
        <w:noProof/>
      </w:rPr>
      <w:t>标题</w:t>
    </w:r>
    <w:r>
      <w:rPr>
        <w:kern w:val="2"/>
        <w:sz w:val="21"/>
        <w:szCs w:val="21"/>
        <w:rFonts w:eastAsia="华文中宋" w:hint="eastAsia"/>
        <w:noProof/>
      </w:rPr>
      <w:t>1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304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28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REF _Ref665660912 \h</w:instrText>
    </w:r>
    <w:r>
      <w:rPr>
        <w:kern w:val="2"/>
        <w:sz w:val="21"/>
        <w:szCs w:val="24"/>
        <w:rFonts w:eastAsia="华文中宋"/>
      </w:rPr>
      <w:instrText xml:space="preserve"> \* MERGEFORMAT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eastAsia="华文中宋"/>
      </w:rPr>
      <w:t>摘要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256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25.009995pt;margin-top:45.509827pt;width:159.75pt;height:13.7pt;mso-position-horizontal-relative:page;mso-position-vertical-relative:page;z-index:-147232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2  </w:t>
                </w:r>
                <w:r>
                  <w:rPr>
                    <w:sz w:val="21"/>
                  </w:rPr>
                  <w:t>概念界定、理论基础及研究假设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208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18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160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14.449997pt;margin-top:45.509827pt;width:180.75pt;height:13.7pt;mso-position-horizontal-relative:page;mso-position-vertical-relative:page;z-index:-147136" type="#_x0000_t202" filled="false" stroked="false">
          <v:textbox inset="0,0,0,0">
            <w:txbxContent>
              <w:p>
                <w:pPr>
                  <w:spacing w:line="254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rFonts w:ascii="Times New Roman" w:eastAsia="Times New Roman"/>
                    <w:sz w:val="21"/>
                  </w:rPr>
                  <w:t>3  </w:t>
                </w:r>
                <w:r>
                  <w:rPr>
                    <w:sz w:val="21"/>
                  </w:rPr>
                  <w:t>上市公司过度投资存在性的实证研究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47112" from="83.664001pt,60.239983pt" to="525.934001pt,60.239983pt" stroked="true" strokeweight=".48pt" strokecolor="#000000">
          <v:stroke dashstyle="solid"/>
          <w10:wrap type="none"/>
        </v:line>
      </w:pict>
    </w:r>
    <w:r>
      <w:rPr/>
      <w:pict>
        <v:shape style="position:absolute;margin-left:240.729996pt;margin-top:45.844982pt;width:128.15pt;height:12.6pt;mso-position-horizontal-relative:page;mso-position-vertical-relative:page;z-index:-14708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重庆理工大学硕士学位论文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49"/>
      <w:numFmt w:val="decimal"/>
      <w:lvlText w:val="[%1]"/>
      <w:lvlJc w:val="left"/>
      <w:pPr>
        <w:ind w:left="802" w:hanging="45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692" w:hanging="4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5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7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0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3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5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1" w:hanging="459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802" w:hanging="37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692" w:hanging="3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5" w:hanging="3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7" w:hanging="3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0" w:hanging="3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3" w:hanging="3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5" w:hanging="3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3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1" w:hanging="372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921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1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3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5" w:hanging="428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229" w:hanging="428"/>
        <w:jc w:val="righ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8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34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2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89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16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4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1" w:hanging="548"/>
      </w:pPr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921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1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2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73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23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5" w:hanging="428"/>
      </w:pPr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3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7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2" w:hanging="548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"/>
      <w:lvlJc w:val="left"/>
      <w:pPr>
        <w:ind w:left="283" w:hanging="219"/>
      </w:pPr>
      <w:rPr>
        <w:rFonts w:hint="default" w:ascii="Symbol" w:hAnsi="Symbol" w:eastAsia="Symbol" w:cs="Symbol"/>
        <w:w w:val="93"/>
        <w:sz w:val="25"/>
        <w:szCs w:val="25"/>
      </w:rPr>
    </w:lvl>
    <w:lvl w:ilvl="1">
      <w:start w:val="0"/>
      <w:numFmt w:val="bullet"/>
      <w:lvlText w:val=""/>
      <w:lvlJc w:val="left"/>
      <w:pPr>
        <w:ind w:left="389" w:hanging="239"/>
      </w:pPr>
      <w:rPr>
        <w:rFonts w:hint="default"/>
        <w:w w:val="92"/>
      </w:rPr>
    </w:lvl>
    <w:lvl w:ilvl="2">
      <w:start w:val="0"/>
      <w:numFmt w:val="bullet"/>
      <w:lvlText w:val="•"/>
      <w:lvlJc w:val="left"/>
      <w:pPr>
        <w:ind w:left="58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99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18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5" w:hanging="239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"/>
      <w:lvlJc w:val="left"/>
      <w:pPr>
        <w:ind w:left="444" w:hanging="223"/>
      </w:pPr>
      <w:rPr>
        <w:rFonts w:hint="default" w:ascii="Symbol" w:hAnsi="Symbol" w:eastAsia="Symbol" w:cs="Symbol"/>
        <w:w w:val="93"/>
        <w:sz w:val="25"/>
        <w:szCs w:val="25"/>
      </w:rPr>
    </w:lvl>
    <w:lvl w:ilvl="1">
      <w:start w:val="0"/>
      <w:numFmt w:val="bullet"/>
      <w:lvlText w:val=""/>
      <w:lvlJc w:val="left"/>
      <w:pPr>
        <w:ind w:left="652" w:hanging="219"/>
      </w:pPr>
      <w:rPr>
        <w:rFonts w:hint="default" w:ascii="Symbol" w:hAnsi="Symbol" w:eastAsia="Symbol" w:cs="Symbol"/>
        <w:w w:val="93"/>
        <w:sz w:val="25"/>
        <w:szCs w:val="25"/>
      </w:rPr>
    </w:lvl>
    <w:lvl w:ilvl="2">
      <w:start w:val="0"/>
      <w:numFmt w:val="bullet"/>
      <w:lvlText w:val="•"/>
      <w:lvlJc w:val="left"/>
      <w:pPr>
        <w:ind w:left="682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5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8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1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4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6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" w:hanging="219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380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0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21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1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61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82" w:hanging="548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229" w:hanging="428"/>
        <w:jc w:val="righ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3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7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2" w:hanging="548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3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7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2" w:hanging="54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29" w:hanging="428"/>
        <w:jc w:val="righ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3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7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2" w:hanging="54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3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7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2" w:hanging="54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1"/>
      <w:numFmt w:val="decimal"/>
      <w:lvlText w:val="(%4)"/>
      <w:lvlJc w:val="left"/>
      <w:pPr>
        <w:ind w:left="1762" w:hanging="48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375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7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9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4" w:hanging="4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29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9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49" w:hanging="5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203" w:hanging="5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5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7" w:hanging="5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9" w:hanging="5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0" w:hanging="5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2" w:hanging="5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5" w:hanging="284"/>
        <w:jc w:val="left"/>
      </w:pPr>
      <w:rPr>
        <w:rFonts w:hint="default" w:ascii="宋体" w:hAnsi="宋体" w:eastAsia="宋体" w:cs="宋体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706" w:hanging="485"/>
        <w:jc w:val="left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273" w:hanging="632"/>
        <w:jc w:val="left"/>
      </w:pPr>
      <w:rPr>
        <w:rFonts w:hint="default" w:ascii="宋体" w:hAnsi="宋体" w:eastAsia="宋体" w:cs="宋体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3210" w:hanging="6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1" w:hanging="6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2" w:hanging="6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3" w:hanging="6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4" w:hanging="6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632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middleDot" w:pos="9120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  <w:semiHidden/>
    <w:unhideWhenUsed/>
  </w:style>
  <w:style w:type="paragraph" w:styleId="TOC2">
    <w:name w:val="toc 2"/>
    <w:autoRedefine/>
    <w:uiPriority w:val="39"/>
    <w:pPr>
      <w:tabs>
        <w:tab w:val="right" w:leader="middleDot" w:pos="9120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  <w:semiHidden/>
    <w:unhideWhenUsed/>
  </w:style>
  <w:style w:type="paragraph" w:styleId="TOC3">
    <w:name w:val="toc 3"/>
    <w:autoRedefine/>
    <w:uiPriority w:val="39"/>
    <w:pPr>
      <w:tabs>
        <w:tab w:val="right" w:leader="middleDot" w:pos="9120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  <w:semiHidden/>
    <w:unhideWhenUsed/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type="paragraph" w:styleId="Heading1">
    <w:name w:val="heading 1"/>
    <w:link w:val="10"/>
    <w:autoRedefine/>
    <w:qFormat/>
    <w:pPr>
      <w:keepNext/>
      <w:keepLines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</w:style>
  <w:style w:type="paragraph" w:styleId="Heading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</w:style>
  <w:style w:type="paragraph" w:styleId="Heading4">
    <w:name w:val="heading 4"/>
    <w:link w:val="40"/>
    <w:autoRedefine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Chars="0" w:left="80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  <w:style w:type="paragraph" w:styleId="5">
    <w:name w:val="heading 5"/>
    <w:link w:val="50"/>
    <w:autoRedefine/>
    <w:semiHidden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Heading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Heading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middleDot" w:pos="9120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middleDot" w:pos="9120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  <w:semiHidden/>
    <w:unhideWhenUsed/>
  </w:style>
  <w:style w:type="paragraph" w:customStyle="1" w:styleId="af6">
    <w:name w:val="中文摘要标题"/>
    <w:next w:val="Normal"/>
    <w:link w:val="af7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12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20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说明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22">
    <w:name w:val="单级列表"/>
    <w:basedOn w:val="Normal"/>
    <w:rsid w:val="00AB18CF"/>
    <w:pPr>
      <w:widowControl/>
    </w:pPr>
    <w:rPr>
      <w:bCs/>
    </w:rPr>
  </w:style>
  <w:style w:type="paragraph" w:customStyle="1" w:styleId="cw23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4">
    <w:name w:val="代码段落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6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7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8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9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eader" Target="header5.xml"/><Relationship Id="rId25" Type="http://schemas.openxmlformats.org/officeDocument/2006/relationships/header" Target="header6.xml"/><Relationship Id="rId26" Type="http://schemas.openxmlformats.org/officeDocument/2006/relationships/header" Target="header7.xml"/><Relationship Id="rId27" Type="http://schemas.openxmlformats.org/officeDocument/2006/relationships/header" Target="header8.xml"/><Relationship Id="rId28" Type="http://schemas.openxmlformats.org/officeDocument/2006/relationships/header" Target="header9.xml"/><Relationship Id="rId29" Type="http://schemas.openxmlformats.org/officeDocument/2006/relationships/footer" Target="footer9.xml"/><Relationship Id="rId30" Type="http://schemas.openxmlformats.org/officeDocument/2006/relationships/header" Target="header10.xml"/><Relationship Id="rId31" Type="http://schemas.openxmlformats.org/officeDocument/2006/relationships/header" Target="header11.xml"/><Relationship Id="rId32" Type="http://schemas.openxmlformats.org/officeDocument/2006/relationships/footer" Target="footer10.xml"/><Relationship Id="rId33" Type="http://schemas.openxmlformats.org/officeDocument/2006/relationships/footer" Target="footer11.xml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footer" Target="footer13.xml"/><Relationship Id="rId37" Type="http://schemas.openxmlformats.org/officeDocument/2006/relationships/header" Target="header13.xml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footer" Target="footer15.xml"/><Relationship Id="rId41" Type="http://schemas.openxmlformats.org/officeDocument/2006/relationships/image" Target="media/image8.png"/><Relationship Id="rId42" Type="http://schemas.openxmlformats.org/officeDocument/2006/relationships/header" Target="header15.xml"/><Relationship Id="rId43" Type="http://schemas.openxmlformats.org/officeDocument/2006/relationships/footer" Target="footer16.xml"/><Relationship Id="rId44" Type="http://schemas.openxmlformats.org/officeDocument/2006/relationships/header" Target="header16.xml"/><Relationship Id="rId45" Type="http://schemas.openxmlformats.org/officeDocument/2006/relationships/header" Target="header17.xml"/><Relationship Id="rId46" Type="http://schemas.openxmlformats.org/officeDocument/2006/relationships/footer" Target="footer17.xml"/><Relationship Id="rId47" Type="http://schemas.openxmlformats.org/officeDocument/2006/relationships/footer" Target="footer18.xml"/><Relationship Id="rId48" Type="http://schemas.openxmlformats.org/officeDocument/2006/relationships/header" Target="header18.xml"/><Relationship Id="rId49" Type="http://schemas.openxmlformats.org/officeDocument/2006/relationships/header" Target="header19.xml"/><Relationship Id="rId50" Type="http://schemas.openxmlformats.org/officeDocument/2006/relationships/footer" Target="footer19.xml"/><Relationship Id="rId51" Type="http://schemas.openxmlformats.org/officeDocument/2006/relationships/header" Target="header20.xml"/><Relationship Id="rId52" Type="http://schemas.openxmlformats.org/officeDocument/2006/relationships/header" Target="header21.xml"/><Relationship Id="rId53" Type="http://schemas.openxmlformats.org/officeDocument/2006/relationships/footer" Target="footer20.xml"/><Relationship Id="rId54" Type="http://schemas.openxmlformats.org/officeDocument/2006/relationships/footer" Target="footer21.xml"/><Relationship Id="rId55" Type="http://schemas.openxmlformats.org/officeDocument/2006/relationships/header" Target="header22.xml"/><Relationship Id="rId56" Type="http://schemas.openxmlformats.org/officeDocument/2006/relationships/numbering" Target="numbering.xml"/><Relationship Id="rId57" Type="http://schemas.openxmlformats.org/officeDocument/2006/relationships/endnotes" Target="endnotes.xml"/><Relationship Id="rId58" Type="http://schemas.openxmlformats.org/officeDocument/2006/relationships/footer" Target="footer22.xml"/><Relationship Id="rId59" Type="http://schemas.openxmlformats.org/officeDocument/2006/relationships/footer" Target="footer23.xml"/><Relationship Id="rId60" Type="http://schemas.openxmlformats.org/officeDocument/2006/relationships/header" Target="header23.xml"/><Relationship Id="rId61" Type="http://schemas.openxmlformats.org/officeDocument/2006/relationships/header" Target="header24.xml"/><Relationship Id="rId62" Type="http://schemas.openxmlformats.org/officeDocument/2006/relationships/header" Target="header25.xml"/><Relationship Id="rId63" Type="http://schemas.openxmlformats.org/officeDocument/2006/relationships/header" Target="header26.xml"/><Relationship Id="rId64" Type="http://schemas.openxmlformats.org/officeDocument/2006/relationships/header" Target="header27.xml"/><Relationship Id="rId65" Type="http://schemas.openxmlformats.org/officeDocument/2006/relationships/header" Target="header28.xml"/><Relationship Id="rId66" Type="http://schemas.openxmlformats.org/officeDocument/2006/relationships/header" Target="header29.xml"/><Relationship Id="rId67" Type="http://schemas.openxmlformats.org/officeDocument/2006/relationships/header" Target="header30.xml"/><Relationship Id="rId68" Type="http://schemas.openxmlformats.org/officeDocument/2006/relationships/footer" Target="footer24.xml"/><Relationship Id="rId69" Type="http://schemas.openxmlformats.org/officeDocument/2006/relationships/footer" Target="footer25.xml"/><Relationship Id="rId70" Type="http://schemas.openxmlformats.org/officeDocument/2006/relationships/footer" Target="footer26.xml"/><Relationship Id="rId71" Type="http://schemas.openxmlformats.org/officeDocument/2006/relationships/header" Target="header31.xml"/><Relationship Id="rId72" Type="http://schemas.openxmlformats.org/officeDocument/2006/relationships/footer" Target="footer27.xml"/><Relationship Id="rId73" Type="http://schemas.openxmlformats.org/officeDocument/2006/relationships/header" Target="header32.xml"/><Relationship Id="rId74" Type="http://schemas.openxmlformats.org/officeDocument/2006/relationships/header" Target="header33.xml"/><Relationship Id="rId75" Type="http://schemas.openxmlformats.org/officeDocument/2006/relationships/footer" Target="footer28.xml"/><Relationship Id="rId76" Type="http://schemas.openxmlformats.org/officeDocument/2006/relationships/header" Target="header34.xml"/><Relationship Id="rId77" Type="http://schemas.openxmlformats.org/officeDocument/2006/relationships/footer" Target="footer29.xml"/><Relationship Id="rId78" Type="http://schemas.openxmlformats.org/officeDocument/2006/relationships/header" Target="header35.xml"/><Relationship Id="rId79" Type="http://schemas.openxmlformats.org/officeDocument/2006/relationships/footer" Target="footer30.xml"/><Relationship Id="rId81" Type="http://schemas.openxmlformats.org/officeDocument/2006/relationships/footer" Target="footer31.xml"/><Relationship Id="rId82" Type="http://schemas.openxmlformats.org/officeDocument/2006/relationships/header" Target="header36.xml"/><Relationship Id="rId83" Type="http://schemas.openxmlformats.org/officeDocument/2006/relationships/footer" Target="footer32.xml"/><Relationship Id="rId84" Type="http://schemas.openxmlformats.org/officeDocument/2006/relationships/footer" Target="footer33.xml"/><Relationship Id="rId85" Type="http://schemas.openxmlformats.org/officeDocument/2006/relationships/footer" Target="footer34.xml"/><Relationship Id="rId86" Type="http://schemas.openxmlformats.org/officeDocument/2006/relationships/footer" Target="footer35.xml"/><Relationship Id="rId87" Type="http://schemas.openxmlformats.org/officeDocument/2006/relationships/header" Target="header37.xml"/><Relationship Id="rId88" Type="http://schemas.openxmlformats.org/officeDocument/2006/relationships/header" Target="header38.xml"/><Relationship Id="rId89" Type="http://schemas.openxmlformats.org/officeDocument/2006/relationships/footer" Target="footer36.xml"/><Relationship Id="rId90" Type="http://schemas.openxmlformats.org/officeDocument/2006/relationships/header" Target="header39.xml"/><Relationship Id="rId91" Type="http://schemas.openxmlformats.org/officeDocument/2006/relationships/header" Target="header40.xml"/><Relationship Id="rId92" Type="http://schemas.openxmlformats.org/officeDocument/2006/relationships/header" Target="header41.xml"/><Relationship Id="rId93" Type="http://schemas.openxmlformats.org/officeDocument/2006/relationships/footer" Target="footer37.xml"/><Relationship Id="rId94" Type="http://schemas.openxmlformats.org/officeDocument/2006/relationships/footer" Target="footer38.xml"/><Relationship Id="rId95" Type="http://schemas.openxmlformats.org/officeDocument/2006/relationships/footer" Target="footer39.xml"/><Relationship Id="rId96" Type="http://schemas.openxmlformats.org/officeDocument/2006/relationships/header" Target="header42.xml"/><Relationship Id="rId97" Type="http://schemas.openxmlformats.org/officeDocument/2006/relationships/header" Target="header43.xml"/><Relationship Id="rId98" Type="http://schemas.openxmlformats.org/officeDocument/2006/relationships/header" Target="header44.xml"/><Relationship Id="rId9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/>
  <dcterms:created xsi:type="dcterms:W3CDTF">2017-03-18T01:18:33Z</dcterms:created>
  <dcterms:modified xsi:type="dcterms:W3CDTF">2017-03-18T01:18:33Z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2017-03-17T00:00:00Z</vt:filetime>
  </property>
</Properties>
</file>