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Not Given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Rising Waters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0" w:lineRule="auto"/>
        <w:rPr>
          <w:b w:val="1"/>
          <w:bCs w:val="1"/>
          <w:sz w:val="18"/>
          <w:szCs w:val="18"/>
        </w:rPr>
      </w:pPr>
      <w:r w:rsidDel="00000000" w:rsidR="00000000" w:rsidRPr="00000000">
        <w:rPr>
          <w:rtl w:val="0"/>
        </w:rPr>
      </w:r>
    </w:p>
    <w:tbl>
      <w:tblPr>
        <w:tblStyle w:val="Table2"/>
        <w:tblpPr w:leftFromText="180" w:rightFromText="180" w:topFromText="180" w:bottomFromText="180" w:vertAnchor="text" w:horzAnchor="text" w:tblpX="-735" w:tblpY="61.09228515624977"/>
        <w:tblW w:w="103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0"/>
        <w:gridCol w:w="2430"/>
        <w:gridCol w:w="3030"/>
        <w:tblGridChange w:id="0">
          <w:tblGrid>
            <w:gridCol w:w="4920"/>
            <w:gridCol w:w="2430"/>
            <w:gridCol w:w="3030"/>
          </w:tblGrid>
        </w:tblGridChange>
      </w:tblGrid>
      <w:tr>
        <w:trPr>
          <w:cantSplit w:val="0"/>
          <w:tblHeader w:val="0"/>
        </w:trPr>
        <w:tc>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Team Members</w:t>
            </w:r>
            <w:r w:rsidDel="00000000" w:rsidR="00000000" w:rsidRPr="00000000">
              <w:rPr>
                <w:rtl w:val="0"/>
              </w:rPr>
            </w:r>
          </w:p>
        </w:tc>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Skill Wallet Team ID’s</w:t>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Roll Numbers (College: ACET)</w:t>
            </w:r>
          </w:p>
        </w:tc>
      </w:tr>
      <w:tr>
        <w:trPr>
          <w:cantSplit w:val="0"/>
          <w:trHeight w:val="298.5546875" w:hRule="atLeast"/>
          <w:tblHeader w:val="0"/>
        </w:trPr>
        <w:tc>
          <w:tcPr/>
          <w:p w:rsidR="00000000" w:rsidDel="00000000" w:rsidP="00000000" w:rsidRDefault="00000000" w:rsidRPr="00000000" w14:paraId="00000010">
            <w:pPr>
              <w:rPr>
                <w:b w:val="1"/>
                <w:bCs w:val="1"/>
              </w:rPr>
            </w:pPr>
            <w:r w:rsidDel="00000000" w:rsidR="00000000" w:rsidRPr="00000000">
              <w:rPr>
                <w:b w:val="1"/>
                <w:bCs w:val="1"/>
                <w:color w:val="0a0a0a"/>
                <w:sz w:val="27"/>
                <w:szCs w:val="27"/>
                <w:highlight w:val="white"/>
                <w:rtl w:val="0"/>
              </w:rPr>
              <w:t xml:space="preserve">Mohana Deepika Kancherla</w:t>
            </w:r>
            <w:r w:rsidDel="00000000" w:rsidR="00000000" w:rsidRPr="00000000">
              <w:rPr>
                <w:b w:val="1"/>
                <w:bCs w:val="1"/>
                <w:rtl w:val="0"/>
              </w:rPr>
              <w:t xml:space="preserve"> (Team Leader)</w:t>
            </w:r>
          </w:p>
        </w:tc>
        <w:tc>
          <w:tcPr/>
          <w:p w:rsidR="00000000" w:rsidDel="00000000" w:rsidP="00000000" w:rsidRDefault="00000000" w:rsidRPr="00000000" w14:paraId="00000011">
            <w:pPr>
              <w:jc w:val="center"/>
              <w:rPr/>
            </w:pPr>
            <w:r w:rsidDel="00000000" w:rsidR="00000000" w:rsidRPr="00000000">
              <w:rPr>
                <w:rtl w:val="0"/>
              </w:rPr>
              <w:t xml:space="preserve">SWUID2026226898</w:t>
            </w:r>
          </w:p>
        </w:tc>
        <w:tc>
          <w:tcPr/>
          <w:p w:rsidR="00000000" w:rsidDel="00000000" w:rsidP="00000000" w:rsidRDefault="00000000" w:rsidRPr="00000000" w14:paraId="00000012">
            <w:pPr>
              <w:jc w:val="center"/>
              <w:rPr/>
            </w:pPr>
            <w:r w:rsidDel="00000000" w:rsidR="00000000" w:rsidRPr="00000000">
              <w:rPr>
                <w:rtl w:val="0"/>
              </w:rPr>
              <w:t xml:space="preserve">23MH1A0596</w:t>
            </w:r>
          </w:p>
        </w:tc>
      </w:tr>
      <w:tr>
        <w:trPr>
          <w:cantSplit w:val="0"/>
          <w:tblHeader w:val="0"/>
        </w:trPr>
        <w:tc>
          <w:tcPr/>
          <w:p w:rsidR="00000000" w:rsidDel="00000000" w:rsidP="00000000" w:rsidRDefault="00000000" w:rsidRPr="00000000" w14:paraId="00000013">
            <w:pPr>
              <w:rPr>
                <w:b w:val="1"/>
                <w:bCs w:val="1"/>
              </w:rPr>
            </w:pPr>
            <w:r w:rsidDel="00000000" w:rsidR="00000000" w:rsidRPr="00000000">
              <w:rPr>
                <w:b w:val="1"/>
                <w:bCs w:val="1"/>
                <w:color w:val="0a0a0a"/>
                <w:sz w:val="27"/>
                <w:szCs w:val="27"/>
                <w:highlight w:val="white"/>
                <w:rtl w:val="0"/>
              </w:rPr>
              <w:t xml:space="preserve">Flora Disowja Sarugolu</w:t>
            </w:r>
            <w:r w:rsidDel="00000000" w:rsidR="00000000" w:rsidRPr="00000000">
              <w:rPr>
                <w:b w:val="1"/>
                <w:bCs w:val="1"/>
                <w:rtl w:val="0"/>
              </w:rPr>
              <w:t xml:space="preserve"> </w:t>
            </w:r>
          </w:p>
        </w:tc>
        <w:tc>
          <w:tcPr/>
          <w:p w:rsidR="00000000" w:rsidDel="00000000" w:rsidP="00000000" w:rsidRDefault="00000000" w:rsidRPr="00000000" w14:paraId="00000014">
            <w:pPr>
              <w:jc w:val="center"/>
              <w:rPr/>
            </w:pPr>
            <w:r w:rsidDel="00000000" w:rsidR="00000000" w:rsidRPr="00000000">
              <w:rPr>
                <w:rtl w:val="0"/>
              </w:rPr>
              <w:t xml:space="preserve">SWUID2026212008</w:t>
            </w:r>
          </w:p>
        </w:tc>
        <w:tc>
          <w:tcPr/>
          <w:p w:rsidR="00000000" w:rsidDel="00000000" w:rsidP="00000000" w:rsidRDefault="00000000" w:rsidRPr="00000000" w14:paraId="00000015">
            <w:pPr>
              <w:jc w:val="center"/>
              <w:rPr/>
            </w:pPr>
            <w:r w:rsidDel="00000000" w:rsidR="00000000" w:rsidRPr="00000000">
              <w:rPr>
                <w:rtl w:val="0"/>
              </w:rPr>
              <w:t xml:space="preserve">24P35A0549</w:t>
            </w:r>
          </w:p>
        </w:tc>
      </w:tr>
      <w:tr>
        <w:trPr>
          <w:cantSplit w:val="0"/>
          <w:tblHeader w:val="0"/>
        </w:trPr>
        <w:tc>
          <w:tcPr/>
          <w:p w:rsidR="00000000" w:rsidDel="00000000" w:rsidP="00000000" w:rsidRDefault="00000000" w:rsidRPr="00000000" w14:paraId="00000016">
            <w:pPr>
              <w:rPr>
                <w:b w:val="1"/>
                <w:bCs w:val="1"/>
              </w:rPr>
            </w:pPr>
            <w:r w:rsidDel="00000000" w:rsidR="00000000" w:rsidRPr="00000000">
              <w:rPr>
                <w:b w:val="1"/>
                <w:bCs w:val="1"/>
                <w:color w:val="0a0a0a"/>
                <w:sz w:val="27"/>
                <w:szCs w:val="27"/>
                <w:highlight w:val="white"/>
                <w:rtl w:val="0"/>
              </w:rPr>
              <w:t xml:space="preserve">Santhi Illa</w:t>
            </w:r>
            <w:r w:rsidDel="00000000" w:rsidR="00000000" w:rsidRPr="00000000">
              <w:rPr>
                <w:b w:val="1"/>
                <w:bCs w:val="1"/>
                <w:rtl w:val="0"/>
              </w:rPr>
              <w:t xml:space="preserve"> </w:t>
            </w:r>
          </w:p>
        </w:tc>
        <w:tc>
          <w:tcPr/>
          <w:p w:rsidR="00000000" w:rsidDel="00000000" w:rsidP="00000000" w:rsidRDefault="00000000" w:rsidRPr="00000000" w14:paraId="00000017">
            <w:pPr>
              <w:jc w:val="center"/>
              <w:rPr/>
            </w:pPr>
            <w:r w:rsidDel="00000000" w:rsidR="00000000" w:rsidRPr="00000000">
              <w:rPr>
                <w:rtl w:val="0"/>
              </w:rPr>
              <w:t xml:space="preserve">SWUID2026212021</w:t>
            </w:r>
          </w:p>
        </w:tc>
        <w:tc>
          <w:tcPr/>
          <w:p w:rsidR="00000000" w:rsidDel="00000000" w:rsidP="00000000" w:rsidRDefault="00000000" w:rsidRPr="00000000" w14:paraId="00000018">
            <w:pPr>
              <w:jc w:val="center"/>
              <w:rPr/>
            </w:pPr>
            <w:r w:rsidDel="00000000" w:rsidR="00000000" w:rsidRPr="00000000">
              <w:rPr>
                <w:rtl w:val="0"/>
              </w:rPr>
              <w:t xml:space="preserve">24P35A0550</w:t>
            </w:r>
          </w:p>
        </w:tc>
      </w:tr>
      <w:tr>
        <w:trPr>
          <w:cantSplit w:val="0"/>
          <w:tblHeader w:val="0"/>
        </w:trPr>
        <w:tc>
          <w:tcPr/>
          <w:p w:rsidR="00000000" w:rsidDel="00000000" w:rsidP="00000000" w:rsidRDefault="00000000" w:rsidRPr="00000000" w14:paraId="00000019">
            <w:pPr>
              <w:rPr>
                <w:b w:val="1"/>
                <w:bCs w:val="1"/>
              </w:rPr>
            </w:pPr>
            <w:r w:rsidDel="00000000" w:rsidR="00000000" w:rsidRPr="00000000">
              <w:rPr>
                <w:b w:val="1"/>
                <w:bCs w:val="1"/>
                <w:color w:val="0a0a0a"/>
                <w:sz w:val="27"/>
                <w:szCs w:val="27"/>
                <w:highlight w:val="white"/>
                <w:rtl w:val="0"/>
              </w:rPr>
              <w:t xml:space="preserve">Mathan Bhavesh Hari Raghava Krishna Munaga</w:t>
            </w:r>
            <w:r w:rsidDel="00000000" w:rsidR="00000000" w:rsidRPr="00000000">
              <w:rPr>
                <w:b w:val="1"/>
                <w:bCs w:val="1"/>
                <w:rtl w:val="0"/>
              </w:rPr>
              <w:t xml:space="preserve"> </w:t>
            </w:r>
          </w:p>
        </w:tc>
        <w:tc>
          <w:tcPr/>
          <w:p w:rsidR="00000000" w:rsidDel="00000000" w:rsidP="00000000" w:rsidRDefault="00000000" w:rsidRPr="00000000" w14:paraId="0000001A">
            <w:pPr>
              <w:jc w:val="center"/>
              <w:rPr/>
            </w:pPr>
            <w:r w:rsidDel="00000000" w:rsidR="00000000" w:rsidRPr="00000000">
              <w:rPr>
                <w:rtl w:val="0"/>
              </w:rPr>
              <w:t xml:space="preserve">SWUID2026212007</w:t>
            </w:r>
          </w:p>
        </w:tc>
        <w:tc>
          <w:tcPr/>
          <w:p w:rsidR="00000000" w:rsidDel="00000000" w:rsidP="00000000" w:rsidRDefault="00000000" w:rsidRPr="00000000" w14:paraId="0000001B">
            <w:pPr>
              <w:jc w:val="center"/>
              <w:rPr/>
            </w:pPr>
            <w:r w:rsidDel="00000000" w:rsidR="00000000" w:rsidRPr="00000000">
              <w:rPr>
                <w:rtl w:val="0"/>
              </w:rPr>
              <w:t xml:space="preserve">24P35A0532</w:t>
            </w:r>
          </w:p>
        </w:tc>
      </w:tr>
    </w:tbl>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1D">
      <w:pPr>
        <w:rPr>
          <w:sz w:val="24"/>
          <w:szCs w:val="24"/>
        </w:rPr>
      </w:pPr>
      <w:r w:rsidDel="00000000" w:rsidR="00000000" w:rsidRPr="00000000">
        <w:rPr>
          <w:sz w:val="24"/>
          <w:szCs w:val="24"/>
          <w:rtl w:val="0"/>
        </w:rPr>
        <w:t xml:space="preserve">The Empathy Map Canvas was used to understand the needs, challenges, and expectations of disaster management authorities and meteorologists. It highlighted their concerns about inaccurate flood forecasts, delayed warnings, and public safety. These insights guided the development of a machine learning-based flood prediction system that delivers reliable early warnings, enabling faster decisions and more effective disaster preparedness.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Pr>
        <w:drawing>
          <wp:inline distB="114300" distT="114300" distL="114300" distR="114300">
            <wp:extent cx="5731200" cy="3886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yf6gceaBPL7NWf3j/CqJ3cVLA==">CgMxLjA4AHIhMV92Q1liWFFzWnJjODcxZ1ZNZlJHa19SU2lacE5aX2pm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