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Solution Architecture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28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Not Given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Rising Waters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sz w:val="24"/>
                <w:szCs w:val="24"/>
              </w:rPr>
            </w:pPr>
            <w:r w:rsidDel="00000000" w:rsidR="00000000" w:rsidRPr="00000000">
              <w:rPr>
                <w:sz w:val="24"/>
                <w:szCs w:val="24"/>
                <w:rtl w:val="0"/>
              </w:rPr>
              <w:t xml:space="preserve">4 Marks</w:t>
            </w:r>
          </w:p>
        </w:tc>
      </w:tr>
    </w:tbl>
    <w:p w:rsidR="00000000" w:rsidDel="00000000" w:rsidP="00000000" w:rsidRDefault="00000000" w:rsidRPr="00000000" w14:paraId="0000000C">
      <w:pPr>
        <w:spacing w:after="0" w:lineRule="auto"/>
        <w:rPr>
          <w:b w:val="1"/>
          <w:bCs w:val="1"/>
          <w:sz w:val="18"/>
          <w:szCs w:val="18"/>
        </w:rPr>
      </w:pPr>
      <w:r w:rsidDel="00000000" w:rsidR="00000000" w:rsidRPr="00000000">
        <w:rPr>
          <w:rtl w:val="0"/>
        </w:rPr>
      </w:r>
    </w:p>
    <w:tbl>
      <w:tblPr>
        <w:tblStyle w:val="Table2"/>
        <w:tblW w:w="1038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5"/>
        <w:gridCol w:w="2265"/>
        <w:gridCol w:w="3030"/>
        <w:tblGridChange w:id="0">
          <w:tblGrid>
            <w:gridCol w:w="5085"/>
            <w:gridCol w:w="2265"/>
            <w:gridCol w:w="3030"/>
          </w:tblGrid>
        </w:tblGridChange>
      </w:tblGrid>
      <w:tr>
        <w:trPr>
          <w:cantSplit w:val="0"/>
          <w:tblHeader w:val="0"/>
        </w:trPr>
        <w:tc>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Team Members</w:t>
            </w:r>
          </w:p>
        </w:tc>
        <w:tc>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Skill Wallet Team ID’s</w:t>
            </w:r>
          </w:p>
        </w:tc>
        <w:tc>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Roll Numbers (College: ACET)</w:t>
            </w:r>
          </w:p>
        </w:tc>
      </w:tr>
      <w:tr>
        <w:trPr>
          <w:cantSplit w:val="0"/>
          <w:trHeight w:val="298.5546875" w:hRule="atLeast"/>
          <w:tblHeader w:val="0"/>
        </w:trPr>
        <w:tc>
          <w:tcPr/>
          <w:p w:rsidR="00000000" w:rsidDel="00000000" w:rsidP="00000000" w:rsidRDefault="00000000" w:rsidRPr="00000000" w14:paraId="00000010">
            <w:pPr>
              <w:rPr>
                <w:b w:val="1"/>
                <w:bCs w:val="1"/>
              </w:rPr>
            </w:pPr>
            <w:r w:rsidDel="00000000" w:rsidR="00000000" w:rsidRPr="00000000">
              <w:rPr>
                <w:b w:val="1"/>
                <w:bCs w:val="1"/>
                <w:color w:val="0a0a0a"/>
                <w:sz w:val="27"/>
                <w:szCs w:val="27"/>
                <w:highlight w:val="white"/>
                <w:rtl w:val="0"/>
              </w:rPr>
              <w:t xml:space="preserve">Mohana Deepika Kancherla</w:t>
            </w:r>
            <w:r w:rsidDel="00000000" w:rsidR="00000000" w:rsidRPr="00000000">
              <w:rPr>
                <w:b w:val="1"/>
                <w:bCs w:val="1"/>
                <w:rtl w:val="0"/>
              </w:rPr>
              <w:t xml:space="preserve"> (Team Leader)</w:t>
            </w:r>
          </w:p>
        </w:tc>
        <w:tc>
          <w:tcPr/>
          <w:p w:rsidR="00000000" w:rsidDel="00000000" w:rsidP="00000000" w:rsidRDefault="00000000" w:rsidRPr="00000000" w14:paraId="00000011">
            <w:pPr>
              <w:jc w:val="center"/>
              <w:rPr/>
            </w:pPr>
            <w:r w:rsidDel="00000000" w:rsidR="00000000" w:rsidRPr="00000000">
              <w:rPr>
                <w:rtl w:val="0"/>
              </w:rPr>
              <w:t xml:space="preserve">SWUID2026226898</w:t>
            </w:r>
          </w:p>
        </w:tc>
        <w:tc>
          <w:tcPr/>
          <w:p w:rsidR="00000000" w:rsidDel="00000000" w:rsidP="00000000" w:rsidRDefault="00000000" w:rsidRPr="00000000" w14:paraId="00000012">
            <w:pPr>
              <w:jc w:val="center"/>
              <w:rPr/>
            </w:pPr>
            <w:r w:rsidDel="00000000" w:rsidR="00000000" w:rsidRPr="00000000">
              <w:rPr>
                <w:rtl w:val="0"/>
              </w:rPr>
              <w:t xml:space="preserve">23MH1A0596</w:t>
            </w:r>
          </w:p>
        </w:tc>
      </w:tr>
      <w:tr>
        <w:trPr>
          <w:cantSplit w:val="0"/>
          <w:tblHeader w:val="0"/>
        </w:trPr>
        <w:tc>
          <w:tcPr/>
          <w:p w:rsidR="00000000" w:rsidDel="00000000" w:rsidP="00000000" w:rsidRDefault="00000000" w:rsidRPr="00000000" w14:paraId="00000013">
            <w:pPr>
              <w:rPr>
                <w:b w:val="1"/>
                <w:bCs w:val="1"/>
              </w:rPr>
            </w:pPr>
            <w:r w:rsidDel="00000000" w:rsidR="00000000" w:rsidRPr="00000000">
              <w:rPr>
                <w:b w:val="1"/>
                <w:bCs w:val="1"/>
                <w:color w:val="0a0a0a"/>
                <w:sz w:val="27"/>
                <w:szCs w:val="27"/>
                <w:highlight w:val="white"/>
                <w:rtl w:val="0"/>
              </w:rPr>
              <w:t xml:space="preserve">Flora Disowja Sarugolu</w:t>
            </w:r>
            <w:r w:rsidDel="00000000" w:rsidR="00000000" w:rsidRPr="00000000">
              <w:rPr>
                <w:b w:val="1"/>
                <w:bCs w:val="1"/>
                <w:rtl w:val="0"/>
              </w:rPr>
              <w:t xml:space="preserve"> </w:t>
            </w:r>
          </w:p>
        </w:tc>
        <w:tc>
          <w:tcPr/>
          <w:p w:rsidR="00000000" w:rsidDel="00000000" w:rsidP="00000000" w:rsidRDefault="00000000" w:rsidRPr="00000000" w14:paraId="00000014">
            <w:pPr>
              <w:jc w:val="center"/>
              <w:rPr/>
            </w:pPr>
            <w:r w:rsidDel="00000000" w:rsidR="00000000" w:rsidRPr="00000000">
              <w:rPr>
                <w:rtl w:val="0"/>
              </w:rPr>
              <w:t xml:space="preserve">SWUID2026212008</w:t>
            </w:r>
          </w:p>
        </w:tc>
        <w:tc>
          <w:tcPr/>
          <w:p w:rsidR="00000000" w:rsidDel="00000000" w:rsidP="00000000" w:rsidRDefault="00000000" w:rsidRPr="00000000" w14:paraId="00000015">
            <w:pPr>
              <w:jc w:val="center"/>
              <w:rPr/>
            </w:pPr>
            <w:r w:rsidDel="00000000" w:rsidR="00000000" w:rsidRPr="00000000">
              <w:rPr>
                <w:rtl w:val="0"/>
              </w:rPr>
              <w:t xml:space="preserve">24P35A0549</w:t>
            </w:r>
          </w:p>
        </w:tc>
      </w:tr>
      <w:tr>
        <w:trPr>
          <w:cantSplit w:val="0"/>
          <w:tblHeader w:val="0"/>
        </w:trPr>
        <w:tc>
          <w:tcPr/>
          <w:p w:rsidR="00000000" w:rsidDel="00000000" w:rsidP="00000000" w:rsidRDefault="00000000" w:rsidRPr="00000000" w14:paraId="00000016">
            <w:pPr>
              <w:rPr>
                <w:b w:val="1"/>
                <w:bCs w:val="1"/>
              </w:rPr>
            </w:pPr>
            <w:r w:rsidDel="00000000" w:rsidR="00000000" w:rsidRPr="00000000">
              <w:rPr>
                <w:b w:val="1"/>
                <w:bCs w:val="1"/>
                <w:color w:val="0a0a0a"/>
                <w:sz w:val="27"/>
                <w:szCs w:val="27"/>
                <w:highlight w:val="white"/>
                <w:rtl w:val="0"/>
              </w:rPr>
              <w:t xml:space="preserve">Santhi Illa</w:t>
            </w:r>
            <w:r w:rsidDel="00000000" w:rsidR="00000000" w:rsidRPr="00000000">
              <w:rPr>
                <w:b w:val="1"/>
                <w:bCs w:val="1"/>
                <w:rtl w:val="0"/>
              </w:rPr>
              <w:t xml:space="preserve"> </w:t>
            </w:r>
          </w:p>
        </w:tc>
        <w:tc>
          <w:tcPr/>
          <w:p w:rsidR="00000000" w:rsidDel="00000000" w:rsidP="00000000" w:rsidRDefault="00000000" w:rsidRPr="00000000" w14:paraId="00000017">
            <w:pPr>
              <w:jc w:val="center"/>
              <w:rPr/>
            </w:pPr>
            <w:r w:rsidDel="00000000" w:rsidR="00000000" w:rsidRPr="00000000">
              <w:rPr>
                <w:rtl w:val="0"/>
              </w:rPr>
              <w:t xml:space="preserve">SWUID2026212021</w:t>
            </w:r>
          </w:p>
        </w:tc>
        <w:tc>
          <w:tcPr/>
          <w:p w:rsidR="00000000" w:rsidDel="00000000" w:rsidP="00000000" w:rsidRDefault="00000000" w:rsidRPr="00000000" w14:paraId="00000018">
            <w:pPr>
              <w:jc w:val="center"/>
              <w:rPr/>
            </w:pPr>
            <w:r w:rsidDel="00000000" w:rsidR="00000000" w:rsidRPr="00000000">
              <w:rPr>
                <w:rtl w:val="0"/>
              </w:rPr>
              <w:t xml:space="preserve">24P35A0550</w:t>
            </w:r>
          </w:p>
        </w:tc>
      </w:tr>
      <w:tr>
        <w:trPr>
          <w:cantSplit w:val="0"/>
          <w:tblHeader w:val="0"/>
        </w:trPr>
        <w:tc>
          <w:tcPr/>
          <w:p w:rsidR="00000000" w:rsidDel="00000000" w:rsidP="00000000" w:rsidRDefault="00000000" w:rsidRPr="00000000" w14:paraId="00000019">
            <w:pPr>
              <w:rPr>
                <w:b w:val="1"/>
                <w:bCs w:val="1"/>
              </w:rPr>
            </w:pPr>
            <w:r w:rsidDel="00000000" w:rsidR="00000000" w:rsidRPr="00000000">
              <w:rPr>
                <w:b w:val="1"/>
                <w:bCs w:val="1"/>
                <w:color w:val="0a0a0a"/>
                <w:sz w:val="27"/>
                <w:szCs w:val="27"/>
                <w:highlight w:val="white"/>
                <w:rtl w:val="0"/>
              </w:rPr>
              <w:t xml:space="preserve">Mathan Bhavesh Hari Raghava Krishna Munaga</w:t>
            </w:r>
            <w:r w:rsidDel="00000000" w:rsidR="00000000" w:rsidRPr="00000000">
              <w:rPr>
                <w:b w:val="1"/>
                <w:bCs w:val="1"/>
                <w:rtl w:val="0"/>
              </w:rPr>
              <w:t xml:space="preserve"> </w:t>
            </w:r>
          </w:p>
        </w:tc>
        <w:tc>
          <w:tcPr/>
          <w:p w:rsidR="00000000" w:rsidDel="00000000" w:rsidP="00000000" w:rsidRDefault="00000000" w:rsidRPr="00000000" w14:paraId="0000001A">
            <w:pPr>
              <w:jc w:val="center"/>
              <w:rPr/>
            </w:pPr>
            <w:r w:rsidDel="00000000" w:rsidR="00000000" w:rsidRPr="00000000">
              <w:rPr>
                <w:rtl w:val="0"/>
              </w:rPr>
              <w:t xml:space="preserve">SWUID2026212007</w:t>
            </w:r>
          </w:p>
        </w:tc>
        <w:tc>
          <w:tcPr/>
          <w:p w:rsidR="00000000" w:rsidDel="00000000" w:rsidP="00000000" w:rsidRDefault="00000000" w:rsidRPr="00000000" w14:paraId="0000001B">
            <w:pPr>
              <w:jc w:val="center"/>
              <w:rPr/>
            </w:pPr>
            <w:r w:rsidDel="00000000" w:rsidR="00000000" w:rsidRPr="00000000">
              <w:rPr>
                <w:rtl w:val="0"/>
              </w:rPr>
              <w:t xml:space="preserve">24P35A0532</w:t>
            </w:r>
          </w:p>
        </w:tc>
      </w:tr>
    </w:tbl>
    <w:p w:rsidR="00000000" w:rsidDel="00000000" w:rsidP="00000000" w:rsidRDefault="00000000" w:rsidRPr="00000000" w14:paraId="0000001C">
      <w:pPr>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Solution Architecture:</w: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Fonts w:ascii="Arial" w:cs="Arial" w:eastAsia="Arial" w:hAnsi="Arial"/>
          <w:sz w:val="24"/>
          <w:szCs w:val="24"/>
          <w:rtl w:val="0"/>
        </w:rPr>
        <w:t xml:space="preserve">The solution architecture of </w:t>
      </w:r>
      <w:r w:rsidDel="00000000" w:rsidR="00000000" w:rsidRPr="00000000">
        <w:rPr>
          <w:rFonts w:ascii="Arial" w:cs="Arial" w:eastAsia="Arial" w:hAnsi="Arial"/>
          <w:b w:val="1"/>
          <w:bCs w:val="1"/>
          <w:sz w:val="24"/>
          <w:szCs w:val="24"/>
          <w:rtl w:val="0"/>
        </w:rPr>
        <w:t xml:space="preserve">Rising Waters</w:t>
      </w:r>
      <w:r w:rsidDel="00000000" w:rsidR="00000000" w:rsidRPr="00000000">
        <w:rPr>
          <w:rFonts w:ascii="Arial" w:cs="Arial" w:eastAsia="Arial" w:hAnsi="Arial"/>
          <w:sz w:val="24"/>
          <w:szCs w:val="24"/>
          <w:rtl w:val="0"/>
        </w:rPr>
        <w:t xml:space="preserve"> provides a structured framework that connects the problem of flood prediction with an intelligent technology solution. It integrates real-time weather data, rainfall information, river water levels, and historical flood records with AI and machine learning models to predict flood risks accurately. The architecture defines the system components, data flow, application logic, cloud services, and user interfaces for stakeholders. It also outlines the functional requirements, development phases, scalability, security, and deployment strategy to ensure a reliable, efficient, and easily maintainable flood early warning system.</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Fonts w:ascii="Arial" w:cs="Arial" w:eastAsia="Arial" w:hAnsi="Arial"/>
          <w:b w:val="1"/>
          <w:bCs w:val="1"/>
          <w:color w:val="000000"/>
          <w:sz w:val="24"/>
          <w:szCs w:val="24"/>
          <w:rtl w:val="0"/>
        </w:rPr>
        <w:t xml:space="preserve">Solution Architecture Diagram</w:t>
      </w:r>
      <w:r w:rsidDel="00000000" w:rsidR="00000000" w:rsidRPr="00000000">
        <w:rPr>
          <w:b w:val="1"/>
          <w:bCs w:val="1"/>
          <w:rtl w:val="0"/>
        </w:rPr>
        <w:t xml:space="preserve">: </w:t>
      </w:r>
    </w:p>
    <w:p w:rsidR="00000000" w:rsidDel="00000000" w:rsidP="00000000" w:rsidRDefault="00000000" w:rsidRPr="00000000" w14:paraId="0000001F">
      <w:pPr>
        <w:tabs>
          <w:tab w:val="left" w:leader="none" w:pos="5529"/>
        </w:tabs>
        <w:rPr>
          <w:b w:val="1"/>
          <w:bCs w:val="1"/>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h2AiOVMUlmLDmOTKmGlc7A1rFA==">CgMxLjA4AHIhMTRGSGNrOHc4REhQbWI5N1JKVEVxaVF5a0Ywdi1CVHpL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