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Acme Expenses Policy</w:t>
      </w:r>
    </w:p>
    <w:p>
      <w:r>
        <w:t>Version 2, effective 1 September 2026. Replaces version 1.</w:t>
      </w:r>
    </w:p>
    <w:p>
      <w:pPr>
        <w:pStyle w:val="Heading2"/>
      </w:pPr>
      <w:r>
        <w:t>1 Scope</w:t>
      </w:r>
    </w:p>
    <w:p>
      <w:r>
        <w:t>This policy applies to all Acme staff claiming business expenses.</w:t>
      </w:r>
    </w:p>
    <w:p>
      <w:pPr>
        <w:pStyle w:val="Heading2"/>
      </w:pPr>
      <w:r>
        <w:t>2 Approval</w:t>
      </w:r>
    </w:p>
    <w:p>
      <w:r>
        <w:t>Any single claim over 500 pounds needs approval from a finance manager before payment.</w:t>
      </w:r>
    </w:p>
    <w:p>
      <w:pPr>
        <w:pStyle w:val="Heading2"/>
      </w:pPr>
      <w:r>
        <w:t>3 Mileage</w:t>
      </w:r>
    </w:p>
    <w:p>
      <w:r>
        <w:t>Staff using their own car for business travel are reimbursed 55 pence per mile.</w:t>
      </w:r>
    </w:p>
    <w:p>
      <w:pPr>
        <w:pStyle w:val="Heading2"/>
      </w:pPr>
      <w:r>
        <w:t>4 Meals</w:t>
      </w:r>
    </w:p>
    <w:p>
      <w:r>
        <w:t>The daily meal allowance when travelling overnight is 35 pounds.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