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title Sequence Diagram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activate User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User-&gt;Dataset:Selects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deactivate User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activate Dataset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Dataset-&gt;MongoDB:Store Data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deactivate Dataset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activate MongoDB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MongoDB-&gt;Training Data:Training Data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activate Training Data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MongoDB-&gt;Testing Data:Testing Data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activate Testing Data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space 0.5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deactivate Testing Data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deactivate MongoDB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loop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Training Data-&gt;Data Preprocessing:Preprocess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activate Data Preprocessing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Data Preprocessing-&gt;Classifier:Train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activate Classifier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deactivate Classifier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deactivate Data Preprocessing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deactivate Training Data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activate Classifier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Classifier-&gt;User:Notifies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deactivate Classifier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activate User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User-&gt;Testing Data:Invokes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activate Testing Data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Testing Data-&gt;Classifier:Test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deactivate Testing Data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activate Classifier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Classifier-&gt;User:Result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deactivate Classifier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deactivate User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