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rsonal-open-science-pipeline"/>
      <w:bookmarkEnd w:id="21"/>
      <w:r>
        <w:t xml:space="preserve">Personal Open Science Pipeline</w:t>
      </w:r>
    </w:p>
    <w:p>
      <w:pPr>
        <w:pStyle w:val="Heading2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POSP aims to develop a modular, portable method for every step involved in producing open, reproducible, and collaborative scientific works.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Heading2"/>
      </w:pPr>
      <w:bookmarkStart w:id="24" w:name="troubleshooting"/>
      <w:bookmarkEnd w:id="24"/>
      <w:r>
        <w:t xml:space="preserve">Troubleshooting</w:t>
      </w:r>
    </w:p>
    <w:p>
      <w:pPr>
        <w:pStyle w:val="Heading2"/>
      </w:pPr>
      <w:bookmarkStart w:id="25" w:name="contributors"/>
      <w:bookmarkEnd w:id="25"/>
      <w:r>
        <w:t xml:space="preserve">Contributors</w:t>
      </w:r>
    </w:p>
    <w:p>
      <w:pPr>
        <w:pStyle w:val="Heading2"/>
      </w:pPr>
      <w:bookmarkStart w:id="26" w:name="inspiration"/>
      <w:bookmarkEnd w:id="26"/>
      <w:r>
        <w:t xml:space="preserve">Inspiration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1915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