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e3b5b3477aaa981c8f1a1074cd2d65f05b4177"/>
    <w:p>
      <w:pPr>
        <w:pStyle w:val="Heading1"/>
      </w:pPr>
      <w:r>
        <w:t xml:space="preserve">Website Knowledge &amp; Context Readiness Audit</w:t>
      </w:r>
    </w:p>
    <w:bookmarkStart w:id="20" w:name="X7b9d64b507e1b84acfc3f95711c8b44731ecbb5"/>
    <w:p>
      <w:pPr>
        <w:pStyle w:val="Heading3"/>
      </w:pPr>
      <w:r>
        <w:t xml:space="preserve">Twin Cities Gun &amp; Pawn — OKF-inspired structure &amp; agent-legibility grade</w:t>
      </w:r>
    </w:p>
    <w:p>
      <w:pPr>
        <w:pStyle w:val="FirstParagraph"/>
      </w:pPr>
      <w:r>
        <w:rPr>
          <w:bCs/>
          <w:b/>
        </w:rPr>
        <w:t xml:space="preserve">Industry:</w:t>
      </w:r>
      <w:r>
        <w:t xml:space="preserve"> </w:t>
      </w:r>
      <w:r>
        <w:t xml:space="preserve">Firearms retail / pawnbroker (FFL dealer)</w:t>
      </w:r>
      <w:r>
        <w:t xml:space="preserve"> </w:t>
      </w:r>
      <w:r>
        <w:rPr>
          <w:bCs/>
          <w:b/>
        </w:rPr>
        <w:t xml:space="preserve">Compliance context:</w:t>
      </w:r>
      <w:r>
        <w:t xml:space="preserve"> </w:t>
      </w:r>
      <w:r>
        <w:t xml:space="preserve">Firearms law (federal/state/local — disclaimer present), ADA/WCAG (relevant, not formally certified)</w:t>
      </w:r>
      <w:r>
        <w:t xml:space="preserve"> </w:t>
      </w:r>
      <w:r>
        <w:rPr>
          <w:bCs/>
          <w:b/>
        </w:rPr>
        <w:t xml:space="preserve">Audit type:</w:t>
      </w:r>
      <w:r>
        <w:t xml:space="preserve"> </w:t>
      </w:r>
      <w:r>
        <w:t xml:space="preserve">Post-build re-score (after page build + schema v3.1 + canonical/sitemap/image-optimization work)</w:t>
      </w:r>
      <w:r>
        <w:t xml:space="preserve"> </w:t>
      </w:r>
      <w:r>
        <w:rPr>
          <w:bCs/>
          <w:b/>
        </w:rPr>
        <w:t xml:space="preserve">Note on OKF:</w:t>
      </w:r>
      <w:r>
        <w:t xml:space="preserve"> </w:t>
      </w:r>
      <w:r>
        <w:t xml:space="preserve">Principles borrowed to judge a live site;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claim of OKF compliance. Readiness ≠ ranking ≠ indexing.</w:t>
      </w:r>
    </w:p>
    <w:p>
      <w:r>
        <w:pict>
          <v:rect style="width:0;height:1.5pt" o:hralign="center" o:hrstd="t" o:hr="t"/>
        </w:pict>
      </w:r>
    </w:p>
    <w:bookmarkEnd w:id="20"/>
    <w:bookmarkStart w:id="21" w:name="inspection-scope"/>
    <w:p>
      <w:pPr>
        <w:pStyle w:val="Heading2"/>
      </w:pPr>
      <w:r>
        <w:t xml:space="preserve">Inspection scope</w:t>
      </w:r>
    </w:p>
    <w:p>
      <w:pPr>
        <w:pStyle w:val="FirstParagraph"/>
      </w:pPr>
      <w:r>
        <w:rPr>
          <w:bCs/>
          <w:b/>
        </w:rPr>
        <w:t xml:space="preserve">Assessed (read directly from disk — the exact files deployed via the build pipeline):</w:t>
      </w:r>
      <w:r>
        <w:t xml:space="preserve"> </w:t>
      </w:r>
      <w:r>
        <w:t xml:space="preserve">all 18 production pages —</w:t>
      </w:r>
      <w:r>
        <w:t xml:space="preserve"> </w:t>
      </w:r>
      <w:r>
        <w:rPr>
          <w:rStyle w:val="VerbatimChar"/>
        </w:rPr>
        <w:t xml:space="preserve">index, about, guns-rifles, accessories, pawn-loans, contact, faq, faq-gun-pawns, employment, resources, rules-for-pawning, gun-license-mn, unregistered-gun, gun-law-checklist, terms, privacy, sitemap, equal-opportunity</w:t>
      </w:r>
      <w:r>
        <w:t xml:space="preserve"> </w:t>
      </w:r>
      <w:r>
        <w:t xml:space="preserve">— plus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 and the generator sources (</w:t>
      </w:r>
      <w:r>
        <w:rPr>
          <w:rStyle w:val="VerbatimChar"/>
        </w:rPr>
        <w:t xml:space="preserve">build.py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build_pages.py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tools/schema_config.py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tools/build_schema.py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tools/check_schema.py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NOT assessed (state honestly):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production rendering</w:t>
      </w:r>
      <w:r>
        <w:t xml:space="preserve"> </w:t>
      </w:r>
      <w:r>
        <w:t xml:space="preserve">— the deployed host</w:t>
      </w:r>
      <w:r>
        <w:t xml:space="preserve"> </w:t>
      </w:r>
      <w:r>
        <w:rPr>
          <w:rStyle w:val="VerbatimChar"/>
        </w:rPr>
        <w:t xml:space="preserve">twin-cities-pawn-guns.pages.dev</w:t>
      </w:r>
      <w:r>
        <w:t xml:space="preserve"> </w:t>
      </w:r>
      <w:r>
        <w:t xml:space="preserve">returned</w:t>
      </w:r>
      <w:r>
        <w:t xml:space="preserve"> </w:t>
      </w:r>
      <w:r>
        <w:rPr>
          <w:bCs/>
          <w:b/>
        </w:rPr>
        <w:t xml:space="preserve">HTTP 000</w:t>
      </w:r>
      <w:r>
        <w:t xml:space="preserve"> </w:t>
      </w:r>
      <w:r>
        <w:t xml:space="preserve">from the audit environment (sandbox IP cannot reach that Cloudflare host;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 </w:t>
      </w:r>
      <w:r>
        <w:t xml:space="preserve">returned 200, confirming general connectivity). All scores below are from the</w:t>
      </w:r>
      <w:r>
        <w:t xml:space="preserve"> </w:t>
      </w:r>
      <w:r>
        <w:rPr>
          <w:bCs/>
          <w:b/>
        </w:rPr>
        <w:t xml:space="preserve">local built HTML</w:t>
      </w:r>
      <w:r>
        <w:t xml:space="preserve">, which the build pipeline copies verbatim to deploy. Live-only signals — real HTTP response headers/</w:t>
      </w:r>
      <w:r>
        <w:rPr>
          <w:rStyle w:val="VerbatimChar"/>
        </w:rPr>
        <w:t xml:space="preserve">_headers</w:t>
      </w:r>
      <w:r>
        <w:t xml:space="preserve"> </w:t>
      </w:r>
      <w:r>
        <w:t xml:space="preserve">behavior, production cache TTLs, actual rendered CLS, server compression — are</w:t>
      </w:r>
      <w:r>
        <w:t xml:space="preserve"> </w:t>
      </w:r>
      <w:r>
        <w:rPr>
          <w:bCs/>
          <w:b/>
        </w:rPr>
        <w:t xml:space="preserve">not assessed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Lighthouse field metrics</w:t>
      </w:r>
      <w:r>
        <w:t xml:space="preserve"> </w:t>
      </w:r>
      <w:r>
        <w:t xml:space="preserve">(Perf 86 / A11y 96 / Best-Practices 100 / SEO 100; CLS 0.181) are referenced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 the screenshots you supplied, not independently re-run here. They are cited as your evidence, not the audit’s own measurement.</w:t>
      </w:r>
      <w:r>
        <w:t xml:space="preserve"> </w:t>
      </w:r>
      <w:r>
        <w:t xml:space="preserve">- No prior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audit run was recorded, so a true per-category</w:t>
      </w:r>
      <w:r>
        <w:t xml:space="preserve"> </w:t>
      </w:r>
      <w:r>
        <w:rPr>
          <w:bCs/>
          <w:b/>
        </w:rPr>
        <w:t xml:space="preserve">delta cannot be computed</w:t>
      </w:r>
      <w:r>
        <w:t xml:space="preserve">. Where build work clearly moved a category, it’s noted qualitatively.</w:t>
      </w:r>
    </w:p>
    <w:p>
      <w:r>
        <w:pict>
          <v:rect style="width:0;height:1.5pt" o:hralign="center" o:hrstd="t" o:hr="t"/>
        </w:pict>
      </w:r>
    </w:p>
    <w:bookmarkEnd w:id="21"/>
    <w:bookmarkStart w:id="22" w:name="overall-grade-c-75.5-100"/>
    <w:p>
      <w:pPr>
        <w:pStyle w:val="Heading2"/>
      </w:pPr>
      <w:r>
        <w:t xml:space="preserve">Overall grade:</w:t>
      </w:r>
      <w:r>
        <w:t xml:space="preserve"> </w:t>
      </w:r>
      <w:r>
        <w:rPr>
          <w:bCs/>
          <w:b/>
        </w:rPr>
        <w:t xml:space="preserve">C+ — 75.5 / 100</w:t>
      </w:r>
    </w:p>
    <w:p>
      <w:pPr>
        <w:pStyle w:val="FirstParagraph"/>
      </w:pPr>
      <w:r>
        <w:t xml:space="preserve">Structurally excellent and highly machine-legible; held back by two concrete, fixable gaps — a</w:t>
      </w:r>
      <w:r>
        <w:t xml:space="preserve"> </w:t>
      </w:r>
      <w:r>
        <w:rPr>
          <w:bCs/>
          <w:b/>
        </w:rPr>
        <w:t xml:space="preserve">broken contact-form destination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zero agent/maintainer documentation</w:t>
      </w:r>
      <w:r>
        <w:t xml:space="preserve"> </w:t>
      </w:r>
      <w:r>
        <w:t xml:space="preserve">(no README / AGENTS.md / llms.txt) — plus one</w:t>
      </w:r>
      <w:r>
        <w:t xml:space="preserve"> </w:t>
      </w:r>
      <w:r>
        <w:rPr>
          <w:bCs/>
          <w:b/>
        </w:rPr>
        <w:t xml:space="preserve">entity-name inconsistency</w:t>
      </w:r>
      <w:r>
        <w:t xml:space="preserve"> </w:t>
      </w:r>
      <w:r>
        <w:t xml:space="preserve">between the visible metadata and the schema.</w:t>
      </w:r>
    </w:p>
    <w:p>
      <w:r>
        <w:pict>
          <v:rect style="width:0;height:1.5pt" o:hralign="center" o:hrstd="t" o:hr="t"/>
        </w:pict>
      </w:r>
    </w:p>
    <w:bookmarkEnd w:id="22"/>
    <w:bookmarkStart w:id="23" w:name="score-table"/>
    <w:p>
      <w:pPr>
        <w:pStyle w:val="Heading2"/>
      </w:pPr>
      <w:r>
        <w:t xml:space="preserve">Score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494"/>
        <w:gridCol w:w="1195"/>
        <w:gridCol w:w="1046"/>
        <w:gridCol w:w="37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Element-specific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page has</w:t>
            </w:r>
            <w:r>
              <w:t xml:space="preserve"> </w:t>
            </w:r>
            <w:r>
              <w:rPr>
                <w:rStyle w:val="VerbatimChar"/>
              </w:rPr>
              <w:t xml:space="preserve">&lt;title&gt;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&lt;meta description&gt;</w:t>
            </w:r>
            <w:r>
              <w:t xml:space="preserve">, self-referencing</w:t>
            </w:r>
            <w:r>
              <w:t xml:space="preserve"> </w:t>
            </w:r>
            <w:r>
              <w:rPr>
                <w:rStyle w:val="VerbatimChar"/>
              </w:rPr>
              <w:t xml:space="preserve">&lt;link rel=canonical&gt;</w:t>
            </w:r>
            <w:r>
              <w:t xml:space="preserve">, full Open Graph (</w:t>
            </w:r>
            <w:r>
              <w:rPr>
                <w:rStyle w:val="VerbatimChar"/>
              </w:rPr>
              <w:t xml:space="preserve">og:title/description/image/type=business.business/url/locale/site_name</w:t>
            </w:r>
            <w:r>
              <w:t xml:space="preserve">), Twitter card, and geo meta (</w:t>
            </w:r>
            <w:r>
              <w:rPr>
                <w:rStyle w:val="VerbatimChar"/>
              </w:rPr>
              <w:t xml:space="preserve">geo.region=US-MN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geo.position=45.2619;-93.4499</w:t>
            </w:r>
            <w:r>
              <w:t xml:space="preserve">). JSON-LD v3.1 on all 18 pages with a 52-entry</w:t>
            </w:r>
            <w:r>
              <w:t xml:space="preserve"> </w:t>
            </w:r>
            <w:r>
              <w:rPr>
                <w:rStyle w:val="VerbatimChar"/>
              </w:rPr>
              <w:t xml:space="preserve">knowsAbout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–1:</w:t>
            </w:r>
            <w:r>
              <w:t xml:space="preserve"> </w:t>
            </w:r>
            <w:r>
              <w:rPr>
                <w:rStyle w:val="VerbatimChar"/>
              </w:rPr>
              <w:t xml:space="preserve">og:title</w:t>
            </w:r>
            <w:r>
              <w:t xml:space="preserve">/</w:t>
            </w: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say</w:t>
            </w:r>
            <w:r>
              <w:t xml:space="preserve"> </w:t>
            </w:r>
            <w:r>
              <w:t xml:space="preserve">“</w:t>
            </w:r>
            <w:r>
              <w:t xml:space="preserve">Twin Cities</w:t>
            </w:r>
            <w:r>
              <w:t xml:space="preserve"> </w:t>
            </w:r>
            <w:r>
              <w:rPr>
                <w:bCs/>
                <w:b/>
              </w:rPr>
              <w:t xml:space="preserve">Gun &amp; Pawn</w:t>
            </w:r>
            <w:r>
              <w:t xml:space="preserve">”</w:t>
            </w:r>
            <w:r>
              <w:t xml:space="preserve"> </w:t>
            </w:r>
            <w:r>
              <w:t xml:space="preserve">while schema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Twin Cities</w:t>
            </w:r>
            <w:r>
              <w:t xml:space="preserve"> </w:t>
            </w:r>
            <w:r>
              <w:rPr>
                <w:bCs/>
                <w:b/>
              </w:rPr>
              <w:t xml:space="preserve">Pawn &amp; Gun</w:t>
            </w:r>
            <w:r>
              <w:t xml:space="preserve">”</w:t>
            </w:r>
            <w:r>
              <w:t xml:space="preserve"> </w:t>
            </w:r>
            <w:r>
              <w:t xml:space="preserve">— an agent reading both gets two entity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structure &amp; machine-readability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semantic HTML: exactly one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 </w:t>
            </w:r>
            <w:r>
              <w:t xml:space="preserve">per page, ordered</w:t>
            </w:r>
            <w:r>
              <w:t xml:space="preserve"> </w:t>
            </w:r>
            <w:r>
              <w:rPr>
                <w:rStyle w:val="VerbatimChar"/>
              </w:rPr>
              <w:t xml:space="preserve">&lt;h2&gt;</w:t>
            </w:r>
            <w:r>
              <w:t xml:space="preserve">/</w:t>
            </w:r>
            <w:r>
              <w:rPr>
                <w:rStyle w:val="VerbatimChar"/>
              </w:rPr>
              <w:t xml:space="preserve">&lt;h3&gt;</w:t>
            </w:r>
            <w:r>
              <w:t xml:space="preserve">, and real landmarks (</w:t>
            </w:r>
            <w:r>
              <w:rPr>
                <w:rStyle w:val="VerbatimChar"/>
              </w:rPr>
              <w:t xml:space="preserve">&lt;header&gt; &lt;nav&gt; &lt;main&gt; &lt;section&gt;×10 &lt;article&gt;×4 &lt;footer&gt;</w:t>
            </w:r>
            <w:r>
              <w:t xml:space="preserve"> </w:t>
            </w:r>
            <w:r>
              <w:t xml:space="preserve">on index). Meaning is in markup, not styling. An agent can parse without guessing.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portability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static HTML — no proprietary/JS-locked surface; JSON-LD,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(18 URLs),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all present and exportable.</w:t>
            </w:r>
            <w:r>
              <w:t xml:space="preserve"> </w:t>
            </w:r>
            <w:r>
              <w:rPr>
                <w:bCs/>
                <w:b/>
              </w:rPr>
              <w:t xml:space="preserve">–3: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llms.txt</w:t>
            </w:r>
            <w:r>
              <w:t xml:space="preserve"> </w:t>
            </w:r>
            <w:r>
              <w:t xml:space="preserve">or small OKF-style services bundle; agent-facing knowledge lives only inside per-page JSON-LD, nothing portable at a single well-known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Cross-linking &amp; navigation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BreadcrumbList</w:t>
            </w:r>
            <w:r>
              <w:t xml:space="preserve"> </w:t>
            </w:r>
            <w:r>
              <w:t xml:space="preserve">on all 18 pages; dense internal graph (index links to every page — contact ×8, guns-rifles ×7, pawn-loans ×6, resources cluster interlinked);</w:t>
            </w:r>
            <w:r>
              <w:t xml:space="preserve"> </w:t>
            </w:r>
            <w:r>
              <w:rPr>
                <w:rStyle w:val="VerbatimChar"/>
              </w:rPr>
              <w:t xml:space="preserve">&lt;nav aria-label="Main navigation"&gt;</w:t>
            </w:r>
            <w:r>
              <w:t xml:space="preserve"> </w:t>
            </w:r>
            <w:r>
              <w:t xml:space="preserve">with dropdowns. Clear hierarchy Home → Inventory/Resources → leaf.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readability &amp; 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of 102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have descriptive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; the 3 empty-alt images are correctly decorative (</w:t>
            </w:r>
            <w:r>
              <w:rPr>
                <w:rStyle w:val="VerbatimChar"/>
              </w:rPr>
              <w:t xml:space="preserve">alt="" aria-hidden="true"</w:t>
            </w:r>
            <w:r>
              <w:t xml:space="preserve"> </w:t>
            </w:r>
            <w:r>
              <w:t xml:space="preserve">full-bleed CTA bg). All form controls use</w:t>
            </w:r>
            <w:r>
              <w:t xml:space="preserve"> </w:t>
            </w:r>
            <w:r>
              <w:rPr>
                <w:rStyle w:val="VerbatimChar"/>
              </w:rPr>
              <w:t xml:space="preserve">&lt;label for&gt;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&lt;meta viewport&gt;</w:t>
            </w:r>
            <w:r>
              <w:t xml:space="preserve"> </w:t>
            </w:r>
            <w:r>
              <w:t xml:space="preserve">present; images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–2:</w:t>
            </w:r>
            <w:r>
              <w:t xml:space="preserve"> </w:t>
            </w:r>
            <w:r>
              <w:t xml:space="preserve">CLS 0.181 (your screenshot) from web-font swap on the hero — a real layout-shift/UX cost; and</w:t>
            </w:r>
            <w:r>
              <w:t xml:space="preserve"> </w:t>
            </w:r>
            <w:r>
              <w:rPr>
                <w:rStyle w:val="VerbatimChar"/>
              </w:rPr>
              <w:t xml:space="preserve">pawn-loans</w:t>
            </w:r>
            <w:r>
              <w:t xml:space="preserve"> </w:t>
            </w:r>
            <w:r>
              <w:t xml:space="preserve">meta description is 183 chars (truncates in SERP).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&amp; maintainability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Genuinely absent: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/</w:t>
            </w:r>
            <w:r>
              <w:rPr>
                <w:rStyle w:val="VerbatimChar"/>
              </w:rPr>
              <w:t xml:space="preserve">CLAUDE.md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llms.txt</w:t>
            </w:r>
            <w:r>
              <w:t xml:space="preserve"> </w:t>
            </w:r>
            <w:r>
              <w:t xml:space="preserve">anywhere in the repo (verified by find). A strong</w:t>
            </w:r>
            <w:r>
              <w:t xml:space="preserve"> </w:t>
            </w:r>
            <w:r>
              <w:t xml:space="preserve">“</w:t>
            </w:r>
            <w:r>
              <w:t xml:space="preserve">edit generators, never generated HTML</w:t>
            </w:r>
            <w:r>
              <w:t xml:space="preserve">”</w:t>
            </w:r>
            <w:r>
              <w:t xml:space="preserve"> </w:t>
            </w:r>
            <w:r>
              <w:t xml:space="preserve">convention exists in the code but is</w:t>
            </w:r>
            <w:r>
              <w:t xml:space="preserve"> </w:t>
            </w:r>
            <w:r>
              <w:rPr>
                <w:bCs/>
                <w:b/>
              </w:rPr>
              <w:t xml:space="preserve">undocumented</w:t>
            </w:r>
            <w:r>
              <w:t xml:space="preserve"> </w:t>
            </w:r>
            <w:r>
              <w:t xml:space="preserve">— a new coding agent would have to reverse-engineer it and risks editing generated files.</w:t>
            </w:r>
            <w:r>
              <w:t xml:space="preserve"> </w:t>
            </w:r>
            <w:r>
              <w:rPr>
                <w:rStyle w:val="VerbatimChar"/>
              </w:rPr>
              <w:t xml:space="preserve">check_schema.py</w:t>
            </w:r>
            <w:r>
              <w:t xml:space="preserve"> </w:t>
            </w:r>
            <w:r>
              <w:t xml:space="preserve">is the one self-documenting guardrail.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&amp; interactive elements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 is well-built structurally —</w:t>
            </w:r>
            <w:r>
              <w:t xml:space="preserve"> </w:t>
            </w:r>
            <w:r>
              <w:rPr>
                <w:rStyle w:val="VerbatimChar"/>
              </w:rPr>
              <w:t xml:space="preserve">&lt;label for&gt;</w:t>
            </w:r>
            <w:r>
              <w:t xml:space="preserve">+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on every field,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 correct</w:t>
            </w:r>
            <w:r>
              <w:t xml:space="preserve"> </w:t>
            </w:r>
            <w:r>
              <w:rPr>
                <w:rStyle w:val="VerbatimChar"/>
              </w:rPr>
              <w:t xml:space="preserve">type=email/tel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for subject.</w:t>
            </w:r>
            <w:r>
              <w:t xml:space="preserve"> </w:t>
            </w:r>
            <w:r>
              <w:rPr>
                <w:bCs/>
                <w:b/>
              </w:rPr>
              <w:t xml:space="preserve">–5:</w:t>
            </w:r>
            <w:r>
              <w:t xml:space="preserve"> </w:t>
            </w:r>
            <w:r>
              <w:rPr>
                <w:rStyle w:val="VerbatimChar"/>
              </w:rPr>
              <w:t xml:space="preserve">action="https://formspree.io/f/REPLACE_WITH_YOUR_ID"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Cs/>
                <w:b/>
              </w:rPr>
              <w:t xml:space="preserve">unconfigured placeholder — the form submits nowhere</w:t>
            </w:r>
            <w:r>
              <w:t xml:space="preserve">; no data destination is documented, and there’s no visible client-side validation/confirmation beyond native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Weighted total:</w:t>
      </w:r>
      <w:r>
        <w:t xml:space="preserve"> </w:t>
      </w:r>
      <w:r>
        <w:t xml:space="preserve">(9×1.5)+(9×2.0)+(7×1.5)+(9×1.5)+(8×1.5)+(3×1.0)+(5×1.0) =</w:t>
      </w:r>
      <w:r>
        <w:t xml:space="preserve"> </w:t>
      </w:r>
      <w:r>
        <w:rPr>
          <w:bCs/>
          <w:b/>
        </w:rPr>
        <w:t xml:space="preserve">75.5 / 100</w:t>
      </w:r>
    </w:p>
    <w:p>
      <w:r>
        <w:pict>
          <v:rect style="width:0;height:1.5pt" o:hralign="center" o:hrstd="t" o:hr="t"/>
        </w:pict>
      </w:r>
    </w:p>
    <w:bookmarkEnd w:id="23"/>
    <w:bookmarkStart w:id="24" w:name="top-3-strengths"/>
    <w:p>
      <w:pPr>
        <w:pStyle w:val="Heading2"/>
      </w:pPr>
      <w:r>
        <w:t xml:space="preserve">Top 3 strengths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Schema-on-every-page, integrity-checked.</w:t>
      </w:r>
      <w:r>
        <w:t xml:space="preserve"> </w:t>
      </w:r>
      <w:r>
        <w:t xml:space="preserve">All 18 pages carry a JSON-LD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WebSite → PawnShop → WebPage → BreadcrumbList</w:t>
      </w:r>
      <w:r>
        <w:t xml:space="preserve"> </w:t>
      </w:r>
      <w:r>
        <w:t xml:space="preserve">+ Service/FAQ nodes), and</w:t>
      </w:r>
      <w:r>
        <w:t xml:space="preserve"> </w:t>
      </w:r>
      <w:r>
        <w:rPr>
          <w:rStyle w:val="VerbatimChar"/>
        </w:rPr>
        <w:t xml:space="preserve">tools/check_schema.py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integrity and</w:t>
      </w:r>
      <w:r>
        <w:t xml:space="preserve"> </w:t>
      </w:r>
      <w:r>
        <w:t xml:space="preserve">“</w:t>
      </w:r>
      <w:r>
        <w:t xml:space="preserve">Rule 11</w:t>
      </w:r>
      <w:r>
        <w:t xml:space="preserve">”</w:t>
      </w:r>
      <w:r>
        <w:t xml:space="preserve"> </w:t>
      </w:r>
      <w:r>
        <w:t xml:space="preserve">traps on each build. That’s the single biggest agent-legibility asset — structured, validated, machine-queryable entity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Textbook semantic + navigation structure.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ordered headings, real HTML5 landmarks,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everywhere, and a dense internal link graph where every page is reachable and related pages cross-reference. An agent can build an accurate site relationship graph from the markup alone.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Complete, consistent metadata surface.</w:t>
      </w:r>
      <w:r>
        <w:t xml:space="preserve"> </w:t>
      </w:r>
      <w:r>
        <w:t xml:space="preserve">Canonical + full Open Graph + Twitter + geo meta on every page, with matching OG image dimensions (1200×630) and alt text — clean social/agent preview data with no missing core fields.</w:t>
      </w:r>
    </w:p>
    <w:p>
      <w:r>
        <w:pict>
          <v:rect style="width:0;height:1.5pt" o:hralign="center" o:hrstd="t" o:hr="t"/>
        </w:pict>
      </w:r>
    </w:p>
    <w:bookmarkEnd w:id="24"/>
    <w:bookmarkStart w:id="25" w:name="top-5-prioritized-fixes"/>
    <w:p>
      <w:pPr>
        <w:pStyle w:val="Heading2"/>
      </w:pPr>
      <w:r>
        <w:t xml:space="preserve">Top 5 prioritized fixes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Wire up (or remove) the contact form destination.</w:t>
      </w:r>
      <w:r>
        <w:t xml:space="preserve"> </w:t>
      </w:r>
      <w:r>
        <w:rPr>
          <w:iCs/>
          <w:i/>
        </w:rPr>
        <w:t xml:space="preserve">Problem: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 </w:t>
      </w:r>
      <w:r>
        <w:t xml:space="preserve">action is</w:t>
      </w:r>
      <w:r>
        <w:t xml:space="preserve"> </w:t>
      </w:r>
      <w:r>
        <w:rPr>
          <w:rStyle w:val="VerbatimChar"/>
        </w:rPr>
        <w:t xml:space="preserve">formspree.io/f/REPLACE_WITH_YOUR_ID</w:t>
      </w:r>
      <w:r>
        <w:t xml:space="preserve"> </w:t>
      </w:r>
      <w:r>
        <w:t xml:space="preserve">— submissions go nowhere.</w:t>
      </w:r>
      <w:r>
        <w:t xml:space="preserve"> </w:t>
      </w:r>
      <w:r>
        <w:rPr>
          <w:iCs/>
          <w:i/>
        </w:rPr>
        <w:t xml:space="preserve">Why it matters (humans + agents):</w:t>
      </w:r>
      <w:r>
        <w:t xml:space="preserve"> </w:t>
      </w:r>
      <w:r>
        <w:t xml:space="preserve">the primary conversion path is silently broken, and an agent inspecting the form cannot determine a real data destination.</w:t>
      </w:r>
      <w:r>
        <w:t xml:space="preserve"> </w:t>
      </w:r>
      <w:r>
        <w:rPr>
          <w:iCs/>
          <w:i/>
        </w:rPr>
        <w:t xml:space="preserve">Action:</w:t>
      </w:r>
      <w:r>
        <w:t xml:space="preserve"> </w:t>
      </w:r>
      <w:r>
        <w:t xml:space="preserve">replace with the real Formspree (or other) endpoint in the generator, or swap to a documented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/backend; then note the destination in a form comment.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Reconcile the business name across metadata and schema.</w:t>
      </w:r>
      <w:r>
        <w:t xml:space="preserve"> </w:t>
      </w:r>
      <w:r>
        <w:rPr>
          <w:iCs/>
          <w:i/>
        </w:rPr>
        <w:t xml:space="preserve">Problem:</w:t>
      </w:r>
      <w:r>
        <w:t xml:space="preserve"> </w:t>
      </w:r>
      <w:r>
        <w:t xml:space="preserve">visible title/OG =</w:t>
      </w:r>
      <w:r>
        <w:t xml:space="preserve"> </w:t>
      </w:r>
      <w:r>
        <w:t xml:space="preserve">“</w:t>
      </w:r>
      <w:r>
        <w:t xml:space="preserve">Twin Cities Gun &amp; Pawn</w:t>
      </w:r>
      <w:r>
        <w:t xml:space="preserve">”</w:t>
      </w:r>
      <w:r>
        <w:t xml:space="preserve">; schema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Twin Cities Pawn &amp; Gun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Why it matters (agents):</w:t>
      </w:r>
      <w:r>
        <w:t xml:space="preserve"> </w:t>
      </w:r>
      <w:r>
        <w:t xml:space="preserve">two names for one entity weakens entity resolution and citation confidence.</w:t>
      </w:r>
      <w:r>
        <w:t xml:space="preserve"> </w:t>
      </w:r>
      <w:r>
        <w:rPr>
          <w:iCs/>
          <w:i/>
        </w:rPr>
        <w:t xml:space="preserve">Action:</w:t>
      </w:r>
      <w:r>
        <w:t xml:space="preserve"> </w:t>
      </w:r>
      <w:r>
        <w:t xml:space="preserve">pick one canonical name (with the other as schema</w:t>
      </w:r>
      <w:r>
        <w:t xml:space="preserve"> </w:t>
      </w:r>
      <w:r>
        <w:rPr>
          <w:rStyle w:val="VerbatimChar"/>
        </w:rPr>
        <w:t xml:space="preserve">alternateName</w:t>
      </w:r>
      <w:r>
        <w:t xml:space="preserve">) and make</w:t>
      </w:r>
      <w:r>
        <w:t xml:space="preserve"> </w:t>
      </w:r>
      <w:r>
        <w:rPr>
          <w:rStyle w:val="VerbatimChar"/>
        </w:rPr>
        <w:t xml:space="preserve">schema_config.py</w:t>
      </w:r>
      <w:r>
        <w:t xml:space="preserve"> </w:t>
      </w:r>
      <w:r>
        <w:t xml:space="preserve">+ page titles agree.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llms.txt</w:t>
      </w:r>
      <w:r>
        <w:rPr>
          <w:bCs/>
          <w:b/>
        </w:rPr>
        <w:t xml:space="preserve"> </w:t>
      </w:r>
      <w:r>
        <w:rPr>
          <w:bCs/>
          <w:b/>
        </w:rPr>
        <w:t xml:space="preserve">(and a tiny services bundle).</w:t>
      </w:r>
      <w:r>
        <w:t xml:space="preserve"> </w:t>
      </w:r>
      <w:r>
        <w:rPr>
          <w:iCs/>
          <w:i/>
        </w:rPr>
        <w:t xml:space="preserve">Problem:</w:t>
      </w:r>
      <w:r>
        <w:t xml:space="preserve"> </w:t>
      </w:r>
      <w:r>
        <w:t xml:space="preserve">no single well-known machine-readable summary of who/what/where.</w:t>
      </w:r>
      <w:r>
        <w:t xml:space="preserve"> </w:t>
      </w:r>
      <w:r>
        <w:rPr>
          <w:iCs/>
          <w:i/>
        </w:rPr>
        <w:t xml:space="preserve">Why it matters (agents):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is the emerging front door for AI agents to cite services, hours, address, and page map without scraping 18 pages.</w:t>
      </w:r>
      <w:r>
        <w:t xml:space="preserve"> </w:t>
      </w:r>
      <w:r>
        <w:rPr>
          <w:iCs/>
          <w:i/>
        </w:rPr>
        <w:t xml:space="preserve">Action: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schema_config.py</w:t>
      </w:r>
      <w:r>
        <w:t xml:space="preserve"> </w:t>
      </w:r>
      <w:r>
        <w:t xml:space="preserve">(name, address, phone, hours, services, key page URLs) as a build step.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README.md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AGENTS.md</w:t>
      </w:r>
      <w:r>
        <w:rPr>
          <w:bCs/>
          <w:b/>
        </w:rPr>
        <w:t xml:space="preserve"> </w:t>
      </w:r>
      <w:r>
        <w:rPr>
          <w:bCs/>
          <w:b/>
        </w:rPr>
        <w:t xml:space="preserve">documenting the build pipeline.</w:t>
      </w:r>
      <w:r>
        <w:t xml:space="preserve"> </w:t>
      </w:r>
      <w:r>
        <w:rPr>
          <w:iCs/>
          <w:i/>
        </w:rPr>
        <w:t xml:space="preserve">Problem: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edit generators, not generated HTML; run build_pages → build_schema → check_schema</w:t>
      </w:r>
      <w:r>
        <w:t xml:space="preserve">”</w:t>
      </w:r>
      <w:r>
        <w:t xml:space="preserve"> </w:t>
      </w:r>
      <w:r>
        <w:t xml:space="preserve">workflow is undocumented.</w:t>
      </w:r>
      <w:r>
        <w:t xml:space="preserve"> </w:t>
      </w:r>
      <w:r>
        <w:rPr>
          <w:iCs/>
          <w:i/>
        </w:rPr>
        <w:t xml:space="preserve">Why it matters (agents + maintainers):</w:t>
      </w:r>
      <w:r>
        <w:t xml:space="preserve"> </w:t>
      </w:r>
      <w:r>
        <w:t xml:space="preserve">a coding agent will otherwise edit generated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 have changes silently overwritten on rebuild.</w:t>
      </w:r>
      <w:r>
        <w:t xml:space="preserve"> </w:t>
      </w:r>
      <w:r>
        <w:rPr>
          <w:iCs/>
          <w:i/>
        </w:rPr>
        <w:t xml:space="preserve">Action:</w:t>
      </w:r>
      <w:r>
        <w:t xml:space="preserve"> </w:t>
      </w:r>
      <w:r>
        <w:t xml:space="preserve">a short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stating the golden rule, the build commands, and the source-of-truth 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Cut CLS and tidy two metadata edges.</w:t>
      </w:r>
      <w:r>
        <w:t xml:space="preserve"> </w:t>
      </w:r>
      <w:r>
        <w:rPr>
          <w:iCs/>
          <w:i/>
        </w:rPr>
        <w:t xml:space="preserve">Problem:</w:t>
      </w:r>
      <w:r>
        <w:t xml:space="preserve"> </w:t>
      </w:r>
      <w:r>
        <w:t xml:space="preserve">CLS 0.181 (hero font swap) exceeds the 0.1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threshold;</w:t>
      </w:r>
      <w:r>
        <w:t xml:space="preserve"> </w:t>
      </w:r>
      <w:r>
        <w:rPr>
          <w:rStyle w:val="VerbatimChar"/>
        </w:rPr>
        <w:t xml:space="preserve">pawn-loans</w:t>
      </w:r>
      <w:r>
        <w:t xml:space="preserve"> </w:t>
      </w:r>
      <w:r>
        <w:t xml:space="preserve">description is 183 chars; homepage canonical targets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rPr>
          <w:iCs/>
          <w:i/>
        </w:rPr>
        <w:t xml:space="preserve">Why it matters (humans + ranking-adjacent):</w:t>
      </w:r>
      <w:r>
        <w:t xml:space="preserve"> </w:t>
      </w:r>
      <w:r>
        <w:t xml:space="preserve">layout shift hurts UX and Core Web Vitals; over-length descriptions truncate.</w:t>
      </w:r>
      <w:r>
        <w:t xml:space="preserve"> </w:t>
      </w:r>
      <w:r>
        <w:rPr>
          <w:iCs/>
          <w:i/>
        </w:rPr>
        <w:t xml:space="preserve">Action:</w:t>
      </w:r>
      <w:r>
        <w:t xml:space="preserve"> </w:t>
      </w:r>
      <w:r>
        <w:t xml:space="preserve">preload the hero font / reserve space with</w:t>
      </w:r>
      <w:r>
        <w:t xml:space="preserve"> </w:t>
      </w:r>
      <w:r>
        <w:rPr>
          <w:rStyle w:val="VerbatimChar"/>
        </w:rPr>
        <w:t xml:space="preserve">font-display:optional</w:t>
      </w:r>
      <w:r>
        <w:t xml:space="preserve"> </w:t>
      </w:r>
      <w:r>
        <w:t xml:space="preserve">or sized containers; trim the description to ≤160 chars; canonicalize the homepage to the bare domain.</w:t>
      </w:r>
    </w:p>
    <w:p>
      <w:r>
        <w:pict>
          <v:rect style="width:0;height:1.5pt" o:hralign="center" o:hrstd="t" o:hr="t"/>
        </w:pict>
      </w:r>
    </w:p>
    <w:bookmarkEnd w:id="25"/>
    <w:bookmarkStart w:id="26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The site is genuinely agent-ready at the content layer</w:t>
      </w:r>
      <w:r>
        <w:t xml:space="preserve"> </w:t>
      </w:r>
      <w:r>
        <w:t xml:space="preserve">— validated JSON-LD on every page, clean semantic structure, breadcrumbs, and a dense internal link graph mean an AI agent can parse the entity, its services, and its geography without guessing. What keeps it from an A is not structure but two operational gaps and one consistency slip: a</w:t>
      </w:r>
      <w:r>
        <w:t xml:space="preserve"> </w:t>
      </w:r>
      <w:r>
        <w:rPr>
          <w:bCs/>
          <w:b/>
        </w:rPr>
        <w:t xml:space="preserve">contact form that submits to an unconfigured placeholder</w:t>
      </w:r>
      <w:r>
        <w:t xml:space="preserve">,</w:t>
      </w:r>
      <w:r>
        <w:t xml:space="preserve"> </w:t>
      </w:r>
      <w:r>
        <w:rPr>
          <w:bCs/>
          <w:b/>
        </w:rPr>
        <w:t xml:space="preserve">no agent/maintainer documentation</w:t>
      </w:r>
      <w:r>
        <w:t xml:space="preserve"> </w:t>
      </w:r>
      <w:r>
        <w:t xml:space="preserve">(README/AGENTS.md/llms.txt), and a</w:t>
      </w:r>
      <w:r>
        <w:t xml:space="preserve"> </w:t>
      </w:r>
      <w:r>
        <w:rPr>
          <w:bCs/>
          <w:b/>
        </w:rPr>
        <w:t xml:space="preserve">name mismatch between the visible metadata and the schema</w:t>
      </w:r>
      <w:r>
        <w:t xml:space="preserve">. The single highest-impact next change is</w:t>
      </w:r>
      <w:r>
        <w:t xml:space="preserve"> </w:t>
      </w:r>
      <w:r>
        <w:rPr>
          <w:bCs/>
          <w:b/>
        </w:rPr>
        <w:t xml:space="preserve">fixing the contact-form destination</w:t>
      </w:r>
      <w:r>
        <w:t xml:space="preserve"> </w:t>
      </w:r>
      <w:r>
        <w:t xml:space="preserve">— it’s the site’s main conversion path and currently silently fails — immediately followed by</w:t>
      </w:r>
      <w:r>
        <w:t xml:space="preserve"> </w:t>
      </w:r>
      <w:r>
        <w:rPr>
          <w:bCs/>
          <w:b/>
        </w:rPr>
        <w:t xml:space="preserve">adding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llms.txt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AGENTS.md</w:t>
      </w:r>
      <w:r>
        <w:t xml:space="preserve">, which together would lift Documentation and Portability and push the overall grade into the mid-B range on the next re-score.</w:t>
      </w:r>
    </w:p>
    <w:p>
      <w:pPr>
        <w:pStyle w:val="BodyText"/>
      </w:pPr>
      <w:r>
        <w:rPr>
          <w:iCs/>
          <w:i/>
        </w:rPr>
        <w:t xml:space="preserve">Re-run this audit against the live URL once the sandbox (or your machine) can reach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twin-cities-pawn-guns.pages.dev</w:t>
      </w:r>
      <w:r>
        <w:rPr>
          <w:iCs/>
          <w:i/>
        </w:rPr>
        <w:t xml:space="preserve"> </w:t>
      </w:r>
      <w:r>
        <w:rPr>
          <w:iCs/>
          <w:i/>
        </w:rPr>
        <w:t xml:space="preserve">to capture the live-only signals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assessed.</w:t>
      </w:r>
      <w:r>
        <w:rPr>
          <w:iCs/>
          <w:i/>
        </w:rPr>
        <w:t xml:space="preserve">”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2026-09-30T17:32:31Z</dcterms:created>
  <dcterms:modified xsi:type="dcterms:W3CDTF">2026-09-30T17:32:31Z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