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2163354" cy="53999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Users\Usuario\OneDrive\Documentos\Transportes-Hidalgo\src\flota\marca\img\logo-hidal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354" cy="5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Sesión 1 — Base del sistema</w:t>
      </w:r>
    </w:p>
    <w:p>
      <w:pPr>
        <w:pStyle w:val="Subtitle"/>
      </w:pPr>
      <w:r>
        <w:t xml:space="preserve">Transportes Hidalgo · Gestión de Flota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instalar el entorno y crear el núcleo del sistema con arquitectura limpia.</w:t>
      </w:r>
    </w:p>
    <w:bookmarkStart w:id="12" w:name="qué-se-hizo"/>
    <w:p>
      <w:pPr>
        <w:pStyle w:val="Heading1"/>
      </w:pPr>
      <w:r>
        <w:t xml:space="preserve">Qué se hizo</w:t>
      </w:r>
    </w:p>
    <w:p>
      <w:pPr>
        <w:pStyle w:val="Compact"/>
        <w:numPr>
          <w:ilvl w:val="0"/>
          <w:numId w:val="1001"/>
        </w:numPr>
      </w:pPr>
      <w:r>
        <w:t xml:space="preserve">Instalación de Python 3.13 y</w:t>
      </w:r>
      <w:r>
        <w:t xml:space="preserve"> </w:t>
      </w:r>
      <w:r>
        <w:rPr>
          <w:rStyle w:val="VerbatimChar"/>
        </w:rPr>
        <w:t xml:space="preserve">uv</w:t>
      </w:r>
      <w:r>
        <w:t xml:space="preserve">. PostgreSQL 17 ya estaba instalado.</w:t>
      </w:r>
    </w:p>
    <w:p>
      <w:pPr>
        <w:pStyle w:val="Compact"/>
        <w:numPr>
          <w:ilvl w:val="0"/>
          <w:numId w:val="1001"/>
        </w:numPr>
      </w:pPr>
      <w:r>
        <w:t xml:space="preserve">Dominio:</w:t>
      </w:r>
      <w:r>
        <w:t xml:space="preserve"> </w:t>
      </w:r>
      <w:r>
        <w:rPr>
          <w:rStyle w:val="VerbatimChar"/>
        </w:rPr>
        <w:t xml:space="preserve">Camion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Chofer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Producto</w:t>
      </w:r>
      <w:r>
        <w:t xml:space="preserve">,</w:t>
      </w:r>
      <w:r>
        <w:t xml:space="preserve"> </w:t>
      </w:r>
      <w:r>
        <w:rPr>
          <w:rStyle w:val="VerbatimChar"/>
        </w:rPr>
        <w:t xml:space="preserve">Viaje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CargaCombustible</w:t>
      </w:r>
      <w:r>
        <w:t xml:space="preserve"> </w:t>
      </w:r>
      <w:r>
        <w:t xml:space="preserve">y el cálculo de consumo.</w:t>
      </w:r>
    </w:p>
    <w:p>
      <w:pPr>
        <w:pStyle w:val="Compact"/>
        <w:numPr>
          <w:ilvl w:val="0"/>
          <w:numId w:val="1001"/>
        </w:numPr>
      </w:pPr>
      <w:r>
        <w:t xml:space="preserve">Casos de uso: alta de catálogo, iniciar/finalizar viaje, registrar carga, importar archivo, reporte de consumo.</w:t>
      </w:r>
    </w:p>
    <w:p>
      <w:pPr>
        <w:pStyle w:val="Compact"/>
        <w:numPr>
          <w:ilvl w:val="0"/>
          <w:numId w:val="1001"/>
        </w:numPr>
      </w:pPr>
      <w:r>
        <w:t xml:space="preserve">Infraestructura: PostgreSQL (SQLAlchemy + Alembic), lectores de Excel/CSV, generador de Excel.</w:t>
      </w:r>
    </w:p>
    <w:p>
      <w:pPr>
        <w:pStyle w:val="Compact"/>
        <w:numPr>
          <w:ilvl w:val="0"/>
          <w:numId w:val="1001"/>
        </w:numPr>
      </w:pPr>
      <w:r>
        <w:t xml:space="preserve">Presentación: API REST (FastAPI, documentación en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) y comandos de consola (Typer).</w:t>
      </w:r>
    </w:p>
    <w:p>
      <w:pPr>
        <w:pStyle w:val="Compact"/>
        <w:numPr>
          <w:ilvl w:val="0"/>
          <w:numId w:val="1001"/>
        </w:numPr>
      </w:pPr>
      <w:r>
        <w:t xml:space="preserve">20 tests (unitarios con repositorios en memoria + integración de la API con SQLite).</w:t>
      </w:r>
    </w:p>
    <w:bookmarkEnd w:id="12"/>
    <w:bookmarkStart w:id="13" w:name="conceptos-de-python"/>
    <w:p>
      <w:pPr>
        <w:pStyle w:val="Heading1"/>
      </w:pPr>
      <w:r>
        <w:t xml:space="preserve">Conceptos de Python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@dataclass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domain/entities.py</w:t>
            </w:r>
          </w:p>
        </w:tc>
        <w:tc>
          <w:tcPr/>
          <w:p>
            <w:pPr>
              <w:pStyle w:val="Compact"/>
            </w:pPr>
            <w:r>
              <w:t xml:space="preserve">Genera</w:t>
            </w:r>
            <w:r>
              <w:t xml:space="preserve"> </w:t>
            </w:r>
            <w:r>
              <w:rPr>
                <w:rStyle w:val="VerbatimChar"/>
              </w:rPr>
              <w:t xml:space="preserve">__init__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__repr__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__eq__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kw_only=True</w:t>
            </w:r>
            <w:r>
              <w:t xml:space="preserve"> </w:t>
            </w:r>
            <w:r>
              <w:t xml:space="preserve">obliga a nombrar argumentos;</w:t>
            </w:r>
            <w:r>
              <w:t xml:space="preserve"> </w:t>
            </w:r>
            <w:r>
              <w:rPr>
                <w:rStyle w:val="VerbatimChar"/>
              </w:rPr>
              <w:t xml:space="preserve">frozen=True</w:t>
            </w:r>
            <w:r>
              <w:t xml:space="preserve"> </w:t>
            </w:r>
            <w:r>
              <w:t xml:space="preserve">vuelve el objeto inmutable.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__post_init__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Camion</w:t>
            </w:r>
          </w:p>
        </w:tc>
        <w:tc>
          <w:tcPr/>
          <w:p>
            <w:pPr>
              <w:pStyle w:val="Compact"/>
            </w:pPr>
            <w:r>
              <w:t xml:space="preserve">Validar y normalizar al crear el objeto ("ab 123-cd" → "AB123CD").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dominio</w:t>
            </w:r>
          </w:p>
        </w:tc>
        <w:tc>
          <w:tcPr/>
          <w:p>
            <w:pPr>
              <w:pStyle w:val="Compact"/>
            </w:pPr>
            <w:r>
              <w:t xml:space="preserve">Cuentas exactas (con</w:t>
            </w:r>
            <w:r>
              <w:t xml:space="preserve"> </w:t>
            </w:r>
            <w:r>
              <w:rPr>
                <w:rStyle w:val="VerbatimChar"/>
              </w:rPr>
              <w:t xml:space="preserve">float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0.1 + 0.2 = 0.30000000000000004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OrigenDato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EstadoViaje</w:t>
            </w:r>
          </w:p>
        </w:tc>
        <w:tc>
          <w:tcPr/>
          <w:p>
            <w:pPr>
              <w:pStyle w:val="Compact"/>
            </w:pPr>
            <w:r>
              <w:t xml:space="preserve">Valores cerrados que se comportan como texto.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@abstractmethod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domain/repositories.py</w:t>
            </w:r>
          </w:p>
        </w:tc>
        <w:tc>
          <w:tcPr/>
          <w:p>
            <w:pPr>
              <w:pStyle w:val="Compact"/>
            </w:pPr>
            <w:r>
              <w:t xml:space="preserve">Interfaces: obligan a implementar ciertos métodos.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Genéricos</w:t>
            </w:r>
            <w:r>
              <w:t xml:space="preserve"> </w:t>
            </w:r>
            <w:r>
              <w:rPr>
                <w:rStyle w:val="VerbatimChar"/>
              </w:rPr>
              <w:t xml:space="preserve">class Repositorio[E]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domain/repositories.py</w:t>
            </w:r>
          </w:p>
        </w:tc>
        <w:tc>
          <w:tcPr/>
          <w:p>
            <w:pPr>
              <w:pStyle w:val="Compact"/>
            </w:pPr>
            <w:r>
              <w:t xml:space="preserve">Sintaxis de Python 3.12+: un repositorio "de algo", con tipos.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</w:t>
            </w:r>
            <w:r>
              <w:t xml:space="preserve"> </w:t>
            </w:r>
            <w:r>
              <w:t xml:space="preserve">(context manager)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UnidadDeTrabajo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__enter__</w:t>
            </w:r>
            <w:r>
              <w:t xml:space="preserve"> </w:t>
            </w:r>
            <w:r>
              <w:t xml:space="preserve">abre la transacción;</w:t>
            </w:r>
            <w:r>
              <w:t xml:space="preserve"> </w:t>
            </w:r>
            <w:r>
              <w:rPr>
                <w:rStyle w:val="VerbatimChar"/>
              </w:rPr>
              <w:t xml:space="preserve">__exit__</w:t>
            </w:r>
            <w:r>
              <w:t xml:space="preserve"> </w:t>
            </w:r>
            <w:r>
              <w:t xml:space="preserve">la descarta si no hubo</w:t>
            </w:r>
            <w:r>
              <w:t xml:space="preserve"> </w:t>
            </w:r>
            <w:r>
              <w:rPr>
                <w:rStyle w:val="VerbatimChar"/>
              </w:rPr>
              <w:t xml:space="preserve">commit()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Generadores (</w:t>
            </w:r>
            <w:r>
              <w:rPr>
                <w:rStyle w:val="VerbatimChar"/>
              </w:rPr>
              <w:t xml:space="preserve">yield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lectores de archivos</w:t>
            </w:r>
          </w:p>
        </w:tc>
        <w:tc>
          <w:tcPr/>
          <w:p>
            <w:pPr>
              <w:pStyle w:val="Compact"/>
            </w:pPr>
            <w:r>
              <w:t xml:space="preserve">Procesan fila por fila sin cargar todo en memoria.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Operador morsa</w:t>
            </w:r>
            <w:r>
              <w:t xml:space="preserve"> </w:t>
            </w:r>
            <w:r>
              <w:rPr>
                <w:rStyle w:val="VerbatimChar"/>
              </w:rPr>
              <w:t xml:space="preserve">:=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use_cases/combustible.py</w:t>
            </w:r>
          </w:p>
        </w:tc>
        <w:tc>
          <w:tcPr/>
          <w:p>
            <w:pPr>
              <w:pStyle w:val="Compact"/>
            </w:pPr>
            <w:r>
              <w:t xml:space="preserve">Asignar y evaluar en una sola expresión.</w:t>
            </w:r>
          </w:p>
        </w:tc>
      </w:tr>
    </w:tbl>
    <w:bookmarkEnd w:id="13"/>
    <w:bookmarkStart w:id="14" w:name="patrones-de-diseño"/>
    <w:p>
      <w:pPr>
        <w:pStyle w:val="Heading1"/>
      </w:pPr>
      <w:r>
        <w:t xml:space="preserve">Patrones de diseño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Repositorio</w:t>
      </w:r>
      <w:r>
        <w:t xml:space="preserve">: el caso de uso pide datos sin conocer SQL.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Unidad de trabajo</w:t>
      </w:r>
      <w:r>
        <w:t xml:space="preserve">: varias operaciones en una sola transacción.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Inyección de dependencias</w:t>
      </w:r>
      <w:r>
        <w:t xml:space="preserve">: los casos de uso reciben su</w:t>
      </w:r>
      <w:r>
        <w:t xml:space="preserve"> </w:t>
      </w:r>
      <w:r>
        <w:rPr>
          <w:rStyle w:val="VerbatimChar"/>
        </w:rPr>
        <w:t xml:space="preserve">uow</w:t>
      </w:r>
      <w:r>
        <w:t xml:space="preserve">; en los tests se pasa uno en memoria.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Adaptador</w:t>
      </w:r>
      <w:r>
        <w:t xml:space="preserve">:</w:t>
      </w:r>
      <w:r>
        <w:t xml:space="preserve"> </w:t>
      </w:r>
      <w:r>
        <w:rPr>
          <w:rStyle w:val="VerbatimChar"/>
        </w:rPr>
        <w:t xml:space="preserve">LectorExcel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LectorCsv</w:t>
      </w:r>
      <w:r>
        <w:t xml:space="preserve"> </w:t>
      </w:r>
      <w:r>
        <w:t xml:space="preserve">cumplen el mismo contrato (</w:t>
      </w:r>
      <w:r>
        <w:rPr>
          <w:rStyle w:val="VerbatimChar"/>
        </w:rPr>
        <w:t xml:space="preserve">LectorCargas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Raíz de composición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bootstrap.py</w:t>
      </w:r>
      <w:r>
        <w:t xml:space="preserve">): único lugar donde se eligen las implementaciones concretas.</w:t>
      </w:r>
    </w:p>
    <w:bookmarkEnd w:id="14"/>
    <w:bookmarkStart w:id="15" w:name="librerías"/>
    <w:p>
      <w:pPr>
        <w:pStyle w:val="Heading1"/>
      </w:pPr>
      <w:r>
        <w:t xml:space="preserve">Librerías</w:t>
      </w:r>
    </w:p>
    <w:p>
      <w:pPr>
        <w:pStyle w:val="FirstParagraph"/>
      </w:pPr>
      <w:r>
        <w:rPr>
          <w:rStyle w:val="VerbatimChar"/>
        </w:rPr>
        <w:t xml:space="preserve">uv</w:t>
      </w:r>
      <w:r>
        <w:t xml:space="preserve"> </w:t>
      </w:r>
      <w:r>
        <w:t xml:space="preserve">(entorno y dependencias) · FastAPI (API) · Pydantic / pydantic-settings (validación y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 ·</w:t>
      </w:r>
      <w:r>
        <w:t xml:space="preserve"> </w:t>
      </w:r>
      <w:r>
        <w:t xml:space="preserve">SQLAlchemy 2 (ORM) · Alembic (migraciones) · psycopg 3 (driver PostgreSQL) · openpyxl (Excel) ·</w:t>
      </w:r>
      <w:r>
        <w:t xml:space="preserve"> </w:t>
      </w:r>
      <w:r>
        <w:t xml:space="preserve">Typer (CLI) · pytest (tests) · ruff (estilo).</w:t>
      </w:r>
    </w:p>
    <w:bookmarkEnd w:id="15"/>
    <w:sectPr>
      <w:footerReference r:id="rIdPieHidalgo" w:type="default"/>
      <w:footnotePr>
        <w:numRestart w:val="eachSect"/>
      </w:footnotePr>
      <w:pgSz w:h="16838" w:w="11906"/>
      <w:pgMar w:bottom="1134" w:footer="567" w:gutter="0" w:header="567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6" w:space="4" w:color="F56A11"/>
      </w:pBdr>
      <w:tabs>
        <w:tab w:val="right" w:pos="9638"/>
      </w:tabs>
      <w:spacing w:after="0"/>
      <w:rPr>
        <w:color w:val="5B5E78"/>
        <w:sz w:val="18"/>
      </w:rPr>
    </w:pPr>
    <w:r>
      <w:rPr>
        <w:color w:val="5B5E78"/>
        <w:sz w:val="18"/>
      </w:rPr>
      <w:t xml:space="preserve">Transportes Hidalgo · Gestión de Flota</w:t>
    </w:r>
    <w:r>
      <w:rPr>
        <w:color w:val="5B5E78"/>
        <w:sz w:val="18"/>
      </w:rPr>
      <w:tab/>
      <w:t xml:space="preserve">Página </w:t>
    </w:r>
    <w:r>
      <w:rPr>
        <w:color w:val="5B5E78"/>
        <w:sz w:val="18"/>
      </w:rPr>
      <w:fldChar w:fldCharType="begin"/>
    </w:r>
    <w:r>
      <w:rPr>
        <w:color w:val="5B5E78"/>
        <w:sz w:val="18"/>
      </w:rPr>
      <w:instrText xml:space="preserve"> PAGE </w:instrText>
    </w:r>
    <w:r>
      <w:rPr>
        <w:color w:val="5B5E78"/>
        <w:sz w:val="18"/>
      </w:rPr>
      <w:fldChar w:fldCharType="separate"/>
    </w:r>
    <w:r>
      <w:rPr>
        <w:color w:val="5B5E78"/>
        <w:sz w:val="18"/>
      </w:rPr>
      <w:t>1</w:t>
    </w:r>
    <w:r>
      <w:rPr>
        <w:color w:val="5B5E78"/>
        <w:sz w:val="18"/>
      </w:rPr>
      <w:fldChar w:fldCharType="end"/>
    </w:r>
    <w:r>
      <w:rPr>
        <w:color w:val="5B5E78"/>
        <w:sz w:val="18"/>
      </w:rPr>
      <w:t xml:space="preserve"> de </w:t>
    </w:r>
    <w:r>
      <w:rPr>
        <w:color w:val="5B5E78"/>
        <w:sz w:val="18"/>
      </w:rPr>
      <w:fldChar w:fldCharType="begin"/>
    </w:r>
    <w:r>
      <w:rPr>
        <w:color w:val="5B5E78"/>
        <w:sz w:val="18"/>
      </w:rPr>
      <w:instrText xml:space="preserve"> NUMPAGES </w:instrText>
    </w:r>
    <w:r>
      <w:rPr>
        <w:color w:val="5B5E78"/>
        <w:sz w:val="18"/>
      </w:rPr>
      <w:fldChar w:fldCharType="separate"/>
    </w:r>
    <w:r>
      <w:rPr>
        <w:color w:val="5B5E78"/>
        <w:sz w:val="18"/>
      </w:rPr>
      <w:t>1</w:t>
    </w:r>
    <w:r>
      <w:rPr>
        <w:color w:val="5B5E78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eastAsia="es-AR" w:val="es-A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color w:val="16172B"/>
      <w:sz w:val="22"/>
      <w:szCs w:val="22"/>
    </w:rPr>
  </w:style>
  <w:style w:styleId="BodyText" w:type="paragraph">
    <w:name w:val="Body Text"/>
    <w:basedOn w:val="Normal"/>
    <w:link w:val="BodyTextChar"/>
    <w:qFormat/>
    <w:pPr>
      <w:spacing w:after="120" w:before="6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Subtitle"/>
    <w:qFormat/>
    <w:pPr>
      <w:spacing w:after="60" w:before="240"/>
    </w:pPr>
    <w:rPr>
      <w:b/>
      <w:color w:val="06057F"/>
      <w:sz w:val="48"/>
      <w:szCs w:val="4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BodyText"/>
    <w:qFormat/>
    <w:pPr>
      <w:pBdr>
        <w:bottom w:color="F56A11" w:space="8" w:sz="18" w:val="single"/>
      </w:pBdr>
      <w:spacing w:after="360"/>
    </w:pPr>
    <w:rPr>
      <w:color w:val="B84A06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F56A11" w:space="4" w:sz="8" w:val="single"/>
      </w:pBdr>
      <w:spacing w:after="160" w:before="480"/>
      <w:outlineLvl w:val="0"/>
    </w:pPr>
    <w:rPr>
      <w:b/>
      <w:color w:val="0706E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320"/>
      <w:outlineLvl w:val="1"/>
    </w:pPr>
    <w:rPr>
      <w:b/>
      <w:color w:val="06057F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b/>
      <w:color w:val="B84A06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qFormat/>
    <w:pPr>
      <w:pBdr>
        <w:left w:color="F56A11" w:space="8" w:sz="24" w:val="single"/>
      </w:pBdr>
      <w:shd w:color="auto" w:fill="FEEBDD" w:val="clear"/>
      <w:spacing w:after="120" w:before="120"/>
      <w:ind w:left="24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Borders>
        <w:top w:color="DCDDEA" w:space="0" w:sz="4" w:val="single"/>
        <w:left w:color="DCDDEA" w:space="0" w:sz="4" w:val="single"/>
        <w:bottom w:color="DCDDEA" w:space="0" w:sz="4" w:val="single"/>
        <w:right w:color="DCDDEA" w:space="0" w:sz="4" w:val="single"/>
        <w:insideH w:color="DCDDEA" w:space="0" w:sz="4" w:val="single"/>
        <w:insideV w:color="DCDDEA" w:space="0" w:sz="4" w:val="single"/>
      </w:tblBorders>
      <w:tblCellMar>
        <w:top w:type="dxa" w:w="40"/>
        <w:left w:type="dxa" w:w="100"/>
        <w:bottom w:type="dxa" w:w="40"/>
        <w:right w:type="dxa" w:w="100"/>
      </w:tblCellMar>
    </w:tblPr>
    <w:tblStylePr w:type="firstRow">
      <w:rPr>
        <w:b/>
        <w:color w:val="06057F"/>
      </w:rPr>
      <w:tcPr>
        <w:shd w:color="auto" w:fill="E9E9FD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Consolas" w:hAnsi="Consolas"/>
      <w:color w:val="06057F"/>
      <w:sz w:val="19"/>
      <w:szCs w:val="19"/>
      <w:shd w:color="auto" w:fill="F4F5FA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DefaultParagraphFont"/>
    <w:rPr>
      <w:color w:val="0706E5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left w:color="0706E5" w:space="6" w:sz="18" w:val="single"/>
      </w:pBdr>
      <w:shd w:color="auto" w:fill="F4F5FA" w:val="clear"/>
      <w:wordWrap w:val="off"/>
      <w:spacing w:after="160" w:before="120" w:line="240" w:lineRule="auto"/>
      <w:ind w:left="160"/>
    </w:pPr>
    <w:rPr>
      <w:rFonts w:ascii="Consolas" w:hAnsi="Consolas"/>
      <w:sz w:val="18"/>
      <w:szCs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ieHidalgo" Target="footer1.xml" Type="http://schemas.openxmlformats.org/officeDocument/2006/relationships/footer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2026-10-21T14:26:27Z</dcterms:created>
  <dcterms:modified xsi:type="dcterms:W3CDTF">2026-10-21T14:26:27Z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o">
    <vt:lpwstr>C:\Users\Usuario\OneDrive\Documentos\Transportes-Hidalgo\src\flota\marca\img\logo-hidalgo.png</vt:lpwstr>
  </property>
  <property fmtid="{D5CDD505-2E9C-101B-9397-08002B2CF9AE}" pid="3" name="subtitulo">
    <vt:lpwstr>Transportes Hidalgo · Gestión de Flota</vt:lpwstr>
  </property>
</Properties>
</file>