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5 — Moneda, alertas y eventos de dominio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todo gasto guarde su importe en la moneda original y en pesos argentinos con una</w:t>
      </w:r>
      <w:r>
        <w:t xml:space="preserve"> </w:t>
      </w:r>
      <w:r>
        <w:t xml:space="preserve">cotización fija, y que las alertas pasen de ser una marca calculada a una entidad con estado que</w:t>
      </w:r>
      <w:r>
        <w:t xml:space="preserve"> </w:t>
      </w:r>
      <w:r>
        <w:t xml:space="preserve">alguien analiza y resuelve.</w:t>
      </w:r>
    </w:p>
    <w:p>
      <w:pPr>
        <w:pStyle w:val="BodyText"/>
      </w:pPr>
      <w:r>
        <w:rPr>
          <w:b/>
          <w:bCs/>
        </w:rPr>
        <w:t xml:space="preserve">Requisitos:</w:t>
      </w:r>
      <w:r>
        <w:t xml:space="preserve"> </w:t>
      </w:r>
      <w:r>
        <w:t xml:space="preserve">RF-16, RF-18, RF-19 (en el panel), RF-20, RF-39 (carga manual), RF-40, RF-41 ·</w:t>
      </w:r>
      <w:r>
        <w:t xml:space="preserve"> </w:t>
      </w:r>
      <w:r>
        <w:rPr>
          <w:b/>
          <w:bCs/>
        </w:rPr>
        <w:t xml:space="preserve">Casos de uso:</w:t>
      </w:r>
      <w:r>
        <w:t xml:space="preserve"> </w:t>
      </w:r>
      <w:r>
        <w:t xml:space="preserve">CU-06, CU-13 (carga manual y corrección) ·</w:t>
      </w:r>
      <w:r>
        <w:t xml:space="preserve"> </w:t>
      </w:r>
      <w:r>
        <w:rPr>
          <w:b/>
          <w:bCs/>
        </w:rPr>
        <w:t xml:space="preserve">Módulos:</w:t>
      </w:r>
      <w:r>
        <w:t xml:space="preserve"> </w:t>
      </w:r>
      <w:r>
        <w:t xml:space="preserve">MOD-05, MOD-10.</w:t>
      </w:r>
    </w:p>
    <w:bookmarkStart w:id="18" w:name="qué-se-hizo"/>
    <w:p>
      <w:pPr>
        <w:pStyle w:val="Heading1"/>
      </w:pPr>
      <w:r>
        <w:t xml:space="preserve">Qué se hizo</w:t>
      </w:r>
    </w:p>
    <w:bookmarkStart w:id="12" w:name="módulo-monedas-mod-10"/>
    <w:p>
      <w:pPr>
        <w:pStyle w:val="Heading2"/>
      </w:pPr>
      <w:r>
        <w:t xml:space="preserve">Módulo</w:t>
      </w:r>
      <w:r>
        <w:t xml:space="preserve"> </w:t>
      </w:r>
      <w:r>
        <w:rPr>
          <w:rStyle w:val="VerbatimChar"/>
        </w:rPr>
        <w:t xml:space="preserve">monedas</w:t>
      </w:r>
      <w:r>
        <w:t xml:space="preserve"> </w:t>
      </w:r>
      <w:r>
        <w:t xml:space="preserve">(MOD-10)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TipoCambio</w:t>
      </w:r>
      <w:r>
        <w:t xml:space="preserve">: cotización de un día (cuántos ARS vale 1 CLP) con su fuente. Una por día.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Regla única de conversión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convertir_a_pesos</w:t>
      </w:r>
      <w:r>
        <w:t xml:space="preserve">): un gasto en CLP usa la cotización de su</w:t>
      </w:r>
      <w:r>
        <w:t xml:space="preserve"> </w:t>
      </w:r>
      <w:r>
        <w:t xml:space="preserve">fecha; si ese día no hay, la última anterior, y el gasto queda marcado</w:t>
      </w:r>
      <w:r>
        <w:t xml:space="preserve"> </w:t>
      </w:r>
      <w:r>
        <w:rPr>
          <w:b/>
          <w:bCs/>
        </w:rPr>
        <w:t xml:space="preserve">"revisar"</w:t>
      </w:r>
      <w:r>
        <w:t xml:space="preserve"> </w:t>
      </w:r>
      <w:r>
        <w:t xml:space="preserve">(CU-12 E1).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Corrección</w:t>
      </w:r>
      <w:r>
        <w:t xml:space="preserve"> </w:t>
      </w:r>
      <w:r>
        <w:t xml:space="preserve">(CU-13 E1): si la cotización ya se usó en algún gasto, hay que confirmarlo; los</w:t>
      </w:r>
      <w:r>
        <w:t xml:space="preserve"> </w:t>
      </w:r>
      <w:r>
        <w:t xml:space="preserve">gastos conservan la cotización que se les aplicó (RF-41).</w:t>
      </w:r>
    </w:p>
    <w:p>
      <w:pPr>
        <w:pStyle w:val="Compact"/>
        <w:numPr>
          <w:ilvl w:val="0"/>
          <w:numId w:val="1001"/>
        </w:numPr>
      </w:pPr>
      <w:r>
        <w:t xml:space="preserve">Página</w:t>
      </w:r>
      <w:r>
        <w:t xml:space="preserve"> </w:t>
      </w:r>
      <w:r>
        <w:rPr>
          <w:b/>
          <w:bCs/>
        </w:rPr>
        <w:t xml:space="preserve">Tipo de cambio</w:t>
      </w:r>
      <w:r>
        <w:t xml:space="preserve"> </w:t>
      </w:r>
      <w:r>
        <w:t xml:space="preserve">en el panel y API</w:t>
      </w:r>
      <w:r>
        <w:t xml:space="preserve"> </w:t>
      </w:r>
      <w:r>
        <w:rPr>
          <w:rStyle w:val="VerbatimChar"/>
        </w:rPr>
        <w:t xml:space="preserve">/api/v1/tipos-cambio</w:t>
      </w:r>
      <w:r>
        <w:t xml:space="preserve">.</w:t>
      </w:r>
    </w:p>
    <w:bookmarkEnd w:id="12"/>
    <w:bookmarkStart w:id="13" w:name="moneda-en-las-cargas-de-combustible"/>
    <w:p>
      <w:pPr>
        <w:pStyle w:val="Heading2"/>
      </w:pPr>
      <w:r>
        <w:t xml:space="preserve">Moneda en las cargas de combustible</w:t>
      </w:r>
    </w:p>
    <w:p>
      <w:pPr>
        <w:pStyle w:val="Compact"/>
        <w:numPr>
          <w:ilvl w:val="0"/>
          <w:numId w:val="1002"/>
        </w:numPr>
      </w:pPr>
      <w:r>
        <w:t xml:space="preserve">La carga guarda un</w:t>
      </w:r>
      <w:r>
        <w:t xml:space="preserve"> </w:t>
      </w:r>
      <w:r>
        <w:rPr>
          <w:rStyle w:val="VerbatimChar"/>
          <w:b/>
          <w:bCs/>
        </w:rPr>
        <w:t xml:space="preserve">ImporteGasto</w:t>
      </w:r>
      <w:r>
        <w:t xml:space="preserve">: monto original, moneda, cotización, monto en ARS y qué tipo</w:t>
      </w:r>
      <w:r>
        <w:t xml:space="preserve"> </w:t>
      </w:r>
      <w:r>
        <w:t xml:space="preserve">de cambio se aplicó. Se puede informar el monto total del ticket o el precio por litro.</w:t>
      </w:r>
    </w:p>
    <w:p>
      <w:pPr>
        <w:pStyle w:val="Compact"/>
        <w:numPr>
          <w:ilvl w:val="0"/>
          <w:numId w:val="1002"/>
        </w:numPr>
      </w:pPr>
      <w:r>
        <w:t xml:space="preserve">La importación de archivos acepta las columnas opcionales</w:t>
      </w:r>
      <w:r>
        <w:t xml:space="preserve"> </w:t>
      </w:r>
      <w:r>
        <w:rPr>
          <w:rStyle w:val="VerbatimChar"/>
        </w:rPr>
        <w:t xml:space="preserve">importe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RF-18:</w:t>
      </w:r>
      <w:r>
        <w:t xml:space="preserve"> </w:t>
      </w:r>
      <w:r>
        <w:t xml:space="preserve">una carga que supera el tanque</w:t>
      </w:r>
      <w:r>
        <w:t xml:space="preserve"> </w:t>
      </w:r>
      <w:r>
        <w:rPr>
          <w:b/>
          <w:bCs/>
        </w:rPr>
        <w:t xml:space="preserve">se registra</w:t>
      </w:r>
      <w:r>
        <w:t xml:space="preserve"> </w:t>
      </w:r>
      <w:r>
        <w:t xml:space="preserve">y genera una alerta (antes se rechazaba).</w:t>
      </w:r>
      <w:r>
        <w:t xml:space="preserve"> </w:t>
      </w:r>
      <w:r>
        <w:t xml:space="preserve">Sólo se rechaza si supera el</w:t>
      </w:r>
      <w:r>
        <w:t xml:space="preserve"> </w:t>
      </w:r>
      <w:r>
        <w:rPr>
          <w:b/>
          <w:bCs/>
        </w:rPr>
        <w:t xml:space="preserve">doble</w:t>
      </w:r>
      <w:r>
        <w:t xml:space="preserve"> </w:t>
      </w:r>
      <w:r>
        <w:t xml:space="preserve">del tanque, porque eso es un error de tipeo o de lectura.</w:t>
      </w:r>
    </w:p>
    <w:bookmarkEnd w:id="13"/>
    <w:bookmarkStart w:id="14" w:name="módulo-alertas-mod-05"/>
    <w:p>
      <w:pPr>
        <w:pStyle w:val="Heading2"/>
      </w:pPr>
      <w:r>
        <w:t xml:space="preserve">Módulo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(MOD-05)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Alerta</w:t>
      </w:r>
      <w:r>
        <w:t xml:space="preserve"> </w:t>
      </w:r>
      <w:r>
        <w:t xml:space="preserve">con tipo, origen (tabla + id del registro que la generó), valores detectado y de</w:t>
      </w:r>
      <w:r>
        <w:t xml:space="preserve"> </w:t>
      </w:r>
      <w:r>
        <w:t xml:space="preserve">referencia, y ciclo de vida:</w:t>
      </w:r>
      <w:r>
        <w:t xml:space="preserve"> </w:t>
      </w:r>
      <w:r>
        <w:rPr>
          <w:b/>
          <w:bCs/>
        </w:rPr>
        <w:t xml:space="preserve">abierta → en análisis → justificada / desvío confirmado</w:t>
      </w:r>
      <w:r>
        <w:t xml:space="preserve">.</w:t>
      </w:r>
      <w:r>
        <w:t xml:space="preserve"> </w:t>
      </w:r>
      <w:r>
        <w:t xml:space="preserve">Resolverla exige un comentario; confirmar el desvío la</w:t>
      </w:r>
      <w:r>
        <w:t xml:space="preserve"> </w:t>
      </w:r>
      <w:r>
        <w:rPr>
          <w:b/>
          <w:bCs/>
        </w:rPr>
        <w:t xml:space="preserve">escala a Gerencia</w:t>
      </w:r>
      <w:r>
        <w:t xml:space="preserve"> </w:t>
      </w:r>
      <w:r>
        <w:t xml:space="preserve">(CU-06).</w:t>
      </w:r>
    </w:p>
    <w:p>
      <w:pPr>
        <w:pStyle w:val="Compact"/>
        <w:numPr>
          <w:ilvl w:val="0"/>
          <w:numId w:val="1003"/>
        </w:numPr>
      </w:pPr>
      <w:r>
        <w:t xml:space="preserve">Se generan solas: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Desvío de consumo por tramo</w:t>
      </w:r>
      <w:r>
        <w:t xml:space="preserve"> </w:t>
      </w:r>
      <w:r>
        <w:t xml:space="preserve">(RF-16) al cerrar un tramo, al finalizar el viaje o cuando llega</w:t>
      </w:r>
      <w:r>
        <w:t xml:space="preserve"> </w:t>
      </w:r>
      <w:r>
        <w:t xml:space="preserve">un ticket tarde. Si al recalcular el consumo vuelve a la normalidad, el sistema cierra la alerta;</w:t>
      </w:r>
      <w:r>
        <w:t xml:space="preserve"> </w:t>
      </w:r>
      <w:r>
        <w:t xml:space="preserve">una alerta resuelta por una persona nunca se reabre.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Carga mayor al tanque</w:t>
      </w:r>
      <w:r>
        <w:t xml:space="preserve"> </w:t>
      </w:r>
      <w:r>
        <w:t xml:space="preserve">(RF-18).</w:t>
      </w:r>
    </w:p>
    <w:p>
      <w:pPr>
        <w:pStyle w:val="Compact"/>
        <w:numPr>
          <w:ilvl w:val="0"/>
          <w:numId w:val="1003"/>
        </w:numPr>
      </w:pPr>
      <w:r>
        <w:t xml:space="preserve">Página</w:t>
      </w:r>
      <w:r>
        <w:t xml:space="preserve"> </w:t>
      </w:r>
      <w:r>
        <w:rPr>
          <w:b/>
          <w:bCs/>
        </w:rPr>
        <w:t xml:space="preserve">Alertas</w:t>
      </w:r>
      <w:r>
        <w:t xml:space="preserve"> </w:t>
      </w:r>
      <w:r>
        <w:t xml:space="preserve">(abiertas / todas, con botones para resolver) y el</w:t>
      </w:r>
      <w:r>
        <w:t xml:space="preserve"> </w:t>
      </w:r>
      <w:r>
        <w:rPr>
          <w:b/>
          <w:bCs/>
        </w:rPr>
        <w:t xml:space="preserve">tablero</w:t>
      </w:r>
      <w:r>
        <w:t xml:space="preserve"> </w:t>
      </w:r>
      <w:r>
        <w:t xml:space="preserve">muestra las</w:t>
      </w:r>
      <w:r>
        <w:t xml:space="preserve"> </w:t>
      </w:r>
      <w:r>
        <w:t xml:space="preserve">alertas abiertas. API</w:t>
      </w:r>
      <w:r>
        <w:t xml:space="preserve"> </w:t>
      </w:r>
      <w:r>
        <w:rPr>
          <w:rStyle w:val="VerbatimChar"/>
        </w:rPr>
        <w:t xml:space="preserve">/api/v1/alertas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Comando</w:t>
      </w:r>
      <w:r>
        <w:t xml:space="preserve"> </w:t>
      </w:r>
      <w:r>
        <w:rPr>
          <w:rStyle w:val="VerbatimChar"/>
        </w:rPr>
        <w:t xml:space="preserve">flota recalcular-alertas</w:t>
      </w:r>
      <w:r>
        <w:t xml:space="preserve">: evalúa los viajes ya cerrados (útil después de migrar).</w:t>
      </w:r>
    </w:p>
    <w:bookmarkEnd w:id="14"/>
    <w:bookmarkStart w:id="15" w:name="eventos-de-dominio"/>
    <w:p>
      <w:pPr>
        <w:pStyle w:val="Heading2"/>
      </w:pPr>
      <w:r>
        <w:t xml:space="preserve">Eventos de dominio</w:t>
      </w:r>
    </w:p>
    <w:p>
      <w:pPr>
        <w:pStyle w:val="Compact"/>
        <w:numPr>
          <w:ilvl w:val="0"/>
          <w:numId w:val="1005"/>
        </w:numPr>
      </w:pPr>
      <w:r>
        <w:t xml:space="preserve">Los casos de uso</w:t>
      </w:r>
      <w:r>
        <w:t xml:space="preserve"> </w:t>
      </w:r>
      <w:r>
        <w:rPr>
          <w:b/>
          <w:bCs/>
        </w:rPr>
        <w:t xml:space="preserve">registran eventos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ViajeFinalizado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TramoCerrado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CargaRegistrada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AlertaGenerada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AlertaEscalada</w:t>
      </w:r>
      <w:r>
        <w:t xml:space="preserve">) y la unidad de trabajo los</w:t>
      </w:r>
      <w:r>
        <w:t xml:space="preserve"> </w:t>
      </w:r>
      <w:r>
        <w:rPr>
          <w:b/>
          <w:bCs/>
        </w:rPr>
        <w:t xml:space="preserve">publica después del commit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bootstrap.py</w:t>
      </w:r>
      <w:r>
        <w:t xml:space="preserve"> </w:t>
      </w:r>
      <w:r>
        <w:t xml:space="preserve">arma el</w:t>
      </w:r>
      <w:r>
        <w:t xml:space="preserve"> </w:t>
      </w:r>
      <w:r>
        <w:rPr>
          <w:b/>
          <w:bCs/>
        </w:rPr>
        <w:t xml:space="preserve">bus de eventos</w:t>
      </w:r>
      <w:r>
        <w:t xml:space="preserve"> </w:t>
      </w:r>
      <w:r>
        <w:t xml:space="preserve">y suscribe los manejadores del módulo de alertas.</w:t>
      </w:r>
    </w:p>
    <w:p>
      <w:pPr>
        <w:pStyle w:val="Compact"/>
        <w:numPr>
          <w:ilvl w:val="0"/>
          <w:numId w:val="1005"/>
        </w:numPr>
      </w:pPr>
      <w:r>
        <w:t xml:space="preserve">Resultado:</w:t>
      </w:r>
      <w:r>
        <w:t xml:space="preserve"> </w:t>
      </w:r>
      <w:r>
        <w:rPr>
          <w:rStyle w:val="VerbatimChar"/>
        </w:rPr>
        <w:t xml:space="preserve">viajes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combustible</w:t>
      </w:r>
      <w:r>
        <w:t xml:space="preserve"> </w:t>
      </w:r>
      <w:r>
        <w:t xml:space="preserve">no conocen a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, aunque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reaccione a ellos.</w:t>
      </w:r>
    </w:p>
    <w:bookmarkEnd w:id="15"/>
    <w:bookmarkStart w:id="16" w:name="base-de-datos"/>
    <w:p>
      <w:pPr>
        <w:pStyle w:val="Heading2"/>
      </w:pPr>
      <w:r>
        <w:t xml:space="preserve">Base de datos</w:t>
      </w:r>
    </w:p>
    <w:p>
      <w:pPr>
        <w:pStyle w:val="Compact"/>
        <w:numPr>
          <w:ilvl w:val="0"/>
          <w:numId w:val="1006"/>
        </w:numPr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619242b605d9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tipos_cambio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; en</w:t>
      </w:r>
      <w:r>
        <w:t xml:space="preserve"> </w:t>
      </w:r>
      <w:r>
        <w:rPr>
          <w:rStyle w:val="VerbatimChar"/>
        </w:rPr>
        <w:t xml:space="preserve">cargas_combustible</w:t>
      </w:r>
      <w:r>
        <w:t xml:space="preserve">, el precio</w:t>
      </w:r>
      <w:r>
        <w:t xml:space="preserve"> </w:t>
      </w:r>
      <w:r>
        <w:t xml:space="preserve">por litro pasa a ser un importe completo. Probada en PostgreSQL y SQLite (subida y bajada) sin</w:t>
      </w:r>
      <w:r>
        <w:t xml:space="preserve"> </w:t>
      </w:r>
      <w:r>
        <w:t xml:space="preserve">perder datos: el total de importes antes y después de migrar es idéntico.</w:t>
      </w:r>
    </w:p>
    <w:bookmarkEnd w:id="16"/>
    <w:bookmarkStart w:id="17" w:name="tests"/>
    <w:p>
      <w:pPr>
        <w:pStyle w:val="Heading2"/>
      </w:pPr>
      <w:r>
        <w:t xml:space="preserve">Tests</w:t>
      </w:r>
    </w:p>
    <w:p>
      <w:pPr>
        <w:pStyle w:val="Compact"/>
        <w:numPr>
          <w:ilvl w:val="0"/>
          <w:numId w:val="1007"/>
        </w:numPr>
      </w:pPr>
      <w:r>
        <w:t xml:space="preserve">De 59 a</w:t>
      </w:r>
      <w:r>
        <w:t xml:space="preserve"> </w:t>
      </w:r>
      <w:r>
        <w:rPr>
          <w:b/>
          <w:bCs/>
        </w:rPr>
        <w:t xml:space="preserve">90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test_monedas.py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test_alertas.py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test_eventos.py</w:t>
      </w:r>
      <w:r>
        <w:t xml:space="preserve"> </w:t>
      </w:r>
      <w:r>
        <w:t xml:space="preserve">y casos nuevos en</w:t>
      </w:r>
      <w:r>
        <w:t xml:space="preserve"> </w:t>
      </w:r>
      <w:r>
        <w:t xml:space="preserve">combustible, API y panel. Los tests de integración usan el bus real: prueban que finalizar un</w:t>
      </w:r>
      <w:r>
        <w:t xml:space="preserve"> </w:t>
      </w:r>
      <w:r>
        <w:t xml:space="preserve">viaje genere su alerta.</w:t>
      </w:r>
    </w:p>
    <w:bookmarkEnd w:id="17"/>
    <w:bookmarkEnd w:id="18"/>
    <w:bookmarkStart w:id="24" w:name="conceptos-nuevos"/>
    <w:p>
      <w:pPr>
        <w:pStyle w:val="Heading1"/>
      </w:pPr>
      <w:r>
        <w:t xml:space="preserve">Conceptos nuevos</w:t>
      </w:r>
    </w:p>
    <w:bookmarkStart w:id="19" w:name="objetos-de-valor-dinero"/>
    <w:p>
      <w:pPr>
        <w:pStyle w:val="Heading2"/>
      </w:pPr>
      <w:r>
        <w:t xml:space="preserve">Objetos de valor (</w:t>
      </w:r>
      <w:r>
        <w:rPr>
          <w:rStyle w:val="VerbatimChar"/>
        </w:rPr>
        <w:t xml:space="preserve">Dinero</w:t>
      </w:r>
      <w:r>
        <w:t xml:space="preserve">)</w:t>
      </w:r>
    </w:p>
    <w:p>
      <w:pPr>
        <w:pStyle w:val="FirstParagraph"/>
      </w:pPr>
      <w:r>
        <w:t xml:space="preserve">No tienen identidad: dos</w:t>
      </w:r>
      <w:r>
        <w:t xml:space="preserve"> </w:t>
      </w:r>
      <w:r>
        <w:rPr>
          <w:rStyle w:val="VerbatimChar"/>
        </w:rPr>
        <w:t xml:space="preserve">Dinero(100, CLP)</w:t>
      </w:r>
      <w:r>
        <w:t xml:space="preserve"> </w:t>
      </w:r>
      <w:r>
        <w:t xml:space="preserve">son el mismo valor. Son</w:t>
      </w:r>
      <w:r>
        <w:t xml:space="preserve"> </w:t>
      </w:r>
      <w:r>
        <w:rPr>
          <w:b/>
          <w:bCs/>
        </w:rPr>
        <w:t xml:space="preserve">inmutables</w:t>
      </w:r>
      <w:r>
        <w:t xml:space="preserve"> </w:t>
      </w:r>
      <w:r>
        <w:t xml:space="preserve">y se comparan por</w:t>
      </w:r>
      <w:r>
        <w:t xml:space="preserve"> </w:t>
      </w:r>
      <w:r>
        <w:t xml:space="preserve">contenido.</w:t>
      </w:r>
      <w:r>
        <w:t xml:space="preserve"> </w:t>
      </w:r>
      <w:r>
        <w:rPr>
          <w:rStyle w:val="VerbatimChar"/>
        </w:rPr>
        <w:t xml:space="preserve">Dinero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__sub__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__mul__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, así se opera como con</w:t>
      </w:r>
      <w:r>
        <w:t xml:space="preserve"> </w:t>
      </w:r>
      <w:r>
        <w:t xml:space="preserve">números, pero</w:t>
      </w:r>
      <w:r>
        <w:t xml:space="preserve"> </w:t>
      </w:r>
      <w:r>
        <w:rPr>
          <w:b/>
          <w:bCs/>
        </w:rPr>
        <w:t xml:space="preserve">sumar ARS con CLP da error</w:t>
      </w:r>
      <w:r>
        <w:t xml:space="preserve">. En una dataclass</w:t>
      </w:r>
      <w:r>
        <w:t xml:space="preserve"> </w:t>
      </w:r>
      <w:r>
        <w:rPr>
          <w:rStyle w:val="VerbatimChar"/>
        </w:rPr>
        <w:t xml:space="preserve">frozen=True</w:t>
      </w:r>
      <w:r>
        <w:t xml:space="preserve"> </w:t>
      </w:r>
      <w:r>
        <w:t xml:space="preserve">se normalizan campos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object.__setattr__</w:t>
      </w:r>
      <w:r>
        <w:t xml:space="preserve">.</w:t>
      </w:r>
    </w:p>
    <w:bookmarkEnd w:id="19"/>
    <w:bookmarkStart w:id="20" w:name="eventos-de-dominio-y-patrón-observador"/>
    <w:p>
      <w:pPr>
        <w:pStyle w:val="Heading2"/>
      </w:pPr>
      <w:r>
        <w:t xml:space="preserve">Eventos de dominio y patrón Observador</w:t>
      </w:r>
    </w:p>
    <w:p>
      <w:pPr>
        <w:pStyle w:val="FirstParagraph"/>
      </w:pPr>
      <w:r>
        <w:t xml:space="preserve">Un evento describe algo que</w:t>
      </w:r>
      <w:r>
        <w:t xml:space="preserve"> </w:t>
      </w:r>
      <w:r>
        <w:rPr>
          <w:b/>
          <w:bCs/>
        </w:rPr>
        <w:t xml:space="preserve">ya pasó</w:t>
      </w:r>
      <w:r>
        <w:t xml:space="preserve"> </w:t>
      </w:r>
      <w:r>
        <w:t xml:space="preserve">(</w:t>
      </w:r>
      <w:r>
        <w:rPr>
          <w:rStyle w:val="VerbatimChar"/>
        </w:rPr>
        <w:t xml:space="preserve">ViajeFinalizado</w:t>
      </w:r>
      <w:r>
        <w:t xml:space="preserve">). Quien lo publica no sabe quién lo</w:t>
      </w:r>
      <w:r>
        <w:t xml:space="preserve"> </w:t>
      </w:r>
      <w:r>
        <w:t xml:space="preserve">escucha. El bus (</w:t>
      </w:r>
      <w:r>
        <w:rPr>
          <w:rStyle w:val="VerbatimChar"/>
        </w:rPr>
        <w:t xml:space="preserve">BusEventos</w:t>
      </w:r>
      <w:r>
        <w:t xml:space="preserve">) guarda, por tipo de evento, la lista de funciones a llamar.</w:t>
      </w:r>
      <w:r>
        <w:t xml:space="preserve"> </w:t>
      </w:r>
      <w:r>
        <w:t xml:space="preserve">Publicar</w:t>
      </w:r>
      <w:r>
        <w:t xml:space="preserve"> </w:t>
      </w:r>
      <w:r>
        <w:rPr>
          <w:b/>
          <w:bCs/>
        </w:rPr>
        <w:t xml:space="preserve">después del commit</w:t>
      </w:r>
      <w:r>
        <w:t xml:space="preserve"> </w:t>
      </w:r>
      <w:r>
        <w:t xml:space="preserve">evita avisar algo que finalmente no se guardó. Si un manejador</w:t>
      </w:r>
      <w:r>
        <w:t xml:space="preserve"> </w:t>
      </w:r>
      <w:r>
        <w:t xml:space="preserve">falla, se registra con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y no se deshace la operación original.</w:t>
      </w:r>
    </w:p>
    <w:bookmarkEnd w:id="20"/>
    <w:bookmarkStart w:id="21" w:name="closures"/>
    <w:p>
      <w:pPr>
        <w:pStyle w:val="Heading2"/>
      </w:pPr>
      <w:r>
        <w:t xml:space="preserve">Closures</w:t>
      </w:r>
    </w:p>
    <w:p>
      <w:pPr>
        <w:pStyle w:val="FirstParagraph"/>
      </w:pPr>
      <w:r>
        <w:rPr>
          <w:rStyle w:val="VerbatimChar"/>
        </w:rPr>
        <w:t xml:space="preserve">manejadores.suscribir(...)</w:t>
      </w:r>
      <w:r>
        <w:t xml:space="preserve"> </w:t>
      </w:r>
      <w:r>
        <w:t xml:space="preserve">define funciones adentro de otra función. Esas funciones "recuerdan"</w:t>
      </w:r>
      <w:r>
        <w:t xml:space="preserve"> </w:t>
      </w:r>
      <w:r>
        <w:t xml:space="preserve">la configuración (umbral, tolerancia, cómo crear la unidad de trabajo) para cuando llegue el evento.</w:t>
      </w:r>
    </w:p>
    <w:bookmarkEnd w:id="21"/>
    <w:bookmarkStart w:id="22" w:name="inversión-de-dependencias-entre-módulos"/>
    <w:p>
      <w:pPr>
        <w:pStyle w:val="Heading2"/>
      </w:pPr>
      <w:r>
        <w:t xml:space="preserve">Inversión de dependencias entre módulos</w:t>
      </w:r>
    </w:p>
    <w:p>
      <w:pPr>
        <w:pStyle w:val="FirstParagraph"/>
      </w:pPr>
      <w:r>
        <w:t xml:space="preserve">El repositorio de tipos de cambio necesita saber si una cotización ya se usó en</w:t>
      </w:r>
      <w:r>
        <w:t xml:space="preserve"> </w:t>
      </w:r>
      <w:r>
        <w:rPr>
          <w:b/>
          <w:bCs/>
        </w:rPr>
        <w:t xml:space="preserve">cualquier</w:t>
      </w:r>
      <w:r>
        <w:t xml:space="preserve"> </w:t>
      </w:r>
      <w:r>
        <w:t xml:space="preserve">tabla de gastos, pero no puede importar a combustible (combustible depende de monedas). La solución:</w:t>
      </w:r>
      <w:r>
        <w:t xml:space="preserve"> </w:t>
      </w:r>
      <w:r>
        <w:t xml:space="preserve">la raíz de composición (</w:t>
      </w:r>
      <w:r>
        <w:rPr>
          <w:rStyle w:val="VerbatimChar"/>
        </w:rPr>
        <w:t xml:space="preserve">unidad_de_trabajo.py</w:t>
      </w:r>
      <w:r>
        <w:t xml:space="preserve">) le</w:t>
      </w:r>
      <w:r>
        <w:t xml:space="preserve"> </w:t>
      </w:r>
      <w:r>
        <w:rPr>
          <w:b/>
          <w:bCs/>
        </w:rPr>
        <w:t xml:space="preserve">pasa</w:t>
      </w:r>
      <w:r>
        <w:t xml:space="preserve"> </w:t>
      </w:r>
      <w:r>
        <w:t xml:space="preserve">la lista de tablas de gastos.</w:t>
      </w:r>
    </w:p>
    <w:bookmarkEnd w:id="22"/>
    <w:bookmarkStart w:id="23" w:name="X0ddf1ff804e1ca558da5f0b6c55fedc0802e24c"/>
    <w:p>
      <w:pPr>
        <w:pStyle w:val="Heading2"/>
      </w:pPr>
      <w:r>
        <w:t xml:space="preserve">Migraciones con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en una sola sentencia</w:t>
      </w:r>
    </w:p>
    <w:p>
      <w:pPr>
        <w:pStyle w:val="FirstParagraph"/>
      </w:pPr>
      <w:r>
        <w:rPr>
          <w:rStyle w:val="VerbatimChar"/>
        </w:rPr>
        <w:t xml:space="preserve">cargas.update().values(monto_original=round(litros * precio_litro, 2), ...)</w:t>
      </w:r>
      <w:r>
        <w:t xml:space="preserve"> </w:t>
      </w:r>
      <w:r>
        <w:t xml:space="preserve">transforma todos los</w:t>
      </w:r>
      <w:r>
        <w:t xml:space="preserve"> </w:t>
      </w:r>
      <w:r>
        <w:t xml:space="preserve">datos en la base, sin traerlos a Python.</w:t>
      </w:r>
    </w:p>
    <w:bookmarkEnd w:id="23"/>
    <w:bookmarkEnd w:id="24"/>
    <w:bookmarkStart w:id="25" w:name="pendiente-para-próximas-sesiones"/>
    <w:p>
      <w:pPr>
        <w:pStyle w:val="Heading1"/>
      </w:pPr>
      <w:r>
        <w:t xml:space="preserve">Pendiente para próximas sesiones</w:t>
      </w:r>
    </w:p>
    <w:p>
      <w:pPr>
        <w:pStyle w:val="Compact"/>
        <w:numPr>
          <w:ilvl w:val="0"/>
          <w:numId w:val="1008"/>
        </w:numPr>
      </w:pPr>
      <w:r>
        <w:t xml:space="preserve">Sesión 6: usuarios, roles y auditoría. Las alertas ya tienen el campo</w:t>
      </w:r>
      <w:r>
        <w:t xml:space="preserve"> </w:t>
      </w:r>
      <w:r>
        <w:rPr>
          <w:rStyle w:val="VerbatimChar"/>
        </w:rPr>
        <w:t xml:space="preserve">usuario_id</w:t>
      </w:r>
      <w:r>
        <w:t xml:space="preserve">; hoy se</w:t>
      </w:r>
      <w:r>
        <w:t xml:space="preserve"> </w:t>
      </w:r>
      <w:r>
        <w:t xml:space="preserve">resuelven sin usuario y desde la Sesión 6 quedará registrado quién lo hizo.</w:t>
      </w:r>
    </w:p>
    <w:p>
      <w:pPr>
        <w:pStyle w:val="Compact"/>
        <w:numPr>
          <w:ilvl w:val="0"/>
          <w:numId w:val="1008"/>
        </w:numPr>
      </w:pPr>
      <w:r>
        <w:t xml:space="preserve">RF-19 por Telegram o correo: Sesión 12 (los eventos</w:t>
      </w:r>
      <w:r>
        <w:t xml:space="preserve"> </w:t>
      </w:r>
      <w:r>
        <w:rPr>
          <w:rStyle w:val="VerbatimChar"/>
        </w:rPr>
        <w:t xml:space="preserve">AlertaGenerada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AlertaEscalada</w:t>
      </w:r>
      <w:r>
        <w:t xml:space="preserve"> </w:t>
      </w:r>
      <w:r>
        <w:t xml:space="preserve">ya existen).</w:t>
      </w:r>
    </w:p>
    <w:p>
      <w:pPr>
        <w:pStyle w:val="Compact"/>
        <w:numPr>
          <w:ilvl w:val="0"/>
          <w:numId w:val="1008"/>
        </w:numPr>
      </w:pPr>
      <w:r>
        <w:t xml:space="preserve">RF-39 automática (cotización desde una fuente externa): Sesión 10.</w:t>
      </w:r>
    </w:p>
    <w:bookmarkEnd w:id="25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2026-10-26T15:31:12Z</dcterms:created>
  <dcterms:modified xsi:type="dcterms:W3CDTF">2026-10-26T15:31:12Z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