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163354" cy="539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Users\Usuario\OneDrive\Documentos\Transportes-Hidalgo\src\flota\marca\img\logo-hidal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354" cy="5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Sesión 7 — Tickets (comprobantes) y validación de cargas</w:t>
      </w:r>
    </w:p>
    <w:p>
      <w:pPr>
        <w:pStyle w:val="Subtitle"/>
      </w:pPr>
      <w:r>
        <w:t xml:space="preserve">Transportes Hidalgo · Gestión de Flota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recibir la foto o el PDF de cada ticket, conservarla como respaldo y que</w:t>
      </w:r>
      <w:r>
        <w:t xml:space="preserve"> </w:t>
      </w:r>
      <w:r>
        <w:t xml:space="preserve">Administración valide los datos mirando la imagen. Es la base que la lectura con IA (Sesión 8) y el</w:t>
      </w:r>
      <w:r>
        <w:t xml:space="preserve"> </w:t>
      </w:r>
      <w:r>
        <w:t xml:space="preserve">bot de Telegram (Sesión 9) van a usar.</w:t>
      </w:r>
    </w:p>
    <w:p>
      <w:pPr>
        <w:pStyle w:val="BodyText"/>
      </w:pPr>
      <w:r>
        <w:rPr>
          <w:b/>
          <w:bCs/>
        </w:rPr>
        <w:t xml:space="preserve">Requisitos:</w:t>
      </w:r>
      <w:r>
        <w:t xml:space="preserve"> </w:t>
      </w:r>
      <w:r>
        <w:t xml:space="preserve">RF-02, RF-04, RF-06, RF-07, RF-08 ·</w:t>
      </w:r>
      <w:r>
        <w:t xml:space="preserve"> </w:t>
      </w:r>
      <w:r>
        <w:rPr>
          <w:b/>
          <w:bCs/>
        </w:rPr>
        <w:t xml:space="preserve">Caso de uso:</w:t>
      </w:r>
      <w:r>
        <w:t xml:space="preserve"> </w:t>
      </w:r>
      <w:r>
        <w:t xml:space="preserve">CU-02 ·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MOD-03.</w:t>
      </w:r>
    </w:p>
    <w:bookmarkStart w:id="16" w:name="qué-se-hizo"/>
    <w:p>
      <w:pPr>
        <w:pStyle w:val="Heading1"/>
      </w:pPr>
      <w:r>
        <w:t xml:space="preserve">Qué se hizo</w:t>
      </w:r>
    </w:p>
    <w:bookmarkStart w:id="12" w:name="X9978526cf14dfc973585acfa12dafcc9272da46"/>
    <w:p>
      <w:pPr>
        <w:pStyle w:val="Heading2"/>
      </w:pPr>
      <w:r>
        <w:t xml:space="preserve">Decisión de diseño: el comprobante es una entidad propia</w:t>
      </w:r>
    </w:p>
    <w:p>
      <w:pPr>
        <w:pStyle w:val="FirstParagraph"/>
      </w:pPr>
      <w:r>
        <w:t xml:space="preserve">Un ticket puede llegar incompleto o ilegible. Si se guardara como</w:t>
      </w:r>
      <w:r>
        <w:t xml:space="preserve"> </w:t>
      </w:r>
      <w:r>
        <w:rPr>
          <w:rStyle w:val="VerbatimChar"/>
        </w:rPr>
        <w:t xml:space="preserve">CargaCombustible</w:t>
      </w:r>
      <w:r>
        <w:t xml:space="preserve">, la carga</w:t>
      </w:r>
      <w:r>
        <w:t xml:space="preserve"> </w:t>
      </w:r>
      <w:r>
        <w:t xml:space="preserve">perdería sus garantías (litros, camión y fecha obligatorios) y el cálculo de consumo tendría que</w:t>
      </w:r>
      <w:r>
        <w:t xml:space="preserve"> </w:t>
      </w:r>
      <w:r>
        <w:t xml:space="preserve">manejar cargas a medias. Por eso hay dos entidades: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Comprobante</w:t>
      </w:r>
      <w:r>
        <w:t xml:space="preserve">: la foto o PDF tal como llegó (canal, estado, datos leídos, problemas).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CargaCombustible</w:t>
      </w:r>
      <w:r>
        <w:t xml:space="preserve">: se crea recién cuando los datos están completos y validados, y queda</w:t>
      </w:r>
      <w:r>
        <w:t xml:space="preserve"> </w:t>
      </w:r>
      <w:r>
        <w:t xml:space="preserve">vinculada a su comprobante.</w:t>
      </w:r>
    </w:p>
    <w:p>
      <w:pPr>
        <w:pStyle w:val="FirstParagraph"/>
      </w:pPr>
      <w:r>
        <w:t xml:space="preserve">Se propone llevar este cambio al documento de requisitos v1.2 (punto 15 del análisis de brechas).</w:t>
      </w:r>
    </w:p>
    <w:bookmarkEnd w:id="12"/>
    <w:bookmarkStart w:id="13" w:name="módulo-comprobantes"/>
    <w:p>
      <w:pPr>
        <w:pStyle w:val="Heading2"/>
      </w:pPr>
      <w:r>
        <w:t xml:space="preserve">Módulo</w:t>
      </w:r>
      <w:r>
        <w:t xml:space="preserve"> </w:t>
      </w:r>
      <w:r>
        <w:rPr>
          <w:rStyle w:val="VerbatimChar"/>
        </w:rPr>
        <w:t xml:space="preserve">comprobantes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Recibir</w:t>
      </w:r>
      <w:r>
        <w:t xml:space="preserve"> </w:t>
      </w:r>
      <w:r>
        <w:t xml:space="preserve">(RF-02): Administración sube la foto (o la toma con la cámara del celular) o el PDF.</w:t>
      </w:r>
      <w:r>
        <w:t xml:space="preserve"> </w:t>
      </w:r>
      <w:r>
        <w:t xml:space="preserve">Sólo JPG, PNG, WEBP o PDF de hasta 10 MB.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Guardar el original</w:t>
      </w:r>
      <w:r>
        <w:t xml:space="preserve"> </w:t>
      </w:r>
      <w:r>
        <w:t xml:space="preserve">(RF-07): puerto</w:t>
      </w:r>
      <w:r>
        <w:t xml:space="preserve"> </w:t>
      </w:r>
      <w:r>
        <w:rPr>
          <w:rStyle w:val="VerbatimChar"/>
        </w:rPr>
        <w:t xml:space="preserve">AlmacenArchivos</w:t>
      </w:r>
      <w:r>
        <w:t xml:space="preserve"> </w:t>
      </w:r>
      <w:r>
        <w:t xml:space="preserve">con un adaptador en disco, en</w:t>
      </w:r>
      <w:r>
        <w:t xml:space="preserve"> </w:t>
      </w:r>
      <w:r>
        <w:rPr>
          <w:rStyle w:val="VerbatimChar"/>
        </w:rPr>
        <w:t xml:space="preserve">archivos/comprobantes/&lt;tipo&gt;/&lt;año&gt;/&lt;mes&gt;/</w:t>
      </w:r>
      <w:r>
        <w:t xml:space="preserve">. La carpeta está fuera de git y va en el respaldo.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Pendientes</w:t>
      </w:r>
      <w:r>
        <w:t xml:space="preserve"> </w:t>
      </w:r>
      <w:r>
        <w:t xml:space="preserve">(RF-06): sin lectura automática, todo comprobante queda "pendiente de</w:t>
      </w:r>
      <w:r>
        <w:t xml:space="preserve"> </w:t>
      </w:r>
      <w:r>
        <w:t xml:space="preserve">validación" con el motivo. La página</w:t>
      </w:r>
      <w:r>
        <w:t xml:space="preserve"> </w:t>
      </w:r>
      <w:r>
        <w:rPr>
          <w:b/>
          <w:bCs/>
        </w:rPr>
        <w:t xml:space="preserve">Tickets</w:t>
      </w:r>
      <w:r>
        <w:t xml:space="preserve"> </w:t>
      </w:r>
      <w:r>
        <w:t xml:space="preserve">los lista por orden de llegada.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Validar</w:t>
      </w:r>
      <w:r>
        <w:t xml:space="preserve"> </w:t>
      </w:r>
      <w:r>
        <w:t xml:space="preserve">(CU-02): pantalla con la</w:t>
      </w:r>
      <w:r>
        <w:t xml:space="preserve"> </w:t>
      </w:r>
      <w:r>
        <w:rPr>
          <w:b/>
          <w:bCs/>
        </w:rPr>
        <w:t xml:space="preserve">imagen al lado del formulario</w:t>
      </w:r>
      <w:r>
        <w:t xml:space="preserve">, que se precarga con lo</w:t>
      </w:r>
      <w:r>
        <w:t xml:space="preserve"> </w:t>
      </w:r>
      <w:r>
        <w:t xml:space="preserve">que haya leído la IA. Al confirmar se registra la carga con todas sus reglas (tanque, duplicados,</w:t>
      </w:r>
      <w:r>
        <w:t xml:space="preserve"> </w:t>
      </w:r>
      <w:r>
        <w:t xml:space="preserve">moneda, fecha), en</w:t>
      </w:r>
      <w:r>
        <w:t xml:space="preserve"> </w:t>
      </w:r>
      <w:r>
        <w:rPr>
          <w:b/>
          <w:bCs/>
        </w:rPr>
        <w:t xml:space="preserve">una sola transacción</w:t>
      </w:r>
      <w:r>
        <w:t xml:space="preserve"> </w:t>
      </w:r>
      <w:r>
        <w:t xml:space="preserve">junto con el cambio de estado del comprobante.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Descartar</w:t>
      </w:r>
      <w:r>
        <w:t xml:space="preserve"> </w:t>
      </w:r>
      <w:r>
        <w:t xml:space="preserve">(CU-02 E1): ilegible o ajeno a la empresa, con motivo.</w:t>
      </w:r>
    </w:p>
    <w:p>
      <w:pPr>
        <w:pStyle w:val="Compact"/>
        <w:numPr>
          <w:ilvl w:val="0"/>
          <w:numId w:val="1002"/>
        </w:numPr>
      </w:pPr>
      <w:r>
        <w:t xml:space="preserve">Todo queda en la</w:t>
      </w:r>
      <w:r>
        <w:t xml:space="preserve"> </w:t>
      </w:r>
      <w:r>
        <w:rPr>
          <w:b/>
          <w:bCs/>
        </w:rPr>
        <w:t xml:space="preserve">auditoría</w:t>
      </w:r>
      <w:r>
        <w:t xml:space="preserve">; al validar, el antes y el después muestran qué se corrigió.</w:t>
      </w:r>
    </w:p>
    <w:p>
      <w:pPr>
        <w:pStyle w:val="Compact"/>
        <w:numPr>
          <w:ilvl w:val="0"/>
          <w:numId w:val="1002"/>
        </w:numPr>
      </w:pPr>
      <w:r>
        <w:t xml:space="preserve">Eventos</w:t>
      </w:r>
      <w:r>
        <w:t xml:space="preserve"> </w:t>
      </w:r>
      <w:r>
        <w:rPr>
          <w:rStyle w:val="VerbatimChar"/>
        </w:rPr>
        <w:t xml:space="preserve">ComprobanteRecibido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ComprobantePendiente</w:t>
      </w:r>
      <w:r>
        <w:t xml:space="preserve">: los van a usar la IA y el bot.</w:t>
      </w:r>
    </w:p>
    <w:bookmarkEnd w:id="13"/>
    <w:bookmarkStart w:id="14" w:name="cargas-de-combustible"/>
    <w:p>
      <w:pPr>
        <w:pStyle w:val="Heading2"/>
      </w:pPr>
      <w:r>
        <w:t xml:space="preserve">Cargas de combustible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 de validación:</w:t>
      </w:r>
      <w:r>
        <w:t xml:space="preserve"> </w:t>
      </w:r>
      <w:r>
        <w:rPr>
          <w:i/>
          <w:iCs/>
        </w:rPr>
        <w:t xml:space="preserve">validada</w:t>
      </w:r>
      <w:r>
        <w:t xml:space="preserve"> </w:t>
      </w:r>
      <w:r>
        <w:t xml:space="preserve">(por una persona),</w:t>
      </w:r>
      <w:r>
        <w:t xml:space="preserve"> </w:t>
      </w:r>
      <w:r>
        <w:rPr>
          <w:i/>
          <w:iCs/>
        </w:rPr>
        <w:t xml:space="preserve">validada por IA</w:t>
      </w:r>
      <w:r>
        <w:t xml:space="preserve"> </w:t>
      </w:r>
      <w:r>
        <w:t xml:space="preserve">(Sesión 8) o</w:t>
      </w:r>
      <w:r>
        <w:t xml:space="preserve"> </w:t>
      </w:r>
      <w:r>
        <w:rPr>
          <w:b/>
          <w:bCs/>
        </w:rPr>
        <w:t xml:space="preserve">anulada</w:t>
      </w:r>
      <w:r>
        <w:t xml:space="preserve">. Las anuladas siguen en la base y en la auditoría, pero no cuentan para el consumo.</w:t>
      </w:r>
      <w:r>
        <w:t xml:space="preserve"> </w:t>
      </w:r>
      <w:r>
        <w:t xml:space="preserve">Al anular se recalculan las alertas del viaje (evento</w:t>
      </w:r>
      <w:r>
        <w:t xml:space="preserve"> </w:t>
      </w:r>
      <w:r>
        <w:rPr>
          <w:rStyle w:val="VerbatimChar"/>
        </w:rPr>
        <w:t xml:space="preserve">CargaAnulada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Fecha no futura</w:t>
      </w:r>
      <w:r>
        <w:t xml:space="preserve"> </w:t>
      </w:r>
      <w:r>
        <w:t xml:space="preserve">(RF-04), con una hora de margen para relojes desfasados.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Duplicados</w:t>
      </w:r>
      <w:r>
        <w:t xml:space="preserve"> </w:t>
      </w:r>
      <w:r>
        <w:t xml:space="preserve">(RF-08): además de la referencia y de camión + fecha + litros, ahora también</w:t>
      </w:r>
      <w:r>
        <w:t xml:space="preserve"> </w:t>
      </w:r>
      <w:r>
        <w:t xml:space="preserve">camión + estación + fecha y hora + monto, el criterio del documento.</w:t>
      </w:r>
    </w:p>
    <w:p>
      <w:pPr>
        <w:pStyle w:val="Compact"/>
        <w:numPr>
          <w:ilvl w:val="0"/>
          <w:numId w:val="1003"/>
        </w:numPr>
      </w:pPr>
      <w:r>
        <w:t xml:space="preserve">Orígenes nuevos:</w:t>
      </w:r>
      <w:r>
        <w:t xml:space="preserve"> </w:t>
      </w:r>
      <w:r>
        <w:rPr>
          <w:rStyle w:val="VerbatimChar"/>
        </w:rPr>
        <w:t xml:space="preserve">ticket</w:t>
      </w:r>
      <w:r>
        <w:t xml:space="preserve"> </w:t>
      </w:r>
      <w:r>
        <w:t xml:space="preserve">(foto subida al panel) y</w:t>
      </w:r>
      <w:r>
        <w:t xml:space="preserve"> </w:t>
      </w:r>
      <w:r>
        <w:rPr>
          <w:rStyle w:val="VerbatimChar"/>
        </w:rPr>
        <w:t xml:space="preserve">telegram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 la tabla de cargas, un 🧾 lleva al ticket de la carga y se puede</w:t>
      </w:r>
      <w:r>
        <w:t xml:space="preserve"> </w:t>
      </w:r>
      <w:r>
        <w:rPr>
          <w:b/>
          <w:bCs/>
        </w:rPr>
        <w:t xml:space="preserve">anular</w:t>
      </w:r>
      <w:r>
        <w:t xml:space="preserve"> </w:t>
      </w:r>
      <w:r>
        <w:t xml:space="preserve">con motivo.</w:t>
      </w:r>
    </w:p>
    <w:bookmarkEnd w:id="14"/>
    <w:bookmarkStart w:id="15" w:name="base-de-datos-y-tests"/>
    <w:p>
      <w:pPr>
        <w:pStyle w:val="Heading2"/>
      </w:pPr>
      <w:r>
        <w:t xml:space="preserve">Base de datos y tests</w:t>
      </w:r>
    </w:p>
    <w:p>
      <w:pPr>
        <w:pStyle w:val="Compact"/>
        <w:numPr>
          <w:ilvl w:val="0"/>
          <w:numId w:val="1004"/>
        </w:numPr>
      </w:pPr>
      <w:r>
        <w:t xml:space="preserve">Migración</w:t>
      </w:r>
      <w:r>
        <w:t xml:space="preserve"> </w:t>
      </w:r>
      <w:r>
        <w:rPr>
          <w:rStyle w:val="VerbatimChar"/>
        </w:rPr>
        <w:t xml:space="preserve">e433dbe34ca5</w:t>
      </w:r>
      <w:r>
        <w:t xml:space="preserve">: tabla</w:t>
      </w:r>
      <w:r>
        <w:t xml:space="preserve"> </w:t>
      </w:r>
      <w:r>
        <w:rPr>
          <w:rStyle w:val="VerbatimChar"/>
        </w:rPr>
        <w:t xml:space="preserve">comprobantes</w:t>
      </w:r>
      <w:r>
        <w:t xml:space="preserve"> </w:t>
      </w:r>
      <w:r>
        <w:t xml:space="preserve">y columnas nuevas en</w:t>
      </w:r>
      <w:r>
        <w:t xml:space="preserve"> </w:t>
      </w:r>
      <w:r>
        <w:rPr>
          <w:rStyle w:val="VerbatimChar"/>
        </w:rPr>
        <w:t xml:space="preserve">cargas_combustible</w:t>
      </w:r>
      <w:r>
        <w:t xml:space="preserve">. Las</w:t>
      </w:r>
      <w:r>
        <w:t xml:space="preserve"> </w:t>
      </w:r>
      <w:r>
        <w:t xml:space="preserve">cargas existentes quedan "validada". Probada en PostgreSQL y SQLite.</w:t>
      </w:r>
    </w:p>
    <w:p>
      <w:pPr>
        <w:pStyle w:val="Compact"/>
        <w:numPr>
          <w:ilvl w:val="0"/>
          <w:numId w:val="1004"/>
        </w:numPr>
      </w:pPr>
      <w:r>
        <w:t xml:space="preserve">De 112 a</w:t>
      </w:r>
      <w:r>
        <w:t xml:space="preserve"> </w:t>
      </w:r>
      <w:r>
        <w:rPr>
          <w:b/>
          <w:bCs/>
        </w:rPr>
        <w:t xml:space="preserve">125 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test_comprobantes.py</w:t>
      </w:r>
      <w:r>
        <w:t xml:space="preserve"> </w:t>
      </w:r>
      <w:r>
        <w:t xml:space="preserve">(unitarios y de integración). Los tests guardan</w:t>
      </w:r>
      <w:r>
        <w:t xml:space="preserve"> </w:t>
      </w:r>
      <w:r>
        <w:t xml:space="preserve">los archivos en una carpeta temporal que pytest borra sola (</w:t>
      </w:r>
      <w:r>
        <w:rPr>
          <w:rStyle w:val="VerbatimChar"/>
        </w:rPr>
        <w:t xml:space="preserve">tmp_path</w:t>
      </w:r>
      <w:r>
        <w:t xml:space="preserve">).</w:t>
      </w:r>
    </w:p>
    <w:bookmarkEnd w:id="15"/>
    <w:bookmarkEnd w:id="16"/>
    <w:bookmarkStart w:id="22" w:name="conceptos-nuevos"/>
    <w:p>
      <w:pPr>
        <w:pStyle w:val="Heading1"/>
      </w:pPr>
      <w:r>
        <w:t xml:space="preserve">Conceptos nuevos</w:t>
      </w:r>
    </w:p>
    <w:bookmarkStart w:id="17" w:name="subida-de-archivos-uploadfile-y-async"/>
    <w:p>
      <w:pPr>
        <w:pStyle w:val="Heading2"/>
      </w:pPr>
      <w:r>
        <w:t xml:space="preserve">Subida de archivos (</w:t>
      </w:r>
      <w:r>
        <w:rPr>
          <w:rStyle w:val="VerbatimChar"/>
        </w:rPr>
        <w:t xml:space="preserve">UploadFile</w:t>
      </w:r>
      <w:r>
        <w:t xml:space="preserve">) y</w:t>
      </w:r>
      <w:r>
        <w:t xml:space="preserve"> </w:t>
      </w:r>
      <w:r>
        <w:rPr>
          <w:rStyle w:val="VerbatimChar"/>
        </w:rPr>
        <w:t xml:space="preserve">async</w:t>
      </w:r>
    </w:p>
    <w:p>
      <w:pPr>
        <w:pStyle w:val="FirstParagraph"/>
      </w:pPr>
      <w:r>
        <w:t xml:space="preserve">Un formulario con</w:t>
      </w:r>
      <w:r>
        <w:t xml:space="preserve"> </w:t>
      </w:r>
      <w:r>
        <w:rPr>
          <w:rStyle w:val="VerbatimChar"/>
        </w:rPr>
        <w:t xml:space="preserve">enctype="multipart/form-data"</w:t>
      </w:r>
      <w:r>
        <w:t xml:space="preserve"> </w:t>
      </w:r>
      <w:r>
        <w:t xml:space="preserve">envía archivos; FastAPI los entrega como</w:t>
      </w:r>
      <w:r>
        <w:t xml:space="preserve"> </w:t>
      </w:r>
      <w:r>
        <w:rPr>
          <w:rStyle w:val="VerbatimChar"/>
        </w:rPr>
        <w:t xml:space="preserve">UploadFile</w:t>
      </w:r>
      <w:r>
        <w:t xml:space="preserve">. La ruta es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t xml:space="preserve">y usa</w:t>
      </w:r>
      <w:r>
        <w:t xml:space="preserve"> </w:t>
      </w:r>
      <w:r>
        <w:rPr>
          <w:rStyle w:val="VerbatimChar"/>
        </w:rPr>
        <w:t xml:space="preserve">await archivo.read()</w:t>
      </w:r>
      <w:r>
        <w:t xml:space="preserve">: mientras espera la lectura, el</w:t>
      </w:r>
      <w:r>
        <w:t xml:space="preserve"> </w:t>
      </w:r>
      <w:r>
        <w:t xml:space="preserve">servidor puede atender otros pedidos.</w:t>
      </w:r>
    </w:p>
    <w:bookmarkEnd w:id="17"/>
    <w:bookmarkStart w:id="18" w:name="respuestas-binarias"/>
    <w:p>
      <w:pPr>
        <w:pStyle w:val="Heading2"/>
      </w:pPr>
      <w:r>
        <w:t xml:space="preserve">Respuestas binarias</w:t>
      </w:r>
    </w:p>
    <w:p>
      <w:pPr>
        <w:pStyle w:val="FirstParagraph"/>
      </w:pPr>
      <w:r>
        <w:rPr>
          <w:rStyle w:val="VerbatimChar"/>
        </w:rPr>
        <w:t xml:space="preserve">Response(contenido, media_type="image/png")</w:t>
      </w:r>
      <w:r>
        <w:t xml:space="preserve"> </w:t>
      </w:r>
      <w:r>
        <w:t xml:space="preserve">devuelve la imagen tal cual. El encabezado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 </w:t>
      </w:r>
      <w:r>
        <w:t xml:space="preserve">impide que el navegador la interprete como otra cosa.</w:t>
      </w:r>
    </w:p>
    <w:bookmarkEnd w:id="18"/>
    <w:bookmarkStart w:id="19" w:name="defensa-contra-path-traversal"/>
    <w:p>
      <w:pPr>
        <w:pStyle w:val="Heading2"/>
      </w:pPr>
      <w:r>
        <w:t xml:space="preserve">Defensa contra</w:t>
      </w:r>
      <w:r>
        <w:t xml:space="preserve"> </w:t>
      </w:r>
      <w:r>
        <w:rPr>
          <w:i/>
          <w:iCs/>
        </w:rPr>
        <w:t xml:space="preserve">path traversal</w:t>
      </w:r>
    </w:p>
    <w:p>
      <w:pPr>
        <w:pStyle w:val="FirstParagraph"/>
      </w:pPr>
      <w:r>
        <w:t xml:space="preserve">El sistema elige el nombre del archivo (un UUID) y verifica con</w:t>
      </w:r>
      <w:r>
        <w:t xml:space="preserve"> </w:t>
      </w:r>
      <w:r>
        <w:rPr>
          <w:rStyle w:val="VerbatimChar"/>
        </w:rPr>
        <w:t xml:space="preserve">Path.is_relative_to</w:t>
      </w:r>
      <w:r>
        <w:t xml:space="preserve"> </w:t>
      </w:r>
      <w:r>
        <w:t xml:space="preserve">que la ruta</w:t>
      </w:r>
      <w:r>
        <w:t xml:space="preserve"> </w:t>
      </w:r>
      <w:r>
        <w:t xml:space="preserve">final quede dentro de la carpeta. Un nombre malicioso como</w:t>
      </w:r>
      <w:r>
        <w:t xml:space="preserve"> </w:t>
      </w:r>
      <w:r>
        <w:rPr>
          <w:rStyle w:val="VerbatimChar"/>
        </w:rPr>
        <w:t xml:space="preserve">../../config</w:t>
      </w:r>
      <w:r>
        <w:t xml:space="preserve"> </w:t>
      </w:r>
      <w:r>
        <w:t xml:space="preserve">no puede salir de ella.</w:t>
      </w:r>
    </w:p>
    <w:bookmarkEnd w:id="19"/>
    <w:bookmarkStart w:id="20" w:name="límites-de-transacción"/>
    <w:p>
      <w:pPr>
        <w:pStyle w:val="Heading2"/>
      </w:pPr>
      <w:r>
        <w:t xml:space="preserve">Límites de transacción</w:t>
      </w:r>
    </w:p>
    <w:p>
      <w:pPr>
        <w:pStyle w:val="FirstParagraph"/>
      </w:pPr>
      <w:r>
        <w:rPr>
          <w:rStyle w:val="VerbatimChar"/>
        </w:rPr>
        <w:t xml:space="preserve">registrar_en(uow, datos)</w:t>
      </w:r>
      <w:r>
        <w:t xml:space="preserve"> </w:t>
      </w:r>
      <w:r>
        <w:t xml:space="preserve">contiene las reglas y guarda sin confirmar;</w:t>
      </w:r>
      <w:r>
        <w:t xml:space="preserve"> </w:t>
      </w:r>
      <w:r>
        <w:rPr>
          <w:rStyle w:val="VerbatimChar"/>
        </w:rPr>
        <w:t xml:space="preserve">ejecutar(datos)</w:t>
      </w:r>
      <w:r>
        <w:t xml:space="preserve"> </w:t>
      </w:r>
      <w:r>
        <w:t xml:space="preserve">abre y</w:t>
      </w:r>
      <w:r>
        <w:t xml:space="preserve"> </w:t>
      </w:r>
      <w:r>
        <w:t xml:space="preserve">confirma la transacción. Así otro caso de uso puede combinar varios pasos en una sola transacción.</w:t>
      </w:r>
    </w:p>
    <w:bookmarkEnd w:id="20"/>
    <w:bookmarkStart w:id="21" w:name="X69b9a3d8d2017c4d84d6e3b8e79d8af57ed1393"/>
    <w:p>
      <w:pPr>
        <w:pStyle w:val="Heading2"/>
      </w:pPr>
      <w:r>
        <w:rPr>
          <w:rStyle w:val="VerbatimChar"/>
        </w:rPr>
        <w:t xml:space="preserve">dataclasses.replace</w:t>
      </w:r>
      <w:r>
        <w:t xml:space="preserve"> </w:t>
      </w:r>
      <w:r>
        <w:t xml:space="preserve">para "sacar una foto" del estado</w:t>
      </w:r>
    </w:p>
    <w:p>
      <w:pPr>
        <w:pStyle w:val="FirstParagraph"/>
      </w:pPr>
      <w:r>
        <w:rPr>
          <w:rStyle w:val="VerbatimChar"/>
        </w:rPr>
        <w:t xml:space="preserve">antes = replace(comprobante)</w:t>
      </w:r>
      <w:r>
        <w:t xml:space="preserve"> </w:t>
      </w:r>
      <w:r>
        <w:t xml:space="preserve">crea una copia antes de modificarlo; la auditoría guarda</w:t>
      </w:r>
      <w:r>
        <w:t xml:space="preserve"> </w:t>
      </w:r>
      <w:r>
        <w:rPr>
          <w:rStyle w:val="VerbatimChar"/>
        </w:rPr>
        <w:t xml:space="preserve">antes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después</w:t>
      </w:r>
      <w:r>
        <w:t xml:space="preserve">.</w:t>
      </w:r>
    </w:p>
    <w:bookmarkEnd w:id="21"/>
    <w:bookmarkEnd w:id="22"/>
    <w:bookmarkStart w:id="23" w:name="pendiente"/>
    <w:p>
      <w:pPr>
        <w:pStyle w:val="Heading1"/>
      </w:pPr>
      <w:r>
        <w:t xml:space="preserve">Pendiente</w:t>
      </w:r>
    </w:p>
    <w:p>
      <w:pPr>
        <w:pStyle w:val="Compact"/>
        <w:numPr>
          <w:ilvl w:val="0"/>
          <w:numId w:val="1005"/>
        </w:numPr>
      </w:pPr>
      <w:r>
        <w:t xml:space="preserve">Sesión 8: lectura automática con IA (Claude) al recibir el comprobante. Si los datos son válidos</w:t>
      </w:r>
      <w:r>
        <w:t xml:space="preserve"> </w:t>
      </w:r>
      <w:r>
        <w:t xml:space="preserve">y la confianza es buena, la carga se crea sola como "validada por IA"; si no, queda pendiente con</w:t>
      </w:r>
      <w:r>
        <w:t xml:space="preserve"> </w:t>
      </w:r>
      <w:r>
        <w:t xml:space="preserve">los datos precargados.</w:t>
      </w:r>
    </w:p>
    <w:bookmarkEnd w:id="23"/>
    <w:sectPr>
      <w:footerReference r:id="rIdPieHidalgo" w:type="default"/>
      <w:footnotePr>
        <w:numRestart w:val="eachSect"/>
      </w:footnotePr>
      <w:pgSz w:h="16838" w:w="11906"/>
      <w:pgMar w:bottom="1134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F56A11"/>
      </w:pBdr>
      <w:tabs>
        <w:tab w:val="right" w:pos="9638"/>
      </w:tabs>
      <w:spacing w:after="0"/>
      <w:rPr>
        <w:color w:val="5B5E78"/>
        <w:sz w:val="18"/>
      </w:rPr>
    </w:pPr>
    <w:r>
      <w:rPr>
        <w:color w:val="5B5E78"/>
        <w:sz w:val="18"/>
      </w:rPr>
      <w:t xml:space="preserve">Transportes Hidalgo · Gestión de Flota</w:t>
    </w:r>
    <w:r>
      <w:rPr>
        <w:color w:val="5B5E78"/>
        <w:sz w:val="18"/>
      </w:rPr>
      <w:tab/>
      <w:t xml:space="preserve">Página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PAGE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  <w:r>
      <w:rPr>
        <w:color w:val="5B5E78"/>
        <w:sz w:val="18"/>
      </w:rPr>
      <w:t xml:space="preserve"> de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NUMPAGES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eastAsia="es-AR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color w:val="16172B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Subtitle"/>
    <w:qFormat/>
    <w:pPr>
      <w:spacing w:after="60" w:before="240"/>
    </w:pPr>
    <w:rPr>
      <w:b/>
      <w:color w:val="06057F"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qFormat/>
    <w:pPr>
      <w:pBdr>
        <w:bottom w:color="F56A11" w:space="8" w:sz="18" w:val="single"/>
      </w:pBdr>
      <w:spacing w:after="360"/>
    </w:pPr>
    <w:rPr>
      <w:color w:val="B84A06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F56A11" w:space="4" w:sz="8" w:val="single"/>
      </w:pBdr>
      <w:spacing w:after="160" w:before="480"/>
      <w:outlineLvl w:val="0"/>
    </w:pPr>
    <w:rPr>
      <w:b/>
      <w:color w:val="0706E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20"/>
      <w:outlineLvl w:val="1"/>
    </w:pPr>
    <w:rPr>
      <w:b/>
      <w:color w:val="06057F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b/>
      <w:color w:val="B84A06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qFormat/>
    <w:pPr>
      <w:pBdr>
        <w:left w:color="F56A11" w:space="8" w:sz="24" w:val="single"/>
      </w:pBdr>
      <w:shd w:color="auto" w:fill="FEEBDD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Borders>
        <w:top w:color="DCDDEA" w:space="0" w:sz="4" w:val="single"/>
        <w:left w:color="DCDDEA" w:space="0" w:sz="4" w:val="single"/>
        <w:bottom w:color="DCDDEA" w:space="0" w:sz="4" w:val="single"/>
        <w:right w:color="DCDDEA" w:space="0" w:sz="4" w:val="single"/>
        <w:insideH w:color="DCDDEA" w:space="0" w:sz="4" w:val="single"/>
        <w:insideV w:color="DCDDEA" w:space="0" w:sz="4" w:val="single"/>
      </w:tblBorders>
      <w:tblCellMar>
        <w:top w:type="dxa" w:w="40"/>
        <w:left w:type="dxa" w:w="100"/>
        <w:bottom w:type="dxa" w:w="40"/>
        <w:right w:type="dxa" w:w="100"/>
      </w:tblCellMar>
    </w:tblPr>
    <w:tblStylePr w:type="firstRow">
      <w:rPr>
        <w:b/>
        <w:color w:val="06057F"/>
      </w:rPr>
      <w:tcPr>
        <w:shd w:color="auto" w:fill="E9E9F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Consolas" w:hAnsi="Consolas"/>
      <w:color w:val="06057F"/>
      <w:sz w:val="19"/>
      <w:szCs w:val="19"/>
      <w:shd w:color="auto" w:fill="F4F5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DefaultParagraphFont"/>
    <w:rPr>
      <w:color w:val="0706E5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left w:color="0706E5" w:space="6" w:sz="18" w:val="single"/>
      </w:pBdr>
      <w:shd w:color="auto" w:fill="F4F5FA" w:val="clear"/>
      <w:wordWrap w:val="off"/>
      <w:spacing w:after="160" w:before="120" w:line="240" w:lineRule="auto"/>
      <w:ind w:left="160"/>
    </w:pPr>
    <w:rPr>
      <w:rFonts w:ascii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Hidalgo" Target="footer1.xml" Type="http://schemas.openxmlformats.org/officeDocument/2006/relationships/foot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2026-10-26T19:31:11Z</dcterms:created>
  <dcterms:modified xsi:type="dcterms:W3CDTF">2026-10-26T19:31:11Z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o">
    <vt:lpwstr>C:\Users\Usuario\OneDrive\Documentos\Transportes-Hidalgo\src\flota\marca\img\logo-hidalgo.png</vt:lpwstr>
  </property>
  <property fmtid="{D5CDD505-2E9C-101B-9397-08002B2CF9AE}" pid="3" name="subtitulo">
    <vt:lpwstr>Transportes Hidalgo · Gestión de Flota</vt:lpwstr>
  </property>
</Properties>
</file>