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spacing w:after="160" w:line="276" w:lineRule="auto"/>
        <w:jc w:val="center"/>
      </w:pPr>
      <w:r>
        <w:rPr>
          <w:rFonts w:ascii="Arial" w:hAnsi="Arial" w:cs="Arial"/>
          <w:b w:val="1"/>
          <w:sz w:val="52"/>
          <w:szCs w:val="52"/>
        </w:rPr>
        <w:t>IT-014: Systems Health Monitor Maintenance</w:t>
      </w:r>
    </w:p>
    <w:p>
      <w:pPr>
        <w:spacing w:after="120"/>
      </w:pPr>
    </w:p>
    <w:p>
      <w:pPr>
        <w:spacing w:after="80" w:line="276" w:lineRule="auto"/>
        <w:jc w:val="right"/>
      </w:pPr>
      <w:r>
        <w:rPr>
          <w:rFonts w:ascii="Arial" w:hAnsi="Arial" w:cs="Arial"/>
          <w:b w:val="1"/>
          <w:sz w:val="22"/>
          <w:szCs w:val="22"/>
        </w:rPr>
        <w:t xml:space="preserve">Prepared by: </w:t>
      </w:r>
      <w:r>
        <w:rPr>
          <w:rFonts w:ascii="Arial" w:hAnsi="Arial" w:cs="Arial"/>
          <w:u w:val="single"/>
          <w:sz w:val="22"/>
          <w:szCs w:val="22"/>
        </w:rPr>
        <w:t>Erik Demchuk</w:t>
      </w:r>
    </w:p>
    <w:p>
      <w:pPr>
        <w:spacing w:after="80" w:line="276" w:lineRule="auto"/>
        <w:jc w:val="right"/>
      </w:pPr>
      <w:r>
        <w:rPr>
          <w:rFonts w:ascii="Arial" w:hAnsi="Arial" w:cs="Arial"/>
          <w:b w:val="1"/>
          <w:sz w:val="22"/>
          <w:szCs w:val="22"/>
        </w:rPr>
        <w:t xml:space="preserve">Reviewed by: </w:t>
      </w:r>
      <w:r>
        <w:rPr>
          <w:rFonts w:ascii="Arial" w:hAnsi="Arial" w:cs="Arial"/>
          <w:u w:val="single"/>
          <w:sz w:val="22"/>
          <w:szCs w:val="22"/>
        </w:rPr>
        <w:t>_______________________________</w:t>
      </w:r>
    </w:p>
    <w:p>
      <w:pPr>
        <w:spacing w:after="80" w:line="276" w:lineRule="auto"/>
        <w:jc w:val="right"/>
      </w:pPr>
      <w:r>
        <w:rPr>
          <w:rFonts w:ascii="Arial" w:hAnsi="Arial" w:cs="Arial"/>
          <w:b w:val="1"/>
          <w:sz w:val="22"/>
          <w:szCs w:val="22"/>
        </w:rPr>
        <w:t xml:space="preserve">QA Approval: </w:t>
      </w:r>
      <w:r>
        <w:rPr>
          <w:rFonts w:ascii="Arial" w:hAnsi="Arial" w:cs="Arial"/>
          <w:u w:val="single"/>
          <w:sz w:val="22"/>
          <w:szCs w:val="22"/>
        </w:rPr>
        <w:t>_______________________________</w:t>
      </w:r>
    </w:p>
    <w:p>
      <w:pPr>
        <w:spacing w:after="80" w:line="276" w:lineRule="auto"/>
        <w:jc w:val="right"/>
      </w:pPr>
      <w:r>
        <w:rPr>
          <w:rFonts w:ascii="Arial" w:hAnsi="Arial" w:cs="Arial"/>
          <w:b w:val="1"/>
          <w:sz w:val="22"/>
          <w:szCs w:val="22"/>
        </w:rPr>
        <w:t xml:space="preserve">Effective Date: </w:t>
      </w:r>
      <w:r>
        <w:rPr>
          <w:rFonts w:ascii="Arial" w:hAnsi="Arial" w:cs="Arial"/>
          <w:u w:val="single"/>
          <w:sz w:val="22"/>
          <w:szCs w:val="22"/>
        </w:rPr>
        <w:t>March 17, 2026</w:t>
      </w:r>
    </w:p>
    <w:p>
      <w:pPr>
        <w:spacing w:after="120"/>
      </w:pPr>
    </w:p>
    <w:tbl>
      <w:tblPr>
        <w:tblW w:w="936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c>
          <w:tcPr>
            <w:tcW w:w="1900" w:type="dxa"/>
            <w:tcMar>
              <w:top w:w="100" w:type="dxa"/>
              <w:left w:w="100" w:type="dxa"/>
              <w:bottom w:w="100" w:type="dxa"/>
              <w:right w:w="100" w:type="dxa"/>
            </w:tcMar>
            <w:vAlign w:val="top"/>
          </w:tcPr>
          <w:p>
            <w:pPr>
              <w:spacing w:after="100" w:line="276" w:lineRule="auto"/>
            </w:pPr>
            <w:r>
              <w:rPr>
                <w:rFonts w:ascii="Arial" w:hAnsi="Arial" w:cs="Arial"/>
                <w:sz w:val="22"/>
                <w:szCs w:val="22"/>
              </w:rPr>
              <w:t>Department:</w:t>
            </w:r>
          </w:p>
        </w:tc>
        <w:tc>
          <w:tcPr>
            <w:tcW w:w="7460" w:type="dxa"/>
            <w:tcMar>
              <w:top w:w="100" w:type="dxa"/>
              <w:left w:w="100" w:type="dxa"/>
              <w:bottom w:w="100" w:type="dxa"/>
              <w:right w:w="100" w:type="dxa"/>
            </w:tcMar>
            <w:vAlign w:val="top"/>
          </w:tcPr>
          <w:p>
            <w:pPr>
              <w:spacing w:after="100" w:line="276" w:lineRule="auto"/>
            </w:pPr>
            <w:r>
              <w:rPr>
                <w:rFonts w:ascii="Arial" w:hAnsi="Arial" w:cs="Arial"/>
                <w:sz w:val="22"/>
                <w:szCs w:val="22"/>
              </w:rPr>
              <w:t>Information Technology</w:t>
            </w:r>
          </w:p>
        </w:tc>
      </w:tr>
      <w:tr>
        <w:tc>
          <w:tcPr>
            <w:tcW w:w="1900" w:type="dxa"/>
            <w:tcMar>
              <w:top w:w="100" w:type="dxa"/>
              <w:left w:w="100" w:type="dxa"/>
              <w:bottom w:w="100" w:type="dxa"/>
              <w:right w:w="100" w:type="dxa"/>
            </w:tcMar>
            <w:vAlign w:val="top"/>
          </w:tcPr>
          <w:p>
            <w:pPr>
              <w:spacing w:after="100" w:line="276" w:lineRule="auto"/>
            </w:pPr>
            <w:r>
              <w:rPr>
                <w:rFonts w:ascii="Arial" w:hAnsi="Arial" w:cs="Arial"/>
                <w:sz w:val="22"/>
                <w:szCs w:val="22"/>
              </w:rPr>
              <w:t>SOP ID:</w:t>
            </w:r>
          </w:p>
        </w:tc>
        <w:tc>
          <w:tcPr>
            <w:tcW w:w="7460" w:type="dxa"/>
            <w:tcMar>
              <w:top w:w="100" w:type="dxa"/>
              <w:left w:w="100" w:type="dxa"/>
              <w:bottom w:w="100" w:type="dxa"/>
              <w:right w:w="100" w:type="dxa"/>
            </w:tcMar>
            <w:vAlign w:val="top"/>
          </w:tcPr>
          <w:p>
            <w:pPr>
              <w:spacing w:after="100" w:line="276" w:lineRule="auto"/>
            </w:pPr>
            <w:r>
              <w:rPr>
                <w:rFonts w:ascii="Arial" w:hAnsi="Arial" w:cs="Arial"/>
                <w:sz w:val="22"/>
                <w:szCs w:val="22"/>
              </w:rPr>
              <w:t>IT-014</w:t>
            </w:r>
          </w:p>
        </w:tc>
      </w:tr>
      <w:tr>
        <w:tc>
          <w:tcPr>
            <w:tcW w:w="1900" w:type="dxa"/>
            <w:tcMar>
              <w:top w:w="100" w:type="dxa"/>
              <w:left w:w="100" w:type="dxa"/>
              <w:bottom w:w="100" w:type="dxa"/>
              <w:right w:w="100" w:type="dxa"/>
            </w:tcMar>
            <w:vAlign w:val="top"/>
          </w:tcPr>
          <w:p>
            <w:pPr>
              <w:spacing w:after="100" w:line="276" w:lineRule="auto"/>
            </w:pPr>
            <w:r>
              <w:rPr>
                <w:rFonts w:ascii="Arial" w:hAnsi="Arial" w:cs="Arial"/>
                <w:sz w:val="22"/>
                <w:szCs w:val="22"/>
              </w:rPr>
              <w:t>Version:</w:t>
            </w:r>
          </w:p>
        </w:tc>
        <w:tc>
          <w:tcPr>
            <w:tcW w:w="7460" w:type="dxa"/>
            <w:tcMar>
              <w:top w:w="100" w:type="dxa"/>
              <w:left w:w="100" w:type="dxa"/>
              <w:bottom w:w="100" w:type="dxa"/>
              <w:right w:w="100" w:type="dxa"/>
            </w:tcMar>
            <w:vAlign w:val="top"/>
          </w:tcPr>
          <w:p>
            <w:pPr>
              <w:spacing w:after="100" w:line="276" w:lineRule="auto"/>
            </w:pPr>
            <w:r>
              <w:rPr>
                <w:rFonts w:ascii="Arial" w:hAnsi="Arial" w:cs="Arial"/>
                <w:sz w:val="22"/>
                <w:szCs w:val="22"/>
              </w:rPr>
              <w:t>1.8</w:t>
            </w:r>
          </w:p>
        </w:tc>
      </w:tr>
      <w:tr>
        <w:tc>
          <w:tcPr>
            <w:tcW w:w="1900" w:type="dxa"/>
            <w:tcMar>
              <w:top w:w="100" w:type="dxa"/>
              <w:left w:w="100" w:type="dxa"/>
              <w:bottom w:w="100" w:type="dxa"/>
              <w:right w:w="100" w:type="dxa"/>
            </w:tcMar>
            <w:vAlign w:val="top"/>
          </w:tcPr>
          <w:p>
            <w:pPr>
              <w:spacing w:after="100" w:line="276" w:lineRule="auto"/>
            </w:pPr>
            <w:r>
              <w:rPr>
                <w:rFonts w:ascii="Arial" w:hAnsi="Arial" w:cs="Arial"/>
                <w:sz w:val="22"/>
                <w:szCs w:val="22"/>
              </w:rPr>
              <w:t>Resources:</w:t>
            </w:r>
          </w:p>
        </w:tc>
        <w:tc>
          <w:tcPr>
            <w:tcW w:w="7460" w:type="dxa"/>
            <w:tcMar>
              <w:top w:w="100" w:type="dxa"/>
              <w:left w:w="100" w:type="dxa"/>
              <w:bottom w:w="100" w:type="dxa"/>
              <w:right w:w="100" w:type="dxa"/>
            </w:tcMar>
            <w:vAlign w:val="top"/>
          </w:tcPr>
          <w:p>
            <w:pPr>
              <w:spacing w:after="100" w:line="276" w:lineRule="auto"/>
            </w:pPr>
            <w:hyperlink r:id="rId29" w:history="1">
              <w:r>
                <w:rPr>
                  <w:rFonts w:ascii="Arial" w:hAnsi="Arial" w:cs="Arial"/>
                  <w:u w:val="single"/>
                  <w:color w:val="1155CC"/>
                  <w:sz w:val="22"/>
                  <w:szCs w:val="22"/>
                </w:rPr>
                <w:t>Systems Health Monitor spreadsheet</w:t>
              </w:r>
            </w:hyperlink>
          </w:p>
          <w:p>
            <w:pPr>
              <w:spacing w:after="100" w:line="276" w:lineRule="auto"/>
            </w:pPr>
            <w:hyperlink r:id="rId30" w:history="1">
              <w:r>
                <w:rPr>
                  <w:rFonts w:ascii="Arial" w:hAnsi="Arial" w:cs="Arial"/>
                  <w:u w:val="single"/>
                  <w:color w:val="1155CC"/>
                  <w:sz w:val="22"/>
                  <w:szCs w:val="22"/>
                </w:rPr>
                <w:t>Systems Health Monitor Apps Script</w:t>
              </w:r>
            </w:hyperlink>
          </w:p>
        </w:tc>
      </w:tr>
      <w:tr>
        <w:tc>
          <w:tcPr>
            <w:tcW w:w="1900" w:type="dxa"/>
            <w:tcMar>
              <w:top w:w="100" w:type="dxa"/>
              <w:left w:w="100" w:type="dxa"/>
              <w:bottom w:w="100" w:type="dxa"/>
              <w:right w:w="100" w:type="dxa"/>
            </w:tcMar>
            <w:vAlign w:val="top"/>
          </w:tcPr>
          <w:p>
            <w:pPr>
              <w:spacing w:after="100" w:line="276" w:lineRule="auto"/>
            </w:pPr>
            <w:r>
              <w:rPr>
                <w:rFonts w:ascii="Arial" w:hAnsi="Arial" w:cs="Arial"/>
                <w:sz w:val="22"/>
                <w:szCs w:val="22"/>
              </w:rPr>
              <w:t>Quick Guide:</w:t>
            </w:r>
          </w:p>
        </w:tc>
        <w:tc>
          <w:tcPr>
            <w:tcW w:w="7460" w:type="dxa"/>
            <w:tcMar>
              <w:top w:w="100" w:type="dxa"/>
              <w:left w:w="100" w:type="dxa"/>
              <w:bottom w:w="100" w:type="dxa"/>
              <w:right w:w="100" w:type="dxa"/>
            </w:tcMar>
            <w:vAlign w:val="top"/>
          </w:tcPr>
          <w:p>
            <w:pPr>
              <w:spacing w:after="100" w:line="276" w:lineRule="auto"/>
            </w:pPr>
            <w:r>
              <w:rPr>
                <w:rFonts w:ascii="Arial" w:hAnsi="Arial" w:cs="Arial"/>
                <w:sz w:val="22"/>
                <w:szCs w:val="22"/>
              </w:rPr>
              <w:t>- System Registry is the source of truth — open it first.</w:t>
            </w:r>
          </w:p>
          <w:p>
            <w:pPr>
              <w:spacing w:after="100" w:line="276" w:lineRule="auto"/>
            </w:pPr>
            <w:r>
              <w:rPr>
                <w:rFonts w:ascii="Arial" w:hAnsi="Arial" w:cs="Arial"/>
                <w:sz w:val="22"/>
                <w:szCs w:val="22"/>
              </w:rPr>
              <w:t>- Heartbeat Log and Error Log show what ran and what failed.</w:t>
            </w:r>
          </w:p>
          <w:p>
            <w:pPr>
              <w:spacing w:after="100" w:line="276" w:lineRule="auto"/>
            </w:pPr>
            <w:r>
              <w:rPr>
                <w:rFonts w:ascii="Arial" w:hAnsi="Arial" w:cs="Arial"/>
                <w:sz w:val="22"/>
                <w:szCs w:val="22"/>
              </w:rPr>
              <w:t>- When a system is Down, work it through Incident Reports or Error Log.</w:t>
            </w:r>
          </w:p>
          <w:p>
            <w:pPr>
              <w:spacing w:after="100" w:line="276" w:lineRule="auto"/>
            </w:pPr>
            <w:r>
              <w:rPr>
                <w:rFonts w:ascii="Arial" w:hAnsi="Arial" w:cs="Arial"/>
                <w:sz w:val="22"/>
                <w:szCs w:val="22"/>
              </w:rPr>
              <w:t>- Use the Health Monitor menu for manual checks and maintenance.</w:t>
            </w:r>
          </w:p>
        </w:tc>
      </w:tr>
    </w:tbl>
    <w:p>
      <w:pPr>
        <w:spacing w:after="120"/>
      </w:pPr>
    </w:p>
    <w:p>
      <w:pPr>
        <w:spacing w:after="120" w:line="276" w:lineRule="auto"/>
      </w:pPr>
      <w:r>
        <w:rPr>
          <w:rFonts w:ascii="Arial" w:hAnsi="Arial" w:cs="Arial"/>
          <w:b w:val="1"/>
          <w:color w:val="434343"/>
          <w:sz w:val="28"/>
          <w:szCs w:val="28"/>
        </w:rPr>
        <w:t>1. Purpose</w:t>
      </w:r>
    </w:p>
    <w:p>
      <w:pPr>
        <w:spacing w:after="100" w:line="276" w:lineRule="auto"/>
      </w:pPr>
      <w:r>
        <w:rPr>
          <w:rFonts w:ascii="Arial" w:hAnsi="Arial" w:cs="Arial"/>
          <w:sz w:val="22"/>
          <w:szCs w:val="22"/>
        </w:rPr>
        <w:t>To explain what the Systems Health Monitor is, how it works, and how IT should use it to monitor automations, scripts, bots, and dashboards. Written for someone who has never opened the workbook before.</w:t>
      </w:r>
    </w:p>
    <w:p>
      <w:pPr>
        <w:spacing w:after="120"/>
      </w:pPr>
    </w:p>
    <w:p>
      <w:pPr>
        <w:spacing w:after="120" w:line="276" w:lineRule="auto"/>
      </w:pPr>
      <w:r>
        <w:rPr>
          <w:rFonts w:ascii="Arial" w:hAnsi="Arial" w:cs="Arial"/>
          <w:b w:val="1"/>
          <w:color w:val="434343"/>
          <w:sz w:val="28"/>
          <w:szCs w:val="28"/>
        </w:rPr>
        <w:t>2. Scope</w:t>
      </w:r>
    </w:p>
    <w:p>
      <w:pPr>
        <w:spacing w:after="100" w:line="276" w:lineRule="auto"/>
      </w:pPr>
      <w:r>
        <w:rPr>
          <w:rFonts w:ascii="Arial" w:hAnsi="Arial" w:cs="Arial"/>
          <w:sz w:val="22"/>
          <w:szCs w:val="22"/>
        </w:rPr>
        <w:t>Applies to IT personnel and system owners who work in the Systems Health Monitor workbook or its bound Apps Script. Covers daily monitoring, incident response, credential management, and registry maintenance.</w:t>
      </w:r>
    </w:p>
    <w:p>
      <w:pPr>
        <w:spacing w:after="120"/>
      </w:pPr>
    </w:p>
    <w:p>
      <w:pPr>
        <w:spacing w:after="120" w:line="276" w:lineRule="auto"/>
      </w:pPr>
      <w:r>
        <w:rPr>
          <w:rFonts w:ascii="Arial" w:hAnsi="Arial" w:cs="Arial"/>
          <w:b w:val="1"/>
          <w:color w:val="434343"/>
          <w:sz w:val="28"/>
          <w:szCs w:val="28"/>
        </w:rPr>
        <w:t>3. Responsibilities</w:t>
      </w:r>
    </w:p>
    <w:tbl>
      <w:tblPr>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7160"/>
      </w:tblGrid>
      <w:tr>
        <w:tc>
          <w:tcPr>
            <w:tcW w:w="220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Role</w:t>
            </w:r>
          </w:p>
        </w:tc>
        <w:tc>
          <w:tcPr>
            <w:tcW w:w="716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Responsibility</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IT Administrator</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Reviews daily alerts, investigates failures, maintains System Registry rows, and keeps credential records current.</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System Owner</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Confirms the business purpose, maintenance guide, credential details, and expected run frequency for assigned systems.</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IT Manager</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Reviews escalations for GMP-critical systems that are degraded or down, and approves configuration changes.</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QA Manager</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Approves SOP revisions and confirms the monitoring approach meets GMP expectations.</w:t>
            </w:r>
          </w:p>
        </w:tc>
      </w:tr>
    </w:tbl>
    <w:p>
      <w:pPr>
        <w:spacing w:after="120"/>
      </w:pPr>
    </w:p>
    <w:p>
      <w:pPr>
        <w:spacing w:after="120" w:line="276" w:lineRule="auto"/>
      </w:pPr>
      <w:r>
        <w:rPr>
          <w:rFonts w:ascii="Arial" w:hAnsi="Arial" w:cs="Arial"/>
          <w:b w:val="1"/>
          <w:color w:val="434343"/>
          <w:sz w:val="28"/>
          <w:szCs w:val="28"/>
        </w:rPr>
        <w:t>4. Definitions</w:t>
      </w:r>
    </w:p>
    <w:tbl>
      <w:tblPr>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7160"/>
      </w:tblGrid>
      <w:tr>
        <w:tc>
          <w:tcPr>
            <w:tcW w:w="220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Term</w:t>
            </w:r>
          </w:p>
        </w:tc>
        <w:tc>
          <w:tcPr>
            <w:tcW w:w="716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Definition</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Systems Health Monitor</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Google Sheets workbook and its bound Apps Script. Tracks monitored systems, receives heartbeats and errors, and posts Slack alerts.</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System Registry</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Primary tab. One row per monitored system, with owner, maintenance guide, credential details, monitoring method, and current status.</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Heartbeat</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Success signal a connected system sends to confirm it ran. Marks the registry row Healthy and logs the event.</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Health Check</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Automated daily scan (8:30 AM) that checks for stale heartbeats, expiring credentials, and other warning conditions.</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/it-alert</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Slack slash command that opens a form so any team member can manually report a system failure.</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GMP Critical</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Flag showing the system supports GMP-relevant work and needs tighter control, review, and documentation.</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Status</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Current operating state: Healthy, Degraded, Down, or Unknown.</w:t>
            </w:r>
          </w:p>
        </w:tc>
      </w:tr>
      <w:tr>
        <w:tc>
          <w:tcPr>
            <w:tcW w:w="2200" w:type="dxa"/>
            <w:tcMar>
              <w:top w:w="100" w:type="dxa"/>
              <w:left w:w="100" w:type="dxa"/>
              <w:bottom w:w="100" w:type="dxa"/>
              <w:right w:w="100" w:type="dxa"/>
            </w:tcMar>
            <w:vAlign w:val="top"/>
          </w:tcPr>
          <w:p>
            <w:pPr>
              <w:spacing w:after="100" w:line="276" w:lineRule="auto"/>
            </w:pPr>
            <w:r>
              <w:rPr>
                <w:rFonts w:ascii="Arial" w:hAnsi="Arial" w:cs="Arial"/>
                <w:sz w:val="22"/>
                <w:szCs w:val="22"/>
              </w:rPr>
              <w:t>Maintenance Guide</w:t>
            </w:r>
          </w:p>
        </w:tc>
        <w:tc>
          <w:tcPr>
            <w:tcW w:w="7160" w:type="dxa"/>
            <w:tcMar>
              <w:top w:w="100" w:type="dxa"/>
              <w:left w:w="100" w:type="dxa"/>
              <w:bottom w:w="100" w:type="dxa"/>
              <w:right w:w="100" w:type="dxa"/>
            </w:tcMar>
            <w:vAlign w:val="top"/>
          </w:tcPr>
          <w:p>
            <w:pPr>
              <w:spacing w:after="100" w:line="276" w:lineRule="auto"/>
            </w:pPr>
            <w:r>
              <w:rPr>
                <w:rFonts w:ascii="Arial" w:hAnsi="Arial" w:cs="Arial"/>
                <w:sz w:val="22"/>
                <w:szCs w:val="22"/>
              </w:rPr>
              <w:t>SOP or drive folder linked to each system row — the first place to go when that system needs maintenance.</w:t>
            </w:r>
          </w:p>
        </w:tc>
      </w:tr>
    </w:tbl>
    <w:p>
      <w:pPr>
        <w:spacing w:after="120"/>
      </w:pPr>
    </w:p>
    <w:p>
      <w:pPr>
        <w:spacing w:after="120" w:line="276" w:lineRule="auto"/>
      </w:pPr>
      <w:r>
        <w:rPr>
          <w:rFonts w:ascii="Arial" w:hAnsi="Arial" w:cs="Arial"/>
          <w:b w:val="1"/>
          <w:color w:val="434343"/>
          <w:sz w:val="28"/>
          <w:szCs w:val="28"/>
        </w:rPr>
        <w:t>5. Procedure</w:t>
      </w:r>
    </w:p>
    <w:p>
      <w:pPr>
        <w:spacing w:after="80" w:line="276" w:lineRule="auto"/>
      </w:pPr>
      <w:r>
        <w:rPr>
          <w:rFonts w:ascii="Arial" w:hAnsi="Arial" w:cs="Arial"/>
          <w:b w:val="1"/>
          <w:sz w:val="22"/>
          <w:szCs w:val="22"/>
        </w:rPr>
        <w:t>5.1  Start Here</w:t>
      </w:r>
    </w:p>
    <w:p>
      <w:pPr>
        <w:spacing w:after="100" w:line="276" w:lineRule="auto"/>
      </w:pPr>
      <w:r>
        <w:rPr>
          <w:rFonts w:ascii="Arial" w:hAnsi="Arial" w:cs="Arial"/>
          <w:sz w:val="22"/>
          <w:szCs w:val="22"/>
        </w:rPr>
        <w:t>Open the workbook and orient yourself with four things:</w:t>
      </w:r>
    </w:p>
    <w:p>
      <w:pPr>
        <w:spacing w:after="100" w:line="276" w:lineRule="auto"/>
      </w:pPr>
      <w:r>
        <w:rPr>
          <w:rFonts w:ascii="Arial" w:hAnsi="Arial" w:cs="Arial"/>
          <w:sz w:val="22"/>
          <w:szCs w:val="22"/>
        </w:rPr>
        <w:t>- System Registry — source of truth for every monitored system, its owner, and its health status.</w:t>
      </w:r>
    </w:p>
    <w:p>
      <w:pPr>
        <w:spacing w:after="100" w:line="276" w:lineRule="auto"/>
      </w:pPr>
      <w:r>
        <w:rPr>
          <w:rFonts w:ascii="Arial" w:hAnsi="Arial" w:cs="Arial"/>
          <w:sz w:val="22"/>
          <w:szCs w:val="22"/>
        </w:rPr>
        <w:t>- Heartbeat Log — evidence of what ran. Error Log — evidence of what failed.</w:t>
      </w:r>
    </w:p>
    <w:p>
      <w:pPr>
        <w:spacing w:after="100" w:line="276" w:lineRule="auto"/>
      </w:pPr>
      <w:r>
        <w:rPr>
          <w:rFonts w:ascii="Arial" w:hAnsi="Arial" w:cs="Arial"/>
          <w:sz w:val="22"/>
          <w:szCs w:val="22"/>
        </w:rPr>
        <w:t>- Incident Reports — manually reported issues that need follow-up.</w:t>
      </w:r>
    </w:p>
    <w:p>
      <w:pPr>
        <w:spacing w:after="100" w:line="276" w:lineRule="auto"/>
      </w:pPr>
      <w:r>
        <w:rPr>
          <w:rFonts w:ascii="Arial" w:hAnsi="Arial" w:cs="Arial"/>
          <w:sz w:val="22"/>
          <w:szCs w:val="22"/>
        </w:rPr>
        <w:t>- Health Monitor menu (top of the screen) — all manual checks and maintenance are run from here.</w:t>
      </w:r>
    </w:p>
    <w:p>
      <w:pPr>
        <w:spacing w:after="120"/>
      </w:pPr>
    </w:p>
    <w:p>
      <w:pPr>
        <w:spacing w:after="80" w:line="276" w:lineRule="auto"/>
      </w:pPr>
      <w:r>
        <w:rPr>
          <w:rFonts w:ascii="Arial" w:hAnsi="Arial" w:cs="Arial"/>
          <w:b w:val="1"/>
          <w:sz w:val="22"/>
          <w:szCs w:val="22"/>
        </w:rPr>
        <w:t>5.2  How the Workbook Is Organised</w:t>
      </w:r>
    </w:p>
    <w:p>
      <w:pPr>
        <w:spacing w:after="100" w:line="276" w:lineRule="auto"/>
      </w:pPr>
      <w:r>
        <w:rPr>
          <w:rFonts w:ascii="Arial" w:hAnsi="Arial" w:cs="Arial"/>
          <w:sz w:val="22"/>
          <w:szCs w:val="22"/>
        </w:rPr>
        <w:t>Each monitored automation, script, bot, or dashboard has one row in System Registry. Rows are grouped by Type with a colored separator bar: FLOW (blue), SCRIPT (green), BOT (purple), DASHBOARD (dark green).</w:t>
      </w:r>
    </w:p>
    <w:p>
      <w:pPr>
        <w:spacing w:after="100" w:line="276" w:lineRule="auto"/>
      </w:pPr>
      <w:r>
        <w:rPr>
          <w:rFonts w:ascii="Arial" w:hAnsi="Arial" w:cs="Arial"/>
          <w:sz w:val="22"/>
          <w:szCs w:val="22"/>
        </w:rPr>
        <w:t>The key columns to check at a glance: System Name, Owner, GMP Critical, Maintenance Guide, Expiry Date / Days Left, Status, and Last Heartbeat. Full column descriptions are in Attachment A.</w:t>
      </w:r>
    </w:p>
    <w:p>
      <w:pPr>
        <w:spacing w:after="120"/>
      </w:pPr>
    </w:p>
    <w:p>
      <w:pPr>
        <w:spacing w:after="100" w:line="276" w:lineRule="auto"/>
        <w:jc w:val="center"/>
      </w:pPr>
      <w:r>
        <w:rPr>
          <w:rFonts w:ascii="Arial" w:hAnsi="Arial" w:cs="Arial"/>
          <w:i w:val="1"/>
          <w:color w:val="434343"/>
          <w:sz w:val="20"/>
          <w:szCs w:val="20"/>
        </w:rPr>
        <w:t>[Figure IT-014-01 — System Registry overview — screenshot placeholder]</w:t>
      </w:r>
    </w:p>
    <w:p>
      <w:pPr>
        <w:spacing w:after="120"/>
      </w:pPr>
    </w:p>
    <w:p>
      <w:pPr>
        <w:spacing w:after="80" w:line="276" w:lineRule="auto"/>
      </w:pPr>
      <w:r>
        <w:rPr>
          <w:rFonts w:ascii="Arial" w:hAnsi="Arial" w:cs="Arial"/>
          <w:b w:val="1"/>
          <w:sz w:val="22"/>
          <w:szCs w:val="22"/>
        </w:rPr>
        <w:t>5.3  Health Monitor Menu</w:t>
      </w:r>
    </w:p>
    <w:p>
      <w:pPr>
        <w:spacing w:after="100" w:line="276" w:lineRule="auto"/>
      </w:pPr>
      <w:r>
        <w:rPr>
          <w:rFonts w:ascii="Arial" w:hAnsi="Arial" w:cs="Arial"/>
          <w:sz w:val="22"/>
          <w:szCs w:val="22"/>
        </w:rPr>
        <w:t>Use the Health Monitor menu for all manual operations.</w:t>
      </w:r>
    </w:p>
    <w:tbl>
      <w:tblPr>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660"/>
      </w:tblGrid>
      <w:tr>
        <w:tc>
          <w:tcPr>
            <w:tcW w:w="270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Menu Action</w:t>
            </w:r>
          </w:p>
        </w:tc>
        <w:tc>
          <w:tcPr>
            <w:tcW w:w="666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When to use it</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Run Full Health Check</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Run all checks now — use after changes or when you want a fresh status view.</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Test Slack Connection</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Confirm the Slack webhook is valid and messages can reach #it-support.</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Check Missing Heartbeats</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Find systems that have stopped checking in within their expected threshold.</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Check Expiring Credentials</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Review systems with credentials approaching or past expiry.</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Send Test Error Alert</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Verify the failure-alert path to Slack is still working.</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Format Registry Sheet</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Restore column widths, color coding, and dropdowns after structural edits.</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Cleanup Heartbeat Log</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Manually clear Heartbeat Log rows when needed.</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Setup Triggers</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Install the 8:30 AM check, 7:00 PM cleanup, and 5-min Slack keepalive.</w:t>
            </w:r>
          </w:p>
        </w:tc>
      </w:tr>
      <w:tr>
        <w:tc>
          <w:tcPr>
            <w:tcW w:w="2700" w:type="dxa"/>
            <w:tcMar>
              <w:top w:w="100" w:type="dxa"/>
              <w:left w:w="100" w:type="dxa"/>
              <w:bottom w:w="100" w:type="dxa"/>
              <w:right w:w="100" w:type="dxa"/>
            </w:tcMar>
            <w:vAlign w:val="top"/>
          </w:tcPr>
          <w:p>
            <w:pPr>
              <w:spacing w:after="100" w:line="276" w:lineRule="auto"/>
            </w:pPr>
            <w:r>
              <w:rPr>
                <w:rFonts w:ascii="Arial" w:hAnsi="Arial" w:cs="Arial"/>
                <w:sz w:val="22"/>
                <w:szCs w:val="22"/>
              </w:rPr>
              <w:t>Remove All Triggers</w:t>
            </w:r>
          </w:p>
        </w:tc>
        <w:tc>
          <w:tcPr>
            <w:tcW w:w="6660" w:type="dxa"/>
            <w:tcMar>
              <w:top w:w="100" w:type="dxa"/>
              <w:left w:w="100" w:type="dxa"/>
              <w:bottom w:w="100" w:type="dxa"/>
              <w:right w:w="100" w:type="dxa"/>
            </w:tcMar>
            <w:vAlign w:val="top"/>
          </w:tcPr>
          <w:p>
            <w:pPr>
              <w:spacing w:after="100" w:line="276" w:lineRule="auto"/>
            </w:pPr>
            <w:r>
              <w:rPr>
                <w:rFonts w:ascii="Arial" w:hAnsi="Arial" w:cs="Arial"/>
                <w:sz w:val="22"/>
                <w:szCs w:val="22"/>
              </w:rPr>
              <w:t>Clear all triggers before rebuilding or troubleshooting the schedule.</w:t>
            </w:r>
          </w:p>
        </w:tc>
      </w:tr>
    </w:tbl>
    <w:p>
      <w:pPr>
        <w:spacing w:after="120"/>
      </w:pPr>
    </w:p>
    <w:p>
      <w:pPr>
        <w:spacing w:after="100" w:line="276" w:lineRule="auto"/>
        <w:jc w:val="center"/>
      </w:pPr>
      <w:r>
        <w:rPr>
          <w:rFonts w:ascii="Arial" w:hAnsi="Arial" w:cs="Arial"/>
          <w:i w:val="1"/>
          <w:color w:val="434343"/>
          <w:sz w:val="20"/>
          <w:szCs w:val="20"/>
        </w:rPr>
        <w:t>[Figure IT-014-02 — Health Monitor menu — screenshot placeholder]</w:t>
      </w:r>
    </w:p>
    <w:p>
      <w:pPr>
        <w:spacing w:after="120"/>
      </w:pPr>
    </w:p>
    <w:p>
      <w:pPr>
        <w:spacing w:after="80" w:line="276" w:lineRule="auto"/>
      </w:pPr>
      <w:r>
        <w:rPr>
          <w:rFonts w:ascii="Arial" w:hAnsi="Arial" w:cs="Arial"/>
          <w:b w:val="1"/>
          <w:sz w:val="22"/>
          <w:szCs w:val="22"/>
        </w:rPr>
        <w:t>5.4  Daily Monitoring Loop</w:t>
      </w:r>
    </w:p>
    <w:p>
      <w:pPr>
        <w:spacing w:after="100" w:line="276" w:lineRule="auto"/>
      </w:pPr>
      <w:r>
        <w:rPr>
          <w:rFonts w:ascii="Arial" w:hAnsi="Arial" w:cs="Arial"/>
          <w:sz w:val="22"/>
          <w:szCs w:val="22"/>
        </w:rPr>
        <w:t>The loop runs automatically. You act when something is flagged.</w:t>
      </w:r>
    </w:p>
    <w:p>
      <w:pPr>
        <w:spacing w:after="100" w:line="276" w:lineRule="auto"/>
      </w:pPr>
      <w:r>
        <w:rPr>
          <w:rFonts w:ascii="Arial" w:hAnsi="Arial" w:cs="Arial"/>
          <w:sz w:val="22"/>
          <w:szCs w:val="22"/>
        </w:rPr>
        <w:t>- 8:30 AM — health check scans the registry, updates status fields, and posts a summary to #it-support on Slack.</w:t>
      </w:r>
    </w:p>
    <w:p>
      <w:pPr>
        <w:spacing w:after="100" w:line="276" w:lineRule="auto"/>
      </w:pPr>
      <w:r>
        <w:rPr>
          <w:rFonts w:ascii="Arial" w:hAnsi="Arial" w:cs="Arial"/>
          <w:sz w:val="22"/>
          <w:szCs w:val="22"/>
        </w:rPr>
        <w:t>- All Systems Healthy means no action is needed. Any warning or failure lists the affected system and owner.</w:t>
      </w:r>
    </w:p>
    <w:p>
      <w:pPr>
        <w:spacing w:after="100" w:line="276" w:lineRule="auto"/>
      </w:pPr>
      <w:r>
        <w:rPr>
          <w:rFonts w:ascii="Arial" w:hAnsi="Arial" w:cs="Arial"/>
          <w:sz w:val="22"/>
          <w:szCs w:val="22"/>
        </w:rPr>
        <w:t>- 7:00 PM — cleanup trigger removes old Heartbeat Log rows to keep the workbook responsive.</w:t>
      </w:r>
    </w:p>
    <w:p>
      <w:pPr>
        <w:spacing w:after="100" w:line="276" w:lineRule="auto"/>
      </w:pPr>
      <w:r>
        <w:rPr>
          <w:rFonts w:ascii="Arial" w:hAnsi="Arial" w:cs="Arial"/>
          <w:sz w:val="22"/>
          <w:szCs w:val="22"/>
        </w:rPr>
        <w:t>- Every 5 minutes — a keepalive trigger keeps the Apps Script warm so /it-alert responds quickly.</w:t>
      </w:r>
    </w:p>
    <w:p>
      <w:pPr>
        <w:spacing w:after="120"/>
      </w:pPr>
    </w:p>
    <w:p>
      <w:pPr>
        <w:spacing w:after="80" w:line="276" w:lineRule="auto"/>
      </w:pPr>
      <w:r>
        <w:rPr>
          <w:rFonts w:ascii="Arial" w:hAnsi="Arial" w:cs="Arial"/>
          <w:b w:val="1"/>
          <w:sz w:val="22"/>
          <w:szCs w:val="22"/>
        </w:rPr>
        <w:t>5.5  Heartbeats, Errors, and Slack Alerts</w:t>
      </w:r>
    </w:p>
    <w:p>
      <w:pPr>
        <w:spacing w:after="100" w:line="276" w:lineRule="auto"/>
      </w:pPr>
      <w:r>
        <w:rPr>
          <w:rFonts w:ascii="Arial" w:hAnsi="Arial" w:cs="Arial"/>
          <w:sz w:val="22"/>
          <w:szCs w:val="22"/>
        </w:rPr>
        <w:t>Heartbeats and errors both arrive through the Apps Script web app endpoint.</w:t>
      </w:r>
    </w:p>
    <w:p>
      <w:pPr>
        <w:spacing w:after="100" w:line="276" w:lineRule="auto"/>
      </w:pPr>
      <w:r>
        <w:rPr>
          <w:rFonts w:ascii="Arial" w:hAnsi="Arial" w:cs="Arial"/>
          <w:sz w:val="22"/>
          <w:szCs w:val="22"/>
        </w:rPr>
        <w:t>- A heartbeat payload confirms the system ran. The monitor updates Last Heartbeat, sets Status to Healthy, and logs a row in Heartbeat Log. The system name must match the registry row exactly.</w:t>
      </w:r>
    </w:p>
    <w:p>
      <w:pPr>
        <w:spacing w:after="100" w:line="276" w:lineRule="auto"/>
      </w:pPr>
      <w:r>
        <w:rPr>
          <w:rFonts w:ascii="Arial" w:hAnsi="Arial" w:cs="Arial"/>
          <w:sz w:val="22"/>
          <w:szCs w:val="22"/>
        </w:rPr>
        <w:t>- An error payload logs the failure in Error Log, sets Status to Down, and sends an immediate Slack alert with the system name, severity, error message, and Fix Guide ID.</w:t>
      </w:r>
    </w:p>
    <w:p>
      <w:pPr>
        <w:spacing w:after="100" w:line="276" w:lineRule="auto"/>
      </w:pPr>
      <w:r>
        <w:rPr>
          <w:rFonts w:ascii="Arial" w:hAnsi="Arial" w:cs="Arial"/>
          <w:sz w:val="22"/>
          <w:szCs w:val="22"/>
        </w:rPr>
        <w:t>- If a system's heartbeat is overdue beyond its threshold (FLOW/SCRIPT = 48 h, BOT = 8 days), the daily check flags it as Degraded and posts a missing-heartbeat alert.</w:t>
      </w:r>
    </w:p>
    <w:p>
      <w:pPr>
        <w:spacing w:after="100" w:line="276" w:lineRule="auto"/>
      </w:pPr>
      <w:r>
        <w:rPr>
          <w:rFonts w:ascii="Arial" w:hAnsi="Arial" w:cs="Arial"/>
          <w:sz w:val="22"/>
          <w:szCs w:val="22"/>
        </w:rPr>
        <w:t>- Credential expiry alerts are sent at 30, 14, 7, 3, and 1 day(s) before expiry, and again when expired.</w:t>
      </w:r>
    </w:p>
    <w:p>
      <w:pPr>
        <w:spacing w:after="120"/>
      </w:pPr>
    </w:p>
    <w:p>
      <w:pPr>
        <w:spacing w:after="80" w:line="276" w:lineRule="auto"/>
      </w:pPr>
      <w:r>
        <w:rPr>
          <w:rFonts w:ascii="Arial" w:hAnsi="Arial" w:cs="Arial"/>
          <w:b w:val="1"/>
          <w:sz w:val="22"/>
          <w:szCs w:val="22"/>
        </w:rPr>
        <w:t>5.6  Slack /it-alert</w:t>
      </w:r>
    </w:p>
    <w:p>
      <w:pPr>
        <w:spacing w:after="100" w:line="276" w:lineRule="auto"/>
      </w:pPr>
      <w:r>
        <w:rPr>
          <w:rFonts w:ascii="Arial" w:hAnsi="Arial" w:cs="Arial"/>
          <w:sz w:val="22"/>
          <w:szCs w:val="22"/>
        </w:rPr>
        <w:t>Use /it-alert to manually report a failure from Slack without opening the workbook.</w:t>
      </w:r>
    </w:p>
    <w:p>
      <w:pPr>
        <w:spacing w:after="100" w:line="276" w:lineRule="auto"/>
      </w:pPr>
      <w:r>
        <w:rPr>
          <w:rFonts w:ascii="Arial" w:hAnsi="Arial" w:cs="Arial"/>
          <w:sz w:val="22"/>
          <w:szCs w:val="22"/>
        </w:rPr>
        <w:t>- Type /it-alert in any Slack channel. A modal opens with fields for system (dropdown from Registry), severity (Critical / High / Low), description, ongoing status, and when you first noticed the issue.</w:t>
      </w:r>
    </w:p>
    <w:p>
      <w:pPr>
        <w:spacing w:after="100" w:line="276" w:lineRule="auto"/>
      </w:pPr>
      <w:r>
        <w:rPr>
          <w:rFonts w:ascii="Arial" w:hAnsi="Arial" w:cs="Arial"/>
          <w:sz w:val="22"/>
          <w:szCs w:val="22"/>
        </w:rPr>
        <w:t>- Submitting posts the alert to #it-support and logs a new row in the Incident Reports tab.</w:t>
      </w:r>
    </w:p>
    <w:p>
      <w:pPr>
        <w:spacing w:after="100" w:line="276" w:lineRule="auto"/>
      </w:pPr>
      <w:r>
        <w:rPr>
          <w:rFonts w:ascii="Arial" w:hAnsi="Arial" w:cs="Arial"/>
          <w:sz w:val="22"/>
          <w:szCs w:val="22"/>
        </w:rPr>
        <w:t>- If the modal does not open, run Health Monitor -&gt; Setup Triggers to reinstall the keepalive.</w:t>
      </w:r>
    </w:p>
    <w:p>
      <w:pPr>
        <w:spacing w:after="120"/>
      </w:pPr>
    </w:p>
    <w:p>
      <w:pPr>
        <w:spacing w:after="100" w:line="276" w:lineRule="auto"/>
        <w:jc w:val="center"/>
      </w:pPr>
      <w:r>
        <w:rPr>
          <w:rFonts w:ascii="Arial" w:hAnsi="Arial" w:cs="Arial"/>
          <w:i w:val="1"/>
          <w:color w:val="434343"/>
          <w:sz w:val="20"/>
          <w:szCs w:val="20"/>
        </w:rPr>
        <w:t>[Figure IT-014-03 — Slack /it-alert modal — screenshot placeholder]</w:t>
      </w:r>
    </w:p>
    <w:p>
      <w:pPr>
        <w:spacing w:after="120"/>
      </w:pPr>
    </w:p>
    <w:p>
      <w:pPr>
        <w:spacing w:after="80" w:line="276" w:lineRule="auto"/>
      </w:pPr>
      <w:r>
        <w:rPr>
          <w:rFonts w:ascii="Arial" w:hAnsi="Arial" w:cs="Arial"/>
          <w:b w:val="1"/>
          <w:sz w:val="22"/>
          <w:szCs w:val="22"/>
        </w:rPr>
        <w:t>5.7  Work Incidents and Failures</w:t>
      </w:r>
    </w:p>
    <w:p>
      <w:pPr>
        <w:spacing w:after="100" w:line="276" w:lineRule="auto"/>
      </w:pPr>
      <w:r>
        <w:rPr>
          <w:rFonts w:ascii="Arial" w:hAnsi="Arial" w:cs="Arial"/>
          <w:sz w:val="22"/>
          <w:szCs w:val="22"/>
        </w:rPr>
        <w:t>For manually reported failures, use Incident Reports. For system-generated failures, use Error Log.</w:t>
      </w:r>
    </w:p>
    <w:p>
      <w:pPr>
        <w:spacing w:after="100" w:line="276" w:lineRule="auto"/>
      </w:pPr>
      <w:r>
        <w:rPr>
          <w:rFonts w:ascii="Arial" w:hAnsi="Arial" w:cs="Arial"/>
          <w:sz w:val="22"/>
          <w:szCs w:val="22"/>
        </w:rPr>
        <w:t>- In Incident Reports: read System, Severity, and Description. Fill Assigned To, update Status (Open -&gt; In Progress -&gt; Resolved), and add resolution notes when closing.</w:t>
      </w:r>
    </w:p>
    <w:p>
      <w:pPr>
        <w:spacing w:after="100" w:line="276" w:lineRule="auto"/>
      </w:pPr>
      <w:r>
        <w:rPr>
          <w:rFonts w:ascii="Arial" w:hAnsi="Arial" w:cs="Arial"/>
          <w:sz w:val="22"/>
          <w:szCs w:val="22"/>
        </w:rPr>
        <w:t>- In Error Log: find the row, read the Fix Guide ID, look up steps in the Fix Guides tab, and update the row Status as the issue progresses.</w:t>
      </w:r>
    </w:p>
    <w:p>
      <w:pPr>
        <w:spacing w:after="100" w:line="276" w:lineRule="auto"/>
      </w:pPr>
      <w:r>
        <w:rPr>
          <w:rFonts w:ascii="Arial" w:hAnsi="Arial" w:cs="Arial"/>
          <w:sz w:val="22"/>
          <w:szCs w:val="22"/>
        </w:rPr>
        <w:t>- After resolving, confirm the system Status in System Registry reflects the corrected state.</w:t>
      </w:r>
    </w:p>
    <w:p>
      <w:pPr>
        <w:spacing w:after="120"/>
      </w:pPr>
    </w:p>
    <w:p>
      <w:pPr>
        <w:spacing w:after="100" w:line="276" w:lineRule="auto"/>
        <w:jc w:val="center"/>
      </w:pPr>
      <w:r>
        <w:rPr>
          <w:rFonts w:ascii="Arial" w:hAnsi="Arial" w:cs="Arial"/>
          <w:i w:val="1"/>
          <w:color w:val="434343"/>
          <w:sz w:val="20"/>
          <w:szCs w:val="20"/>
        </w:rPr>
        <w:t>[Figure IT-014-04 — Incident Reports tab example — screenshot placeholder]</w:t>
      </w:r>
    </w:p>
    <w:p>
      <w:pPr>
        <w:spacing w:after="120"/>
      </w:pPr>
    </w:p>
    <w:p>
      <w:pPr>
        <w:spacing w:after="80" w:line="276" w:lineRule="auto"/>
      </w:pPr>
      <w:r>
        <w:rPr>
          <w:rFonts w:ascii="Arial" w:hAnsi="Arial" w:cs="Arial"/>
          <w:b w:val="1"/>
          <w:sz w:val="22"/>
          <w:szCs w:val="22"/>
        </w:rPr>
        <w:t>5.8  Credentials, System Records, and Housekeeping</w:t>
      </w:r>
    </w:p>
    <w:p>
      <w:pPr>
        <w:spacing w:after="100" w:line="276" w:lineRule="auto"/>
      </w:pPr>
      <w:r>
        <w:rPr>
          <w:rFonts w:ascii="Arial" w:hAnsi="Arial" w:cs="Arial"/>
          <w:sz w:val="22"/>
          <w:szCs w:val="22"/>
        </w:rPr>
        <w:t>- Expiry Date / Days Left in System Registry shows a live countdown. Yellow = within 30 days; red = expired. Renew and update the row before expiry.</w:t>
      </w:r>
    </w:p>
    <w:p>
      <w:pPr>
        <w:spacing w:after="100" w:line="276" w:lineRule="auto"/>
      </w:pPr>
      <w:r>
        <w:rPr>
          <w:rFonts w:ascii="Arial" w:hAnsi="Arial" w:cs="Arial"/>
          <w:sz w:val="22"/>
          <w:szCs w:val="22"/>
        </w:rPr>
        <w:t>- For GMP-critical systems, keep Validated and Last Validated current after any testing or validation activity.</w:t>
      </w:r>
    </w:p>
    <w:p>
      <w:pPr>
        <w:spacing w:after="100" w:line="276" w:lineRule="auto"/>
      </w:pPr>
      <w:r>
        <w:rPr>
          <w:rFonts w:ascii="Arial" w:hAnsi="Arial" w:cs="Arial"/>
          <w:sz w:val="22"/>
          <w:szCs w:val="22"/>
        </w:rPr>
        <w:t>- When adding or changing a system: complete all required fields, never store passwords in the workbook, ensure the system name matches heartbeat payloads exactly, and run Format Registry Sheet after structural edits.</w:t>
      </w:r>
    </w:p>
    <w:p>
      <w:pPr>
        <w:spacing w:after="100" w:line="276" w:lineRule="auto"/>
      </w:pPr>
      <w:r>
        <w:rPr>
          <w:rFonts w:ascii="Arial" w:hAnsi="Arial" w:cs="Arial"/>
          <w:sz w:val="22"/>
          <w:szCs w:val="22"/>
        </w:rPr>
        <w:t>- To retire a system: mark or remove its registry row, close related open incidents, and run Format Registry Sheet.</w:t>
      </w:r>
    </w:p>
    <w:p>
      <w:pPr>
        <w:spacing w:after="100" w:line="276" w:lineRule="auto"/>
      </w:pPr>
      <w:r>
        <w:rPr>
          <w:rFonts w:ascii="Arial" w:hAnsi="Arial" w:cs="Arial"/>
          <w:sz w:val="22"/>
          <w:szCs w:val="22"/>
        </w:rPr>
        <w:t>- If Slack stops working, run Test Slack Connection. If triggers are missing, run Remove All Triggers then Setup Triggers. If formatting breaks, run Format Registry Sheet.</w:t>
      </w:r>
    </w:p>
    <w:p>
      <w:pPr>
        <w:spacing w:after="120"/>
      </w:pPr>
    </w:p>
    <w:p>
      <w:pPr>
        <w:spacing w:after="120" w:line="276" w:lineRule="auto"/>
      </w:pPr>
      <w:r>
        <w:rPr>
          <w:rFonts w:ascii="Arial" w:hAnsi="Arial" w:cs="Arial"/>
          <w:b w:val="1"/>
          <w:color w:val="434343"/>
          <w:sz w:val="28"/>
          <w:szCs w:val="28"/>
        </w:rPr>
        <w:t>6. References</w:t>
      </w:r>
    </w:p>
    <w:p>
      <w:pPr>
        <w:spacing w:after="100" w:line="276" w:lineRule="auto"/>
      </w:pPr>
      <w:hyperlink r:id="rId29" w:history="1">
        <w:r>
          <w:rPr>
            <w:rFonts w:ascii="Arial" w:hAnsi="Arial" w:cs="Arial"/>
            <w:u w:val="single"/>
            <w:color w:val="1155CC"/>
            <w:sz w:val="22"/>
            <w:szCs w:val="22"/>
          </w:rPr>
          <w:t>Systems Health Monitor spreadsheet</w:t>
        </w:r>
      </w:hyperlink>
    </w:p>
    <w:p>
      <w:pPr>
        <w:spacing w:after="100" w:line="276" w:lineRule="auto"/>
      </w:pPr>
      <w:hyperlink r:id="rId30" w:history="1">
        <w:r>
          <w:rPr>
            <w:rFonts w:ascii="Arial" w:hAnsi="Arial" w:cs="Arial"/>
            <w:u w:val="single"/>
            <w:color w:val="1155CC"/>
            <w:sz w:val="22"/>
            <w:szCs w:val="22"/>
          </w:rPr>
          <w:t>Systems Health Monitor Apps Script</w:t>
        </w:r>
      </w:hyperlink>
    </w:p>
    <w:p>
      <w:pPr>
        <w:spacing w:after="100" w:line="276" w:lineRule="auto"/>
      </w:pPr>
      <w:hyperlink r:id="rId31" w:history="1">
        <w:r>
          <w:rPr>
            <w:rFonts w:ascii="Arial" w:hAnsi="Arial" w:cs="Arial"/>
            <w:u w:val="single"/>
            <w:color w:val="1155CC"/>
            <w:sz w:val="22"/>
            <w:szCs w:val="22"/>
          </w:rPr>
          <w:t>Security &amp; GMP Connection Tracker spreadsheet</w:t>
        </w:r>
      </w:hyperlink>
    </w:p>
    <w:p>
      <w:pPr>
        <w:spacing w:after="100" w:line="276" w:lineRule="auto"/>
      </w:pPr>
      <w:hyperlink r:id="rId32" w:history="1">
        <w:r>
          <w:rPr>
            <w:rFonts w:ascii="Arial" w:hAnsi="Arial" w:cs="Arial"/>
            <w:u w:val="single"/>
            <w:color w:val="1155CC"/>
            <w:sz w:val="22"/>
            <w:szCs w:val="22"/>
          </w:rPr>
          <w:t>FDA 21 CFR Part 11 - Electronic Records; Electronic Signatures</w:t>
        </w:r>
      </w:hyperlink>
    </w:p>
    <w:p>
      <w:pPr>
        <w:spacing w:after="120"/>
      </w:pPr>
    </w:p>
    <w:p>
      <w:pPr>
        <w:spacing w:after="120" w:line="276" w:lineRule="auto"/>
      </w:pPr>
      <w:r>
        <w:rPr>
          <w:rFonts w:ascii="Arial" w:hAnsi="Arial" w:cs="Arial"/>
          <w:b w:val="1"/>
          <w:color w:val="434343"/>
          <w:sz w:val="28"/>
          <w:szCs w:val="28"/>
        </w:rPr>
        <w:t>7. Attachments</w:t>
      </w:r>
    </w:p>
    <w:p>
      <w:pPr>
        <w:spacing w:after="80" w:line="276" w:lineRule="auto"/>
      </w:pPr>
      <w:r>
        <w:rPr>
          <w:rFonts w:ascii="Arial" w:hAnsi="Arial" w:cs="Arial"/>
          <w:b w:val="1"/>
          <w:sz w:val="22"/>
          <w:szCs w:val="22"/>
        </w:rPr>
        <w:t>Attachment A - System Registry Key Columns</w:t>
      </w:r>
    </w:p>
    <w:tbl>
      <w:tblPr>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gridCol w:w="6560"/>
      </w:tblGrid>
      <w:tr>
        <w:tc>
          <w:tcPr>
            <w:tcW w:w="280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Column</w:t>
            </w:r>
          </w:p>
        </w:tc>
        <w:tc>
          <w:tcPr>
            <w:tcW w:w="656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What it tells you</w:t>
            </w:r>
          </w:p>
        </w:tc>
      </w:tr>
      <w:tr>
        <w:tc>
          <w:tcPr>
            <w:tcW w:w="2800" w:type="dxa"/>
            <w:tcMar>
              <w:top w:w="100" w:type="dxa"/>
              <w:left w:w="100" w:type="dxa"/>
              <w:bottom w:w="100" w:type="dxa"/>
              <w:right w:w="100" w:type="dxa"/>
            </w:tcMar>
            <w:vAlign w:val="top"/>
          </w:tcPr>
          <w:p>
            <w:pPr>
              <w:spacing w:after="100" w:line="276" w:lineRule="auto"/>
            </w:pPr>
            <w:r>
              <w:rPr>
                <w:rFonts w:ascii="Arial" w:hAnsi="Arial" w:cs="Arial"/>
                <w:sz w:val="22"/>
                <w:szCs w:val="22"/>
              </w:rPr>
              <w:t>System Name</w:t>
            </w:r>
          </w:p>
        </w:tc>
        <w:tc>
          <w:tcPr>
            <w:tcW w:w="6560" w:type="dxa"/>
            <w:tcMar>
              <w:top w:w="100" w:type="dxa"/>
              <w:left w:w="100" w:type="dxa"/>
              <w:bottom w:w="100" w:type="dxa"/>
              <w:right w:w="100" w:type="dxa"/>
            </w:tcMar>
            <w:vAlign w:val="top"/>
          </w:tcPr>
          <w:p>
            <w:pPr>
              <w:spacing w:after="100" w:line="276" w:lineRule="auto"/>
            </w:pPr>
            <w:r>
              <w:rPr>
                <w:rFonts w:ascii="Arial" w:hAnsi="Arial" w:cs="Arial"/>
                <w:sz w:val="22"/>
                <w:szCs w:val="22"/>
              </w:rPr>
              <w:t>Unique identifier — must match the name used in heartbeat and error payloads.</w:t>
            </w:r>
          </w:p>
        </w:tc>
      </w:tr>
      <w:tr>
        <w:tc>
          <w:tcPr>
            <w:tcW w:w="2800" w:type="dxa"/>
            <w:tcMar>
              <w:top w:w="100" w:type="dxa"/>
              <w:left w:w="100" w:type="dxa"/>
              <w:bottom w:w="100" w:type="dxa"/>
              <w:right w:w="100" w:type="dxa"/>
            </w:tcMar>
            <w:vAlign w:val="top"/>
          </w:tcPr>
          <w:p>
            <w:pPr>
              <w:spacing w:after="100" w:line="276" w:lineRule="auto"/>
            </w:pPr>
            <w:r>
              <w:rPr>
                <w:rFonts w:ascii="Arial" w:hAnsi="Arial" w:cs="Arial"/>
                <w:sz w:val="22"/>
                <w:szCs w:val="22"/>
              </w:rPr>
              <w:t>GMP Critical</w:t>
            </w:r>
          </w:p>
        </w:tc>
        <w:tc>
          <w:tcPr>
            <w:tcW w:w="6560" w:type="dxa"/>
            <w:tcMar>
              <w:top w:w="100" w:type="dxa"/>
              <w:left w:w="100" w:type="dxa"/>
              <w:bottom w:w="100" w:type="dxa"/>
              <w:right w:w="100" w:type="dxa"/>
            </w:tcMar>
            <w:vAlign w:val="top"/>
          </w:tcPr>
          <w:p>
            <w:pPr>
              <w:spacing w:after="100" w:line="276" w:lineRule="auto"/>
            </w:pPr>
            <w:r>
              <w:rPr>
                <w:rFonts w:ascii="Arial" w:hAnsi="Arial" w:cs="Arial"/>
                <w:sz w:val="22"/>
                <w:szCs w:val="22"/>
              </w:rPr>
              <w:t>Yes = tighter review and documentation required.</w:t>
            </w:r>
          </w:p>
        </w:tc>
      </w:tr>
      <w:tr>
        <w:tc>
          <w:tcPr>
            <w:tcW w:w="2800" w:type="dxa"/>
            <w:tcMar>
              <w:top w:w="100" w:type="dxa"/>
              <w:left w:w="100" w:type="dxa"/>
              <w:bottom w:w="100" w:type="dxa"/>
              <w:right w:w="100" w:type="dxa"/>
            </w:tcMar>
            <w:vAlign w:val="top"/>
          </w:tcPr>
          <w:p>
            <w:pPr>
              <w:spacing w:after="100" w:line="276" w:lineRule="auto"/>
            </w:pPr>
            <w:r>
              <w:rPr>
                <w:rFonts w:ascii="Arial" w:hAnsi="Arial" w:cs="Arial"/>
                <w:sz w:val="22"/>
                <w:szCs w:val="22"/>
              </w:rPr>
              <w:t>Maintenance Guide</w:t>
            </w:r>
          </w:p>
        </w:tc>
        <w:tc>
          <w:tcPr>
            <w:tcW w:w="6560" w:type="dxa"/>
            <w:tcMar>
              <w:top w:w="100" w:type="dxa"/>
              <w:left w:w="100" w:type="dxa"/>
              <w:bottom w:w="100" w:type="dxa"/>
              <w:right w:w="100" w:type="dxa"/>
            </w:tcMar>
            <w:vAlign w:val="top"/>
          </w:tcPr>
          <w:p>
            <w:pPr>
              <w:spacing w:after="100" w:line="276" w:lineRule="auto"/>
            </w:pPr>
            <w:r>
              <w:rPr>
                <w:rFonts w:ascii="Arial" w:hAnsi="Arial" w:cs="Arial"/>
                <w:sz w:val="22"/>
                <w:szCs w:val="22"/>
              </w:rPr>
              <w:t>Link to the SOP or drive folder for this system.</w:t>
            </w:r>
          </w:p>
        </w:tc>
      </w:tr>
      <w:tr>
        <w:tc>
          <w:tcPr>
            <w:tcW w:w="2800" w:type="dxa"/>
            <w:tcMar>
              <w:top w:w="100" w:type="dxa"/>
              <w:left w:w="100" w:type="dxa"/>
              <w:bottom w:w="100" w:type="dxa"/>
              <w:right w:w="100" w:type="dxa"/>
            </w:tcMar>
            <w:vAlign w:val="top"/>
          </w:tcPr>
          <w:p>
            <w:pPr>
              <w:spacing w:after="100" w:line="276" w:lineRule="auto"/>
            </w:pPr>
            <w:r>
              <w:rPr>
                <w:rFonts w:ascii="Arial" w:hAnsi="Arial" w:cs="Arial"/>
                <w:sz w:val="22"/>
                <w:szCs w:val="22"/>
              </w:rPr>
              <w:t>Auth Type / Auth Location / Expiry Date</w:t>
            </w:r>
          </w:p>
        </w:tc>
        <w:tc>
          <w:tcPr>
            <w:tcW w:w="6560" w:type="dxa"/>
            <w:tcMar>
              <w:top w:w="100" w:type="dxa"/>
              <w:left w:w="100" w:type="dxa"/>
              <w:bottom w:w="100" w:type="dxa"/>
              <w:right w:w="100" w:type="dxa"/>
            </w:tcMar>
            <w:vAlign w:val="top"/>
          </w:tcPr>
          <w:p>
            <w:pPr>
              <w:spacing w:after="100" w:line="276" w:lineRule="auto"/>
            </w:pPr>
            <w:r>
              <w:rPr>
                <w:rFonts w:ascii="Arial" w:hAnsi="Arial" w:cs="Arial"/>
                <w:sz w:val="22"/>
                <w:szCs w:val="22"/>
              </w:rPr>
              <w:t>Credential type, where it is stored, and when it expires.</w:t>
            </w:r>
          </w:p>
        </w:tc>
      </w:tr>
      <w:tr>
        <w:tc>
          <w:tcPr>
            <w:tcW w:w="2800" w:type="dxa"/>
            <w:tcMar>
              <w:top w:w="100" w:type="dxa"/>
              <w:left w:w="100" w:type="dxa"/>
              <w:bottom w:w="100" w:type="dxa"/>
              <w:right w:w="100" w:type="dxa"/>
            </w:tcMar>
            <w:vAlign w:val="top"/>
          </w:tcPr>
          <w:p>
            <w:pPr>
              <w:spacing w:after="100" w:line="276" w:lineRule="auto"/>
            </w:pPr>
            <w:r>
              <w:rPr>
                <w:rFonts w:ascii="Arial" w:hAnsi="Arial" w:cs="Arial"/>
                <w:sz w:val="22"/>
                <w:szCs w:val="22"/>
              </w:rPr>
              <w:t>Days Left</w:t>
            </w:r>
          </w:p>
        </w:tc>
        <w:tc>
          <w:tcPr>
            <w:tcW w:w="6560" w:type="dxa"/>
            <w:tcMar>
              <w:top w:w="100" w:type="dxa"/>
              <w:left w:w="100" w:type="dxa"/>
              <w:bottom w:w="100" w:type="dxa"/>
              <w:right w:w="100" w:type="dxa"/>
            </w:tcMar>
            <w:vAlign w:val="top"/>
          </w:tcPr>
          <w:p>
            <w:pPr>
              <w:spacing w:after="100" w:line="276" w:lineRule="auto"/>
            </w:pPr>
            <w:r>
              <w:rPr>
                <w:rFonts w:ascii="Arial" w:hAnsi="Arial" w:cs="Arial"/>
                <w:sz w:val="22"/>
                <w:szCs w:val="22"/>
              </w:rPr>
              <w:t>Live countdown to expiry. Yellow = 30 days or fewer. Red = expired.</w:t>
            </w:r>
          </w:p>
        </w:tc>
      </w:tr>
      <w:tr>
        <w:tc>
          <w:tcPr>
            <w:tcW w:w="2800" w:type="dxa"/>
            <w:tcMar>
              <w:top w:w="100" w:type="dxa"/>
              <w:left w:w="100" w:type="dxa"/>
              <w:bottom w:w="100" w:type="dxa"/>
              <w:right w:w="100" w:type="dxa"/>
            </w:tcMar>
            <w:vAlign w:val="top"/>
          </w:tcPr>
          <w:p>
            <w:pPr>
              <w:spacing w:after="100" w:line="276" w:lineRule="auto"/>
            </w:pPr>
            <w:r>
              <w:rPr>
                <w:rFonts w:ascii="Arial" w:hAnsi="Arial" w:cs="Arial"/>
                <w:sz w:val="22"/>
                <w:szCs w:val="22"/>
              </w:rPr>
              <w:t>Heartbeat Method</w:t>
            </w:r>
          </w:p>
        </w:tc>
        <w:tc>
          <w:tcPr>
            <w:tcW w:w="6560" w:type="dxa"/>
            <w:tcMar>
              <w:top w:w="100" w:type="dxa"/>
              <w:left w:w="100" w:type="dxa"/>
              <w:bottom w:w="100" w:type="dxa"/>
              <w:right w:w="100" w:type="dxa"/>
            </w:tcMar>
            <w:vAlign w:val="top"/>
          </w:tcPr>
          <w:p>
            <w:pPr>
              <w:spacing w:after="100" w:line="276" w:lineRule="auto"/>
            </w:pPr>
            <w:r>
              <w:rPr>
                <w:rFonts w:ascii="Arial" w:hAnsi="Arial" w:cs="Arial"/>
                <w:sz w:val="22"/>
                <w:szCs w:val="22"/>
              </w:rPr>
              <w:t>How the system confirms it ran. N/A = no automated heartbeat.</w:t>
            </w:r>
          </w:p>
        </w:tc>
      </w:tr>
      <w:tr>
        <w:tc>
          <w:tcPr>
            <w:tcW w:w="2800" w:type="dxa"/>
            <w:tcMar>
              <w:top w:w="100" w:type="dxa"/>
              <w:left w:w="100" w:type="dxa"/>
              <w:bottom w:w="100" w:type="dxa"/>
              <w:right w:w="100" w:type="dxa"/>
            </w:tcMar>
            <w:vAlign w:val="top"/>
          </w:tcPr>
          <w:p>
            <w:pPr>
              <w:spacing w:after="100" w:line="276" w:lineRule="auto"/>
            </w:pPr>
            <w:r>
              <w:rPr>
                <w:rFonts w:ascii="Arial" w:hAnsi="Arial" w:cs="Arial"/>
                <w:sz w:val="22"/>
                <w:szCs w:val="22"/>
              </w:rPr>
              <w:t>Status</w:t>
            </w:r>
          </w:p>
        </w:tc>
        <w:tc>
          <w:tcPr>
            <w:tcW w:w="6560" w:type="dxa"/>
            <w:tcMar>
              <w:top w:w="100" w:type="dxa"/>
              <w:left w:w="100" w:type="dxa"/>
              <w:bottom w:w="100" w:type="dxa"/>
              <w:right w:w="100" w:type="dxa"/>
            </w:tcMar>
            <w:vAlign w:val="top"/>
          </w:tcPr>
          <w:p>
            <w:pPr>
              <w:spacing w:after="100" w:line="276" w:lineRule="auto"/>
            </w:pPr>
            <w:r>
              <w:rPr>
                <w:rFonts w:ascii="Arial" w:hAnsi="Arial" w:cs="Arial"/>
                <w:sz w:val="22"/>
                <w:szCs w:val="22"/>
              </w:rPr>
              <w:t>Healthy / Degraded / Down / Unknown — updated automatically.</w:t>
            </w:r>
          </w:p>
        </w:tc>
      </w:tr>
      <w:tr>
        <w:tc>
          <w:tcPr>
            <w:tcW w:w="2800" w:type="dxa"/>
            <w:tcMar>
              <w:top w:w="100" w:type="dxa"/>
              <w:left w:w="100" w:type="dxa"/>
              <w:bottom w:w="100" w:type="dxa"/>
              <w:right w:w="100" w:type="dxa"/>
            </w:tcMar>
            <w:vAlign w:val="top"/>
          </w:tcPr>
          <w:p>
            <w:pPr>
              <w:spacing w:after="100" w:line="276" w:lineRule="auto"/>
            </w:pPr>
            <w:r>
              <w:rPr>
                <w:rFonts w:ascii="Arial" w:hAnsi="Arial" w:cs="Arial"/>
                <w:sz w:val="22"/>
                <w:szCs w:val="22"/>
              </w:rPr>
              <w:t>Last Heartbeat</w:t>
            </w:r>
          </w:p>
        </w:tc>
        <w:tc>
          <w:tcPr>
            <w:tcW w:w="6560" w:type="dxa"/>
            <w:tcMar>
              <w:top w:w="100" w:type="dxa"/>
              <w:left w:w="100" w:type="dxa"/>
              <w:bottom w:w="100" w:type="dxa"/>
              <w:right w:w="100" w:type="dxa"/>
            </w:tcMar>
            <w:vAlign w:val="top"/>
          </w:tcPr>
          <w:p>
            <w:pPr>
              <w:spacing w:after="100" w:line="276" w:lineRule="auto"/>
            </w:pPr>
            <w:r>
              <w:rPr>
                <w:rFonts w:ascii="Arial" w:hAnsi="Arial" w:cs="Arial"/>
                <w:sz w:val="22"/>
                <w:szCs w:val="22"/>
              </w:rPr>
              <w:t>Timestamp of the most recent successful heartbeat or health check.</w:t>
            </w:r>
          </w:p>
        </w:tc>
      </w:tr>
    </w:tbl>
    <w:p>
      <w:pPr>
        <w:spacing w:after="120"/>
      </w:pPr>
    </w:p>
    <w:p>
      <w:pPr>
        <w:spacing w:after="80" w:line="276" w:lineRule="auto"/>
      </w:pPr>
      <w:r>
        <w:rPr>
          <w:rFonts w:ascii="Arial" w:hAnsi="Arial" w:cs="Arial"/>
          <w:b w:val="1"/>
          <w:sz w:val="22"/>
          <w:szCs w:val="22"/>
        </w:rPr>
        <w:t>Attachment B - Status Response Guide</w:t>
      </w:r>
    </w:p>
    <w:tbl>
      <w:tblPr>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7560"/>
      </w:tblGrid>
      <w:tr>
        <w:tc>
          <w:tcPr>
            <w:tcW w:w="180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Status</w:t>
            </w:r>
          </w:p>
        </w:tc>
        <w:tc>
          <w:tcPr>
            <w:tcW w:w="756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Meaning / What to do</w:t>
            </w:r>
          </w:p>
        </w:tc>
      </w:tr>
      <w:tr>
        <w:tc>
          <w:tcPr>
            <w:tcW w:w="1800" w:type="dxa"/>
            <w:tcMar>
              <w:top w:w="100" w:type="dxa"/>
              <w:left w:w="100" w:type="dxa"/>
              <w:bottom w:w="100" w:type="dxa"/>
              <w:right w:w="100" w:type="dxa"/>
            </w:tcMar>
            <w:vAlign w:val="top"/>
          </w:tcPr>
          <w:p>
            <w:pPr>
              <w:spacing w:after="100" w:line="276" w:lineRule="auto"/>
            </w:pPr>
            <w:r>
              <w:rPr>
                <w:rFonts w:ascii="Arial" w:hAnsi="Arial" w:cs="Arial"/>
                <w:sz w:val="22"/>
                <w:szCs w:val="22"/>
              </w:rPr>
              <w:t>Healthy</w:t>
            </w:r>
          </w:p>
        </w:tc>
        <w:tc>
          <w:tcPr>
            <w:tcW w:w="7560" w:type="dxa"/>
            <w:tcMar>
              <w:top w:w="100" w:type="dxa"/>
              <w:left w:w="100" w:type="dxa"/>
              <w:bottom w:w="100" w:type="dxa"/>
              <w:right w:w="100" w:type="dxa"/>
            </w:tcMar>
            <w:vAlign w:val="top"/>
          </w:tcPr>
          <w:p>
            <w:pPr>
              <w:spacing w:after="100" w:line="276" w:lineRule="auto"/>
            </w:pPr>
            <w:r>
              <w:rPr>
                <w:rFonts w:ascii="Arial" w:hAnsi="Arial" w:cs="Arial"/>
                <w:sz w:val="22"/>
                <w:szCs w:val="22"/>
              </w:rPr>
              <w:t>Operating normally. Continue routine monitoring.</w:t>
            </w:r>
          </w:p>
        </w:tc>
      </w:tr>
      <w:tr>
        <w:tc>
          <w:tcPr>
            <w:tcW w:w="1800" w:type="dxa"/>
            <w:tcMar>
              <w:top w:w="100" w:type="dxa"/>
              <w:left w:w="100" w:type="dxa"/>
              <w:bottom w:w="100" w:type="dxa"/>
              <w:right w:w="100" w:type="dxa"/>
            </w:tcMar>
            <w:vAlign w:val="top"/>
          </w:tcPr>
          <w:p>
            <w:pPr>
              <w:spacing w:after="100" w:line="276" w:lineRule="auto"/>
            </w:pPr>
            <w:r>
              <w:rPr>
                <w:rFonts w:ascii="Arial" w:hAnsi="Arial" w:cs="Arial"/>
                <w:sz w:val="22"/>
                <w:szCs w:val="22"/>
              </w:rPr>
              <w:t>Degraded</w:t>
            </w:r>
          </w:p>
        </w:tc>
        <w:tc>
          <w:tcPr>
            <w:tcW w:w="7560" w:type="dxa"/>
            <w:tcMar>
              <w:top w:w="100" w:type="dxa"/>
              <w:left w:w="100" w:type="dxa"/>
              <w:bottom w:w="100" w:type="dxa"/>
              <w:right w:w="100" w:type="dxa"/>
            </w:tcMar>
            <w:vAlign w:val="top"/>
          </w:tcPr>
          <w:p>
            <w:pPr>
              <w:spacing w:after="100" w:line="276" w:lineRule="auto"/>
            </w:pPr>
            <w:r>
              <w:rPr>
                <w:rFonts w:ascii="Arial" w:hAnsi="Arial" w:cs="Arial"/>
                <w:sz w:val="22"/>
                <w:szCs w:val="22"/>
              </w:rPr>
              <w:t>Warning condition (stale heartbeat or approaching expiry). Investigate and correct before it becomes a failure.</w:t>
            </w:r>
          </w:p>
        </w:tc>
      </w:tr>
      <w:tr>
        <w:tc>
          <w:tcPr>
            <w:tcW w:w="1800" w:type="dxa"/>
            <w:tcMar>
              <w:top w:w="100" w:type="dxa"/>
              <w:left w:w="100" w:type="dxa"/>
              <w:bottom w:w="100" w:type="dxa"/>
              <w:right w:w="100" w:type="dxa"/>
            </w:tcMar>
            <w:vAlign w:val="top"/>
          </w:tcPr>
          <w:p>
            <w:pPr>
              <w:spacing w:after="100" w:line="276" w:lineRule="auto"/>
            </w:pPr>
            <w:r>
              <w:rPr>
                <w:rFonts w:ascii="Arial" w:hAnsi="Arial" w:cs="Arial"/>
                <w:sz w:val="22"/>
                <w:szCs w:val="22"/>
              </w:rPr>
              <w:t>Down</w:t>
            </w:r>
          </w:p>
        </w:tc>
        <w:tc>
          <w:tcPr>
            <w:tcW w:w="7560" w:type="dxa"/>
            <w:tcMar>
              <w:top w:w="100" w:type="dxa"/>
              <w:left w:w="100" w:type="dxa"/>
              <w:bottom w:w="100" w:type="dxa"/>
              <w:right w:w="100" w:type="dxa"/>
            </w:tcMar>
            <w:vAlign w:val="top"/>
          </w:tcPr>
          <w:p>
            <w:pPr>
              <w:spacing w:after="100" w:line="276" w:lineRule="auto"/>
            </w:pPr>
            <w:r>
              <w:rPr>
                <w:rFonts w:ascii="Arial" w:hAnsi="Arial" w:cs="Arial"/>
                <w:sz w:val="22"/>
                <w:szCs w:val="22"/>
              </w:rPr>
              <w:t>Not operating. Error received, URL check failed, or heartbeat critically overdue. Open an incident and assign ownership immediately.</w:t>
            </w:r>
          </w:p>
        </w:tc>
      </w:tr>
      <w:tr>
        <w:tc>
          <w:tcPr>
            <w:tcW w:w="1800" w:type="dxa"/>
            <w:tcMar>
              <w:top w:w="100" w:type="dxa"/>
              <w:left w:w="100" w:type="dxa"/>
              <w:bottom w:w="100" w:type="dxa"/>
              <w:right w:w="100" w:type="dxa"/>
            </w:tcMar>
            <w:vAlign w:val="top"/>
          </w:tcPr>
          <w:p>
            <w:pPr>
              <w:spacing w:after="100" w:line="276" w:lineRule="auto"/>
            </w:pPr>
            <w:r>
              <w:rPr>
                <w:rFonts w:ascii="Arial" w:hAnsi="Arial" w:cs="Arial"/>
                <w:sz w:val="22"/>
                <w:szCs w:val="22"/>
              </w:rPr>
              <w:t>Unknown</w:t>
            </w:r>
          </w:p>
        </w:tc>
        <w:tc>
          <w:tcPr>
            <w:tcW w:w="7560" w:type="dxa"/>
            <w:tcMar>
              <w:top w:w="100" w:type="dxa"/>
              <w:left w:w="100" w:type="dxa"/>
              <w:bottom w:w="100" w:type="dxa"/>
              <w:right w:w="100" w:type="dxa"/>
            </w:tcMar>
            <w:vAlign w:val="top"/>
          </w:tcPr>
          <w:p>
            <w:pPr>
              <w:spacing w:after="100" w:line="276" w:lineRule="auto"/>
            </w:pPr>
            <w:r>
              <w:rPr>
                <w:rFonts w:ascii="Arial" w:hAnsi="Arial" w:cs="Arial"/>
                <w:sz w:val="22"/>
                <w:szCs w:val="22"/>
              </w:rPr>
              <w:t>No evidence yet. Investigate until the state is clear.</w:t>
            </w:r>
          </w:p>
        </w:tc>
      </w:tr>
    </w:tbl>
    <w:p>
      <w:pPr>
        <w:spacing w:after="120"/>
      </w:pPr>
    </w:p>
    <w:p>
      <w:pPr>
        <w:spacing w:after="80" w:line="276" w:lineRule="auto"/>
      </w:pPr>
      <w:r>
        <w:rPr>
          <w:rFonts w:ascii="Arial" w:hAnsi="Arial" w:cs="Arial"/>
          <w:b w:val="1"/>
          <w:sz w:val="22"/>
          <w:szCs w:val="22"/>
        </w:rPr>
        <w:t>Attachment C - Screenshot Placeholders</w:t>
      </w:r>
    </w:p>
    <w:p>
      <w:pPr>
        <w:spacing w:after="100" w:line="276" w:lineRule="auto"/>
      </w:pPr>
      <w:r>
        <w:rPr>
          <w:rFonts w:ascii="Arial" w:hAnsi="Arial" w:cs="Arial"/>
          <w:sz w:val="22"/>
          <w:szCs w:val="22"/>
        </w:rPr>
        <w:t>- Figure IT-014-01 — System Registry overview (Section 5.2)</w:t>
      </w:r>
    </w:p>
    <w:p>
      <w:pPr>
        <w:spacing w:after="100" w:line="276" w:lineRule="auto"/>
      </w:pPr>
      <w:r>
        <w:rPr>
          <w:rFonts w:ascii="Arial" w:hAnsi="Arial" w:cs="Arial"/>
          <w:sz w:val="22"/>
          <w:szCs w:val="22"/>
        </w:rPr>
        <w:t>- Figure IT-014-02 — Health Monitor menu (Section 5.3)</w:t>
      </w:r>
    </w:p>
    <w:p>
      <w:pPr>
        <w:spacing w:after="100" w:line="276" w:lineRule="auto"/>
      </w:pPr>
      <w:r>
        <w:rPr>
          <w:rFonts w:ascii="Arial" w:hAnsi="Arial" w:cs="Arial"/>
          <w:sz w:val="22"/>
          <w:szCs w:val="22"/>
        </w:rPr>
        <w:t>- Figure IT-014-03 — Slack /it-alert modal (Section 5.6)</w:t>
      </w:r>
    </w:p>
    <w:p>
      <w:pPr>
        <w:spacing w:after="100" w:line="276" w:lineRule="auto"/>
      </w:pPr>
      <w:r>
        <w:rPr>
          <w:rFonts w:ascii="Arial" w:hAnsi="Arial" w:cs="Arial"/>
          <w:sz w:val="22"/>
          <w:szCs w:val="22"/>
        </w:rPr>
        <w:t>- Figure IT-014-04 — Incident Reports tab example (Section 5.7)</w:t>
      </w:r>
    </w:p>
    <w:p>
      <w:pPr>
        <w:spacing w:after="120"/>
      </w:pPr>
    </w:p>
    <w:p>
      <w:pPr>
        <w:spacing w:after="120" w:line="276" w:lineRule="auto"/>
      </w:pPr>
      <w:r>
        <w:rPr>
          <w:rFonts w:ascii="Arial" w:hAnsi="Arial" w:cs="Arial"/>
          <w:b w:val="1"/>
          <w:color w:val="434343"/>
          <w:sz w:val="28"/>
          <w:szCs w:val="28"/>
        </w:rPr>
        <w:t>8. Revision History</w:t>
      </w:r>
    </w:p>
    <w:tbl>
      <w:tblPr>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00"/>
        <w:gridCol w:w="1700"/>
        <w:gridCol w:w="4300"/>
        <w:gridCol w:w="2260"/>
      </w:tblGrid>
      <w:tr>
        <w:tc>
          <w:tcPr>
            <w:tcW w:w="110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Version</w:t>
            </w:r>
          </w:p>
        </w:tc>
        <w:tc>
          <w:tcPr>
            <w:tcW w:w="170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Effective Date</w:t>
            </w:r>
          </w:p>
        </w:tc>
        <w:tc>
          <w:tcPr>
            <w:tcW w:w="430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Description of Change</w:t>
            </w:r>
          </w:p>
        </w:tc>
        <w:tc>
          <w:tcPr>
            <w:tcW w:w="2260" w:type="dxa"/>
            <w:tcMar>
              <w:top w:w="100" w:type="dxa"/>
              <w:left w:w="100" w:type="dxa"/>
              <w:bottom w:w="100" w:type="dxa"/>
              <w:right w:w="100" w:type="dxa"/>
            </w:tcMar>
            <w:vAlign w:val="top"/>
          </w:tcPr>
          <w:p>
            <w:pPr>
              <w:spacing w:after="100" w:line="276" w:lineRule="auto"/>
              <w:jc w:val="center"/>
            </w:pPr>
            <w:r>
              <w:rPr>
                <w:rFonts w:ascii="Arial" w:hAnsi="Arial" w:cs="Arial"/>
                <w:b w:val="1"/>
                <w:sz w:val="22"/>
                <w:szCs w:val="22"/>
              </w:rPr>
              <w:t>Change Control #</w:t>
            </w:r>
          </w:p>
        </w:tc>
      </w:tr>
      <w:tr>
        <w:tc>
          <w:tcPr>
            <w:tcW w:w="1100" w:type="dxa"/>
            <w:tcMar>
              <w:top w:w="100" w:type="dxa"/>
              <w:left w:w="100" w:type="dxa"/>
              <w:bottom w:w="100" w:type="dxa"/>
              <w:right w:w="100" w:type="dxa"/>
            </w:tcMar>
            <w:vAlign w:val="top"/>
          </w:tcPr>
          <w:p>
            <w:pPr>
              <w:spacing w:after="100" w:line="276" w:lineRule="auto"/>
            </w:pPr>
            <w:r>
              <w:rPr>
                <w:rFonts w:ascii="Arial" w:hAnsi="Arial" w:cs="Arial"/>
                <w:sz w:val="22"/>
                <w:szCs w:val="22"/>
              </w:rPr>
              <w:t>1.8</w:t>
            </w:r>
          </w:p>
        </w:tc>
        <w:tc>
          <w:tcPr>
            <w:tcW w:w="1700" w:type="dxa"/>
            <w:tcMar>
              <w:top w:w="100" w:type="dxa"/>
              <w:left w:w="100" w:type="dxa"/>
              <w:bottom w:w="100" w:type="dxa"/>
              <w:right w:w="100" w:type="dxa"/>
            </w:tcMar>
            <w:vAlign w:val="top"/>
          </w:tcPr>
          <w:p>
            <w:pPr>
              <w:spacing w:after="100" w:line="276" w:lineRule="auto"/>
            </w:pPr>
            <w:r>
              <w:rPr>
                <w:rFonts w:ascii="Arial" w:hAnsi="Arial" w:cs="Arial"/>
                <w:sz w:val="22"/>
                <w:szCs w:val="22"/>
              </w:rPr>
              <w:t>March 17, 2026</w:t>
            </w:r>
          </w:p>
        </w:tc>
        <w:tc>
          <w:tcPr>
            <w:tcW w:w="4300" w:type="dxa"/>
            <w:tcMar>
              <w:top w:w="100" w:type="dxa"/>
              <w:left w:w="100" w:type="dxa"/>
              <w:bottom w:w="100" w:type="dxa"/>
              <w:right w:w="100" w:type="dxa"/>
            </w:tcMar>
            <w:vAlign w:val="top"/>
          </w:tcPr>
          <w:p>
            <w:pPr>
              <w:spacing w:after="100" w:line="276" w:lineRule="auto"/>
            </w:pPr>
            <w:r>
              <w:rPr>
                <w:rFonts w:ascii="Arial" w:hAnsi="Arial" w:cs="Arial"/>
                <w:sz w:val="22"/>
                <w:szCs w:val="22"/>
              </w:rPr>
              <w:t>Condensed to 7-8 pages. Merged procedure into 8 sections. Replaced full column-reference table with key-column summary. Trimmed attachments.</w:t>
            </w:r>
          </w:p>
        </w:tc>
        <w:tc>
          <w:tcPr>
            <w:tcW w:w="2260" w:type="dxa"/>
            <w:tcMar>
              <w:top w:w="100" w:type="dxa"/>
              <w:left w:w="100" w:type="dxa"/>
              <w:bottom w:w="100" w:type="dxa"/>
              <w:right w:w="100" w:type="dxa"/>
            </w:tcMar>
            <w:vAlign w:val="top"/>
          </w:tcPr>
          <w:p>
            <w:pPr>
              <w:spacing w:after="100" w:line="276" w:lineRule="auto"/>
            </w:pPr>
            <w:r>
              <w:rPr>
                <w:rFonts w:ascii="Arial" w:hAnsi="Arial" w:cs="Arial"/>
                <w:sz w:val="22"/>
                <w:szCs w:val="22"/>
              </w:rPr>
              <w:t>Pending</w:t>
            </w:r>
          </w:p>
        </w:tc>
      </w:tr>
      <w:tr>
        <w:tc>
          <w:tcPr>
            <w:tcW w:w="1100" w:type="dxa"/>
            <w:tcMar>
              <w:top w:w="100" w:type="dxa"/>
              <w:left w:w="100" w:type="dxa"/>
              <w:bottom w:w="100" w:type="dxa"/>
              <w:right w:w="100" w:type="dxa"/>
            </w:tcMar>
            <w:vAlign w:val="top"/>
          </w:tcPr>
          <w:p>
            <w:pPr>
              <w:spacing w:after="100" w:line="276" w:lineRule="auto"/>
            </w:pPr>
            <w:r>
              <w:rPr>
                <w:rFonts w:ascii="Arial" w:hAnsi="Arial" w:cs="Arial"/>
                <w:sz w:val="22"/>
                <w:szCs w:val="22"/>
              </w:rPr>
              <w:t>1.7</w:t>
            </w:r>
          </w:p>
        </w:tc>
        <w:tc>
          <w:tcPr>
            <w:tcW w:w="1700" w:type="dxa"/>
            <w:tcMar>
              <w:top w:w="100" w:type="dxa"/>
              <w:left w:w="100" w:type="dxa"/>
              <w:bottom w:w="100" w:type="dxa"/>
              <w:right w:w="100" w:type="dxa"/>
            </w:tcMar>
            <w:vAlign w:val="top"/>
          </w:tcPr>
          <w:p>
            <w:pPr>
              <w:spacing w:after="100" w:line="276" w:lineRule="auto"/>
            </w:pPr>
            <w:r>
              <w:rPr>
                <w:rFonts w:ascii="Arial" w:hAnsi="Arial" w:cs="Arial"/>
                <w:sz w:val="22"/>
                <w:szCs w:val="22"/>
              </w:rPr>
              <w:t>March 17, 2026</w:t>
            </w:r>
          </w:p>
        </w:tc>
        <w:tc>
          <w:tcPr>
            <w:tcW w:w="4300" w:type="dxa"/>
            <w:tcMar>
              <w:top w:w="100" w:type="dxa"/>
              <w:left w:w="100" w:type="dxa"/>
              <w:bottom w:w="100" w:type="dxa"/>
              <w:right w:w="100" w:type="dxa"/>
            </w:tcMar>
            <w:vAlign w:val="top"/>
          </w:tcPr>
          <w:p>
            <w:pPr>
              <w:spacing w:after="100" w:line="276" w:lineRule="auto"/>
            </w:pPr>
            <w:r>
              <w:rPr>
                <w:rFonts w:ascii="Arial" w:hAnsi="Arial" w:cs="Arial"/>
                <w:sz w:val="22"/>
                <w:szCs w:val="22"/>
              </w:rPr>
              <w:t>Expanded procedure covering heartbeats, errors, Slack alerts, /it-alert, and credential management. Added screenshot placeholders.</w:t>
            </w:r>
          </w:p>
        </w:tc>
        <w:tc>
          <w:tcPr>
            <w:tcW w:w="2260" w:type="dxa"/>
            <w:tcMar>
              <w:top w:w="100" w:type="dxa"/>
              <w:left w:w="100" w:type="dxa"/>
              <w:bottom w:w="100" w:type="dxa"/>
              <w:right w:w="100" w:type="dxa"/>
            </w:tcMar>
            <w:vAlign w:val="top"/>
          </w:tcPr>
          <w:p>
            <w:pPr>
              <w:spacing w:after="100" w:line="276" w:lineRule="auto"/>
            </w:pPr>
            <w:r>
              <w:rPr>
                <w:rFonts w:ascii="Arial" w:hAnsi="Arial" w:cs="Arial"/>
                <w:sz w:val="22"/>
                <w:szCs w:val="22"/>
              </w:rPr>
              <w:t>Pending</w:t>
            </w:r>
          </w:p>
        </w:tc>
      </w:tr>
      <w:tr>
        <w:tc>
          <w:tcPr>
            <w:tcW w:w="1100" w:type="dxa"/>
            <w:tcMar>
              <w:top w:w="100" w:type="dxa"/>
              <w:left w:w="100" w:type="dxa"/>
              <w:bottom w:w="100" w:type="dxa"/>
              <w:right w:w="100" w:type="dxa"/>
            </w:tcMar>
            <w:vAlign w:val="top"/>
          </w:tcPr>
          <w:p>
            <w:pPr>
              <w:spacing w:after="100" w:line="276" w:lineRule="auto"/>
            </w:pPr>
            <w:r>
              <w:rPr>
                <w:rFonts w:ascii="Arial" w:hAnsi="Arial" w:cs="Arial"/>
                <w:sz w:val="22"/>
                <w:szCs w:val="22"/>
              </w:rPr>
              <w:t>1.6</w:t>
            </w:r>
          </w:p>
        </w:tc>
        <w:tc>
          <w:tcPr>
            <w:tcW w:w="1700" w:type="dxa"/>
            <w:tcMar>
              <w:top w:w="100" w:type="dxa"/>
              <w:left w:w="100" w:type="dxa"/>
              <w:bottom w:w="100" w:type="dxa"/>
              <w:right w:w="100" w:type="dxa"/>
            </w:tcMar>
            <w:vAlign w:val="top"/>
          </w:tcPr>
          <w:p>
            <w:pPr>
              <w:spacing w:after="100" w:line="276" w:lineRule="auto"/>
            </w:pPr>
            <w:r>
              <w:rPr>
                <w:rFonts w:ascii="Arial" w:hAnsi="Arial" w:cs="Arial"/>
                <w:sz w:val="22"/>
                <w:szCs w:val="22"/>
              </w:rPr>
              <w:t>March 16, 2026</w:t>
            </w:r>
          </w:p>
        </w:tc>
        <w:tc>
          <w:tcPr>
            <w:tcW w:w="4300" w:type="dxa"/>
            <w:tcMar>
              <w:top w:w="100" w:type="dxa"/>
              <w:left w:w="100" w:type="dxa"/>
              <w:bottom w:w="100" w:type="dxa"/>
              <w:right w:w="100" w:type="dxa"/>
            </w:tcMar>
            <w:vAlign w:val="top"/>
          </w:tcPr>
          <w:p>
            <w:pPr>
              <w:spacing w:after="100" w:line="276" w:lineRule="auto"/>
            </w:pPr>
            <w:r>
              <w:rPr>
                <w:rFonts w:ascii="Arial" w:hAnsi="Arial" w:cs="Arial"/>
                <w:sz w:val="22"/>
                <w:szCs w:val="22"/>
              </w:rPr>
              <w:t>Rewrote the SOP into a system-explanation format with Health Monitor menu and monitoring flow.</w:t>
            </w:r>
          </w:p>
        </w:tc>
        <w:tc>
          <w:tcPr>
            <w:tcW w:w="2260" w:type="dxa"/>
            <w:tcMar>
              <w:top w:w="100" w:type="dxa"/>
              <w:left w:w="100" w:type="dxa"/>
              <w:bottom w:w="100" w:type="dxa"/>
              <w:right w:w="100" w:type="dxa"/>
            </w:tcMar>
            <w:vAlign w:val="top"/>
          </w:tcPr>
          <w:p>
            <w:pPr>
              <w:spacing w:after="100" w:line="276" w:lineRule="auto"/>
            </w:pPr>
            <w:r>
              <w:rPr>
                <w:rFonts w:ascii="Arial" w:hAnsi="Arial" w:cs="Arial"/>
                <w:sz w:val="22"/>
                <w:szCs w:val="22"/>
              </w:rPr>
              <w:t>Pending</w:t>
            </w:r>
          </w:p>
        </w:tc>
      </w:tr>
      <w:tr>
        <w:tc>
          <w:tcPr>
            <w:tcW w:w="1100" w:type="dxa"/>
            <w:tcMar>
              <w:top w:w="100" w:type="dxa"/>
              <w:left w:w="100" w:type="dxa"/>
              <w:bottom w:w="100" w:type="dxa"/>
              <w:right w:w="100" w:type="dxa"/>
            </w:tcMar>
            <w:vAlign w:val="top"/>
          </w:tcPr>
          <w:p>
            <w:pPr>
              <w:spacing w:after="100" w:line="276" w:lineRule="auto"/>
            </w:pPr>
            <w:r>
              <w:rPr>
                <w:rFonts w:ascii="Arial" w:hAnsi="Arial" w:cs="Arial"/>
                <w:sz w:val="22"/>
                <w:szCs w:val="22"/>
              </w:rPr>
              <w:t>1.5</w:t>
            </w:r>
          </w:p>
        </w:tc>
        <w:tc>
          <w:tcPr>
            <w:tcW w:w="1700" w:type="dxa"/>
            <w:tcMar>
              <w:top w:w="100" w:type="dxa"/>
              <w:left w:w="100" w:type="dxa"/>
              <w:bottom w:w="100" w:type="dxa"/>
              <w:right w:w="100" w:type="dxa"/>
            </w:tcMar>
            <w:vAlign w:val="top"/>
          </w:tcPr>
          <w:p>
            <w:pPr>
              <w:spacing w:after="100" w:line="276" w:lineRule="auto"/>
            </w:pPr>
            <w:r>
              <w:rPr>
                <w:rFonts w:ascii="Arial" w:hAnsi="Arial" w:cs="Arial"/>
                <w:sz w:val="22"/>
                <w:szCs w:val="22"/>
              </w:rPr>
              <w:t>March 11, 2026</w:t>
            </w:r>
          </w:p>
        </w:tc>
        <w:tc>
          <w:tcPr>
            <w:tcW w:w="4300" w:type="dxa"/>
            <w:tcMar>
              <w:top w:w="100" w:type="dxa"/>
              <w:left w:w="100" w:type="dxa"/>
              <w:bottom w:w="100" w:type="dxa"/>
              <w:right w:w="100" w:type="dxa"/>
            </w:tcMar>
            <w:vAlign w:val="top"/>
          </w:tcPr>
          <w:p>
            <w:pPr>
              <w:spacing w:after="100" w:line="276" w:lineRule="auto"/>
            </w:pPr>
            <w:r>
              <w:rPr>
                <w:rFonts w:ascii="Arial" w:hAnsi="Arial" w:cs="Arial"/>
                <w:sz w:val="22"/>
                <w:szCs w:val="22"/>
              </w:rPr>
              <w:t>Rewrote local Word version and aligned content to current Systems Health Monitor workflow.</w:t>
            </w:r>
          </w:p>
        </w:tc>
        <w:tc>
          <w:tcPr>
            <w:tcW w:w="2260" w:type="dxa"/>
            <w:tcMar>
              <w:top w:w="100" w:type="dxa"/>
              <w:left w:w="100" w:type="dxa"/>
              <w:bottom w:w="100" w:type="dxa"/>
              <w:right w:w="100" w:type="dxa"/>
            </w:tcMar>
            <w:vAlign w:val="top"/>
          </w:tcPr>
          <w:p>
            <w:pPr>
              <w:spacing w:after="100" w:line="276" w:lineRule="auto"/>
            </w:pPr>
            <w:r>
              <w:rPr>
                <w:rFonts w:ascii="Arial" w:hAnsi="Arial" w:cs="Arial"/>
                <w:sz w:val="22"/>
                <w:szCs w:val="22"/>
              </w:rPr>
              <w:t>Pending</w:t>
            </w:r>
          </w:p>
        </w:tc>
      </w:tr>
      <w:tr>
        <w:tc>
          <w:tcPr>
            <w:tcW w:w="1100" w:type="dxa"/>
            <w:tcMar>
              <w:top w:w="100" w:type="dxa"/>
              <w:left w:w="100" w:type="dxa"/>
              <w:bottom w:w="100" w:type="dxa"/>
              <w:right w:w="100" w:type="dxa"/>
            </w:tcMar>
            <w:vAlign w:val="top"/>
          </w:tcPr>
          <w:p>
            <w:pPr>
              <w:spacing w:after="100" w:line="276" w:lineRule="auto"/>
            </w:pPr>
            <w:r>
              <w:rPr>
                <w:rFonts w:ascii="Arial" w:hAnsi="Arial" w:cs="Arial"/>
                <w:sz w:val="22"/>
                <w:szCs w:val="22"/>
              </w:rPr>
              <w:t>1.4</w:t>
            </w:r>
          </w:p>
        </w:tc>
        <w:tc>
          <w:tcPr>
            <w:tcW w:w="1700" w:type="dxa"/>
            <w:tcMar>
              <w:top w:w="100" w:type="dxa"/>
              <w:left w:w="100" w:type="dxa"/>
              <w:bottom w:w="100" w:type="dxa"/>
              <w:right w:w="100" w:type="dxa"/>
            </w:tcMar>
            <w:vAlign w:val="top"/>
          </w:tcPr>
          <w:p>
            <w:pPr>
              <w:spacing w:after="100" w:line="276" w:lineRule="auto"/>
            </w:pPr>
            <w:r>
              <w:rPr>
                <w:rFonts w:ascii="Arial" w:hAnsi="Arial" w:cs="Arial"/>
                <w:sz w:val="22"/>
                <w:szCs w:val="22"/>
              </w:rPr>
              <w:t>March 6, 2026</w:t>
            </w:r>
          </w:p>
        </w:tc>
        <w:tc>
          <w:tcPr>
            <w:tcW w:w="4300" w:type="dxa"/>
            <w:tcMar>
              <w:top w:w="100" w:type="dxa"/>
              <w:left w:w="100" w:type="dxa"/>
              <w:bottom w:w="100" w:type="dxa"/>
              <w:right w:w="100" w:type="dxa"/>
            </w:tcMar>
            <w:vAlign w:val="top"/>
          </w:tcPr>
          <w:p>
            <w:pPr>
              <w:spacing w:after="100" w:line="276" w:lineRule="auto"/>
            </w:pPr>
            <w:r>
              <w:rPr>
                <w:rFonts w:ascii="Arial" w:hAnsi="Arial" w:cs="Arial"/>
                <w:sz w:val="22"/>
                <w:szCs w:val="22"/>
              </w:rPr>
              <w:t>Reformatted to corporate template and aligned to live Systems Health Tracker.</w:t>
            </w:r>
          </w:p>
        </w:tc>
        <w:tc>
          <w:tcPr>
            <w:tcW w:w="2260" w:type="dxa"/>
            <w:tcMar>
              <w:top w:w="100" w:type="dxa"/>
              <w:left w:w="100" w:type="dxa"/>
              <w:bottom w:w="100" w:type="dxa"/>
              <w:right w:w="100" w:type="dxa"/>
            </w:tcMar>
            <w:vAlign w:val="top"/>
          </w:tcPr>
          <w:p>
            <w:pPr>
              <w:spacing w:after="100" w:line="276" w:lineRule="auto"/>
            </w:pPr>
            <w:r>
              <w:rPr>
                <w:rFonts w:ascii="Arial" w:hAnsi="Arial" w:cs="Arial"/>
                <w:sz w:val="22"/>
                <w:szCs w:val="22"/>
              </w:rPr>
              <w:t>Pending</w:t>
            </w:r>
          </w:p>
        </w:tc>
      </w:tr>
    </w:tbl>
    <w:sectPr>
      <w:headerReference r:id="rId27" w:type="default"/>
      <w:footerReference r:id="rId28" w:type="default"/>
      <w:pgSz w:h="15840" w:w="12240" w:orient="portrait"/>
      <w:pgMar w:bottom="1440" w:top="1440" w:left="1440" w:right="1440" w:header="431.9999999999999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ns1="http://schemas.microsoft.com/office/word/2010/wordml" xmlns:w="http://schemas.openxmlformats.org/wordprocessingml/2006/main">
  <w:p w:rsidR="00000000" w:rsidDel="00000000" w:rsidP="00000000" w:rsidRDefault="00000000" w:rsidRPr="00000000" ns1:paraId="00000081">
    <w:pPr>
      <w:jc w:val="center"/>
      <w:rPr/>
    </w:pPr>
    <w:r w:rsidDel="00000000" w:rsidR="00000000" w:rsidRPr="00000000">
      <w:rPr>
        <w:rtl w:val="0"/>
      </w:rPr>
    </w:r>
  </w:p>
  <w:p w:rsidR="00000000" w:rsidDel="00000000" w:rsidP="00000000" w:rsidRDefault="00000000" w:rsidRPr="00000000" ns1:paraId="00000082">
    <w:pPr>
      <w:jc w:val="center"/>
      <w:rPr>
        <w:i w:val="1"/>
        <w:iCs w:val="1"/>
      </w:rPr>
    </w:pPr>
    <w:r w:rsidDel="00000000" w:rsidR="00000000" w:rsidRPr="00000000">
      <w:rPr>
        <w:b w:val="1"/>
        <w:bCs w:val="1"/>
        <w:i w:val="1"/>
        <w:iCs w:val="1"/>
        <w:rtl w:val="0"/>
      </w:rPr>
      <w:t xml:space="preserve">IT-014</w:t>
    </w:r>
    <w:r w:rsidDel="00000000" w:rsidR="00000000" w:rsidRPr="00000000">
      <w:rPr>
        <w:i w:val="1"/>
        <w:iCs w:val="1"/>
        <w:rtl w:val="0"/>
      </w:rPr>
      <w:t xml:space="preserve">  Confidential – For Internal Use Only | MyMagicHealer®</w:t>
    </w:r>
  </w:p>
  <w:p w:rsidR="00000000" w:rsidDel="00000000" w:rsidP="00000000" w:rsidRDefault="00000000" w:rsidRPr="00000000" ns1: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sz w:val="28"/>
        <w:szCs w:val="28"/>
      </w:rPr>
    </w:pPr>
    <w:r w:rsidDel="00000000" w:rsidR="00000000" w:rsidRPr="00000000">
      <w:rPr>
        <w:sz w:val="28"/>
        <w:szCs w:val="28"/>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5.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5505450</wp:posOffset>
          </wp:positionH>
          <wp:positionV relativeFrom="paragraph">
            <wp:posOffset>-160019</wp:posOffset>
          </wp:positionV>
          <wp:extent cx="652463" cy="652463"/>
          <wp:effectExtent b="0" l="0" r="0" t="0"/>
          <wp:wrapNone/>
          <wp:docPr id="12"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652463" cy="652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ns0:Relationships xmlns:ns0="http://schemas.openxmlformats.org/package/2006/relationships"><ns0:Relationship Id="rId20" Type="http://schemas.openxmlformats.org/officeDocument/2006/relationships/hyperlink" Target="https://docs.google.com/spreadsheets/u/0/d/1cud68V-w37u16N9KxMNFP7PmnndOlBE2BjxK2wkyEm4/edit" TargetMode="External" /><ns0:Relationship Id="rId22" Type="http://schemas.openxmlformats.org/officeDocument/2006/relationships/image" Target="media/image13.png" /><ns0:Relationship Id="rId21" Type="http://schemas.openxmlformats.org/officeDocument/2006/relationships/image" Target="media/image8.png" /><ns0:Relationship Id="rId24" Type="http://schemas.openxmlformats.org/officeDocument/2006/relationships/image" Target="media/image5.png" /><ns0:Relationship Id="rId23" Type="http://schemas.openxmlformats.org/officeDocument/2006/relationships/image" Target="media/image9.png" /><ns0:Relationship Id="rId1" Type="http://schemas.openxmlformats.org/officeDocument/2006/relationships/theme" Target="theme/theme1.xml" /><ns0:Relationship Id="rId2" Type="http://schemas.openxmlformats.org/officeDocument/2006/relationships/settings" Target="settings.xml" /><ns0:Relationship Id="rId3" Type="http://schemas.openxmlformats.org/officeDocument/2006/relationships/fontTable" Target="fontTable.xml" /><ns0:Relationship Id="rId4" Type="http://schemas.openxmlformats.org/officeDocument/2006/relationships/numbering" Target="numbering.xml" /><ns0:Relationship Id="rId9" Type="http://schemas.openxmlformats.org/officeDocument/2006/relationships/hyperlink" Target="https://docs.google.com/document/d/1WZ7Nuq5Fzlw3XmUXt3cuBmtGwHCRKcjhdpr1X39T4nU/edit?tab=t.0" TargetMode="External" /><ns0:Relationship Id="rId26" Type="http://schemas.openxmlformats.org/officeDocument/2006/relationships/image" Target="media/image3.png" /><ns0:Relationship Id="rId25" Type="http://schemas.openxmlformats.org/officeDocument/2006/relationships/image" Target="media/image6.png" /><ns0:Relationship Id="rId28" Type="http://schemas.openxmlformats.org/officeDocument/2006/relationships/footer" Target="footer1.xml" /><ns0:Relationship Id="rId27" Type="http://schemas.openxmlformats.org/officeDocument/2006/relationships/header" Target="header1.xml" /><ns0:Relationship Id="rId5" Type="http://schemas.openxmlformats.org/officeDocument/2006/relationships/styles" Target="styles.xml" /><ns0:Relationship Id="rId6" Type="http://schemas.openxmlformats.org/officeDocument/2006/relationships/hyperlink" Target="https://drive.google.com/drive/folders/1-HjUMXSLA-0Om9WIpNr3O7Hi0cFw5UI6" TargetMode="External" /><ns0:Relationship Id="rId7" Type="http://schemas.openxmlformats.org/officeDocument/2006/relationships/hyperlink" Target="https://drive.google.com/drive/folders/1FEa9yPkcHqiHx9VVvzJVZTOngfsNWxj6" TargetMode="External" /><ns0:Relationship Id="rId8" Type="http://schemas.openxmlformats.org/officeDocument/2006/relationships/hyperlink" Target="https://docs.google.com/document/d/1vmf4L1XwXyozdoO0Bdwjf1ZICRQkvjBJriXkmnauq7g/edit?tab=t.0" TargetMode="External" /><ns0:Relationship Id="rId11" Type="http://schemas.openxmlformats.org/officeDocument/2006/relationships/hyperlink" Target="https://drive.google.com/drive/folders/1-HjUMXSLA-0Om9WIpNr3O7Hi0cFw5UI6" TargetMode="External" /><ns0:Relationship Id="rId10" Type="http://schemas.openxmlformats.org/officeDocument/2006/relationships/hyperlink" Target="https://drive.google.com/drive/folders/1jWVPEpLzOwfaN98iEOK-w8Sno0ZfaFJf" TargetMode="External" /><ns0:Relationship Id="rId13" Type="http://schemas.openxmlformats.org/officeDocument/2006/relationships/image" Target="media/image10.png" /><ns0:Relationship Id="rId12" Type="http://schemas.openxmlformats.org/officeDocument/2006/relationships/hyperlink" Target="https://user.clearit.com/auth/login" TargetMode="External" /><ns0:Relationship Id="rId15" Type="http://schemas.openxmlformats.org/officeDocument/2006/relationships/image" Target="media/image14.png" /><ns0:Relationship Id="rId14" Type="http://schemas.openxmlformats.org/officeDocument/2006/relationships/image" Target="media/image7.png" /><ns0:Relationship Id="rId17" Type="http://schemas.openxmlformats.org/officeDocument/2006/relationships/image" Target="media/image4.png" /><ns0:Relationship Id="rId16" Type="http://schemas.openxmlformats.org/officeDocument/2006/relationships/image" Target="media/image1.png" /><ns0:Relationship Id="rId19" Type="http://schemas.openxmlformats.org/officeDocument/2006/relationships/image" Target="media/image2.png" /><ns0:Relationship Id="rId18" Type="http://schemas.openxmlformats.org/officeDocument/2006/relationships/image" Target="media/image11.png" /><ns0:Relationship Id="rId29" Type="http://schemas.openxmlformats.org/officeDocument/2006/relationships/hyperlink" Target="https://docs.google.com/spreadsheets/d/1jnWtdBPzR7DreihCHQASiN7splmRS7HYJTR77GpfI5w/edit" TargetMode="External" /><ns0:Relationship Id="rId30" Type="http://schemas.openxmlformats.org/officeDocument/2006/relationships/hyperlink" Target="https://script.google.com/u/0/home/projects/1TBkee_JgNKnHxxeCbWSp3uJyh5Wg5o_GLowbp0k51DP98GjzzDWN4eS5/edit" TargetMode="External" /><ns0:Relationship Id="rId31" Type="http://schemas.openxmlformats.org/officeDocument/2006/relationships/hyperlink" Target="https://docs.google.com/spreadsheets/d/1WBzed_RMtPC3kii-ybJ3lE4Fo1pAqWBt9OJyCSVR-mQ/edit" TargetMode="External" /><ns0:Relationship Id="rId32" Type="http://schemas.openxmlformats.org/officeDocument/2006/relationships/hyperlink" Target="https://www.ecfr.gov/current/title-21/chapter-I/subchapter-A/part-11" TargetMode="External" /></ns0: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