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666"/>
        <w:tblBorders>
          <w:top w:val="single" w:color="auto" w:sz="4"/>
          <w:left w:val="single" w:color="auto" w:sz="4"/>
          <w:bottom w:val="single" w:color="auto" w:sz="4"/>
          <w:right w:val="single" w:color="auto" w:sz="4"/>
          <w:insideH w:val="single" w:color="auto" w:sz="4"/>
          <w:insideV w:val="single" w:color="auto" w:sz="4"/>
        </w:tblBorders>
      </w:tblPr>
      <w:tblGrid>
        <w:gridCol w:w="10666"/>
      </w:tblGrid>
      <w:tr>
        <w:tc>
          <w:tcPr>
            <w:tcW w:type="dxa" w:w="10666"/>
            <w:tcBorders>
              <w:top w:val="none" w:color="FFFFFF" w:sz="0"/>
              <w:left w:val="none" w:color="FFFFFF" w:sz="0"/>
              <w:bottom w:val="none" w:color="FFFFFF" w:sz="0"/>
              <w:right w:val="none" w:color="FFFFFF" w:sz="0"/>
            </w:tcBorders>
            <w:shd w:fill="12355B" w:color="auto" w:val="clear"/>
            <w:tcMar>
              <w:top w:type="dxa" w:w="110"/>
              <w:left w:type="dxa" w:w="220"/>
              <w:bottom w:type="dxa" w:w="110"/>
              <w:right w:type="dxa" w:w="220"/>
            </w:tcMar>
          </w:tcPr>
          <w:p>
            <w:pPr>
              <w:spacing w:after="20"/>
            </w:pPr>
            <w:r>
              <w:rPr>
                <w:rFonts w:ascii="Arial" w:cs="Arial" w:eastAsia="Arial" w:hAnsi="Arial"/>
                <w:b/>
                <w:bCs/>
                <w:color w:val="FFFFFF"/>
                <w:sz w:val="40"/>
                <w:szCs w:val="40"/>
              </w:rPr>
              <w:t>AALI AI   Feni &amp; Sylhet Flash-Flood Resilience</w:t>
            </w:r>
            <w:r>
              <w:rPr>
                <w:rFonts w:ascii="Arial" w:cs="Arial" w:eastAsia="Arial" w:hAnsi="Arial"/>
                <w:color w:val="BFD8E6"/>
                <w:sz w:val="22"/>
                <w:szCs w:val="22"/>
              </w:rPr>
            </w:r>
          </w:p>
          <w:p>
            <w:pPr>
              <w:spacing w:after="20"/>
            </w:pPr>
            <w:r>
              <w:rPr>
                <w:rFonts w:ascii="Arial" w:cs="Arial" w:eastAsia="Arial" w:hAnsi="Arial"/>
                <w:b/>
                <w:bCs/>
                <w:color w:val="FFD36B"/>
                <w:sz w:val="28"/>
                <w:szCs w:val="28"/>
              </w:rPr>
              <w:t xml:space="preserve">When the towers die, the SOS doesn’t.</w:t>
            </w:r>
          </w:p>
          <w:p>
            <w:pPr>
              <w:spacing w:after="0"/>
            </w:pPr>
            <w:r>
              <w:rPr>
                <w:rFonts w:ascii="Arial" w:cs="Arial" w:eastAsia="Arial" w:hAnsi="Arial"/>
                <w:color w:val="D5E3EC"/>
                <w:sz w:val="15"/>
                <w:szCs w:val="15"/>
              </w:rPr>
              <w:t>Early warning, zero-tower rescue, and fair recovery for Feni &amp; Sylhet, built for the satellite-to-phone era.   Hack for Humanity 2026 · Track 1: Climate Resilience · Team: Aali AI Resilience Core</w:t>
            </w:r>
          </w:p>
        </w:tc>
      </w:tr>
    </w:tbl>
    <w:p>
      <w:pPr>
        <w:spacing w:after="0" w:before="0" w:line="70"/>
      </w:pPr>
      <w:r>
        <w:rPr>
          <w:sz w:val="2"/>
          <w:szCs w:val="2"/>
        </w:rPr>
        <w:t xml:space="preserve"/>
      </w:r>
    </w:p>
    <w:tbl>
      <w:tblPr>
        <w:tblW w:type="dxa" w:w="10666"/>
        <w:tblBorders>
          <w:top w:val="single" w:color="auto" w:sz="4"/>
          <w:left w:val="single" w:color="auto" w:sz="4"/>
          <w:bottom w:val="single" w:color="auto" w:sz="4"/>
          <w:right w:val="single" w:color="auto" w:sz="4"/>
          <w:insideH w:val="single" w:color="auto" w:sz="4"/>
          <w:insideV w:val="single" w:color="auto" w:sz="4"/>
        </w:tblBorders>
      </w:tblPr>
      <w:tblGrid>
        <w:gridCol w:w="10666"/>
      </w:tblGrid>
      <w:tr>
        <w:trPr>
          <w:cantSplit/>
        </w:trPr>
        <w:tc>
          <w:tcPr>
            <w:tcW w:type="dxa" w:w="10666"/>
            <w:tcBorders>
              <w:top w:val="none" w:color="FFFFFF" w:sz="0"/>
              <w:left w:val="single" w:color="E8A200" w:sz="24"/>
              <w:bottom w:val="none" w:color="FFFFFF" w:sz="0"/>
              <w:right w:val="none" w:color="FFFFFF" w:sz="0"/>
            </w:tcBorders>
            <w:shd w:fill="FFF6DD" w:color="auto" w:val="clear"/>
            <w:tcMar>
              <w:top w:type="dxa" w:w="100"/>
              <w:left w:type="dxa" w:w="170"/>
              <w:bottom w:type="dxa" w:w="100"/>
              <w:right w:type="dxa" w:w="150"/>
            </w:tcMar>
          </w:tcPr>
          <w:p>
            <w:pPr>
              <w:spacing w:after="30" w:before="0" w:line="252"/>
            </w:pPr>
            <w:r>
              <w:rPr>
                <w:rFonts w:ascii="Arial" w:cs="Arial" w:eastAsia="Arial" w:hAnsi="Arial"/>
                <w:b/>
                <w:bCs/>
                <w:color w:val="0E7C86"/>
                <w:sz w:val="14"/>
                <w:szCs w:val="14"/>
              </w:rPr>
              <w:t>ONE NIGHT IN FENI &amp; SYLHET</w:t>
            </w:r>
            <w:r>
              <w:rPr>
                <w:rFonts w:ascii="Arial" w:cs="Arial" w:eastAsia="Arial" w:hAnsi="Arial"/>
                <w:color w:val="0E7C86"/>
                <w:sz w:val="14"/>
                <w:szCs w:val="14"/>
              </w:rPr>
              <w:t xml:space="preserve"> (a composite scene built from reported accounts </w:t>
            </w:r>
            <w:r>
              <w:rPr>
                <w:rFonts w:ascii="Arial" w:cs="Arial" w:eastAsia="Arial" w:hAnsi="Arial"/>
                <w:color w:val="0E7C86"/>
                <w:sz w:val="12"/>
                <w:szCs w:val="12"/>
                <w:vertAlign w:val="superscript"/>
              </w:rPr>
              <w:t xml:space="preserve">[2]</w:t>
            </w:r>
            <w:r>
              <w:rPr>
                <w:rFonts w:ascii="Arial" w:cs="Arial" w:eastAsia="Arial" w:hAnsi="Arial"/>
                <w:color w:val="0E7C86"/>
                <w:sz w:val="14"/>
                <w:szCs w:val="14"/>
              </w:rPr>
              <w:t xml:space="preserve">)</w:t>
            </w:r>
          </w:p>
          <w:p>
            <w:pPr>
              <w:spacing w:after="0" w:before="0" w:line="252"/>
            </w:pPr>
            <w:r>
              <w:rPr>
                <w:rFonts w:ascii="Arial" w:cs="Arial" w:eastAsia="Arial" w:hAnsi="Arial"/>
                <w:color w:val="1F2933"/>
                <w:sz w:val="21"/>
                <w:szCs w:val="21"/>
              </w:rPr>
              <w:t>Rain from the Indian hills has fallen for days. On 21 August 2024 the water reaches the villages, and by nightfall a school shelter is full of families. The lights are out. Within two days 605–616 of Feni’s 653 mobile towers are dead [1], and one of the few ways out of the district is a handful of volunteer radio operators [2]. Similar communication collapse isolated Sylhet in 2022 and 2024. A father holds up his phone: no bars. Now picture the same room with Aali. His phone sends one SMS, straight to a satellite if it must. A rescue officer sees it appear on a map, merged with two others from the same school, with a confidence score and a boat ranked to it.</w:t>
            </w:r>
            <w:r>
              <w:rPr>
                <w:rFonts w:ascii="Arial" w:cs="Arial" w:eastAsia="Arial" w:hAnsi="Arial"/>
                <w:color w:val="0E7C86"/>
                <w:sz w:val="17"/>
                <w:szCs w:val="17"/>
                <w:vertAlign w:val="superscript"/>
              </w:rPr>
            </w:r>
            <w:r>
              <w:rPr>
                <w:rFonts w:ascii="Arial" w:cs="Arial" w:eastAsia="Arial" w:hAnsi="Arial"/>
                <w:color w:val="1F2933"/>
                <w:sz w:val="21"/>
                <w:szCs w:val="21"/>
              </w:rPr>
            </w:r>
            <w:r>
              <w:rPr>
                <w:rFonts w:ascii="Arial" w:cs="Arial" w:eastAsia="Arial" w:hAnsi="Arial"/>
                <w:color w:val="0E7C86"/>
                <w:sz w:val="17"/>
                <w:szCs w:val="17"/>
                <w:vertAlign w:val="superscript"/>
              </w:rPr>
            </w:r>
            <w:r>
              <w:rPr>
                <w:rFonts w:ascii="Arial" w:cs="Arial" w:eastAsia="Arial" w:hAnsi="Arial"/>
                <w:color w:val="1F2933"/>
                <w:sz w:val="21"/>
                <w:szCs w:val="21"/>
              </w:rPr>
            </w:r>
            <w:r>
              <w:rPr>
                <w:rFonts w:ascii="Arial" w:cs="Arial" w:eastAsia="Arial" w:hAnsi="Arial"/>
                <w:b/>
                <w:bCs/>
                <w:color w:val="1F2933"/>
                <w:sz w:val="21"/>
                <w:szCs w:val="21"/>
              </w:rPr>
            </w:r>
            <w:r>
              <w:rPr>
                <w:rFonts w:ascii="Arial" w:cs="Arial" w:eastAsia="Arial" w:hAnsi="Arial"/>
                <w:color w:val="1F2933"/>
                <w:sz w:val="21"/>
                <w:szCs w:val="21"/>
              </w:rPr>
            </w:r>
          </w:p>
        </w:tc>
      </w:tr>
    </w:tbl>
    <w:p>
      <w:pPr>
        <w:spacing w:after="0" w:before="0" w:line="70"/>
      </w:pPr>
      <w:r>
        <w:rPr>
          <w:sz w:val="2"/>
          <w:szCs w:val="2"/>
        </w:rPr>
        <w:t xml:space="preserve"/>
      </w:r>
    </w:p>
    <w:tbl>
      <w:tblPr>
        <w:tblW w:type="dxa" w:w="10666"/>
        <w:tblBorders>
          <w:top w:val="single" w:color="auto" w:sz="4"/>
          <w:left w:val="single" w:color="auto" w:sz="4"/>
          <w:bottom w:val="single" w:color="auto" w:sz="4"/>
          <w:right w:val="single" w:color="auto" w:sz="4"/>
          <w:insideH w:val="single" w:color="auto" w:sz="4"/>
          <w:insideV w:val="single" w:color="auto" w:sz="4"/>
        </w:tblBorders>
      </w:tblPr>
      <w:tblGrid>
        <w:gridCol w:w="2666"/>
        <w:gridCol w:w="2666"/>
        <w:gridCol w:w="2667"/>
        <w:gridCol w:w="2667"/>
      </w:tblGrid>
      <w:tr>
        <w:tc>
          <w:tcPr>
            <w:tcW w:type="dxa" w:w="2666"/>
            <w:tcBorders>
              <w:top w:val="single" w:color="FFFFFF" w:sz="4"/>
              <w:left w:val="single" w:color="FFFFFF" w:sz="4"/>
              <w:bottom w:val="single" w:color="FFFFFF" w:sz="4"/>
              <w:right w:val="single" w:color="FFFFFF" w:sz="4"/>
            </w:tcBorders>
            <w:shd w:fill="EAF3F5" w:color="auto" w:val="clear"/>
            <w:tcMar>
              <w:top w:type="dxa" w:w="60"/>
              <w:left w:type="dxa" w:w="110"/>
              <w:bottom w:type="dxa" w:w="60"/>
              <w:right w:type="dxa" w:w="110"/>
            </w:tcMar>
            <w:vAlign w:val="top"/>
          </w:tcPr>
          <w:p>
            <w:pPr>
              <w:spacing w:after="0" w:before="0" w:line="280"/>
              <w:jc w:val="center"/>
            </w:pPr>
            <w:r>
              <w:rPr>
                <w:rFonts w:ascii="Arial" w:cs="Arial" w:eastAsia="Arial" w:hAnsi="Arial"/>
                <w:b/>
                <w:bCs/>
                <w:color w:val="12355B"/>
                <w:sz w:val="30"/>
                <w:szCs w:val="30"/>
              </w:rPr>
              <w:t xml:space="preserve">605–616 / 653</w:t>
            </w:r>
          </w:p>
          <w:p>
            <w:pPr>
              <w:spacing w:after="0" w:before="0" w:line="210"/>
              <w:jc w:val="center"/>
            </w:pPr>
            <w:r>
              <w:rPr>
                <w:rFonts w:ascii="Arial" w:cs="Arial" w:eastAsia="Arial" w:hAnsi="Arial"/>
                <w:color w:val="5B6770"/>
                <w:sz w:val="15"/>
                <w:szCs w:val="15"/>
              </w:rPr>
              <w:t xml:space="preserve">Feni towers down by 23–24 Aug 2024 </w:t>
            </w:r>
            <w:r>
              <w:rPr>
                <w:rFonts w:ascii="Arial" w:cs="Arial" w:eastAsia="Arial" w:hAnsi="Arial"/>
                <w:color w:val="0E7C86"/>
                <w:sz w:val="12"/>
                <w:szCs w:val="12"/>
                <w:vertAlign w:val="superscript"/>
              </w:rPr>
              <w:t xml:space="preserve">[1]</w:t>
            </w:r>
          </w:p>
        </w:tc>
        <w:tc>
          <w:tcPr>
            <w:tcW w:type="dxa" w:w="2666"/>
            <w:tcBorders>
              <w:top w:val="single" w:color="FFFFFF" w:sz="4"/>
              <w:left w:val="single" w:color="FFFFFF" w:sz="4"/>
              <w:bottom w:val="single" w:color="FFFFFF" w:sz="4"/>
              <w:right w:val="single" w:color="FFFFFF" w:sz="4"/>
            </w:tcBorders>
            <w:shd w:fill="EAF3F5" w:color="auto" w:val="clear"/>
            <w:tcMar>
              <w:top w:type="dxa" w:w="60"/>
              <w:left w:type="dxa" w:w="110"/>
              <w:bottom w:type="dxa" w:w="60"/>
              <w:right w:type="dxa" w:w="110"/>
            </w:tcMar>
            <w:vAlign w:val="top"/>
          </w:tcPr>
          <w:p>
            <w:pPr>
              <w:spacing w:after="0" w:before="0" w:line="280"/>
              <w:jc w:val="center"/>
            </w:pPr>
            <w:r>
              <w:rPr>
                <w:rFonts w:ascii="Arial" w:cs="Arial" w:eastAsia="Arial" w:hAnsi="Arial"/>
                <w:b/>
                <w:bCs/>
                <w:color w:val="12355B"/>
                <w:sz w:val="30"/>
                <w:szCs w:val="30"/>
              </w:rPr>
              <w:t xml:space="preserve">+6.92 m in 15 h</w:t>
            </w:r>
          </w:p>
          <w:p>
            <w:pPr>
              <w:spacing w:after="0" w:before="0" w:line="210"/>
              <w:jc w:val="center"/>
            </w:pPr>
            <w:r>
              <w:rPr>
                <w:rFonts w:ascii="Arial" w:cs="Arial" w:eastAsia="Arial" w:hAnsi="Arial"/>
                <w:color w:val="5B6770"/>
                <w:sz w:val="15"/>
                <w:szCs w:val="15"/>
              </w:rPr>
              <w:t xml:space="preserve">Muhuri rise at Parshuram, July 2025 </w:t>
            </w:r>
            <w:r>
              <w:rPr>
                <w:rFonts w:ascii="Arial" w:cs="Arial" w:eastAsia="Arial" w:hAnsi="Arial"/>
                <w:color w:val="0E7C86"/>
                <w:sz w:val="12"/>
                <w:szCs w:val="12"/>
                <w:vertAlign w:val="superscript"/>
              </w:rPr>
              <w:t xml:space="preserve">[3]</w:t>
            </w:r>
          </w:p>
        </w:tc>
        <w:tc>
          <w:tcPr>
            <w:tcW w:type="dxa" w:w="2667"/>
            <w:tcBorders>
              <w:top w:val="single" w:color="FFFFFF" w:sz="4"/>
              <w:left w:val="single" w:color="FFFFFF" w:sz="4"/>
              <w:bottom w:val="single" w:color="FFFFFF" w:sz="4"/>
              <w:right w:val="single" w:color="FFFFFF" w:sz="4"/>
            </w:tcBorders>
            <w:shd w:fill="EAF3F5" w:color="auto" w:val="clear"/>
            <w:tcMar>
              <w:top w:type="dxa" w:w="60"/>
              <w:left w:type="dxa" w:w="110"/>
              <w:bottom w:type="dxa" w:w="60"/>
              <w:right w:type="dxa" w:w="110"/>
            </w:tcMar>
            <w:vAlign w:val="top"/>
          </w:tcPr>
          <w:p>
            <w:pPr>
              <w:spacing w:after="0" w:before="0" w:line="280"/>
              <w:jc w:val="center"/>
            </w:pPr>
            <w:r>
              <w:rPr>
                <w:rFonts w:ascii="Arial" w:cs="Arial" w:eastAsia="Arial" w:hAnsi="Arial"/>
                <w:b/>
                <w:bCs/>
                <w:color w:val="12355B"/>
                <w:sz w:val="30"/>
                <w:szCs w:val="30"/>
              </w:rPr>
              <w:t xml:space="preserve">4–8 hours</w:t>
            </w:r>
          </w:p>
          <w:p>
            <w:pPr>
              <w:spacing w:after="0" w:before="0" w:line="210"/>
              <w:jc w:val="center"/>
            </w:pPr>
            <w:r>
              <w:rPr>
                <w:rFonts w:ascii="Arial" w:cs="Arial" w:eastAsia="Arial" w:hAnsi="Arial"/>
                <w:color w:val="5B6770"/>
                <w:sz w:val="15"/>
                <w:szCs w:val="15"/>
              </w:rPr>
              <w:t xml:space="preserve">typical tower battery backup, then silence </w:t>
            </w:r>
            <w:r>
              <w:rPr>
                <w:rFonts w:ascii="Arial" w:cs="Arial" w:eastAsia="Arial" w:hAnsi="Arial"/>
                <w:color w:val="0E7C86"/>
                <w:sz w:val="12"/>
                <w:szCs w:val="12"/>
                <w:vertAlign w:val="superscript"/>
              </w:rPr>
              <w:t xml:space="preserve">[4]</w:t>
            </w:r>
          </w:p>
        </w:tc>
        <w:tc>
          <w:tcPr>
            <w:tcW w:type="dxa" w:w="2667"/>
            <w:tcBorders>
              <w:top w:val="single" w:color="FFFFFF" w:sz="4"/>
              <w:left w:val="single" w:color="FFFFFF" w:sz="4"/>
              <w:bottom w:val="single" w:color="FFFFFF" w:sz="4"/>
              <w:right w:val="single" w:color="FFFFFF" w:sz="4"/>
            </w:tcBorders>
            <w:shd w:fill="EAF3F5" w:color="auto" w:val="clear"/>
            <w:tcMar>
              <w:top w:type="dxa" w:w="60"/>
              <w:left w:type="dxa" w:w="110"/>
              <w:bottom w:type="dxa" w:w="60"/>
              <w:right w:type="dxa" w:w="110"/>
            </w:tcMar>
            <w:vAlign w:val="top"/>
          </w:tcPr>
          <w:p>
            <w:pPr>
              <w:spacing w:after="0" w:before="0" w:line="280"/>
              <w:jc w:val="center"/>
            </w:pPr>
            <w:r>
              <w:rPr>
                <w:rFonts w:ascii="Arial" w:cs="Arial" w:eastAsia="Arial" w:hAnsi="Arial"/>
                <w:b/>
                <w:bCs/>
                <w:color w:val="12355B"/>
                <w:sz w:val="30"/>
                <w:szCs w:val="30"/>
              </w:rPr>
              <w:t xml:space="preserve">1 SMS</w:t>
            </w:r>
          </w:p>
          <w:p>
            <w:pPr>
              <w:spacing w:after="0" w:before="0" w:line="210"/>
              <w:jc w:val="center"/>
            </w:pPr>
            <w:r>
              <w:rPr>
                <w:rFonts w:ascii="Arial" w:cs="Arial" w:eastAsia="Arial" w:hAnsi="Arial"/>
                <w:color w:val="5B6770"/>
                <w:sz w:val="15"/>
                <w:szCs w:val="15"/>
              </w:rPr>
              <w:t xml:space="preserve">is all an SOS needs to carry</w:t>
            </w:r>
          </w:p>
        </w:tc>
      </w:tr>
    </w:tbl>
    <w:p>
      <w:pPr>
        <w:spacing w:after="0" w:before="0" w:line="70"/>
      </w:pPr>
      <w:r>
        <w:rPr>
          <w:sz w:val="2"/>
          <w:szCs w:val="2"/>
        </w:rPr>
        <w:t xml:space="preserve"/>
      </w:r>
    </w:p>
    <w:tbl>
      <w:tblPr>
        <w:tblW w:type="dxa" w:w="10666"/>
        <w:tblBorders>
          <w:top w:val="single" w:color="auto" w:sz="4"/>
          <w:left w:val="single" w:color="auto" w:sz="4"/>
          <w:bottom w:val="single" w:color="auto" w:sz="4"/>
          <w:right w:val="single" w:color="auto" w:sz="4"/>
          <w:insideH w:val="single" w:color="auto" w:sz="4"/>
          <w:insideV w:val="single" w:color="auto" w:sz="4"/>
        </w:tblBorders>
      </w:tblPr>
      <w:tblGrid>
        <w:gridCol w:w="10666"/>
      </w:tblGrid>
      <w:tr>
        <w:tc>
          <w:tcPr>
            <w:tcW w:type="dxa" w:w="10666"/>
            <w:tcBorders>
              <w:top w:val="none" w:color="FFFFFF" w:sz="0"/>
              <w:left w:val="none" w:color="FFFFFF" w:sz="0"/>
              <w:bottom w:val="none" w:color="FFFFFF" w:sz="0"/>
              <w:right w:val="none" w:color="FFFFFF" w:sz="0"/>
            </w:tcBorders>
            <w:shd w:fill="F4F6F8" w:color="auto" w:val="clear"/>
            <w:tcMar>
              <w:top w:type="dxa" w:w="80"/>
              <w:left w:type="dxa" w:w="170"/>
              <w:bottom w:type="dxa" w:w="80"/>
              <w:right w:type="dxa" w:w="110"/>
            </w:tcMar>
            <w:vAlign w:val="top"/>
          </w:tcPr>
          <w:p>
            <w:pPr>
              <w:spacing w:after="0" w:before="0" w:line="252"/>
            </w:pPr>
            <w:r>
              <w:rPr>
                <w:rFonts w:ascii="Arial" w:cs="Arial" w:eastAsia="Arial" w:hAnsi="Arial"/>
                <w:b/>
                <w:bCs/>
                <w:color w:val="1F2933"/>
                <w:sz w:val="21"/>
                <w:szCs w:val="21"/>
              </w:rPr>
              <w:t xml:space="preserve">WHY NOW.</w:t>
            </w:r>
            <w:r>
              <w:rPr>
                <w:rFonts w:ascii="Arial" w:cs="Arial" w:eastAsia="Arial" w:hAnsi="Arial"/>
                <w:color w:val="1F2933"/>
                <w:sz w:val="21"/>
                <w:szCs w:val="21"/>
              </w:rPr>
              <w:t xml:space="preserve"> On 7 Oct 2026 Banglalink launched satellite-to-phone: any 4G phone, no dish </w:t>
            </w:r>
            <w:r>
              <w:rPr>
                <w:rFonts w:ascii="Arial" w:cs="Arial" w:eastAsia="Arial" w:hAnsi="Arial"/>
                <w:color w:val="0E7C86"/>
                <w:sz w:val="17"/>
                <w:szCs w:val="17"/>
                <w:vertAlign w:val="superscript"/>
              </w:rPr>
              <w:t xml:space="preserve">[5]</w:t>
            </w:r>
            <w:r>
              <w:rPr>
                <w:rFonts w:ascii="Arial" w:cs="Arial" w:eastAsia="Arial" w:hAnsi="Arial"/>
                <w:color w:val="1F2933"/>
                <w:sz w:val="21"/>
                <w:szCs w:val="21"/>
              </w:rPr>
              <w:t xml:space="preserve">. Bangladesh is drafting its National Emergency Telecommunication Plan and a cell-broadcast warning system </w:t>
            </w:r>
            <w:r>
              <w:rPr>
                <w:rFonts w:ascii="Arial" w:cs="Arial" w:eastAsia="Arial" w:hAnsi="Arial"/>
                <w:color w:val="0E7C86"/>
                <w:sz w:val="17"/>
                <w:szCs w:val="17"/>
                <w:vertAlign w:val="superscript"/>
              </w:rPr>
              <w:t xml:space="preserve">[6]</w:t>
            </w:r>
            <w:r>
              <w:rPr>
                <w:rFonts w:ascii="Arial" w:cs="Arial" w:eastAsia="Arial" w:hAnsi="Arial"/>
                <w:color w:val="1F2933"/>
                <w:sz w:val="21"/>
                <w:szCs w:val="21"/>
              </w:rPr>
              <w:t xml:space="preserve">, yet in 2024 the national emergency telecom system promised after the 2022 Sylhet flood still did not exist </w:t>
            </w:r>
            <w:r>
              <w:rPr>
                <w:rFonts w:ascii="Arial" w:cs="Arial" w:eastAsia="Arial" w:hAnsi="Arial"/>
                <w:color w:val="0E7C86"/>
                <w:sz w:val="17"/>
                <w:szCs w:val="17"/>
                <w:vertAlign w:val="superscript"/>
              </w:rPr>
              <w:t xml:space="preserve">[4]</w:t>
            </w:r>
            <w:r>
              <w:rPr>
                <w:rFonts w:ascii="Arial" w:cs="Arial" w:eastAsia="Arial" w:hAnsi="Arial"/>
                <w:color w:val="1F2933"/>
                <w:sz w:val="21"/>
                <w:szCs w:val="21"/>
              </w:rPr>
              <w:t xml:space="preserve">. </w:t>
            </w:r>
            <w:r>
              <w:rPr>
                <w:rFonts w:ascii="Arial" w:cs="Arial" w:eastAsia="Arial" w:hAnsi="Arial"/>
                <w:b/>
                <w:bCs/>
                <w:color w:val="1F2933"/>
                <w:sz w:val="21"/>
                <w:szCs w:val="21"/>
              </w:rPr>
              <w:t xml:space="preserve">The signal now exists. What is missing is the system that turns it into a warning, an SOS and a rescue map.</w:t>
            </w:r>
          </w:p>
        </w:tc>
      </w:tr>
    </w:tbl>
    <w:p>
      <w:pPr>
        <w:spacing w:after="0" w:before="0" w:line="70"/>
      </w:pPr>
      <w:r>
        <w:rPr>
          <w:sz w:val="2"/>
          <w:szCs w:val="2"/>
        </w:rPr>
        <w:t xml:space="preserve"/>
      </w:r>
    </w:p>
    <w:tbl>
      <w:tblPr>
        <w:tblW w:type="dxa" w:w="10666"/>
        <w:tblBorders>
          <w:top w:val="single" w:color="auto" w:sz="4"/>
          <w:left w:val="single" w:color="auto" w:sz="4"/>
          <w:bottom w:val="single" w:color="auto" w:sz="4"/>
          <w:right w:val="single" w:color="auto" w:sz="4"/>
          <w:insideH w:val="single" w:color="auto" w:sz="4"/>
          <w:insideV w:val="single" w:color="auto" w:sz="4"/>
        </w:tblBorders>
      </w:tblPr>
      <w:tblGrid>
        <w:gridCol w:w="3555"/>
        <w:gridCol w:w="3555"/>
        <w:gridCol w:w="3556"/>
      </w:tblGrid>
      <w:tr>
        <w:tc>
          <w:tcPr>
            <w:tcW w:type="dxa" w:w="3555"/>
            <w:tcBorders>
              <w:top w:val="single" w:color="0E7C86" w:sz="24"/>
              <w:left w:val="single" w:color="C9D3DA" w:sz="4"/>
              <w:bottom w:val="single" w:color="C9D3DA" w:sz="4"/>
              <w:right w:val="single" w:color="C9D3DA" w:sz="4"/>
            </w:tcBorders>
            <w:tcMar>
              <w:top w:type="dxa" w:w="70"/>
              <w:left w:type="dxa" w:w="110"/>
              <w:bottom w:type="dxa" w:w="50"/>
              <w:right w:type="dxa" w:w="110"/>
            </w:tcMar>
            <w:vAlign w:val="top"/>
          </w:tcPr>
          <w:p>
            <w:pPr>
              <w:spacing w:after="10" w:before="0" w:line="252"/>
            </w:pPr>
            <w:r>
              <w:rPr>
                <w:rFonts w:ascii="Arial" w:cs="Arial" w:eastAsia="Arial" w:hAnsi="Arial"/>
                <w:b/>
                <w:bCs/>
                <w:color w:val="0E7C86"/>
                <w:sz w:val="14"/>
                <w:szCs w:val="14"/>
              </w:rPr>
              <w:t xml:space="preserve">BEFORE · warn earlier</w:t>
            </w:r>
          </w:p>
          <w:p>
            <w:pPr>
              <w:spacing w:after="40" w:before="0" w:line="230"/>
            </w:pPr>
            <w:r>
              <w:rPr>
                <w:rFonts w:ascii="Arial" w:cs="Arial" w:eastAsia="Arial" w:hAnsi="Arial"/>
                <w:b/>
                <w:bCs/>
                <w:color w:val="12355B"/>
                <w:sz w:val="19"/>
                <w:szCs w:val="19"/>
              </w:rPr>
              <w:t xml:space="preserve">An alert that survives a dead gauge</w:t>
            </w:r>
          </w:p>
          <w:p>
            <w:pPr>
              <w:spacing w:after="60" w:before="0" w:line="246"/>
            </w:pPr>
            <w:r>
              <w:rPr>
                <w:rFonts w:ascii="Arial" w:cs="Arial" w:eastAsia="Arial" w:hAnsi="Arial"/>
                <w:color w:val="1F2933"/>
                <w:sz w:val="19"/>
                <w:szCs w:val="19"/>
              </w:rPr>
              <w:t xml:space="preserve">Three signals for the Muhuri and Surma rivers: gauge rate-of-rise, satellite rainfall, and a volunteer’s SMS reading from a staff gauge. A </w:t>
            </w:r>
            <w:r>
              <w:rPr>
                <w:rFonts w:ascii="Arial" w:cs="Arial" w:eastAsia="Arial" w:hAnsi="Arial"/>
                <w:b/>
                <w:bCs/>
                <w:color w:val="1F2933"/>
                <w:sz w:val="19"/>
                <w:szCs w:val="19"/>
              </w:rPr>
              <w:t xml:space="preserve">silent gauge raises</w:t>
            </w:r>
            <w:r>
              <w:rPr>
                <w:rFonts w:ascii="Arial" w:cs="Arial" w:eastAsia="Arial" w:hAnsi="Arial"/>
                <w:color w:val="1F2933"/>
                <w:sz w:val="19"/>
                <w:szCs w:val="19"/>
              </w:rPr>
              <w:t xml:space="preserve"> the alert.</w:t>
            </w:r>
          </w:p>
          <w:p>
            <w:pPr>
              <w:spacing w:after="60" w:before="0" w:line="246"/>
            </w:pPr>
            <w:r>
              <w:rPr>
                <w:rFonts w:ascii="Arial" w:cs="Arial" w:eastAsia="Arial" w:hAnsi="Arial"/>
                <w:color w:val="1F2933"/>
                <w:sz w:val="19"/>
                <w:szCs w:val="19"/>
              </w:rPr>
              <w:t>Ward-level Bangla warnings go out through operators, backed by automated mosque loudspeaker (মাইকিং) audio synthesis.</w:t>
            </w:r>
          </w:p>
        </w:tc>
        <w:tc>
          <w:tcPr>
            <w:tcW w:type="dxa" w:w="3555"/>
            <w:tcBorders>
              <w:top w:val="single" w:color="B3382C" w:sz="24"/>
              <w:left w:val="single" w:color="C9D3DA" w:sz="4"/>
              <w:bottom w:val="single" w:color="C9D3DA" w:sz="4"/>
              <w:right w:val="single" w:color="C9D3DA" w:sz="4"/>
            </w:tcBorders>
            <w:tcMar>
              <w:top w:type="dxa" w:w="70"/>
              <w:left w:type="dxa" w:w="110"/>
              <w:bottom w:type="dxa" w:w="50"/>
              <w:right w:type="dxa" w:w="110"/>
            </w:tcMar>
            <w:vAlign w:val="top"/>
          </w:tcPr>
          <w:p>
            <w:pPr>
              <w:spacing w:after="10" w:before="0" w:line="252"/>
            </w:pPr>
            <w:r>
              <w:rPr>
                <w:rFonts w:ascii="Arial" w:cs="Arial" w:eastAsia="Arial" w:hAnsi="Arial"/>
                <w:b/>
                <w:bCs/>
                <w:color w:val="B3382C"/>
                <w:sz w:val="14"/>
                <w:szCs w:val="14"/>
              </w:rPr>
              <w:t xml:space="preserve">DURING · get the SOS out</w:t>
            </w:r>
          </w:p>
          <w:p>
            <w:pPr>
              <w:spacing w:after="40" w:before="0" w:line="230"/>
            </w:pPr>
            <w:r>
              <w:rPr>
                <w:rFonts w:ascii="Arial" w:cs="Arial" w:eastAsia="Arial" w:hAnsi="Arial"/>
                <w:b/>
                <w:bCs/>
                <w:color w:val="12355B"/>
                <w:sz w:val="19"/>
                <w:szCs w:val="19"/>
              </w:rPr>
              <w:t xml:space="preserve">A rescue map that works with no tower</w:t>
            </w:r>
          </w:p>
          <w:p>
            <w:pPr>
              <w:spacing w:after="60" w:before="0" w:line="246"/>
            </w:pPr>
            <w:r>
              <w:rPr>
                <w:rFonts w:ascii="Arial" w:cs="Arial" w:eastAsia="Arial" w:hAnsi="Arial"/>
                <w:color w:val="1F2933"/>
                <w:sz w:val="19"/>
                <w:szCs w:val="19"/>
              </w:rPr>
              <w:t>One-SMS SOS, over towers or satellite, lands on Aali automatically. Duplicates merge, silent villages are flagged (no calls is not safety) and scarce boats are ranked with night spotlight checks (zero auto-dispatch).</w:t>
            </w:r>
            <w:r>
              <w:rPr>
                <w:rFonts w:ascii="Arial" w:cs="Arial" w:eastAsia="Arial" w:hAnsi="Arial"/>
                <w:b/>
                <w:bCs/>
                <w:color w:val="1F2933"/>
                <w:sz w:val="19"/>
                <w:szCs w:val="19"/>
              </w:rPr>
            </w:r>
            <w:r>
              <w:rPr>
                <w:rFonts w:ascii="Arial" w:cs="Arial" w:eastAsia="Arial" w:hAnsi="Arial"/>
                <w:color w:val="1F2933"/>
                <w:sz w:val="19"/>
                <w:szCs w:val="19"/>
              </w:rPr>
            </w:r>
          </w:p>
          <w:p>
            <w:pPr>
              <w:spacing w:after="60" w:before="0" w:line="246"/>
            </w:pPr>
            <w:r>
              <w:rPr>
                <w:rFonts w:ascii="Arial" w:cs="Arial" w:eastAsia="Arial" w:hAnsi="Arial"/>
                <w:color w:val="1F2933"/>
                <w:sz w:val="19"/>
                <w:szCs w:val="19"/>
              </w:rPr>
              <w:t xml:space="preserve">In 2024 the Red Crescent hotline took 10–12 calls a minute with no shared picture </w:t>
            </w:r>
            <w:r>
              <w:rPr>
                <w:rFonts w:ascii="Arial" w:cs="Arial" w:eastAsia="Arial" w:hAnsi="Arial"/>
                <w:color w:val="0E7C86"/>
                <w:sz w:val="15"/>
                <w:szCs w:val="15"/>
                <w:vertAlign w:val="superscript"/>
              </w:rPr>
              <w:t xml:space="preserve">[7]</w:t>
            </w:r>
            <w:r>
              <w:rPr>
                <w:rFonts w:ascii="Arial" w:cs="Arial" w:eastAsia="Arial" w:hAnsi="Arial"/>
                <w:color w:val="1F2933"/>
                <w:sz w:val="19"/>
                <w:szCs w:val="19"/>
              </w:rPr>
              <w:t xml:space="preserve">.</w:t>
            </w:r>
          </w:p>
        </w:tc>
        <w:tc>
          <w:tcPr>
            <w:tcW w:type="dxa" w:w="3556"/>
            <w:tcBorders>
              <w:top w:val="single" w:color="2E7D32" w:sz="24"/>
              <w:left w:val="single" w:color="C9D3DA" w:sz="4"/>
              <w:bottom w:val="single" w:color="C9D3DA" w:sz="4"/>
              <w:right w:val="single" w:color="C9D3DA" w:sz="4"/>
            </w:tcBorders>
            <w:tcMar>
              <w:top w:type="dxa" w:w="70"/>
              <w:left w:type="dxa" w:w="110"/>
              <w:bottom w:type="dxa" w:w="50"/>
              <w:right w:type="dxa" w:w="110"/>
            </w:tcMar>
            <w:vAlign w:val="top"/>
          </w:tcPr>
          <w:p>
            <w:pPr>
              <w:spacing w:after="10" w:before="0" w:line="252"/>
            </w:pPr>
            <w:r>
              <w:rPr>
                <w:rFonts w:ascii="Arial" w:cs="Arial" w:eastAsia="Arial" w:hAnsi="Arial"/>
                <w:b/>
                <w:bCs/>
                <w:color w:val="2E7D32"/>
                <w:sz w:val="14"/>
                <w:szCs w:val="14"/>
              </w:rPr>
              <w:t xml:space="preserve">AFTER · recover fairly</w:t>
            </w:r>
          </w:p>
          <w:p>
            <w:pPr>
              <w:spacing w:after="40" w:before="0" w:line="230"/>
            </w:pPr>
            <w:r>
              <w:rPr>
                <w:rFonts w:ascii="Arial" w:cs="Arial" w:eastAsia="Arial" w:hAnsi="Arial"/>
                <w:b/>
                <w:bCs/>
                <w:color w:val="12355B"/>
                <w:sz w:val="19"/>
                <w:szCs w:val="19"/>
              </w:rPr>
              <w:t xml:space="preserve">Aid that reaches the right village once</w:t>
            </w:r>
          </w:p>
          <w:p>
            <w:pPr>
              <w:spacing w:after="60" w:before="0" w:line="246"/>
            </w:pPr>
            <w:r>
              <w:rPr>
                <w:rFonts w:ascii="Arial" w:cs="Arial" w:eastAsia="Arial" w:hAnsi="Arial"/>
                <w:color w:val="1F2933"/>
                <w:sz w:val="19"/>
                <w:szCs w:val="19"/>
              </w:rPr>
              <w:t>The same record becomes a recovery board by village: damage, broken tube wells, needs ranked, aid delivered with SHA-256 anti-fraud idempotency keys.</w:t>
            </w:r>
          </w:p>
          <w:p>
            <w:pPr>
              <w:spacing w:after="60" w:before="0" w:line="246"/>
            </w:pPr>
            <w:r>
              <w:rPr>
                <w:rFonts w:ascii="Arial" w:cs="Arial" w:eastAsia="Arial" w:hAnsi="Arial"/>
                <w:color w:val="1F2933"/>
                <w:sz w:val="19"/>
                <w:szCs w:val="19"/>
              </w:rPr>
              <w:t xml:space="preserve">2024: 70,415 houses submerged and Tk 533.59 crore lost </w:t>
            </w:r>
            <w:r>
              <w:rPr>
                <w:rFonts w:ascii="Arial" w:cs="Arial" w:eastAsia="Arial" w:hAnsi="Arial"/>
                <w:color w:val="0E7C86"/>
                <w:sz w:val="15"/>
                <w:szCs w:val="15"/>
                <w:vertAlign w:val="superscript"/>
              </w:rPr>
              <w:t xml:space="preserve">[8]</w:t>
            </w:r>
            <w:r>
              <w:rPr>
                <w:rFonts w:ascii="Arial" w:cs="Arial" w:eastAsia="Arial" w:hAnsi="Arial"/>
                <w:color w:val="1F2933"/>
                <w:sz w:val="19"/>
                <w:szCs w:val="19"/>
              </w:rPr>
              <w:t xml:space="preserve">.</w:t>
            </w:r>
          </w:p>
        </w:tc>
      </w:tr>
    </w:tbl>
    <w:p>
      <w:pPr>
        <w:spacing w:after="0" w:before="0" w:line="70"/>
      </w:pPr>
      <w:r>
        <w:rPr>
          <w:sz w:val="2"/>
          <w:szCs w:val="2"/>
        </w:rPr>
        <w:t xml:space="preserve"/>
      </w:r>
    </w:p>
    <w:p>
      <w:pPr>
        <w:keepNext/>
        <w:spacing w:after="40" w:before="0" w:line="252"/>
      </w:pPr>
      <w:r>
        <w:rPr>
          <w:rFonts w:ascii="Arial" w:cs="Arial" w:eastAsia="Arial" w:hAnsi="Arial"/>
          <w:b/>
          <w:bCs/>
          <w:color w:val="12355B"/>
          <w:sz w:val="15"/>
          <w:szCs w:val="15"/>
        </w:rPr>
        <w:t xml:space="preserve">WHERE AI DOES THE WORK</w:t>
      </w:r>
      <w:r>
        <w:rPr>
          <w:rFonts w:ascii="Arial" w:cs="Arial" w:eastAsia="Arial" w:hAnsi="Arial"/>
          <w:b/>
          <w:bCs/>
          <w:color w:val="12355B"/>
          <w:sz w:val="15"/>
          <w:szCs w:val="15"/>
        </w:rPr>
        <w:t xml:space="preserve">, and where it stays out</w:t>
      </w:r>
    </w:p>
    <w:tbl>
      <w:tblPr>
        <w:tblW w:type="dxa" w:w="10666"/>
        <w:tblBorders>
          <w:top w:val="single" w:color="auto" w:sz="4"/>
          <w:left w:val="single" w:color="auto" w:sz="4"/>
          <w:bottom w:val="single" w:color="auto" w:sz="4"/>
          <w:right w:val="single" w:color="auto" w:sz="4"/>
          <w:insideH w:val="single" w:color="auto" w:sz="4"/>
          <w:insideV w:val="single" w:color="auto" w:sz="4"/>
        </w:tblBorders>
      </w:tblPr>
      <w:tblGrid>
        <w:gridCol w:w="3555"/>
        <w:gridCol w:w="3555"/>
        <w:gridCol w:w="3556"/>
      </w:tblGrid>
      <w:tr>
        <w:tc>
          <w:tcPr>
            <w:tcW w:type="dxa" w:w="3555"/>
            <w:tcBorders>
              <w:top w:val="single" w:color="FFFFFF" w:sz="4"/>
              <w:left w:val="single" w:color="FFFFFF" w:sz="4"/>
              <w:bottom w:val="single" w:color="FFFFFF" w:sz="4"/>
              <w:right w:val="single" w:color="FFFFFF" w:sz="4"/>
            </w:tcBorders>
            <w:shd w:fill="E3EEF9" w:color="auto" w:val="clear"/>
            <w:tcMar>
              <w:top w:type="dxa" w:w="70"/>
              <w:left w:type="dxa" w:w="110"/>
              <w:bottom w:type="dxa" w:w="70"/>
              <w:right w:type="dxa" w:w="110"/>
            </w:tcMar>
            <w:vAlign w:val="top"/>
          </w:tcPr>
          <w:p>
            <w:pPr>
              <w:spacing w:after="20" w:before="0" w:line="252"/>
            </w:pPr>
            <w:r>
              <w:rPr>
                <w:rFonts w:ascii="Arial" w:cs="Arial" w:eastAsia="Arial" w:hAnsi="Arial"/>
                <w:b/>
                <w:bCs/>
                <w:color w:val="0E7C86"/>
                <w:sz w:val="15"/>
                <w:szCs w:val="15"/>
              </w:rPr>
              <w:t xml:space="preserve">1 · UNDERSTAND</w:t>
            </w:r>
          </w:p>
          <w:p>
            <w:pPr>
              <w:spacing w:after="0" w:before="0" w:line="240"/>
            </w:pPr>
            <w:r>
              <w:rPr>
                <w:rFonts w:ascii="Arial" w:cs="Arial" w:eastAsia="Arial" w:hAnsi="Arial"/>
                <w:color w:val="1F2933"/>
                <w:sz w:val="19"/>
                <w:szCs w:val="19"/>
              </w:rPr>
              <w:t>Reads a panicked Bangla or Banglish SOS, dialect and voice notes included, into fields: people, elderly, child, trapped, place words. An operator confirms; local deterministic regex engine fallback guarantees zero downtime.</w:t>
            </w:r>
          </w:p>
        </w:tc>
        <w:tc>
          <w:tcPr>
            <w:tcW w:type="dxa" w:w="3555"/>
            <w:tcBorders>
              <w:top w:val="single" w:color="FFFFFF" w:sz="4"/>
              <w:left w:val="single" w:color="FFFFFF" w:sz="4"/>
              <w:bottom w:val="single" w:color="FFFFFF" w:sz="4"/>
              <w:right w:val="single" w:color="FFFFFF" w:sz="4"/>
            </w:tcBorders>
            <w:shd w:fill="E3EEF9" w:color="auto" w:val="clear"/>
            <w:tcMar>
              <w:top w:type="dxa" w:w="70"/>
              <w:left w:type="dxa" w:w="110"/>
              <w:bottom w:type="dxa" w:w="70"/>
              <w:right w:type="dxa" w:w="110"/>
            </w:tcMar>
            <w:vAlign w:val="top"/>
          </w:tcPr>
          <w:p>
            <w:pPr>
              <w:spacing w:after="20" w:before="0" w:line="252"/>
            </w:pPr>
            <w:r>
              <w:rPr>
                <w:rFonts w:ascii="Arial" w:cs="Arial" w:eastAsia="Arial" w:hAnsi="Arial"/>
                <w:b/>
                <w:bCs/>
                <w:color w:val="0E7C86"/>
                <w:sz w:val="15"/>
                <w:szCs w:val="15"/>
              </w:rPr>
              <w:t xml:space="preserve">2 · MERGE</w:t>
            </w:r>
          </w:p>
          <w:p>
            <w:pPr>
              <w:spacing w:after="0" w:before="0" w:line="240"/>
            </w:pPr>
            <w:r>
              <w:rPr>
                <w:rFonts w:ascii="Arial" w:cs="Arial" w:eastAsia="Arial" w:hAnsi="Arial"/>
                <w:color w:val="1F2933"/>
                <w:sz w:val="19"/>
                <w:szCs w:val="19"/>
              </w:rPr>
              <w:t xml:space="preserve">Matches reports about the same household even when worded differently, using text similarity plus place and time, so one family is not dispatched twice.</w:t>
            </w:r>
          </w:p>
        </w:tc>
        <w:tc>
          <w:tcPr>
            <w:tcW w:type="dxa" w:w="3556"/>
            <w:tcBorders>
              <w:top w:val="single" w:color="FFFFFF" w:sz="4"/>
              <w:left w:val="single" w:color="FFFFFF" w:sz="4"/>
              <w:bottom w:val="single" w:color="FFFFFF" w:sz="4"/>
              <w:right w:val="single" w:color="FFFFFF" w:sz="4"/>
            </w:tcBorders>
            <w:shd w:fill="E3EEF9" w:color="auto" w:val="clear"/>
            <w:tcMar>
              <w:top w:type="dxa" w:w="70"/>
              <w:left w:type="dxa" w:w="110"/>
              <w:bottom w:type="dxa" w:w="70"/>
              <w:right w:type="dxa" w:w="110"/>
            </w:tcMar>
            <w:vAlign w:val="top"/>
          </w:tcPr>
          <w:p>
            <w:pPr>
              <w:spacing w:after="20" w:before="0" w:line="252"/>
            </w:pPr>
            <w:r>
              <w:rPr>
                <w:rFonts w:ascii="Arial" w:cs="Arial" w:eastAsia="Arial" w:hAnsi="Arial"/>
                <w:b/>
                <w:bCs/>
                <w:color w:val="0E7C86"/>
                <w:sz w:val="15"/>
                <w:szCs w:val="15"/>
              </w:rPr>
              <w:t xml:space="preserve">3 · COMMUNICATE</w:t>
            </w:r>
          </w:p>
          <w:p>
            <w:pPr>
              <w:spacing w:after="0" w:before="0" w:line="240"/>
            </w:pPr>
            <w:r>
              <w:rPr>
                <w:rFonts w:ascii="Arial" w:cs="Arial" w:eastAsia="Arial" w:hAnsi="Arial"/>
                <w:color w:val="1F2933"/>
                <w:sz w:val="19"/>
                <w:szCs w:val="19"/>
              </w:rPr>
              <w:t xml:space="preserve">Drafts the ward-specific Bangla warning and a one-line reason for each boat ranking. An authority approves before anything is sent.</w:t>
            </w:r>
          </w:p>
        </w:tc>
      </w:tr>
    </w:tbl>
    <w:p>
      <w:pPr>
        <w:spacing w:after="0" w:before="60" w:line="236"/>
      </w:pPr>
      <w:r>
        <w:rPr>
          <w:rFonts w:ascii="Arial" w:cs="Arial" w:eastAsia="Arial" w:hAnsi="Arial"/>
          <w:color w:val="5B6770"/>
          <w:sz w:val="18"/>
          <w:szCs w:val="18"/>
        </w:rPr>
        <w:t xml:space="preserve">Alert levels, confidence and boat priority are </w:t>
      </w:r>
      <w:r>
        <w:rPr>
          <w:rFonts w:ascii="Arial" w:cs="Arial" w:eastAsia="Arial" w:hAnsi="Arial"/>
          <w:b/>
          <w:bCs/>
          <w:color w:val="5B6770"/>
          <w:sz w:val="18"/>
          <w:szCs w:val="18"/>
        </w:rPr>
        <w:t xml:space="preserve">transparent rules, not AI</w:t>
      </w:r>
      <w:r>
        <w:rPr>
          <w:rFonts w:ascii="Arial" w:cs="Arial" w:eastAsia="Arial" w:hAnsi="Arial"/>
          <w:color w:val="5B6770"/>
          <w:sz w:val="18"/>
          <w:szCs w:val="18"/>
        </w:rPr>
        <w:t xml:space="preserve">, because a mistake there costs lives. If the AI is down, a local model on the control-room laptop and then a keyword parser take over.</w:t>
      </w:r>
    </w:p>
    <w:p>
      <w:pPr>
        <w:pageBreakBefore/>
        <w:spacing w:after="60" w:before="0"/>
      </w:pPr>
      <w:r>
        <w:rPr>
          <w:rFonts w:ascii="Arial" w:cs="Arial" w:eastAsia="Arial" w:hAnsi="Arial"/>
          <w:b/>
          <w:bCs/>
          <w:color w:val="12355B"/>
          <w:sz w:val="26"/>
          <w:szCs w:val="26"/>
        </w:rPr>
        <w:t xml:space="preserve">How it works</w:t>
      </w:r>
    </w:p>
    <w:p>
      <w:pPr>
        <w:spacing w:after="80" w:before="0"/>
        <w:jc w:val="center"/>
      </w:pPr>
      <w:r>
        <w:drawing>
          <wp:inline distT="0" distB="0" distL="0" distR="0">
            <wp:extent cx="6667500" cy="2886075"/>
            <wp:effectExtent t="0" r="0" b="0" l="0"/>
            <wp:docPr id="1" name="sospath" descr="Phone to tower or satellite to operator routing to Aali platform to responders, with the warning path back to villages" title="SOS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67500" cy="2886075"/>
                    </a:xfrm>
                    <a:prstGeom prst="rect">
                      <a:avLst/>
                    </a:prstGeom>
                  </pic:spPr>
                </pic:pic>
              </a:graphicData>
            </a:graphic>
          </wp:inline>
        </w:drawing>
      </w:r>
    </w:p>
    <w:p>
      <w:pPr>
        <w:keepNext/>
        <w:spacing w:after="40" w:before="0" w:line="252"/>
      </w:pPr>
      <w:r>
        <w:rPr>
          <w:rFonts w:ascii="Arial" w:cs="Arial" w:eastAsia="Arial" w:hAnsi="Arial"/>
          <w:b/>
          <w:bCs/>
          <w:color w:val="12355B"/>
          <w:sz w:val="15"/>
          <w:szCs w:val="15"/>
        </w:rPr>
        <w:t xml:space="preserve">THE AALI COMPACT:</w:t>
      </w:r>
      <w:r>
        <w:rPr>
          <w:rFonts w:ascii="Arial" w:cs="Arial" w:eastAsia="Arial" w:hAnsi="Arial"/>
          <w:b/>
          <w:bCs/>
          <w:color w:val="12355B"/>
          <w:sz w:val="15"/>
          <w:szCs w:val="15"/>
        </w:rPr>
        <w:t xml:space="preserve"> the one assumption this idea rests on</w:t>
      </w:r>
    </w:p>
    <w:tbl>
      <w:tblPr>
        <w:tblW w:type="dxa" w:w="10666"/>
        <w:tblBorders>
          <w:top w:val="single" w:color="auto" w:sz="4"/>
          <w:left w:val="single" w:color="auto" w:sz="4"/>
          <w:bottom w:val="single" w:color="auto" w:sz="4"/>
          <w:right w:val="single" w:color="auto" w:sz="4"/>
          <w:insideH w:val="single" w:color="auto" w:sz="4"/>
          <w:insideV w:val="single" w:color="auto" w:sz="4"/>
        </w:tblBorders>
      </w:tblPr>
      <w:tblGrid>
        <w:gridCol w:w="1500"/>
        <w:gridCol w:w="4800"/>
        <w:gridCol w:w="2400"/>
        <w:gridCol w:w="1966"/>
      </w:tblGrid>
      <w:tr>
        <w:trPr>
          <w:cantSplit/>
          <w:tblHeader/>
        </w:trPr>
        <w:tc>
          <w:tcPr>
            <w:tcW w:type="dxa" w:w="15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Party</w:t>
            </w:r>
          </w:p>
        </w:tc>
        <w:tc>
          <w:tcPr>
            <w:tcW w:type="dxa" w:w="48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What it provides</w:t>
            </w:r>
          </w:p>
        </w:tc>
        <w:tc>
          <w:tcPr>
            <w:tcW w:type="dxa" w:w="24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What it gets</w:t>
            </w:r>
          </w:p>
        </w:tc>
        <w:tc>
          <w:tcPr>
            <w:tcW w:type="dxa" w:w="1966"/>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Who</w:t>
            </w:r>
          </w:p>
        </w:tc>
      </w:tr>
      <w:tr>
        <w:trPr>
          <w:cantSplit/>
        </w:trPr>
        <w:tc>
          <w:tcPr>
            <w:tcW w:type="dxa" w:w="15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Government</w:t>
            </w:r>
          </w:p>
        </w:tc>
        <w:tc>
          <w:tcPr>
            <w:tcW w:type="dxa" w:w="48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Declares a flood emergency for named upazilas, shares gauge data, approves every warning, owns the audit log.</w:t>
            </w:r>
          </w:p>
        </w:tc>
        <w:tc>
          <w:tcPr>
            <w:tcW w:type="dxa" w:w="24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One verified picture, draft alerts ready for approval.</w:t>
            </w:r>
          </w:p>
        </w:tc>
        <w:tc>
          <w:tcPr>
            <w:tcW w:type="dxa" w:w="196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BTRC, DDM, BWDB-FFWC</w:t>
            </w:r>
          </w:p>
        </w:tc>
      </w:tr>
      <w:tr>
        <w:trPr>
          <w:cantSplit/>
        </w:trPr>
        <w:tc>
          <w:tcPr>
            <w:tcW w:type="dxa" w:w="15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Operators</w:t>
            </w:r>
          </w:p>
        </w:tc>
        <w:tc>
          <w:tcPr>
            <w:tcW w:type="dxa" w:w="48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In a declared flood, open satellite-to-phone to </w:t>
            </w:r>
            <w:r>
              <w:rPr>
                <w:rFonts w:ascii="Arial" w:cs="Arial" w:eastAsia="Arial" w:hAnsi="Arial"/>
                <w:b/>
                <w:bCs/>
                <w:color w:val="1F2933"/>
                <w:sz w:val="18"/>
                <w:szCs w:val="18"/>
              </w:rPr>
              <w:t xml:space="preserve">all</w:t>
            </w:r>
            <w:r>
              <w:rPr>
                <w:rFonts w:ascii="Arial" w:cs="Arial" w:eastAsia="Arial" w:hAnsi="Arial"/>
                <w:color w:val="1F2933"/>
                <w:sz w:val="18"/>
                <w:szCs w:val="18"/>
              </w:rPr>
              <w:t xml:space="preserve"> subscribers in the area, forward SOS messages to Aali automatically, carry Bangla alerts by SMS (cell broadcast later), zero-rate the app.</w:t>
            </w:r>
          </w:p>
        </w:tc>
        <w:tc>
          <w:tcPr>
            <w:tcW w:type="dxa" w:w="24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A ready emergency use case for the satellite service; one standard message format.</w:t>
            </w:r>
          </w:p>
        </w:tc>
        <w:tc>
          <w:tcPr>
            <w:tcW w:type="dxa" w:w="196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Banglalink first, then the other operators</w:t>
            </w:r>
          </w:p>
        </w:tc>
      </w:tr>
      <w:tr>
        <w:trPr>
          <w:cantSplit/>
        </w:trPr>
        <w:tc>
          <w:tcPr>
            <w:tcW w:type="dxa" w:w="15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Responders</w:t>
            </w:r>
          </w:p>
        </w:tc>
        <w:tc>
          <w:tcPr>
            <w:tcW w:type="dxa" w:w="48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Work from one dashboard, keep the boat register current, confirm cases and deliveries.</w:t>
            </w:r>
          </w:p>
        </w:tc>
        <w:tc>
          <w:tcPr>
            <w:tcW w:type="dxa" w:w="24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Ranked, merged, mapped requests instead of a blind hotline.</w:t>
            </w:r>
          </w:p>
        </w:tc>
        <w:tc>
          <w:tcPr>
            <w:tcW w:type="dxa" w:w="196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Red Crescent, Fire Service, upazila officers</w:t>
            </w:r>
          </w:p>
        </w:tc>
      </w:tr>
    </w:tbl>
    <w:p>
      <w:pPr>
        <w:spacing w:after="0" w:before="0" w:line="60"/>
      </w:pPr>
      <w:r>
        <w:rPr>
          <w:sz w:val="2"/>
          <w:szCs w:val="2"/>
        </w:rPr>
        <w:t xml:space="preserve"/>
      </w:r>
    </w:p>
    <w:p>
      <w:pPr>
        <w:keepNext/>
        <w:spacing w:after="30" w:before="0" w:line="252"/>
      </w:pPr>
      <w:r>
        <w:rPr>
          <w:rFonts w:ascii="Arial" w:cs="Arial" w:eastAsia="Arial" w:hAnsi="Arial"/>
          <w:b/>
          <w:bCs/>
          <w:color w:val="12355B"/>
          <w:sz w:val="15"/>
          <w:szCs w:val="15"/>
        </w:rPr>
        <w:t xml:space="preserve">Why the premise is plausible</w:t>
      </w:r>
    </w:p>
    <w:p>
      <w:pPr>
        <w:pStyle w:val="ListParagraph"/>
        <w:numPr>
          <w:ilvl w:val="0"/>
          <w:numId w:val="2"/>
        </w:numPr>
        <w:spacing w:after="40" w:before="0" w:line="252"/>
      </w:pPr>
      <w:r>
        <w:rPr>
          <w:rFonts w:ascii="Arial" w:cs="Arial" w:eastAsia="Arial" w:hAnsi="Arial"/>
          <w:b/>
          <w:bCs/>
          <w:color w:val="1F2933"/>
          <w:sz w:val="19"/>
          <w:szCs w:val="19"/>
        </w:rPr>
        <w:t xml:space="preserve">National direction:</w:t>
      </w:r>
      <w:r>
        <w:rPr>
          <w:rFonts w:ascii="Arial" w:cs="Arial" w:eastAsia="Arial" w:hAnsi="Arial"/>
          <w:color w:val="1F2933"/>
          <w:sz w:val="19"/>
          <w:szCs w:val="19"/>
        </w:rPr>
        <w:t xml:space="preserve"> Bangladesh is developing an emergency telecom plan and cell-broadcast warnings with BTRC, DDM and the ITU </w:t>
      </w:r>
      <w:r>
        <w:rPr>
          <w:rFonts w:ascii="Arial" w:cs="Arial" w:eastAsia="Arial" w:hAnsi="Arial"/>
          <w:color w:val="0E7C86"/>
          <w:sz w:val="15"/>
          <w:szCs w:val="15"/>
          <w:vertAlign w:val="superscript"/>
        </w:rPr>
        <w:t xml:space="preserve">[6]</w:t>
      </w:r>
      <w:r>
        <w:rPr>
          <w:rFonts w:ascii="Arial" w:cs="Arial" w:eastAsia="Arial" w:hAnsi="Arial"/>
          <w:color w:val="1F2933"/>
          <w:sz w:val="19"/>
          <w:szCs w:val="19"/>
        </w:rPr>
        <w:t xml:space="preserve">. Cell broadcast is one-way; the SOS return path is what Aali adds.</w:t>
      </w:r>
    </w:p>
    <w:p>
      <w:pPr>
        <w:pStyle w:val="ListParagraph"/>
        <w:numPr>
          <w:ilvl w:val="0"/>
          <w:numId w:val="2"/>
        </w:numPr>
        <w:spacing w:after="40" w:before="0" w:line="252"/>
      </w:pPr>
      <w:r>
        <w:rPr>
          <w:rFonts w:ascii="Arial" w:cs="Arial" w:eastAsia="Arial" w:hAnsi="Arial"/>
          <w:b/>
          <w:bCs/>
          <w:color w:val="1F2933"/>
          <w:sz w:val="19"/>
          <w:szCs w:val="19"/>
        </w:rPr>
        <w:t xml:space="preserve">Precedent:</w:t>
      </w:r>
      <w:r>
        <w:rPr>
          <w:rFonts w:ascii="Arial" w:cs="Arial" w:eastAsia="Arial" w:hAnsi="Arial"/>
          <w:color w:val="1F2933"/>
          <w:sz w:val="19"/>
          <w:szCs w:val="19"/>
        </w:rPr>
        <w:t xml:space="preserve"> after Hurricane Melissa (Oct 2025), Liberty Caribbean switched on satellite messaging for its Jamaican customers </w:t>
      </w:r>
      <w:r>
        <w:rPr>
          <w:rFonts w:ascii="Arial" w:cs="Arial" w:eastAsia="Arial" w:hAnsi="Arial"/>
          <w:color w:val="0E7C86"/>
          <w:sz w:val="15"/>
          <w:szCs w:val="15"/>
          <w:vertAlign w:val="superscript"/>
        </w:rPr>
        <w:t xml:space="preserve">[9]</w:t>
      </w:r>
      <w:r>
        <w:rPr>
          <w:rFonts w:ascii="Arial" w:cs="Arial" w:eastAsia="Arial" w:hAnsi="Arial"/>
          <w:color w:val="1F2933"/>
          <w:sz w:val="19"/>
          <w:szCs w:val="19"/>
        </w:rPr>
        <w:t xml:space="preserve">. Aali proposes the next step: every operator, one declared flood.</w:t>
      </w:r>
    </w:p>
    <w:p>
      <w:pPr>
        <w:pStyle w:val="ListParagraph"/>
        <w:numPr>
          <w:ilvl w:val="0"/>
          <w:numId w:val="2"/>
        </w:numPr>
        <w:spacing w:after="70" w:before="0" w:line="252"/>
      </w:pPr>
      <w:r>
        <w:rPr>
          <w:rFonts w:ascii="Arial" w:cs="Arial" w:eastAsia="Arial" w:hAnsi="Arial"/>
          <w:b/>
          <w:bCs/>
          <w:color w:val="1F2933"/>
          <w:sz w:val="19"/>
          <w:szCs w:val="19"/>
        </w:rPr>
        <w:t xml:space="preserve">Why all operators:</w:t>
      </w:r>
      <w:r>
        <w:rPr>
          <w:rFonts w:ascii="Arial" w:cs="Arial" w:eastAsia="Arial" w:hAnsi="Arial"/>
          <w:color w:val="1F2933"/>
          <w:sz w:val="19"/>
          <w:szCs w:val="19"/>
        </w:rPr>
        <w:t xml:space="preserve"> Banglalink holds about one in five mobile subscriptions </w:t>
      </w:r>
      <w:r>
        <w:rPr>
          <w:rFonts w:ascii="Arial" w:cs="Arial" w:eastAsia="Arial" w:hAnsi="Arial"/>
          <w:color w:val="0E7C86"/>
          <w:sz w:val="15"/>
          <w:szCs w:val="15"/>
          <w:vertAlign w:val="superscript"/>
        </w:rPr>
        <w:t xml:space="preserve">[11]</w:t>
      </w:r>
      <w:r>
        <w:rPr>
          <w:rFonts w:ascii="Arial" w:cs="Arial" w:eastAsia="Arial" w:hAnsi="Arial"/>
          <w:color w:val="1F2933"/>
          <w:sz w:val="19"/>
          <w:szCs w:val="19"/>
        </w:rPr>
        <w:t xml:space="preserve">. A flood does not check which SIM a family has.</w:t>
      </w:r>
    </w:p>
    <w:p>
      <w:pPr>
        <w:keepNext/>
        <w:spacing w:after="30" w:before="0" w:line="252"/>
      </w:pPr>
      <w:r>
        <w:rPr>
          <w:rFonts w:ascii="Arial" w:cs="Arial" w:eastAsia="Arial" w:hAnsi="Arial"/>
          <w:b/>
          <w:bCs/>
          <w:color w:val="12355B"/>
          <w:sz w:val="15"/>
          <w:szCs w:val="15"/>
        </w:rPr>
        <w:t xml:space="preserve">HONEST SCOPE</w:t>
      </w:r>
    </w:p>
    <w:p>
      <w:pPr>
        <w:spacing w:after="50" w:before="0" w:line="244"/>
      </w:pPr>
      <w:r>
        <w:rPr>
          <w:rFonts w:ascii="Arial" w:cs="Arial" w:eastAsia="Arial" w:hAnsi="Arial"/>
          <w:b/>
          <w:bCs/>
          <w:color w:val="1F2933"/>
          <w:sz w:val="19"/>
          <w:szCs w:val="19"/>
        </w:rPr>
        <w:t xml:space="preserve">Real in the prototype:</w:t>
      </w:r>
      <w:r>
        <w:rPr>
          <w:rFonts w:ascii="Arial" w:cs="Arial" w:eastAsia="Arial" w:hAnsi="Arial"/>
          <w:color w:val="1F2933"/>
          <w:sz w:val="19"/>
          <w:szCs w:val="19"/>
        </w:rPr>
        <w:t xml:space="preserve"> the Flutter mobile app verified on physical Android 13+ device via wireless ADB, the 42-byte SMS packet, 3-signal alert logic, Gemini Flash dialect NLP with local regex fallback, duplicate matching, SMPP telecom gateway, and web situation room. </w:t>
      </w:r>
      <w:r>
        <w:rPr>
          <w:rFonts w:ascii="Arial" w:cs="Arial" w:eastAsia="Arial" w:hAnsi="Arial"/>
          <w:b/>
          <w:bCs/>
          <w:color w:val="1F2933"/>
          <w:sz w:val="19"/>
          <w:szCs w:val="19"/>
        </w:rPr>
        <w:t xml:space="preserve">Simulated and labelled:</w:t>
      </w:r>
      <w:r>
        <w:rPr>
          <w:rFonts w:ascii="Arial" w:cs="Arial" w:eastAsia="Arial" w:hAnsi="Arial"/>
          <w:color w:val="1F2933"/>
          <w:sz w:val="19"/>
          <w:szCs w:val="19"/>
        </w:rPr>
        <w:t xml:space="preserve"> the tower failure, the operator forwarding (a gateway phone stands in), the satellite leg, and the flood replay rebuilt from published readings. The satellite service is live but untested in a flood, so we say “designed for it”, not “proven”. Aali supports decisions; authorities issue warnings.</w:t>
      </w:r>
    </w:p>
    <w:p>
      <w:pPr>
        <w:spacing w:after="80" w:before="0" w:line="244"/>
      </w:pPr>
      <w:r>
        <w:rPr>
          <w:rFonts w:ascii="Arial" w:cs="Arial" w:eastAsia="Arial" w:hAnsi="Arial"/>
          <w:b/>
          <w:bCs/>
          <w:color w:val="1F2933"/>
          <w:sz w:val="19"/>
          <w:szCs w:val="19"/>
        </w:rPr>
        <w:t xml:space="preserve">We measure:</w:t>
      </w:r>
      <w:r>
        <w:rPr>
          <w:rFonts w:ascii="Arial" w:cs="Arial" w:eastAsia="Arial" w:hAnsi="Arial"/>
          <w:color w:val="1F2933"/>
          <w:sz w:val="19"/>
          <w:szCs w:val="19"/>
        </w:rPr>
        <w:t xml:space="preserve"> alert lead time in the replay; SOS delivered with zero internet; taps and seconds to send; AI field accuracy on 30 synthetic Bangla messages; duplicates merged correctly; silent village flagged; 113 backend API tests, 48 web tests, and 16 mobile tests 100% passing.</w:t>
      </w:r>
    </w:p>
    <w:tbl>
      <w:tblPr>
        <w:tblW w:type="dxa" w:w="10666"/>
        <w:tblBorders>
          <w:top w:val="single" w:color="auto" w:sz="4"/>
          <w:left w:val="single" w:color="auto" w:sz="4"/>
          <w:bottom w:val="single" w:color="auto" w:sz="4"/>
          <w:right w:val="single" w:color="auto" w:sz="4"/>
          <w:insideH w:val="single" w:color="auto" w:sz="4"/>
          <w:insideV w:val="single" w:color="auto" w:sz="4"/>
        </w:tblBorders>
      </w:tblPr>
      <w:tblGrid>
        <w:gridCol w:w="3555"/>
        <w:gridCol w:w="3555"/>
        <w:gridCol w:w="3556"/>
      </w:tblGrid>
      <w:tr>
        <w:tc>
          <w:tcPr>
            <w:tcW w:type="dxa" w:w="3555"/>
            <w:tcBorders>
              <w:top w:val="single" w:color="FFFFFF" w:sz="4"/>
              <w:left w:val="single" w:color="FFFFFF" w:sz="4"/>
              <w:bottom w:val="single" w:color="FFFFFF" w:sz="4"/>
              <w:right w:val="single" w:color="FFFFFF" w:sz="4"/>
            </w:tcBorders>
            <w:shd w:fill="EAF3F5" w:color="auto" w:val="clear"/>
            <w:tcMar>
              <w:top w:type="dxa" w:w="60"/>
              <w:left w:type="dxa" w:w="110"/>
              <w:bottom w:type="dxa" w:w="60"/>
              <w:right w:type="dxa" w:w="110"/>
            </w:tcMar>
            <w:vAlign w:val="top"/>
          </w:tcPr>
          <w:p>
            <w:pPr>
              <w:spacing w:after="10" w:before="0" w:line="252"/>
            </w:pPr>
            <w:r>
              <w:rPr>
                <w:rFonts w:ascii="Arial" w:cs="Arial" w:eastAsia="Arial" w:hAnsi="Arial"/>
                <w:b/>
                <w:bCs/>
                <w:color w:val="12355B"/>
                <w:sz w:val="15"/>
                <w:szCs w:val="15"/>
              </w:rPr>
              <w:t xml:space="preserve">HUMAN IMPACT</w:t>
            </w:r>
          </w:p>
          <w:p>
            <w:pPr>
              <w:spacing w:after="0" w:before="0" w:line="234"/>
            </w:pPr>
            <w:r>
              <w:rPr>
                <w:rFonts w:ascii="Arial" w:cs="Arial" w:eastAsia="Arial" w:hAnsi="Arial"/>
                <w:color w:val="1F2933"/>
                <w:sz w:val="18"/>
                <w:szCs w:val="18"/>
              </w:rPr>
              <w:t xml:space="preserve">Hits the three moments that cost lives in Feni: a late warning, a silent night, a blind recovery. About 1.7 million residents, shelter managers, upazila officers, Red Crescent.</w:t>
            </w:r>
          </w:p>
        </w:tc>
        <w:tc>
          <w:tcPr>
            <w:tcW w:type="dxa" w:w="3555"/>
            <w:tcBorders>
              <w:top w:val="single" w:color="FFFFFF" w:sz="4"/>
              <w:left w:val="single" w:color="FFFFFF" w:sz="4"/>
              <w:bottom w:val="single" w:color="FFFFFF" w:sz="4"/>
              <w:right w:val="single" w:color="FFFFFF" w:sz="4"/>
            </w:tcBorders>
            <w:shd w:fill="EAF3F5" w:color="auto" w:val="clear"/>
            <w:tcMar>
              <w:top w:type="dxa" w:w="60"/>
              <w:left w:type="dxa" w:w="110"/>
              <w:bottom w:type="dxa" w:w="60"/>
              <w:right w:type="dxa" w:w="110"/>
            </w:tcMar>
            <w:vAlign w:val="top"/>
          </w:tcPr>
          <w:p>
            <w:pPr>
              <w:spacing w:after="10" w:before="0" w:line="252"/>
            </w:pPr>
            <w:r>
              <w:rPr>
                <w:rFonts w:ascii="Arial" w:cs="Arial" w:eastAsia="Arial" w:hAnsi="Arial"/>
                <w:b/>
                <w:bCs/>
                <w:color w:val="12355B"/>
                <w:sz w:val="15"/>
                <w:szCs w:val="15"/>
              </w:rPr>
              <w:t xml:space="preserve">FEASIBLE NOW</w:t>
            </w:r>
          </w:p>
          <w:p>
            <w:pPr>
              <w:spacing w:after="0" w:before="0" w:line="234"/>
            </w:pPr>
            <w:r>
              <w:rPr>
                <w:rFonts w:ascii="Arial" w:cs="Arial" w:eastAsia="Arial" w:hAnsi="Arial"/>
                <w:color w:val="1F2933"/>
                <w:sz w:val="18"/>
                <w:szCs w:val="18"/>
              </w:rPr>
              <w:t xml:space="preserve">No new hardware: ordinary phones, a web app, public data (FFWC, BMD, GSMaP rainfall, OpenStreetMap) and a satellite service that is already live.</w:t>
            </w:r>
          </w:p>
        </w:tc>
        <w:tc>
          <w:tcPr>
            <w:tcW w:type="dxa" w:w="3556"/>
            <w:tcBorders>
              <w:top w:val="single" w:color="FFFFFF" w:sz="4"/>
              <w:left w:val="single" w:color="FFFFFF" w:sz="4"/>
              <w:bottom w:val="single" w:color="FFFFFF" w:sz="4"/>
              <w:right w:val="single" w:color="FFFFFF" w:sz="4"/>
            </w:tcBorders>
            <w:shd w:fill="EAF3F5" w:color="auto" w:val="clear"/>
            <w:tcMar>
              <w:top w:type="dxa" w:w="60"/>
              <w:left w:type="dxa" w:w="110"/>
              <w:bottom w:type="dxa" w:w="60"/>
              <w:right w:type="dxa" w:w="110"/>
            </w:tcMar>
            <w:vAlign w:val="top"/>
          </w:tcPr>
          <w:p>
            <w:pPr>
              <w:spacing w:after="10" w:before="0" w:line="252"/>
            </w:pPr>
            <w:r>
              <w:rPr>
                <w:rFonts w:ascii="Arial" w:cs="Arial" w:eastAsia="Arial" w:hAnsi="Arial"/>
                <w:b/>
                <w:bCs/>
                <w:color w:val="12355B"/>
                <w:sz w:val="15"/>
                <w:szCs w:val="15"/>
              </w:rPr>
              <w:t xml:space="preserve">SCALABLE</w:t>
            </w:r>
          </w:p>
          <w:p>
            <w:pPr>
              <w:spacing w:after="0" w:before="0" w:line="234"/>
            </w:pPr>
            <w:r>
              <w:rPr>
                <w:rFonts w:ascii="Arial" w:cs="Arial" w:eastAsia="Arial" w:hAnsi="Arial"/>
                <w:color w:val="1F2933"/>
                <w:sz w:val="18"/>
                <w:szCs w:val="18"/>
              </w:rPr>
              <w:t xml:space="preserve">Only the flood rule is local. The packet, dashboard and compact travel to other hill-fed flash-flood districts (10–12 lost towers in 2024), then the nation.</w:t>
            </w:r>
          </w:p>
        </w:tc>
      </w:tr>
    </w:tbl>
    <w:p>
      <w:pPr>
        <w:spacing w:after="0" w:before="0" w:line="50"/>
      </w:pPr>
      <w:r>
        <w:rPr>
          <w:sz w:val="2"/>
          <w:szCs w:val="2"/>
        </w:rPr>
        <w:t xml:space="preserve"/>
      </w:r>
    </w:p>
    <w:p>
      <w:pPr>
        <w:spacing w:after="0" w:before="0" w:line="208"/>
      </w:pPr>
      <w:r>
        <w:rPr>
          <w:rFonts w:ascii="Arial" w:cs="Arial" w:eastAsia="Arial" w:hAnsi="Arial"/>
          <w:color w:val="5B6770"/>
          <w:sz w:val="13"/>
          <w:szCs w:val="13"/>
        </w:rPr>
        <w:t xml:space="preserve">Sources: </w:t>
      </w:r>
      <w:r>
        <w:rPr>
          <w:rFonts w:ascii="Arial" w:cs="Arial" w:eastAsia="Arial" w:hAnsi="Arial"/>
          <w:color w:val="0E7C86"/>
          <w:sz w:val="12"/>
          <w:szCs w:val="12"/>
          <w:vertAlign w:val="superscript"/>
        </w:rPr>
        <w:t xml:space="preserve">[1]</w:t>
      </w:r>
      <w:r>
        <w:rPr>
          <w:rFonts w:ascii="Arial" w:cs="Arial" w:eastAsia="Arial" w:hAnsi="Arial"/>
          <w:color w:val="5B6770"/>
          <w:sz w:val="13"/>
          <w:szCs w:val="13"/>
        </w:rPr>
        <w:t xml:space="preserve"> BTRC via Daily Star, Dhaka Tribune, Jagonews, 23–24 Aug 2024. </w:t>
      </w:r>
      <w:r>
        <w:rPr>
          <w:rFonts w:ascii="Arial" w:cs="Arial" w:eastAsia="Arial" w:hAnsi="Arial"/>
          <w:color w:val="0E7C86"/>
          <w:sz w:val="12"/>
          <w:szCs w:val="12"/>
          <w:vertAlign w:val="superscript"/>
        </w:rPr>
        <w:t xml:space="preserve">[2]</w:t>
      </w:r>
      <w:r>
        <w:rPr>
          <w:rFonts w:ascii="Arial" w:cs="Arial" w:eastAsia="Arial" w:hAnsi="Arial"/>
          <w:color w:val="5B6770"/>
          <w:sz w:val="13"/>
          <w:szCs w:val="13"/>
        </w:rPr>
        <w:t xml:space="preserve"> TBS Panorama on amateur radio in Feni; Prothom Alo, 23 Aug 2024. </w:t>
      </w:r>
      <w:r>
        <w:rPr>
          <w:rFonts w:ascii="Arial" w:cs="Arial" w:eastAsia="Arial" w:hAnsi="Arial"/>
          <w:color w:val="0E7C86"/>
          <w:sz w:val="12"/>
          <w:szCs w:val="12"/>
          <w:vertAlign w:val="superscript"/>
        </w:rPr>
        <w:t xml:space="preserve">[3]</w:t>
      </w:r>
      <w:r>
        <w:rPr>
          <w:rFonts w:ascii="Arial" w:cs="Arial" w:eastAsia="Arial" w:hAnsi="Arial"/>
          <w:color w:val="5B6770"/>
          <w:sz w:val="13"/>
          <w:szCs w:val="13"/>
        </w:rPr>
        <w:t xml:space="preserve"> UNB, Feni embankment collapse, July 2025. </w:t>
      </w:r>
      <w:r>
        <w:rPr>
          <w:rFonts w:ascii="Arial" w:cs="Arial" w:eastAsia="Arial" w:hAnsi="Arial"/>
          <w:color w:val="0E7C86"/>
          <w:sz w:val="12"/>
          <w:szCs w:val="12"/>
          <w:vertAlign w:val="superscript"/>
        </w:rPr>
        <w:t xml:space="preserve">[4]</w:t>
      </w:r>
      <w:r>
        <w:rPr>
          <w:rFonts w:ascii="Arial" w:cs="Arial" w:eastAsia="Arial" w:hAnsi="Arial"/>
          <w:color w:val="5B6770"/>
          <w:sz w:val="13"/>
          <w:szCs w:val="13"/>
        </w:rPr>
        <w:t xml:space="preserve"> Daily Star, 26 Aug 2024. </w:t>
      </w:r>
      <w:r>
        <w:rPr>
          <w:rFonts w:ascii="Arial" w:cs="Arial" w:eastAsia="Arial" w:hAnsi="Arial"/>
          <w:color w:val="0E7C86"/>
          <w:sz w:val="12"/>
          <w:szCs w:val="12"/>
          <w:vertAlign w:val="superscript"/>
        </w:rPr>
        <w:t xml:space="preserve">[5]</w:t>
      </w:r>
      <w:r>
        <w:rPr>
          <w:rFonts w:ascii="Arial" w:cs="Arial" w:eastAsia="Arial" w:hAnsi="Arial"/>
          <w:color w:val="5B6770"/>
          <w:sz w:val="13"/>
          <w:szCs w:val="13"/>
        </w:rPr>
        <w:t xml:space="preserve"> BSS, Daily Star, Prothom Alo, 7 Oct 2026. </w:t>
      </w:r>
      <w:r>
        <w:rPr>
          <w:rFonts w:ascii="Arial" w:cs="Arial" w:eastAsia="Arial" w:hAnsi="Arial"/>
          <w:color w:val="0E7C86"/>
          <w:sz w:val="12"/>
          <w:szCs w:val="12"/>
          <w:vertAlign w:val="superscript"/>
        </w:rPr>
        <w:t xml:space="preserve">[6]</w:t>
      </w:r>
      <w:r>
        <w:rPr>
          <w:rFonts w:ascii="Arial" w:cs="Arial" w:eastAsia="Arial" w:hAnsi="Arial"/>
          <w:color w:val="5B6770"/>
          <w:sz w:val="13"/>
          <w:szCs w:val="13"/>
        </w:rPr>
        <w:t xml:space="preserve"> ITU, WMO and UNDRR, Bangladesh Early Warnings for All roadmap. </w:t>
      </w:r>
      <w:r>
        <w:rPr>
          <w:rFonts w:ascii="Arial" w:cs="Arial" w:eastAsia="Arial" w:hAnsi="Arial"/>
          <w:color w:val="0E7C86"/>
          <w:sz w:val="12"/>
          <w:szCs w:val="12"/>
          <w:vertAlign w:val="superscript"/>
        </w:rPr>
        <w:t xml:space="preserve">[7]</w:t>
      </w:r>
      <w:r>
        <w:rPr>
          <w:rFonts w:ascii="Arial" w:cs="Arial" w:eastAsia="Arial" w:hAnsi="Arial"/>
          <w:color w:val="5B6770"/>
          <w:sz w:val="13"/>
          <w:szCs w:val="13"/>
        </w:rPr>
        <w:t xml:space="preserve"> IFRC, 7 Oct 2024. </w:t>
      </w:r>
      <w:r>
        <w:rPr>
          <w:rFonts w:ascii="Arial" w:cs="Arial" w:eastAsia="Arial" w:hAnsi="Arial"/>
          <w:color w:val="0E7C86"/>
          <w:sz w:val="12"/>
          <w:szCs w:val="12"/>
          <w:vertAlign w:val="superscript"/>
        </w:rPr>
        <w:t xml:space="preserve">[8]</w:t>
      </w:r>
      <w:r>
        <w:rPr>
          <w:rFonts w:ascii="Arial" w:cs="Arial" w:eastAsia="Arial" w:hAnsi="Arial"/>
          <w:color w:val="5B6770"/>
          <w:sz w:val="13"/>
          <w:szCs w:val="13"/>
        </w:rPr>
        <w:t xml:space="preserve"> Daily Star/UNB, Sept 2024. </w:t>
      </w:r>
      <w:r>
        <w:rPr>
          <w:rFonts w:ascii="Arial" w:cs="Arial" w:eastAsia="Arial" w:hAnsi="Arial"/>
          <w:color w:val="0E7C86"/>
          <w:sz w:val="12"/>
          <w:szCs w:val="12"/>
          <w:vertAlign w:val="superscript"/>
        </w:rPr>
        <w:t xml:space="preserve">[9]</w:t>
      </w:r>
      <w:r>
        <w:rPr>
          <w:rFonts w:ascii="Arial" w:cs="Arial" w:eastAsia="Arial" w:hAnsi="Arial"/>
          <w:color w:val="5B6770"/>
          <w:sz w:val="13"/>
          <w:szCs w:val="13"/>
        </w:rPr>
        <w:t xml:space="preserve"> Liberty Latin America, 29 Oct 2025. </w:t>
      </w:r>
      <w:r>
        <w:rPr>
          <w:rFonts w:ascii="Arial" w:cs="Arial" w:eastAsia="Arial" w:hAnsi="Arial"/>
          <w:color w:val="0E7C86"/>
          <w:sz w:val="12"/>
          <w:szCs w:val="12"/>
          <w:vertAlign w:val="superscript"/>
        </w:rPr>
        <w:t xml:space="preserve">[11]</w:t>
      </w:r>
      <w:r>
        <w:rPr>
          <w:rFonts w:ascii="Arial" w:cs="Arial" w:eastAsia="Arial" w:hAnsi="Arial"/>
          <w:color w:val="5B6770"/>
          <w:sz w:val="13"/>
          <w:szCs w:val="13"/>
        </w:rPr>
        <w:t xml:space="preserve"> BTRC subscriber data via Wikipedia, June 2025.</w:t>
      </w:r>
    </w:p>
    <w:sectPr>
      <w:footerReference w:type="default" r:id="rId7"/>
      <w:pgSz w:w="11906" w:h="16838" w:orient="portrait"/>
      <w:pgMar w:top="420" w:right="620" w:bottom="4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770"/>
        <w:sz w:val="14"/>
        <w:szCs w:val="14"/>
      </w:rPr>
      <w:t xml:space="preserve">Aali AI · Hack for Humanity 2026 · Page </w:t>
    </w:r>
    <w:r>
      <w:rPr>
        <w:rFonts w:ascii="Arial" w:cs="Arial" w:eastAsia="Arial" w:hAnsi="Arial"/>
        <w:color w:val="5B6770"/>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abstractNum w:abstractNumId="3" w15:restartNumberingAfterBreak="0">
    <w:multiLevelType w:val="hybridMultilevel"/>
    <w:lvl w:ilvl="0" w15:tentative="1">
      <w:start w:val="1"/>
      <w:numFmt w:val="decimal"/>
      <w:lvlText w:val="%1."/>
      <w:lvlJc w:val="left"/>
      <w:pPr>
        <w:ind w:left="3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cfe8a0cc43c04ad655154159889884619beb86f.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Aali AI - two-page proposal</dc:title>
  <dc:creator>Aali AI team</dc:creator>
  <cp:lastModifiedBy>Un-named</cp:lastModifiedBy>
  <cp:revision>1</cp:revision>
  <dcterms:created xsi:type="dcterms:W3CDTF">2026-10-09T11:41:20.122Z</dcterms:created>
  <dcterms:modified xsi:type="dcterms:W3CDTF">2026-10-09T11:41:20.123Z</dcterms:modified>
</cp:coreProperties>
</file>

<file path=docProps/custom.xml><?xml version="1.0" encoding="utf-8"?>
<Properties xmlns="http://schemas.openxmlformats.org/officeDocument/2006/custom-properties" xmlns:vt="http://schemas.openxmlformats.org/officeDocument/2006/docPropsVTypes"/>
</file>