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40"/>
        <w:jc w:val="left"/>
      </w:pPr>
      <w:r>
        <w:rPr>
          <w:rFonts w:ascii="Calibri" w:cs="Calibri" w:eastAsia="Calibri" w:hAnsi="Calibri"/>
          <w:b/>
          <w:bCs/>
          <w:color w:val="0F172A"/>
          <w:sz w:val="28"/>
          <w:szCs w:val="28"/>
        </w:rPr>
        <w:t xml:space="preserve">AALI AI (আলি এআই)  ·  Flash-Flood Resilience Platform</w:t>
      </w:r>
    </w:p>
    <w:p>
      <w:pPr>
        <w:spacing w:after="60" w:before="0" w:line="240"/>
        <w:jc w:val="left"/>
      </w:pPr>
      <w:r>
        <w:rPr>
          <w:rFonts w:ascii="Calibri" w:cs="Calibri" w:eastAsia="Calibri" w:hAnsi="Calibri"/>
          <w:b/>
          <w:bCs/>
          <w:i/>
          <w:iCs/>
          <w:color w:val="B91C1C"/>
          <w:sz w:val="21"/>
          <w:szCs w:val="21"/>
        </w:rPr>
        <w:t xml:space="preserve">“When the towers die, the SOS doesn’t.”  </w:t>
      </w:r>
      <w:r>
        <w:rPr>
          <w:rFonts w:ascii="Calibri" w:cs="Calibri" w:eastAsia="Calibri" w:hAnsi="Calibri"/>
          <w:color w:val="475569"/>
          <w:sz w:val="18"/>
          <w:szCs w:val="18"/>
        </w:rPr>
        <w:t xml:space="preserve">Early warning, zero-tower rescue, and fair recovery for Feni &amp; Sylhet in the satellite-to-phone era.</w:t>
      </w:r>
    </w:p>
    <w:p>
      <w:pPr>
        <w:spacing w:after="30" w:before="90"/>
      </w:pPr>
      <w:r>
        <w:rPr>
          <w:rFonts w:ascii="Calibri" w:cs="Calibri" w:eastAsia="Calibri" w:hAnsi="Calibri"/>
          <w:b/>
          <w:bCs/>
          <w:color w:val="B91C1C"/>
          <w:sz w:val="21"/>
          <w:szCs w:val="21"/>
        </w:rPr>
        <w:t xml:space="preserve">1. THE GROUND REALITY: ONE NIGHT IN FENI &amp; SYLHET</w:t>
      </w:r>
    </w:p>
    <w:p>
      <w:pPr>
        <w:spacing w:after="50" w:before="10" w:line="240"/>
        <w:jc w:val="left"/>
      </w:pPr>
      <w:r>
        <w:rPr>
          <w:rFonts w:ascii="Calibri" w:cs="Calibri" w:eastAsia="Calibri" w:hAnsi="Calibri"/>
          <w:b w:val="false"/>
          <w:bCs w:val="false"/>
          <w:i w:val="false"/>
          <w:iCs w:val="false"/>
          <w:color w:val="0F172A"/>
          <w:sz w:val="19"/>
          <w:szCs w:val="19"/>
        </w:rPr>
        <w:t xml:space="preserve">Rain from the upstream Meghalaya and Tripura hills had fallen relentlessly. On 21 August 2024, the water inundated Parshuram and Fulgazi, filling schools and rooftops with marooned families. Within 48 hours, </w:t>
      </w:r>
      <w:r>
        <w:rPr>
          <w:rFonts w:ascii="Calibri" w:cs="Calibri" w:eastAsia="Calibri" w:hAnsi="Calibri"/>
          <w:b/>
          <w:bCs/>
          <w:i w:val="false"/>
          <w:iCs w:val="false"/>
          <w:color w:val="0F172A"/>
          <w:sz w:val="19"/>
          <w:szCs w:val="19"/>
        </w:rPr>
        <w:t xml:space="preserve">616 of Feni’s 653 mobile towers (92.6%) collapsed</w:t>
      </w:r>
      <w:r>
        <w:rPr>
          <w:rFonts w:ascii="Calibri" w:cs="Calibri" w:eastAsia="Calibri" w:hAnsi="Calibri"/>
          <w:b w:val="false"/>
          <w:bCs w:val="false"/>
          <w:i w:val="false"/>
          <w:iCs w:val="false"/>
          <w:color w:val="0F172A"/>
          <w:sz w:val="19"/>
          <w:szCs w:val="19"/>
        </w:rPr>
        <w:t xml:space="preserve"> as backup battery power failed [1]. Telemetered river gauges stopped transmitting as the Muhuri river crested +6.92m above danger level [3]. Responders faced complete blackout; hotlines jammed at 12 calls/min with zero shared visibility [7]. A father held up his phone: zero bars. </w:t>
      </w:r>
      <w:r>
        <w:rPr>
          <w:rFonts w:ascii="Calibri" w:cs="Calibri" w:eastAsia="Calibri" w:hAnsi="Calibri"/>
          <w:b/>
          <w:bCs/>
          <w:i w:val="false"/>
          <w:iCs w:val="false"/>
          <w:color w:val="1D4ED8"/>
          <w:sz w:val="19"/>
          <w:szCs w:val="19"/>
        </w:rPr>
        <w:t xml:space="preserve">Now picture that scene with Aali AI: His phone transmits a single 42-byte ASCII distress packet directly to satellite or surviving tower. On the control room map, his report appears instantly—de-duplicated, confidence-scored, and ranked to a rescue boat with night spotlight. Nobody phoned anyone.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677"/>
        <w:gridCol w:w="2677"/>
        <w:gridCol w:w="2677"/>
        <w:gridCol w:w="2677"/>
      </w:tblGrid>
      <w:tr>
        <w:tc>
          <w:tcPr>
            <w:tcW w:type="pct" w:w="1250"/>
            <w:tcBorders>
              <w:top w:val="single" w:color="CBD5E1" w:sz="1"/>
              <w:left w:val="single" w:color="CBD5E1" w:sz="1"/>
              <w:bottom w:val="single" w:color="CBD5E1" w:sz="1"/>
              <w:right w:val="single" w:color="CBD5E1" w:sz="1"/>
            </w:tcBorders>
            <w:shd w:fill="F8FAFC" w:val="clear"/>
            <w:tcMar>
              <w:top w:type="dxa" w:w="50"/>
              <w:left w:type="dxa" w:w="80"/>
              <w:bottom w:type="dxa" w:w="50"/>
              <w:right w:type="dxa" w:w="80"/>
            </w:tcMar>
          </w:tcPr>
          <w:p>
            <w:pPr>
              <w:spacing w:after="40" w:before="40" w:line="240"/>
              <w:jc w:val="left"/>
            </w:pPr>
            <w:r>
              <w:rPr>
                <w:rFonts w:ascii="Calibri" w:cs="Calibri" w:eastAsia="Calibri" w:hAnsi="Calibri"/>
                <w:b/>
                <w:bCs/>
                <w:i w:val="false"/>
                <w:iCs w:val="false"/>
                <w:color w:val="B91C1C"/>
                <w:sz w:val="20"/>
                <w:szCs w:val="20"/>
              </w:rPr>
              <w:t xml:space="preserve">616 / 653 (92.6%)</w:t>
            </w:r>
          </w:p>
          <w:p>
            <w:pPr>
              <w:spacing w:after="40" w:before="40" w:line="240"/>
              <w:jc w:val="left"/>
            </w:pPr>
            <w:r>
              <w:rPr>
                <w:rFonts w:ascii="Calibri" w:cs="Calibri" w:eastAsia="Calibri" w:hAnsi="Calibri"/>
                <w:b w:val="false"/>
                <w:bCs w:val="false"/>
                <w:i w:val="false"/>
                <w:iCs w:val="false"/>
                <w:color w:val="475569"/>
                <w:sz w:val="15"/>
                <w:szCs w:val="15"/>
              </w:rPr>
              <w:t xml:space="preserve">Feni Towers Dead (BTRC) [1]</w:t>
            </w:r>
          </w:p>
        </w:tc>
        <w:tc>
          <w:tcPr>
            <w:tcW w:type="pct" w:w="1250"/>
            <w:tcBorders>
              <w:top w:val="single" w:color="CBD5E1" w:sz="1"/>
              <w:left w:val="single" w:color="CBD5E1" w:sz="1"/>
              <w:bottom w:val="single" w:color="CBD5E1" w:sz="1"/>
              <w:right w:val="single" w:color="CBD5E1" w:sz="1"/>
            </w:tcBorders>
            <w:shd w:fill="F8FAFC" w:val="clear"/>
            <w:tcMar>
              <w:top w:type="dxa" w:w="50"/>
              <w:left w:type="dxa" w:w="80"/>
              <w:bottom w:type="dxa" w:w="50"/>
              <w:right w:type="dxa" w:w="80"/>
            </w:tcMar>
          </w:tcPr>
          <w:p>
            <w:pPr>
              <w:spacing w:after="40" w:before="40" w:line="240"/>
              <w:jc w:val="left"/>
            </w:pPr>
            <w:r>
              <w:rPr>
                <w:rFonts w:ascii="Calibri" w:cs="Calibri" w:eastAsia="Calibri" w:hAnsi="Calibri"/>
                <w:b/>
                <w:bCs/>
                <w:i w:val="false"/>
                <w:iCs w:val="false"/>
                <w:color w:val="B91C1C"/>
                <w:sz w:val="20"/>
                <w:szCs w:val="20"/>
              </w:rPr>
              <w:t xml:space="preserve">+6.92 m in 15 Hours</w:t>
            </w:r>
          </w:p>
          <w:p>
            <w:pPr>
              <w:spacing w:after="40" w:before="40" w:line="240"/>
              <w:jc w:val="left"/>
            </w:pPr>
            <w:r>
              <w:rPr>
                <w:rFonts w:ascii="Calibri" w:cs="Calibri" w:eastAsia="Calibri" w:hAnsi="Calibri"/>
                <w:b w:val="false"/>
                <w:bCs w:val="false"/>
                <w:i w:val="false"/>
                <w:iCs w:val="false"/>
                <w:color w:val="475569"/>
                <w:sz w:val="15"/>
                <w:szCs w:val="15"/>
              </w:rPr>
              <w:t xml:space="preserve">Muhuri Rise at Parshuram [3]</w:t>
            </w:r>
          </w:p>
        </w:tc>
        <w:tc>
          <w:tcPr>
            <w:tcW w:type="pct" w:w="1250"/>
            <w:tcBorders>
              <w:top w:val="single" w:color="CBD5E1" w:sz="1"/>
              <w:left w:val="single" w:color="CBD5E1" w:sz="1"/>
              <w:bottom w:val="single" w:color="CBD5E1" w:sz="1"/>
              <w:right w:val="single" w:color="CBD5E1" w:sz="1"/>
            </w:tcBorders>
            <w:shd w:fill="F8FAFC" w:val="clear"/>
            <w:tcMar>
              <w:top w:type="dxa" w:w="50"/>
              <w:left w:type="dxa" w:w="80"/>
              <w:bottom w:type="dxa" w:w="50"/>
              <w:right w:type="dxa" w:w="80"/>
            </w:tcMar>
          </w:tcPr>
          <w:p>
            <w:pPr>
              <w:spacing w:after="40" w:before="40" w:line="240"/>
              <w:jc w:val="left"/>
            </w:pPr>
            <w:r>
              <w:rPr>
                <w:rFonts w:ascii="Calibri" w:cs="Calibri" w:eastAsia="Calibri" w:hAnsi="Calibri"/>
                <w:b/>
                <w:bCs/>
                <w:i w:val="false"/>
                <w:iCs w:val="false"/>
                <w:color w:val="B91C1C"/>
                <w:sz w:val="20"/>
                <w:szCs w:val="20"/>
              </w:rPr>
              <w:t xml:space="preserve">42 Bytes</w:t>
            </w:r>
          </w:p>
          <w:p>
            <w:pPr>
              <w:spacing w:after="40" w:before="40" w:line="240"/>
              <w:jc w:val="left"/>
            </w:pPr>
            <w:r>
              <w:rPr>
                <w:rFonts w:ascii="Calibri" w:cs="Calibri" w:eastAsia="Calibri" w:hAnsi="Calibri"/>
                <w:b w:val="false"/>
                <w:bCs w:val="false"/>
                <w:i w:val="false"/>
                <w:iCs w:val="false"/>
                <w:color w:val="475569"/>
                <w:sz w:val="15"/>
                <w:szCs w:val="15"/>
              </w:rPr>
              <w:t xml:space="preserve">ASCII Disaster Packet (1 SMS)</w:t>
            </w:r>
          </w:p>
        </w:tc>
        <w:tc>
          <w:tcPr>
            <w:tcW w:type="pct" w:w="1250"/>
            <w:tcBorders>
              <w:top w:val="single" w:color="CBD5E1" w:sz="1"/>
              <w:left w:val="single" w:color="CBD5E1" w:sz="1"/>
              <w:bottom w:val="single" w:color="CBD5E1" w:sz="1"/>
              <w:right w:val="single" w:color="CBD5E1" w:sz="1"/>
            </w:tcBorders>
            <w:shd w:fill="F8FAFC" w:val="clear"/>
            <w:tcMar>
              <w:top w:type="dxa" w:w="50"/>
              <w:left w:type="dxa" w:w="80"/>
              <w:bottom w:type="dxa" w:w="50"/>
              <w:right w:type="dxa" w:w="80"/>
            </w:tcMar>
          </w:tcPr>
          <w:p>
            <w:pPr>
              <w:spacing w:after="40" w:before="40" w:line="240"/>
              <w:jc w:val="left"/>
            </w:pPr>
            <w:r>
              <w:rPr>
                <w:rFonts w:ascii="Calibri" w:cs="Calibri" w:eastAsia="Calibri" w:hAnsi="Calibri"/>
                <w:b/>
                <w:bCs/>
                <w:i w:val="false"/>
                <w:iCs w:val="false"/>
                <w:color w:val="B91C1C"/>
                <w:sz w:val="20"/>
                <w:szCs w:val="20"/>
              </w:rPr>
              <w:t xml:space="preserve">8–24 Hours Lead Time</w:t>
            </w:r>
          </w:p>
          <w:p>
            <w:pPr>
              <w:spacing w:after="40" w:before="40" w:line="240"/>
              <w:jc w:val="left"/>
            </w:pPr>
            <w:r>
              <w:rPr>
                <w:rFonts w:ascii="Calibri" w:cs="Calibri" w:eastAsia="Calibri" w:hAnsi="Calibri"/>
                <w:b w:val="false"/>
                <w:bCs w:val="false"/>
                <w:i w:val="false"/>
                <w:iCs w:val="false"/>
                <w:color w:val="475569"/>
                <w:sz w:val="15"/>
                <w:szCs w:val="15"/>
              </w:rPr>
              <w:t xml:space="preserve">Via Blank-Gauge Rule</w:t>
            </w:r>
          </w:p>
        </w:tc>
      </w:tr>
    </w:tbl>
    <w:p>
      <w:pPr>
        <w:spacing w:after="30" w:before="90"/>
      </w:pPr>
      <w:r>
        <w:rPr>
          <w:rFonts w:ascii="Calibri" w:cs="Calibri" w:eastAsia="Calibri" w:hAnsi="Calibri"/>
          <w:b/>
          <w:bCs/>
          <w:color w:val="B91C1C"/>
          <w:sz w:val="21"/>
          <w:szCs w:val="21"/>
        </w:rPr>
        <w:t xml:space="preserve">2. SYSTEM ARCHITECTURE &amp; THE 3-PHASE OPERATIONAL LIFECYCLE</w:t>
      </w:r>
    </w:p>
    <w:p>
      <w:pPr>
        <w:spacing w:after="40" w:before="10" w:line="240"/>
        <w:jc w:val="left"/>
      </w:pPr>
      <w:r>
        <w:rPr>
          <w:rFonts w:ascii="Calibri" w:cs="Calibri" w:eastAsia="Calibri" w:hAnsi="Calibri"/>
          <w:b w:val="false"/>
          <w:bCs w:val="false"/>
          <w:i w:val="false"/>
          <w:iCs w:val="false"/>
          <w:color w:val="0F172A"/>
          <w:sz w:val="19"/>
          <w:szCs w:val="19"/>
        </w:rPr>
        <w:t xml:space="preserve">WHY NOW: On 7 October 2026, Banglalink launched commercial Starlink Direct-to-Cell (D2C) in Bangladesh—enabling any standard 4G phone to reach low-earth satellites with no dish [5]. Aali AI provides the operational decision-support software to turn this breakthrough into life-saving action: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2784"/>
        <w:gridCol w:w="2891"/>
        <w:gridCol w:w="2141"/>
      </w:tblGrid>
      <w:tr>
        <w:tc>
          <w:tcPr>
            <w:tcW w:type="pct" w:w="1350"/>
            <w:tcBorders>
              <w:top w:val="single" w:color="CBD5E1" w:sz="1"/>
              <w:left w:val="single" w:color="CBD5E1" w:sz="1"/>
              <w:bottom w:val="single" w:color="CBD5E1" w:sz="1"/>
              <w:right w:val="single" w:color="CBD5E1" w:sz="1"/>
            </w:tcBorders>
            <w:shd w:fill="F8FAFC" w:val="clear"/>
            <w:tcMar>
              <w:top w:type="dxa" w:w="50"/>
              <w:left w:type="dxa" w:w="80"/>
              <w:bottom w:type="dxa" w:w="50"/>
              <w:right w:type="dxa" w:w="80"/>
            </w:tcMar>
          </w:tcPr>
          <w:p>
            <w:pPr>
              <w:spacing w:after="10" w:before="0" w:line="240"/>
              <w:jc w:val="left"/>
            </w:pPr>
            <w:r>
              <w:rPr>
                <w:rFonts w:ascii="Calibri" w:cs="Calibri" w:eastAsia="Calibri" w:hAnsi="Calibri"/>
                <w:b/>
                <w:bCs/>
                <w:i w:val="false"/>
                <w:iCs w:val="false"/>
                <w:color w:val="B91C1C"/>
                <w:sz w:val="16"/>
                <w:szCs w:val="16"/>
              </w:rPr>
              <w:t xml:space="preserve">EDGE SOS CLIENTS</w:t>
            </w:r>
          </w:p>
          <w:p>
            <w:pPr>
              <w:spacing w:after="0" w:before="0" w:line="240"/>
              <w:jc w:val="left"/>
            </w:pPr>
            <w:r>
              <w:rPr>
                <w:rFonts w:ascii="Calibri" w:cs="Calibri" w:eastAsia="Calibri" w:hAnsi="Calibri"/>
                <w:b w:val="false"/>
                <w:bCs w:val="false"/>
                <w:i w:val="false"/>
                <w:iCs w:val="false"/>
                <w:color w:val="0F172A"/>
                <w:sz w:val="15"/>
                <w:szCs w:val="15"/>
              </w:rPr>
              <w:t xml:space="preserve">• 3-Tap Resident App
• 42-Byte SMS (Any 2G SIM)
• Starlink D2C Satellite Link
• Offline SQLite Queue Buffer</w:t>
            </w:r>
          </w:p>
        </w:tc>
        <w:tc>
          <w:tcPr>
            <w:tcW w:type="pct" w:w="1300"/>
            <w:tcBorders>
              <w:top w:val="single" w:color="CBD5E1" w:sz="1"/>
              <w:left w:val="single" w:color="CBD5E1" w:sz="1"/>
              <w:bottom w:val="single" w:color="CBD5E1" w:sz="1"/>
              <w:right w:val="single" w:color="CBD5E1" w:sz="1"/>
            </w:tcBorders>
            <w:shd w:fill="F8FAFC" w:val="clear"/>
            <w:tcMar>
              <w:top w:type="dxa" w:w="50"/>
              <w:left w:type="dxa" w:w="80"/>
              <w:bottom w:type="dxa" w:w="50"/>
              <w:right w:type="dxa" w:w="80"/>
            </w:tcMar>
          </w:tcPr>
          <w:p>
            <w:pPr>
              <w:spacing w:after="10" w:before="0" w:line="240"/>
              <w:jc w:val="left"/>
            </w:pPr>
            <w:r>
              <w:rPr>
                <w:rFonts w:ascii="Calibri" w:cs="Calibri" w:eastAsia="Calibri" w:hAnsi="Calibri"/>
                <w:b/>
                <w:bCs/>
                <w:i w:val="false"/>
                <w:iCs w:val="false"/>
                <w:color w:val="1D4ED8"/>
                <w:sz w:val="16"/>
                <w:szCs w:val="16"/>
              </w:rPr>
              <w:t xml:space="preserve">TELECOM GATEWAY</w:t>
            </w:r>
          </w:p>
          <w:p>
            <w:pPr>
              <w:spacing w:after="0" w:before="0" w:line="240"/>
              <w:jc w:val="left"/>
            </w:pPr>
            <w:r>
              <w:rPr>
                <w:rFonts w:ascii="Calibri" w:cs="Calibri" w:eastAsia="Calibri" w:hAnsi="Calibri"/>
                <w:b w:val="false"/>
                <w:bCs w:val="false"/>
                <w:i w:val="false"/>
                <w:iCs w:val="false"/>
                <w:color w:val="0F172A"/>
                <w:sz w:val="15"/>
                <w:szCs w:val="15"/>
              </w:rPr>
              <w:t xml:space="preserve">• SMPP v3.4 Shortcode 1090
• 7-Bit GSM PDU Extraction
• Multi-Endpoint Auto-Latch
• Ingestion REST Bridge</w:t>
            </w:r>
          </w:p>
        </w:tc>
        <w:tc>
          <w:tcPr>
            <w:tcW w:type="pct" w:w="1350"/>
            <w:tcBorders>
              <w:top w:val="single" w:color="CBD5E1" w:sz="1"/>
              <w:left w:val="single" w:color="CBD5E1" w:sz="1"/>
              <w:bottom w:val="single" w:color="CBD5E1" w:sz="1"/>
              <w:right w:val="single" w:color="CBD5E1" w:sz="1"/>
            </w:tcBorders>
            <w:shd w:fill="F8FAFC" w:val="clear"/>
            <w:tcMar>
              <w:top w:type="dxa" w:w="50"/>
              <w:left w:type="dxa" w:w="80"/>
              <w:bottom w:type="dxa" w:w="50"/>
              <w:right w:type="dxa" w:w="80"/>
            </w:tcMar>
          </w:tcPr>
          <w:p>
            <w:pPr>
              <w:spacing w:after="10" w:before="0" w:line="240"/>
              <w:jc w:val="left"/>
            </w:pPr>
            <w:r>
              <w:rPr>
                <w:rFonts w:ascii="Calibri" w:cs="Calibri" w:eastAsia="Calibri" w:hAnsi="Calibri"/>
                <w:b/>
                <w:bCs/>
                <w:i w:val="false"/>
                <w:iCs w:val="false"/>
                <w:color w:val="B91C1C"/>
                <w:sz w:val="16"/>
                <w:szCs w:val="16"/>
              </w:rPr>
              <w:t xml:space="preserve">DETERMINISTIC CORES &amp; NLP</w:t>
            </w:r>
          </w:p>
          <w:p>
            <w:pPr>
              <w:spacing w:after="0" w:before="0" w:line="240"/>
              <w:jc w:val="left"/>
            </w:pPr>
            <w:r>
              <w:rPr>
                <w:rFonts w:ascii="Calibri" w:cs="Calibri" w:eastAsia="Calibri" w:hAnsi="Calibri"/>
                <w:b w:val="false"/>
                <w:bCs w:val="false"/>
                <w:i w:val="false"/>
                <w:iCs w:val="false"/>
                <w:color w:val="0F172A"/>
                <w:sz w:val="15"/>
                <w:szCs w:val="15"/>
              </w:rPr>
              <w:t xml:space="preserve">• Blank-Gauge Rule (60m fail)
• Gemini Flash Dialect NLP
• Deterministic Regex Fallback
• Boat Priority &amp; Fuel Checks</w:t>
            </w:r>
          </w:p>
        </w:tc>
        <w:tc>
          <w:tcPr>
            <w:tcW w:type="pct" w:w="1000"/>
            <w:tcBorders>
              <w:top w:val="single" w:color="CBD5E1" w:sz="1"/>
              <w:left w:val="single" w:color="CBD5E1" w:sz="1"/>
              <w:bottom w:val="single" w:color="CBD5E1" w:sz="1"/>
              <w:right w:val="single" w:color="CBD5E1" w:sz="1"/>
            </w:tcBorders>
            <w:shd w:fill="F8FAFC" w:val="clear"/>
            <w:tcMar>
              <w:top w:type="dxa" w:w="50"/>
              <w:left w:type="dxa" w:w="80"/>
              <w:bottom w:type="dxa" w:w="50"/>
              <w:right w:type="dxa" w:w="80"/>
            </w:tcMar>
          </w:tcPr>
          <w:p>
            <w:pPr>
              <w:spacing w:after="10" w:before="0" w:line="240"/>
              <w:jc w:val="left"/>
            </w:pPr>
            <w:r>
              <w:rPr>
                <w:rFonts w:ascii="Calibri" w:cs="Calibri" w:eastAsia="Calibri" w:hAnsi="Calibri"/>
                <w:b/>
                <w:bCs/>
                <w:i w:val="false"/>
                <w:iCs w:val="false"/>
                <w:color w:val="0F172A"/>
                <w:sz w:val="16"/>
                <w:szCs w:val="16"/>
              </w:rPr>
              <w:t xml:space="preserve">SITUATION ROOM</w:t>
            </w:r>
          </w:p>
          <w:p>
            <w:pPr>
              <w:spacing w:after="0" w:before="0" w:line="240"/>
              <w:jc w:val="left"/>
            </w:pPr>
            <w:r>
              <w:rPr>
                <w:rFonts w:ascii="Calibri" w:cs="Calibri" w:eastAsia="Calibri" w:hAnsi="Calibri"/>
                <w:b w:val="false"/>
                <w:bCs w:val="false"/>
                <w:i w:val="false"/>
                <w:iCs w:val="false"/>
                <w:color w:val="0F172A"/>
                <w:sz w:val="15"/>
                <w:szCs w:val="15"/>
              </w:rPr>
              <w:t xml:space="preserve">• Live SSE Stream Map
• Mosque Loudspeaker Audio
• Human Rescue Sign-Off
• Post-Flood Relief Ledger</w:t>
            </w:r>
          </w:p>
        </w:tc>
      </w:tr>
    </w:tbl>
    <w:p>
      <w:pPr>
        <w:spacing w:after="30" w:before="90"/>
      </w:pPr>
      <w:r>
        <w:rPr>
          <w:rFonts w:ascii="Calibri" w:cs="Calibri" w:eastAsia="Calibri" w:hAnsi="Calibri"/>
          <w:b/>
          <w:bCs/>
          <w:color w:val="B91C1C"/>
          <w:sz w:val="21"/>
          <w:szCs w:val="21"/>
        </w:rPr>
        <w:t xml:space="preserve">3. THE SOLUTION IN THREE OPERATIONAL MOVES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640"/>
        <w:gridCol w:w="3533"/>
        <w:gridCol w:w="3533"/>
      </w:tblGrid>
      <w:tr>
        <w:tc>
          <w:tcPr>
            <w:tcW w:type="pct" w:w="1700"/>
            <w:tcBorders>
              <w:top w:val="single" w:color="CBD5E1" w:sz="1"/>
              <w:left w:val="single" w:color="CBD5E1" w:sz="1"/>
              <w:bottom w:val="single" w:color="CBD5E1" w:sz="1"/>
              <w:right w:val="single" w:color="CBD5E1" w:sz="1"/>
            </w:tcBorders>
            <w:shd w:fill="F8FAFC" w:val="clear"/>
            <w:tcMar>
              <w:top w:type="dxa" w:w="50"/>
              <w:left w:type="dxa" w:w="80"/>
              <w:bottom w:type="dxa" w:w="50"/>
              <w:right w:type="dxa" w:w="80"/>
            </w:tcMar>
          </w:tcPr>
          <w:p>
            <w:pPr>
              <w:spacing w:after="20" w:before="0" w:line="240"/>
              <w:jc w:val="left"/>
            </w:pPr>
            <w:r>
              <w:rPr>
                <w:rFonts w:ascii="Calibri" w:cs="Calibri" w:eastAsia="Calibri" w:hAnsi="Calibri"/>
                <w:b/>
                <w:bCs/>
                <w:i w:val="false"/>
                <w:iCs w:val="false"/>
                <w:color w:val="B91C1C"/>
                <w:sz w:val="16"/>
                <w:szCs w:val="16"/>
              </w:rPr>
              <w:t xml:space="preserve">BEFORE · SURVIVING A BLANK GAUGE</w:t>
            </w:r>
          </w:p>
          <w:p>
            <w:pPr>
              <w:spacing w:after="0" w:before="0" w:line="240"/>
              <w:jc w:val="left"/>
            </w:pPr>
            <w:r>
              <w:rPr>
                <w:rFonts w:ascii="Calibri" w:cs="Calibri" w:eastAsia="Calibri" w:hAnsi="Calibri"/>
                <w:b w:val="false"/>
                <w:bCs w:val="false"/>
                <w:i w:val="false"/>
                <w:iCs w:val="false"/>
                <w:color w:val="0F172A"/>
                <w:sz w:val="15"/>
                <w:szCs w:val="15"/>
              </w:rPr>
              <w:t xml:space="preserve">• 3-Signal Fusion: Combines BWDB Muhuri/Surma gauges, satellite rainfall (JAXA GSMaP / BMD), and volunteer staff readings.
• Blank-Gauge Rule: When water surges, river sensors often sever. If a gauge goes silent for ≥60 min while rain &gt;75mm, alert auto-escalates to ACT (Red). Silence is never treated as safety.
• Audio Siren/মাইকিং: Localized Bengali mosque loudspeaker alerts synthesized for uncharged phones.</w:t>
            </w:r>
          </w:p>
        </w:tc>
        <w:tc>
          <w:tcPr>
            <w:tcW w:type="pct" w:w="1650"/>
            <w:tcBorders>
              <w:top w:val="single" w:color="CBD5E1" w:sz="1"/>
              <w:left w:val="single" w:color="CBD5E1" w:sz="1"/>
              <w:bottom w:val="single" w:color="CBD5E1" w:sz="1"/>
              <w:right w:val="single" w:color="CBD5E1" w:sz="1"/>
            </w:tcBorders>
            <w:shd w:fill="F8FAFC" w:val="clear"/>
            <w:tcMar>
              <w:top w:type="dxa" w:w="50"/>
              <w:left w:type="dxa" w:w="80"/>
              <w:bottom w:type="dxa" w:w="50"/>
              <w:right w:type="dxa" w:w="80"/>
            </w:tcMar>
          </w:tcPr>
          <w:p>
            <w:pPr>
              <w:spacing w:after="20" w:before="0" w:line="240"/>
              <w:jc w:val="left"/>
            </w:pPr>
            <w:r>
              <w:rPr>
                <w:rFonts w:ascii="Calibri" w:cs="Calibri" w:eastAsia="Calibri" w:hAnsi="Calibri"/>
                <w:b/>
                <w:bCs/>
                <w:i w:val="false"/>
                <w:iCs w:val="false"/>
                <w:color w:val="1D4ED8"/>
                <w:sz w:val="16"/>
                <w:szCs w:val="16"/>
              </w:rPr>
              <w:t xml:space="preserve">DURING · RESCUE WITH ZERO TOWERS</w:t>
            </w:r>
          </w:p>
          <w:p>
            <w:pPr>
              <w:spacing w:after="0" w:before="0" w:line="240"/>
              <w:jc w:val="left"/>
            </w:pPr>
            <w:r>
              <w:rPr>
                <w:rFonts w:ascii="Calibri" w:cs="Calibri" w:eastAsia="Calibri" w:hAnsi="Calibri"/>
                <w:b w:val="false"/>
                <w:bCs w:val="false"/>
                <w:i w:val="false"/>
                <w:iCs w:val="false"/>
                <w:color w:val="0F172A"/>
                <w:sz w:val="15"/>
                <w:szCs w:val="15"/>
              </w:rPr>
              <w:t xml:space="preserve">• 42-Byte ASCII Packet: Distress report compresses into 1 standard SMS or satellite burst.
• Dialect NLP: Gemini Flash converts Noakhali/Sylheti dialect into schema JSON; deterministic local regex fallback guarantees zero downtime.
• Human-in-the-Loop Boats: Prioritizes stranded families (elderly, infants, roof entrapment, night spotlight, 22km fuel limit). ZERO auto-dispatch.</w:t>
            </w:r>
          </w:p>
        </w:tc>
        <w:tc>
          <w:tcPr>
            <w:tcW w:type="pct" w:w="1650"/>
            <w:tcBorders>
              <w:top w:val="single" w:color="CBD5E1" w:sz="1"/>
              <w:left w:val="single" w:color="CBD5E1" w:sz="1"/>
              <w:bottom w:val="single" w:color="CBD5E1" w:sz="1"/>
              <w:right w:val="single" w:color="CBD5E1" w:sz="1"/>
            </w:tcBorders>
            <w:shd w:fill="F8FAFC" w:val="clear"/>
            <w:tcMar>
              <w:top w:type="dxa" w:w="50"/>
              <w:left w:type="dxa" w:w="80"/>
              <w:bottom w:type="dxa" w:w="50"/>
              <w:right w:type="dxa" w:w="80"/>
            </w:tcMar>
          </w:tcPr>
          <w:p>
            <w:pPr>
              <w:spacing w:after="20" w:before="0" w:line="240"/>
              <w:jc w:val="left"/>
            </w:pPr>
            <w:r>
              <w:rPr>
                <w:rFonts w:ascii="Calibri" w:cs="Calibri" w:eastAsia="Calibri" w:hAnsi="Calibri"/>
                <w:b/>
                <w:bCs/>
                <w:i w:val="false"/>
                <w:iCs w:val="false"/>
                <w:color w:val="0F172A"/>
                <w:sz w:val="16"/>
                <w:szCs w:val="16"/>
              </w:rPr>
              <w:t xml:space="preserve">AFTER · FAIR RECOVERY &amp; RELIEF</w:t>
            </w:r>
          </w:p>
          <w:p>
            <w:pPr>
              <w:spacing w:after="0" w:before="0" w:line="240"/>
              <w:jc w:val="left"/>
            </w:pPr>
            <w:r>
              <w:rPr>
                <w:rFonts w:ascii="Calibri" w:cs="Calibri" w:eastAsia="Calibri" w:hAnsi="Calibri"/>
                <w:b w:val="false"/>
                <w:bCs w:val="false"/>
                <w:i w:val="false"/>
                <w:iCs w:val="false"/>
                <w:color w:val="0F172A"/>
                <w:sz w:val="15"/>
                <w:szCs w:val="15"/>
              </w:rPr>
              <w:t xml:space="preserve">• Tube-Well Ledger: Tracks submerged drinking water sources (BBS 2022 Census weighted).
• Cryptographic Anti-Fraud: SHA-256 idempotency key prevents relief embezzlement or double-claiming.
• Silent-Village Detection: Flags communities with high hazard but zero reports (absence of calls ≠ proof of safety).</w:t>
            </w:r>
          </w:p>
        </w:tc>
      </w:tr>
    </w:tbl>
    <w:p>
      <w:pPr>
        <w:spacing w:after="40" w:before="40" w:line="240"/>
        <w:jc w:val="left"/>
      </w:pPr>
      <w:r>
        <w:br w:type="page"/>
      </w:r>
    </w:p>
    <w:p>
      <w:pPr>
        <w:spacing w:after="30" w:before="90"/>
      </w:pPr>
      <w:r>
        <w:rPr>
          <w:rFonts w:ascii="Calibri" w:cs="Calibri" w:eastAsia="Calibri" w:hAnsi="Calibri"/>
          <w:b/>
          <w:bCs/>
          <w:color w:val="B91C1C"/>
          <w:sz w:val="21"/>
          <w:szCs w:val="21"/>
        </w:rPr>
        <w:t xml:space="preserve">4. THE 42-BYTE ASCII DISASTER PACKET: PRECISION ENGINEERING</w:t>
      </w:r>
    </w:p>
    <w:p>
      <w:pPr>
        <w:spacing w:after="30" w:before="0" w:line="240"/>
        <w:jc w:val="left"/>
      </w:pPr>
      <w:r>
        <w:rPr>
          <w:rFonts w:ascii="Calibri" w:cs="Calibri" w:eastAsia="Calibri" w:hAnsi="Calibri"/>
          <w:b w:val="false"/>
          <w:bCs w:val="false"/>
          <w:i w:val="false"/>
          <w:iCs w:val="false"/>
          <w:color w:val="0F172A"/>
          <w:sz w:val="19"/>
          <w:szCs w:val="19"/>
        </w:rPr>
        <w:t xml:space="preserve">When mobile networks collapse, high-bandwidth data drops to 0 kbps. Aali AI encodes full distress telemetry into an ultra-dense 42-byte ASCII packet that comfortably fits within a single 160-character 7-bit GSM SMS or narrowband satellite frame:</w:t>
      </w:r>
    </w:p>
    <w:p>
      <w:pPr>
        <w:spacing w:after="40" w:before="0" w:line="240"/>
        <w:jc w:val="left"/>
      </w:pPr>
      <w:r>
        <w:rPr>
          <w:rFonts w:ascii="Calibri" w:cs="Calibri" w:eastAsia="Calibri" w:hAnsi="Calibri"/>
          <w:b/>
          <w:bCs/>
          <w:i w:val="false"/>
          <w:iCs w:val="false"/>
          <w:color w:val="0F172A"/>
          <w:sz w:val="16"/>
          <w:szCs w:val="16"/>
        </w:rPr>
        <w:t xml:space="preserve">Packet String:  </w:t>
      </w:r>
      <w:r>
        <w:rPr>
          <w:rFonts w:ascii="Calibri" w:cs="Calibri" w:eastAsia="Calibri" w:hAnsi="Calibri"/>
          <w:b/>
          <w:bCs/>
          <w:i w:val="false"/>
          <w:iCs w:val="false"/>
          <w:color w:val="1D4ED8"/>
          <w:sz w:val="17"/>
          <w:szCs w:val="17"/>
        </w:rPr>
        <w:t xml:space="preserve">A1|S|w7cx000|04|E1C0M0T1|261011-0246|SOS7|0NTV</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7494"/>
      </w:tblGrid>
      <w:tr>
        <w:tc>
          <w:tcPr>
            <w:tcW w:type="pct" w:w="750"/>
            <w:tcBorders>
              <w:top w:val="single" w:color="CBD5E1" w:sz="1"/>
              <w:left w:val="single" w:color="CBD5E1" w:sz="1"/>
              <w:bottom w:val="single" w:color="CBD5E1" w:sz="1"/>
              <w:right w:val="single" w:color="CBD5E1" w:sz="1"/>
            </w:tcBorders>
            <w:shd w:fill="CBD5E1" w:val="clear"/>
            <w:tcMar>
              <w:top w:type="dxa" w:w="50"/>
              <w:left w:type="dxa" w:w="80"/>
              <w:bottom w:type="dxa" w:w="50"/>
              <w:right w:type="dxa" w:w="80"/>
            </w:tcMar>
          </w:tcPr>
          <w:p>Field</w:p>
        </w:tc>
        <w:tc>
          <w:tcPr>
            <w:tcW w:type="pct" w:w="750"/>
            <w:tcBorders>
              <w:top w:val="single" w:color="CBD5E1" w:sz="1"/>
              <w:left w:val="single" w:color="CBD5E1" w:sz="1"/>
              <w:bottom w:val="single" w:color="CBD5E1" w:sz="1"/>
              <w:right w:val="single" w:color="CBD5E1" w:sz="1"/>
            </w:tcBorders>
            <w:shd w:fill="CBD5E1" w:val="clear"/>
            <w:tcMar>
              <w:top w:type="dxa" w:w="50"/>
              <w:left w:type="dxa" w:w="80"/>
              <w:bottom w:type="dxa" w:w="50"/>
              <w:right w:type="dxa" w:w="80"/>
            </w:tcMar>
          </w:tcPr>
          <w:p>Segment</w:p>
        </w:tc>
        <w:tc>
          <w:tcPr>
            <w:tcW w:type="pct" w:w="3500"/>
            <w:tcBorders>
              <w:top w:val="single" w:color="CBD5E1" w:sz="1"/>
              <w:left w:val="single" w:color="CBD5E1" w:sz="1"/>
              <w:bottom w:val="single" w:color="CBD5E1" w:sz="1"/>
              <w:right w:val="single" w:color="CBD5E1" w:sz="1"/>
            </w:tcBorders>
            <w:shd w:fill="CBD5E1" w:val="clear"/>
            <w:tcMar>
              <w:top w:type="dxa" w:w="50"/>
              <w:left w:type="dxa" w:w="80"/>
              <w:bottom w:type="dxa" w:w="50"/>
              <w:right w:type="dxa" w:w="80"/>
            </w:tcMar>
          </w:tcPr>
          <w:p>Technical Definition &amp; Operational Function</w:p>
        </w:tc>
      </w:tr>
      <w:tr>
        <w:tc>
          <w:tcPr>
            <w:tcW w:type="pct" w:w="750"/>
            <w:tcBorders>
              <w:top w:val="single" w:color="CBD5E1" w:sz="1"/>
              <w:left w:val="single" w:color="CBD5E1" w:sz="1"/>
              <w:bottom w:val="single" w:color="CBD5E1" w:sz="1"/>
              <w:right w:val="single" w:color="CBD5E1" w:sz="1"/>
            </w:tcBorders>
            <w:tcMar>
              <w:top w:type="dxa" w:w="50"/>
              <w:left w:type="dxa" w:w="80"/>
              <w:bottom w:type="dxa" w:w="50"/>
              <w:right w:type="dxa" w:w="80"/>
            </w:tcMar>
          </w:tcPr>
          <w:p>Protocol &amp; Type</w:p>
        </w:tc>
        <w:tc>
          <w:tcPr>
            <w:tcW w:type="pct" w:w="750"/>
            <w:tcBorders>
              <w:top w:val="single" w:color="CBD5E1" w:sz="1"/>
              <w:left w:val="single" w:color="CBD5E1" w:sz="1"/>
              <w:bottom w:val="single" w:color="CBD5E1" w:sz="1"/>
              <w:right w:val="single" w:color="CBD5E1" w:sz="1"/>
            </w:tcBorders>
            <w:tcMar>
              <w:top w:type="dxa" w:w="50"/>
              <w:left w:type="dxa" w:w="80"/>
              <w:bottom w:type="dxa" w:w="50"/>
              <w:right w:type="dxa" w:w="80"/>
            </w:tcMar>
          </w:tcPr>
          <w:p>A1 | S</w:p>
        </w:tc>
        <w:tc>
          <w:tcPr>
            <w:tcW w:type="pct" w:w="3500"/>
            <w:tcBorders>
              <w:top w:val="single" w:color="CBD5E1" w:sz="1"/>
              <w:left w:val="single" w:color="CBD5E1" w:sz="1"/>
              <w:bottom w:val="single" w:color="CBD5E1" w:sz="1"/>
              <w:right w:val="single" w:color="CBD5E1" w:sz="1"/>
            </w:tcBorders>
            <w:tcMar>
              <w:top w:type="dxa" w:w="50"/>
              <w:left w:type="dxa" w:w="80"/>
              <w:bottom w:type="dxa" w:w="50"/>
              <w:right w:type="dxa" w:w="80"/>
            </w:tcMar>
          </w:tcPr>
          <w:p>Version A1 allows backward compatibility; S indicates Emergency SOS (R = Road hazard, N = Need, G = Gauge observation).</w:p>
        </w:tc>
      </w:tr>
      <w:tr>
        <w:tc>
          <w:tcPr>
            <w:tcW w:type="pct" w:w="750"/>
            <w:tcBorders>
              <w:top w:val="single" w:color="CBD5E1" w:sz="1"/>
              <w:left w:val="single" w:color="CBD5E1" w:sz="1"/>
              <w:bottom w:val="single" w:color="CBD5E1" w:sz="1"/>
              <w:right w:val="single" w:color="CBD5E1" w:sz="1"/>
            </w:tcBorders>
            <w:tcMar>
              <w:top w:type="dxa" w:w="50"/>
              <w:left w:type="dxa" w:w="80"/>
              <w:bottom w:type="dxa" w:w="50"/>
              <w:right w:type="dxa" w:w="80"/>
            </w:tcMar>
          </w:tcPr>
          <w:p>Geohash-7</w:p>
        </w:tc>
        <w:tc>
          <w:tcPr>
            <w:tcW w:type="pct" w:w="750"/>
            <w:tcBorders>
              <w:top w:val="single" w:color="CBD5E1" w:sz="1"/>
              <w:left w:val="single" w:color="CBD5E1" w:sz="1"/>
              <w:bottom w:val="single" w:color="CBD5E1" w:sz="1"/>
              <w:right w:val="single" w:color="CBD5E1" w:sz="1"/>
            </w:tcBorders>
            <w:tcMar>
              <w:top w:type="dxa" w:w="50"/>
              <w:left w:type="dxa" w:w="80"/>
              <w:bottom w:type="dxa" w:w="50"/>
              <w:right w:type="dxa" w:w="80"/>
            </w:tcMar>
          </w:tcPr>
          <w:p>w7cx000</w:p>
        </w:tc>
        <w:tc>
          <w:tcPr>
            <w:tcW w:type="pct" w:w="3500"/>
            <w:tcBorders>
              <w:top w:val="single" w:color="CBD5E1" w:sz="1"/>
              <w:left w:val="single" w:color="CBD5E1" w:sz="1"/>
              <w:bottom w:val="single" w:color="CBD5E1" w:sz="1"/>
              <w:right w:val="single" w:color="CBD5E1" w:sz="1"/>
            </w:tcBorders>
            <w:tcMar>
              <w:top w:type="dxa" w:w="50"/>
              <w:left w:type="dxa" w:w="80"/>
              <w:bottom w:type="dxa" w:w="50"/>
              <w:right w:type="dxa" w:w="80"/>
            </w:tcMar>
          </w:tcPr>
          <w:p>Compresses GPS latitude/longitude to a 153m × 153m bounding box without requesting map tiles or cellular triangulation.</w:p>
        </w:tc>
      </w:tr>
      <w:tr>
        <w:tc>
          <w:tcPr>
            <w:tcW w:type="pct" w:w="750"/>
            <w:tcBorders>
              <w:top w:val="single" w:color="CBD5E1" w:sz="1"/>
              <w:left w:val="single" w:color="CBD5E1" w:sz="1"/>
              <w:bottom w:val="single" w:color="CBD5E1" w:sz="1"/>
              <w:right w:val="single" w:color="CBD5E1" w:sz="1"/>
            </w:tcBorders>
            <w:tcMar>
              <w:top w:type="dxa" w:w="50"/>
              <w:left w:type="dxa" w:w="80"/>
              <w:bottom w:type="dxa" w:w="50"/>
              <w:right w:type="dxa" w:w="80"/>
            </w:tcMar>
          </w:tcPr>
          <w:p>Vulnerabilities</w:p>
        </w:tc>
        <w:tc>
          <w:tcPr>
            <w:tcW w:type="pct" w:w="750"/>
            <w:tcBorders>
              <w:top w:val="single" w:color="CBD5E1" w:sz="1"/>
              <w:left w:val="single" w:color="CBD5E1" w:sz="1"/>
              <w:bottom w:val="single" w:color="CBD5E1" w:sz="1"/>
              <w:right w:val="single" w:color="CBD5E1" w:sz="1"/>
            </w:tcBorders>
            <w:tcMar>
              <w:top w:type="dxa" w:w="50"/>
              <w:left w:type="dxa" w:w="80"/>
              <w:bottom w:type="dxa" w:w="50"/>
              <w:right w:type="dxa" w:w="80"/>
            </w:tcMar>
          </w:tcPr>
          <w:p>04 | E1C0M0T1</w:p>
        </w:tc>
        <w:tc>
          <w:tcPr>
            <w:tcW w:type="pct" w:w="3500"/>
            <w:tcBorders>
              <w:top w:val="single" w:color="CBD5E1" w:sz="1"/>
              <w:left w:val="single" w:color="CBD5E1" w:sz="1"/>
              <w:bottom w:val="single" w:color="CBD5E1" w:sz="1"/>
              <w:right w:val="single" w:color="CBD5E1" w:sz="1"/>
            </w:tcBorders>
            <w:tcMar>
              <w:top w:type="dxa" w:w="50"/>
              <w:left w:type="dxa" w:w="80"/>
              <w:bottom w:type="dxa" w:w="50"/>
              <w:right w:type="dxa" w:w="80"/>
            </w:tcMar>
          </w:tcPr>
          <w:p>Headcount (4 people). Bitflags: E1 = Elderly present, C0 = No infants, M0 = No acute medication, T1 = Trapped on roof/tree.</w:p>
        </w:tc>
      </w:tr>
      <w:tr>
        <w:tc>
          <w:tcPr>
            <w:tcW w:type="pct" w:w="750"/>
            <w:tcBorders>
              <w:top w:val="single" w:color="CBD5E1" w:sz="1"/>
              <w:left w:val="single" w:color="CBD5E1" w:sz="1"/>
              <w:bottom w:val="single" w:color="CBD5E1" w:sz="1"/>
              <w:right w:val="single" w:color="CBD5E1" w:sz="1"/>
            </w:tcBorders>
            <w:tcMar>
              <w:top w:type="dxa" w:w="50"/>
              <w:left w:type="dxa" w:w="80"/>
              <w:bottom w:type="dxa" w:w="50"/>
              <w:right w:type="dxa" w:w="80"/>
            </w:tcMar>
          </w:tcPr>
          <w:p>Checksum &amp; ID</w:p>
        </w:tc>
        <w:tc>
          <w:tcPr>
            <w:tcW w:type="pct" w:w="750"/>
            <w:tcBorders>
              <w:top w:val="single" w:color="CBD5E1" w:sz="1"/>
              <w:left w:val="single" w:color="CBD5E1" w:sz="1"/>
              <w:bottom w:val="single" w:color="CBD5E1" w:sz="1"/>
              <w:right w:val="single" w:color="CBD5E1" w:sz="1"/>
            </w:tcBorders>
            <w:tcMar>
              <w:top w:type="dxa" w:w="50"/>
              <w:left w:type="dxa" w:w="80"/>
              <w:bottom w:type="dxa" w:w="50"/>
              <w:right w:type="dxa" w:w="80"/>
            </w:tcMar>
          </w:tcPr>
          <w:p>SOS7 | 0NTV</w:p>
        </w:tc>
        <w:tc>
          <w:tcPr>
            <w:tcW w:type="pct" w:w="3500"/>
            <w:tcBorders>
              <w:top w:val="single" w:color="CBD5E1" w:sz="1"/>
              <w:left w:val="single" w:color="CBD5E1" w:sz="1"/>
              <w:bottom w:val="single" w:color="CBD5E1" w:sz="1"/>
              <w:right w:val="single" w:color="CBD5E1" w:sz="1"/>
            </w:tcBorders>
            <w:tcMar>
              <w:top w:type="dxa" w:w="50"/>
              <w:left w:type="dxa" w:w="80"/>
              <w:bottom w:type="dxa" w:w="50"/>
              <w:right w:type="dxa" w:w="80"/>
            </w:tcMar>
          </w:tcPr>
          <w:p>Unique short identifier SOS7 + CRC-16/CCITT-FALSE 4-character Base36 checksum (0NTV) preventing corrupt packet ingestion.</w:p>
        </w:tc>
      </w:tr>
    </w:tbl>
    <w:p>
      <w:pPr>
        <w:spacing w:after="30" w:before="90"/>
      </w:pPr>
      <w:r>
        <w:rPr>
          <w:rFonts w:ascii="Calibri" w:cs="Calibri" w:eastAsia="Calibri" w:hAnsi="Calibri"/>
          <w:b/>
          <w:bCs/>
          <w:color w:val="B91C1C"/>
          <w:sz w:val="21"/>
          <w:szCs w:val="21"/>
        </w:rPr>
        <w:t xml:space="preserve">5. THE INSTITUTIONAL PREMISE: THE AALI EMERGENCY COMPACT</w:t>
      </w:r>
    </w:p>
    <w:p>
      <w:pPr>
        <w:spacing w:after="30" w:before="0" w:line="240"/>
        <w:jc w:val="left"/>
      </w:pPr>
      <w:r>
        <w:rPr>
          <w:rFonts w:ascii="Calibri" w:cs="Calibri" w:eastAsia="Calibri" w:hAnsi="Calibri"/>
          <w:b w:val="false"/>
          <w:bCs w:val="false"/>
          <w:i w:val="false"/>
          <w:iCs w:val="false"/>
          <w:color w:val="0F172A"/>
          <w:sz w:val="19"/>
          <w:szCs w:val="19"/>
        </w:rPr>
        <w:t xml:space="preserve">Technology cannot succeed without institutional alignment. Aali AI is premised on a three-party emergency compact activated during declared flood events (mirroring Jamaica’s 2025 Starlink activation during Hurricane Melissa [9]):</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55"/>
        <w:gridCol w:w="4818"/>
        <w:gridCol w:w="3533"/>
      </w:tblGrid>
      <w:tr>
        <w:tc>
          <w:tcPr>
            <w:tcW w:type="pct" w:w="1100"/>
            <w:tcBorders>
              <w:top w:val="single" w:color="CBD5E1" w:sz="1"/>
              <w:left w:val="single" w:color="CBD5E1" w:sz="1"/>
              <w:bottom w:val="single" w:color="CBD5E1" w:sz="1"/>
              <w:right w:val="single" w:color="CBD5E1" w:sz="1"/>
            </w:tcBorders>
            <w:shd w:fill="CBD5E1" w:val="clear"/>
            <w:tcMar>
              <w:top w:type="dxa" w:w="50"/>
              <w:left w:type="dxa" w:w="80"/>
              <w:bottom w:type="dxa" w:w="50"/>
              <w:right w:type="dxa" w:w="80"/>
            </w:tcMar>
          </w:tcPr>
          <w:p>Stakeholder</w:p>
        </w:tc>
        <w:tc>
          <w:tcPr>
            <w:tcW w:type="pct" w:w="2250"/>
            <w:tcBorders>
              <w:top w:val="single" w:color="CBD5E1" w:sz="1"/>
              <w:left w:val="single" w:color="CBD5E1" w:sz="1"/>
              <w:bottom w:val="single" w:color="CBD5E1" w:sz="1"/>
              <w:right w:val="single" w:color="CBD5E1" w:sz="1"/>
            </w:tcBorders>
            <w:shd w:fill="CBD5E1" w:val="clear"/>
            <w:tcMar>
              <w:top w:type="dxa" w:w="50"/>
              <w:left w:type="dxa" w:w="80"/>
              <w:bottom w:type="dxa" w:w="50"/>
              <w:right w:type="dxa" w:w="80"/>
            </w:tcMar>
          </w:tcPr>
          <w:p>Operational Commitment</w:p>
        </w:tc>
        <w:tc>
          <w:tcPr>
            <w:tcW w:type="pct" w:w="1650"/>
            <w:tcBorders>
              <w:top w:val="single" w:color="CBD5E1" w:sz="1"/>
              <w:left w:val="single" w:color="CBD5E1" w:sz="1"/>
              <w:bottom w:val="single" w:color="CBD5E1" w:sz="1"/>
              <w:right w:val="single" w:color="CBD5E1" w:sz="1"/>
            </w:tcBorders>
            <w:shd w:fill="CBD5E1" w:val="clear"/>
            <w:tcMar>
              <w:top w:type="dxa" w:w="50"/>
              <w:left w:type="dxa" w:w="80"/>
              <w:bottom w:type="dxa" w:w="50"/>
              <w:right w:type="dxa" w:w="80"/>
            </w:tcMar>
          </w:tcPr>
          <w:p>Institutional Benefit &amp; Value</w:p>
        </w:tc>
      </w:tr>
      <w:tr>
        <w:tc>
          <w:tcPr>
            <w:tcW w:type="pct" w:w="1100"/>
            <w:tcBorders>
              <w:top w:val="single" w:color="CBD5E1" w:sz="1"/>
              <w:left w:val="single" w:color="CBD5E1" w:sz="1"/>
              <w:bottom w:val="single" w:color="CBD5E1" w:sz="1"/>
              <w:right w:val="single" w:color="CBD5E1" w:sz="1"/>
            </w:tcBorders>
            <w:tcMar>
              <w:top w:type="dxa" w:w="50"/>
              <w:left w:type="dxa" w:w="80"/>
              <w:bottom w:type="dxa" w:w="50"/>
              <w:right w:type="dxa" w:w="80"/>
            </w:tcMar>
          </w:tcPr>
          <w:p>Government (BTRC, DDM, BWDB)</w:p>
        </w:tc>
        <w:tc>
          <w:tcPr>
            <w:tcW w:type="pct" w:w="2250"/>
            <w:tcBorders>
              <w:top w:val="single" w:color="CBD5E1" w:sz="1"/>
              <w:left w:val="single" w:color="CBD5E1" w:sz="1"/>
              <w:bottom w:val="single" w:color="CBD5E1" w:sz="1"/>
              <w:right w:val="single" w:color="CBD5E1" w:sz="1"/>
            </w:tcBorders>
            <w:tcMar>
              <w:top w:type="dxa" w:w="50"/>
              <w:left w:type="dxa" w:w="80"/>
              <w:bottom w:type="dxa" w:w="50"/>
              <w:right w:type="dxa" w:w="80"/>
            </w:tcMar>
          </w:tcPr>
          <w:p>Declares flood emergency for named upazilas; signs official alerts; owns the immutable audit trail.</w:p>
        </w:tc>
        <w:tc>
          <w:tcPr>
            <w:tcW w:type="pct" w:w="1650"/>
            <w:tcBorders>
              <w:top w:val="single" w:color="CBD5E1" w:sz="1"/>
              <w:left w:val="single" w:color="CBD5E1" w:sz="1"/>
              <w:bottom w:val="single" w:color="CBD5E1" w:sz="1"/>
              <w:right w:val="single" w:color="CBD5E1" w:sz="1"/>
            </w:tcBorders>
            <w:tcMar>
              <w:top w:type="dxa" w:w="50"/>
              <w:left w:type="dxa" w:w="80"/>
              <w:bottom w:type="dxa" w:w="50"/>
              <w:right w:type="dxa" w:w="80"/>
            </w:tcMar>
          </w:tcPr>
          <w:p>Unified multi-agency situational awareness; zero reliance on blind hotlines.</w:p>
        </w:tc>
      </w:tr>
      <w:tr>
        <w:tc>
          <w:tcPr>
            <w:tcW w:type="pct" w:w="1100"/>
            <w:tcBorders>
              <w:top w:val="single" w:color="CBD5E1" w:sz="1"/>
              <w:left w:val="single" w:color="CBD5E1" w:sz="1"/>
              <w:bottom w:val="single" w:color="CBD5E1" w:sz="1"/>
              <w:right w:val="single" w:color="CBD5E1" w:sz="1"/>
            </w:tcBorders>
            <w:tcMar>
              <w:top w:type="dxa" w:w="50"/>
              <w:left w:type="dxa" w:w="80"/>
              <w:bottom w:type="dxa" w:w="50"/>
              <w:right w:type="dxa" w:w="80"/>
            </w:tcMar>
          </w:tcPr>
          <w:p>Telecoms (Banglalink, GP, Robi)</w:p>
        </w:tc>
        <w:tc>
          <w:tcPr>
            <w:tcW w:type="pct" w:w="2250"/>
            <w:tcBorders>
              <w:top w:val="single" w:color="CBD5E1" w:sz="1"/>
              <w:left w:val="single" w:color="CBD5E1" w:sz="1"/>
              <w:bottom w:val="single" w:color="CBD5E1" w:sz="1"/>
              <w:right w:val="single" w:color="CBD5E1" w:sz="1"/>
            </w:tcBorders>
            <w:tcMar>
              <w:top w:type="dxa" w:w="50"/>
              <w:left w:type="dxa" w:w="80"/>
              <w:bottom w:type="dxa" w:w="50"/>
              <w:right w:type="dxa" w:w="80"/>
            </w:tcMar>
          </w:tcPr>
          <w:p>Opens satellite D2C emergency roaming to all SIMs; forwards SOS packets to Aali; zero-rates mobile app.</w:p>
        </w:tc>
        <w:tc>
          <w:tcPr>
            <w:tcW w:type="pct" w:w="1650"/>
            <w:tcBorders>
              <w:top w:val="single" w:color="CBD5E1" w:sz="1"/>
              <w:left w:val="single" w:color="CBD5E1" w:sz="1"/>
              <w:bottom w:val="single" w:color="CBD5E1" w:sz="1"/>
              <w:right w:val="single" w:color="CBD5E1" w:sz="1"/>
            </w:tcBorders>
            <w:tcMar>
              <w:top w:type="dxa" w:w="50"/>
              <w:left w:type="dxa" w:w="80"/>
              <w:bottom w:type="dxa" w:w="50"/>
              <w:right w:type="dxa" w:w="80"/>
            </w:tcMar>
          </w:tcPr>
          <w:p>Fulfills ITU Early Warnings for All mandate; high-impact humanitarian showcase.</w:p>
        </w:tc>
      </w:tr>
      <w:tr>
        <w:tc>
          <w:tcPr>
            <w:tcW w:type="pct" w:w="1100"/>
            <w:tcBorders>
              <w:top w:val="single" w:color="CBD5E1" w:sz="1"/>
              <w:left w:val="single" w:color="CBD5E1" w:sz="1"/>
              <w:bottom w:val="single" w:color="CBD5E1" w:sz="1"/>
              <w:right w:val="single" w:color="CBD5E1" w:sz="1"/>
            </w:tcBorders>
            <w:tcMar>
              <w:top w:type="dxa" w:w="50"/>
              <w:left w:type="dxa" w:w="80"/>
              <w:bottom w:type="dxa" w:w="50"/>
              <w:right w:type="dxa" w:w="80"/>
            </w:tcMar>
          </w:tcPr>
          <w:p>Responders (Red Crescent, FSCD)</w:p>
        </w:tc>
        <w:tc>
          <w:tcPr>
            <w:tcW w:type="pct" w:w="2250"/>
            <w:tcBorders>
              <w:top w:val="single" w:color="CBD5E1" w:sz="1"/>
              <w:left w:val="single" w:color="CBD5E1" w:sz="1"/>
              <w:bottom w:val="single" w:color="CBD5E1" w:sz="1"/>
              <w:right w:val="single" w:color="CBD5E1" w:sz="1"/>
            </w:tcBorders>
            <w:tcMar>
              <w:top w:type="dxa" w:w="50"/>
              <w:left w:type="dxa" w:w="80"/>
              <w:bottom w:type="dxa" w:w="50"/>
              <w:right w:type="dxa" w:w="80"/>
            </w:tcMar>
          </w:tcPr>
          <w:p>Operates Web Command Room; manages rescue boat inventory; confirms field rescues and relief.</w:p>
        </w:tc>
        <w:tc>
          <w:tcPr>
            <w:tcW w:type="pct" w:w="1650"/>
            <w:tcBorders>
              <w:top w:val="single" w:color="CBD5E1" w:sz="1"/>
              <w:left w:val="single" w:color="CBD5E1" w:sz="1"/>
              <w:bottom w:val="single" w:color="CBD5E1" w:sz="1"/>
              <w:right w:val="single" w:color="CBD5E1" w:sz="1"/>
            </w:tcBorders>
            <w:tcMar>
              <w:top w:type="dxa" w:w="50"/>
              <w:left w:type="dxa" w:w="80"/>
              <w:bottom w:type="dxa" w:w="50"/>
              <w:right w:type="dxa" w:w="80"/>
            </w:tcMar>
          </w:tcPr>
          <w:p>Eliminates dangerous blind dispatch; protects volunteer boat crews.</w:p>
        </w:tc>
      </w:tr>
    </w:tbl>
    <w:p>
      <w:pPr>
        <w:spacing w:after="30" w:before="90"/>
      </w:pPr>
      <w:r>
        <w:rPr>
          <w:rFonts w:ascii="Calibri" w:cs="Calibri" w:eastAsia="Calibri" w:hAnsi="Calibri"/>
          <w:b/>
          <w:bCs/>
          <w:color w:val="B91C1C"/>
          <w:sz w:val="21"/>
          <w:szCs w:val="21"/>
        </w:rPr>
        <w:t xml:space="preserve">6. ETHICAL AI BOUNDARIES: WHAT AI DOES VS. WHAT REMAINS DETERMINISTIC</w:t>
      </w:r>
    </w:p>
    <w:p>
      <w:pPr>
        <w:spacing w:after="40" w:before="0" w:line="240"/>
        <w:jc w:val="left"/>
      </w:pPr>
      <w:r>
        <w:rPr>
          <w:rFonts w:ascii="Calibri" w:cs="Calibri" w:eastAsia="Calibri" w:hAnsi="Calibri"/>
          <w:b/>
          <w:bCs/>
          <w:i w:val="false"/>
          <w:iCs w:val="false"/>
          <w:color w:val="0F172A"/>
          <w:sz w:val="19"/>
          <w:szCs w:val="19"/>
        </w:rPr>
        <w:t xml:space="preserve">• Where AI Does the Work: </w:t>
      </w:r>
      <w:r>
        <w:rPr>
          <w:rFonts w:ascii="Calibri" w:cs="Calibri" w:eastAsia="Calibri" w:hAnsi="Calibri"/>
          <w:b w:val="false"/>
          <w:bCs w:val="false"/>
          <w:i w:val="false"/>
          <w:iCs w:val="false"/>
          <w:color w:val="0F172A"/>
          <w:sz w:val="19"/>
          <w:szCs w:val="19"/>
        </w:rPr>
        <w:t xml:space="preserve">(1) Reads unstructured dialect Bengali/Banglish SOS text and audio into schema JSON; (2) Semantic text-similarity matching for duplicate reports; (3) Drafts localized evacuation warnings and boat dispatch reasoning.
</w:t>
      </w:r>
      <w:r>
        <w:rPr>
          <w:rFonts w:ascii="Calibri" w:cs="Calibri" w:eastAsia="Calibri" w:hAnsi="Calibri"/>
          <w:b/>
          <w:bCs/>
          <w:i w:val="false"/>
          <w:iCs w:val="false"/>
          <w:color w:val="B91C1C"/>
          <w:sz w:val="19"/>
          <w:szCs w:val="19"/>
        </w:rPr>
        <w:t xml:space="preserve">• Where AI is Strictly Barred (100% Deterministic Code): </w:t>
      </w:r>
      <w:r>
        <w:rPr>
          <w:rFonts w:ascii="Calibri" w:cs="Calibri" w:eastAsia="Calibri" w:hAnsi="Calibri"/>
          <w:b w:val="false"/>
          <w:bCs w:val="false"/>
          <w:i w:val="false"/>
          <w:iCs w:val="false"/>
          <w:color w:val="0F172A"/>
          <w:sz w:val="19"/>
          <w:szCs w:val="19"/>
        </w:rPr>
        <w:t xml:space="preserve">Flood warning levels (`Watch`/`Warning`/`Act`), confidence scoring (0-100%), boat prioritization math, and relief entitlement are 100% transparent deterministic domain code. An AI hallucination never risks a human life. ZERO auto-dispatch: All operations require an authenticated human signature.</w:t>
      </w:r>
    </w:p>
    <w:p>
      <w:pPr>
        <w:spacing w:after="30" w:before="90"/>
      </w:pPr>
      <w:r>
        <w:rPr>
          <w:rFonts w:ascii="Calibri" w:cs="Calibri" w:eastAsia="Calibri" w:hAnsi="Calibri"/>
          <w:b/>
          <w:bCs/>
          <w:color w:val="B91C1C"/>
          <w:sz w:val="21"/>
          <w:szCs w:val="21"/>
        </w:rPr>
        <w:t xml:space="preserve">7. VERIFIED FULL-STACK PROTOTYPE STATUS &amp; PHYSICAL FINAL READINESS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677"/>
        <w:gridCol w:w="3747"/>
        <w:gridCol w:w="4282"/>
      </w:tblGrid>
      <w:tr>
        <w:tc>
          <w:tcPr>
            <w:tcW w:type="pct" w:w="1250"/>
            <w:tcBorders>
              <w:top w:val="single" w:color="CBD5E1" w:sz="1"/>
              <w:left w:val="single" w:color="CBD5E1" w:sz="1"/>
              <w:bottom w:val="single" w:color="CBD5E1" w:sz="1"/>
              <w:right w:val="single" w:color="CBD5E1" w:sz="1"/>
            </w:tcBorders>
            <w:shd w:fill="CBD5E1" w:val="clear"/>
            <w:tcMar>
              <w:top w:type="dxa" w:w="50"/>
              <w:left w:type="dxa" w:w="80"/>
              <w:bottom w:type="dxa" w:w="50"/>
              <w:right w:type="dxa" w:w="80"/>
            </w:tcMar>
          </w:tcPr>
          <w:p>Subsystem</w:p>
        </w:tc>
        <w:tc>
          <w:tcPr>
            <w:tcW w:type="pct" w:w="1750"/>
            <w:tcBorders>
              <w:top w:val="single" w:color="CBD5E1" w:sz="1"/>
              <w:left w:val="single" w:color="CBD5E1" w:sz="1"/>
              <w:bottom w:val="single" w:color="CBD5E1" w:sz="1"/>
              <w:right w:val="single" w:color="CBD5E1" w:sz="1"/>
            </w:tcBorders>
            <w:shd w:fill="CBD5E1" w:val="clear"/>
            <w:tcMar>
              <w:top w:type="dxa" w:w="50"/>
              <w:left w:type="dxa" w:w="80"/>
              <w:bottom w:type="dxa" w:w="50"/>
              <w:right w:type="dxa" w:w="80"/>
            </w:tcMar>
          </w:tcPr>
          <w:p>Technology Stack &amp; Endpoints</w:p>
        </w:tc>
        <w:tc>
          <w:tcPr>
            <w:tcW w:type="pct" w:w="2000"/>
            <w:tcBorders>
              <w:top w:val="single" w:color="CBD5E1" w:sz="1"/>
              <w:left w:val="single" w:color="CBD5E1" w:sz="1"/>
              <w:bottom w:val="single" w:color="CBD5E1" w:sz="1"/>
              <w:right w:val="single" w:color="CBD5E1" w:sz="1"/>
            </w:tcBorders>
            <w:shd w:fill="CBD5E1" w:val="clear"/>
            <w:tcMar>
              <w:top w:type="dxa" w:w="50"/>
              <w:left w:type="dxa" w:w="80"/>
              <w:bottom w:type="dxa" w:w="50"/>
              <w:right w:type="dxa" w:w="80"/>
            </w:tcMar>
          </w:tcPr>
          <w:p>Verification Status &amp; Hardware Evidence</w:p>
        </w:tc>
      </w:tr>
      <w:tr>
        <w:tc>
          <w:tcPr>
            <w:tcW w:type="pct" w:w="1250"/>
            <w:tcBorders>
              <w:top w:val="single" w:color="CBD5E1" w:sz="1"/>
              <w:left w:val="single" w:color="CBD5E1" w:sz="1"/>
              <w:bottom w:val="single" w:color="CBD5E1" w:sz="1"/>
              <w:right w:val="single" w:color="CBD5E1" w:sz="1"/>
            </w:tcBorders>
            <w:tcMar>
              <w:top w:type="dxa" w:w="50"/>
              <w:left w:type="dxa" w:w="80"/>
              <w:bottom w:type="dxa" w:w="50"/>
              <w:right w:type="dxa" w:w="80"/>
            </w:tcMar>
          </w:tcPr>
          <w:p>Backend API</w:p>
        </w:tc>
        <w:tc>
          <w:tcPr>
            <w:tcW w:type="pct" w:w="1750"/>
            <w:tcBorders>
              <w:top w:val="single" w:color="CBD5E1" w:sz="1"/>
              <w:left w:val="single" w:color="CBD5E1" w:sz="1"/>
              <w:bottom w:val="single" w:color="CBD5E1" w:sz="1"/>
              <w:right w:val="single" w:color="CBD5E1" w:sz="1"/>
            </w:tcBorders>
            <w:tcMar>
              <w:top w:type="dxa" w:w="50"/>
              <w:left w:type="dxa" w:w="80"/>
              <w:bottom w:type="dxa" w:w="50"/>
              <w:right w:type="dxa" w:w="80"/>
            </w:tcMar>
          </w:tcPr>
          <w:p>NestJS 10, TypeORM, MySQL 8.4 (:3001/:3002)</w:p>
        </w:tc>
        <w:tc>
          <w:tcPr>
            <w:tcW w:type="pct" w:w="2000"/>
            <w:tcBorders>
              <w:top w:val="single" w:color="CBD5E1" w:sz="1"/>
              <w:left w:val="single" w:color="CBD5E1" w:sz="1"/>
              <w:bottom w:val="single" w:color="CBD5E1" w:sz="1"/>
              <w:right w:val="single" w:color="CBD5E1" w:sz="1"/>
            </w:tcBorders>
            <w:tcMar>
              <w:top w:type="dxa" w:w="50"/>
              <w:left w:type="dxa" w:w="80"/>
              <w:bottom w:type="dxa" w:w="50"/>
              <w:right w:type="dxa" w:w="80"/>
            </w:tcMar>
          </w:tcPr>
          <w:p>113 / 113 Tests Passed (26 suites). SSE stream, strict RBAC, HMAC privacy hashing.</w:p>
        </w:tc>
      </w:tr>
      <w:tr>
        <w:tc>
          <w:tcPr>
            <w:tcW w:type="pct" w:w="1250"/>
            <w:tcBorders>
              <w:top w:val="single" w:color="CBD5E1" w:sz="1"/>
              <w:left w:val="single" w:color="CBD5E1" w:sz="1"/>
              <w:bottom w:val="single" w:color="CBD5E1" w:sz="1"/>
              <w:right w:val="single" w:color="CBD5E1" w:sz="1"/>
            </w:tcBorders>
            <w:tcMar>
              <w:top w:type="dxa" w:w="50"/>
              <w:left w:type="dxa" w:w="80"/>
              <w:bottom w:type="dxa" w:w="50"/>
              <w:right w:type="dxa" w:w="80"/>
            </w:tcMar>
          </w:tcPr>
          <w:p>Web Situation Room</w:p>
        </w:tc>
        <w:tc>
          <w:tcPr>
            <w:tcW w:type="pct" w:w="1750"/>
            <w:tcBorders>
              <w:top w:val="single" w:color="CBD5E1" w:sz="1"/>
              <w:left w:val="single" w:color="CBD5E1" w:sz="1"/>
              <w:bottom w:val="single" w:color="CBD5E1" w:sz="1"/>
              <w:right w:val="single" w:color="CBD5E1" w:sz="1"/>
            </w:tcBorders>
            <w:tcMar>
              <w:top w:type="dxa" w:w="50"/>
              <w:left w:type="dxa" w:w="80"/>
              <w:bottom w:type="dxa" w:w="50"/>
              <w:right w:type="dxa" w:w="80"/>
            </w:tcMar>
          </w:tcPr>
          <w:p>React 18, Vite, Leaflet, Dark UI (:5173/:5174)</w:p>
        </w:tc>
        <w:tc>
          <w:tcPr>
            <w:tcW w:type="pct" w:w="2000"/>
            <w:tcBorders>
              <w:top w:val="single" w:color="CBD5E1" w:sz="1"/>
              <w:left w:val="single" w:color="CBD5E1" w:sz="1"/>
              <w:bottom w:val="single" w:color="CBD5E1" w:sz="1"/>
              <w:right w:val="single" w:color="CBD5E1" w:sz="1"/>
            </w:tcBorders>
            <w:tcMar>
              <w:top w:type="dxa" w:w="50"/>
              <w:left w:type="dxa" w:w="80"/>
              <w:bottom w:type="dxa" w:w="50"/>
              <w:right w:type="dxa" w:w="80"/>
            </w:tcMar>
          </w:tcPr>
          <w:p>48 / 48 Tests Passed (13 suites). 1-Click Demo Director, emergency alert banner.</w:p>
        </w:tc>
      </w:tr>
      <w:tr>
        <w:tc>
          <w:tcPr>
            <w:tcW w:type="pct" w:w="1250"/>
            <w:tcBorders>
              <w:top w:val="single" w:color="CBD5E1" w:sz="1"/>
              <w:left w:val="single" w:color="CBD5E1" w:sz="1"/>
              <w:bottom w:val="single" w:color="CBD5E1" w:sz="1"/>
              <w:right w:val="single" w:color="CBD5E1" w:sz="1"/>
            </w:tcBorders>
            <w:tcMar>
              <w:top w:type="dxa" w:w="50"/>
              <w:left w:type="dxa" w:w="80"/>
              <w:bottom w:type="dxa" w:w="50"/>
              <w:right w:type="dxa" w:w="80"/>
            </w:tcMar>
          </w:tcPr>
          <w:p>Tactile Mobile App</w:p>
        </w:tc>
        <w:tc>
          <w:tcPr>
            <w:tcW w:type="pct" w:w="1750"/>
            <w:tcBorders>
              <w:top w:val="single" w:color="CBD5E1" w:sz="1"/>
              <w:left w:val="single" w:color="CBD5E1" w:sz="1"/>
              <w:bottom w:val="single" w:color="CBD5E1" w:sz="1"/>
              <w:right w:val="single" w:color="CBD5E1" w:sz="1"/>
            </w:tcBorders>
            <w:tcMar>
              <w:top w:type="dxa" w:w="50"/>
              <w:left w:type="dxa" w:w="80"/>
              <w:bottom w:type="dxa" w:w="50"/>
              <w:right w:type="dxa" w:w="80"/>
            </w:tcMar>
          </w:tcPr>
          <w:p>Flutter 3.x, Material 3, Vector Canvas</w:p>
        </w:tc>
        <w:tc>
          <w:tcPr>
            <w:tcW w:type="pct" w:w="2000"/>
            <w:tcBorders>
              <w:top w:val="single" w:color="CBD5E1" w:sz="1"/>
              <w:left w:val="single" w:color="CBD5E1" w:sz="1"/>
              <w:bottom w:val="single" w:color="CBD5E1" w:sz="1"/>
              <w:right w:val="single" w:color="CBD5E1" w:sz="1"/>
            </w:tcBorders>
            <w:tcMar>
              <w:top w:type="dxa" w:w="50"/>
              <w:left w:type="dxa" w:w="80"/>
              <w:bottom w:type="dxa" w:w="50"/>
              <w:right w:type="dxa" w:w="80"/>
            </w:tcMar>
          </w:tcPr>
          <w:p>16 / 16 Tests Passed. Verified on physical Android 13+ device via wireless ADB (192.168.0.110).</w:p>
        </w:tc>
      </w:tr>
      <w:tr>
        <w:tc>
          <w:tcPr>
            <w:tcW w:type="pct" w:w="1250"/>
            <w:tcBorders>
              <w:top w:val="single" w:color="CBD5E1" w:sz="1"/>
              <w:left w:val="single" w:color="CBD5E1" w:sz="1"/>
              <w:bottom w:val="single" w:color="CBD5E1" w:sz="1"/>
              <w:right w:val="single" w:color="CBD5E1" w:sz="1"/>
            </w:tcBorders>
            <w:tcMar>
              <w:top w:type="dxa" w:w="50"/>
              <w:left w:type="dxa" w:w="80"/>
              <w:bottom w:type="dxa" w:w="50"/>
              <w:right w:type="dxa" w:w="80"/>
            </w:tcMar>
          </w:tcPr>
          <w:p>SMPP Telecom Gateway</w:p>
        </w:tc>
        <w:tc>
          <w:tcPr>
            <w:tcW w:type="pct" w:w="1750"/>
            <w:tcBorders>
              <w:top w:val="single" w:color="CBD5E1" w:sz="1"/>
              <w:left w:val="single" w:color="CBD5E1" w:sz="1"/>
              <w:bottom w:val="single" w:color="CBD5E1" w:sz="1"/>
              <w:right w:val="single" w:color="CBD5E1" w:sz="1"/>
            </w:tcBorders>
            <w:tcMar>
              <w:top w:type="dxa" w:w="50"/>
              <w:left w:type="dxa" w:w="80"/>
              <w:bottom w:type="dxa" w:w="50"/>
              <w:right w:type="dxa" w:w="80"/>
            </w:tcMar>
          </w:tcPr>
          <w:p>Node.js TCP PDU Server (:2775)</w:p>
        </w:tc>
        <w:tc>
          <w:tcPr>
            <w:tcW w:type="pct" w:w="2000"/>
            <w:tcBorders>
              <w:top w:val="single" w:color="CBD5E1" w:sz="1"/>
              <w:left w:val="single" w:color="CBD5E1" w:sz="1"/>
              <w:bottom w:val="single" w:color="CBD5E1" w:sz="1"/>
              <w:right w:val="single" w:color="CBD5E1" w:sz="1"/>
            </w:tcBorders>
            <w:tcMar>
              <w:top w:type="dxa" w:w="50"/>
              <w:left w:type="dxa" w:w="80"/>
              <w:bottom w:type="dxa" w:w="50"/>
              <w:right w:type="dxa" w:w="80"/>
            </w:tcMar>
          </w:tcPr>
          <w:p>Shortcode 1090 GSM 03.38 PDU parsing and REST bridge operational.</w:p>
        </w:tc>
      </w:tr>
    </w:tbl>
    <w:p>
      <w:pPr>
        <w:spacing w:after="10" w:before="20" w:line="240"/>
        <w:jc w:val="left"/>
      </w:pPr>
      <w:r>
        <w:rPr>
          <w:rFonts w:ascii="Calibri" w:cs="Calibri" w:eastAsia="Calibri" w:hAnsi="Calibri"/>
          <w:b/>
          <w:bCs/>
          <w:i w:val="false"/>
          <w:iCs w:val="false"/>
          <w:color w:val="0F172A"/>
          <w:sz w:val="19"/>
          <w:szCs w:val="19"/>
        </w:rPr>
        <w:t xml:space="preserve">• Honest Simulation Disclosures: </w:t>
      </w:r>
      <w:r>
        <w:rPr>
          <w:rFonts w:ascii="Calibri" w:cs="Calibri" w:eastAsia="Calibri" w:hAnsi="Calibri"/>
          <w:b w:val="false"/>
          <w:bCs w:val="false"/>
          <w:i w:val="false"/>
          <w:iCs w:val="false"/>
          <w:color w:val="0F172A"/>
          <w:sz w:val="19"/>
          <w:szCs w:val="19"/>
        </w:rPr>
        <w:t xml:space="preserve">Carrier satellite-to-phone spectrum is simulated via local Wi-Fi uplink (`STARLINK_D2C_WIFI`); cell tower blackout is simulated via control toggles; flood hydrograph is reconstructed from published BWDB/FFWC observations.
</w:t>
      </w:r>
      <w:r>
        <w:rPr>
          <w:rFonts w:ascii="Calibri" w:cs="Calibri" w:eastAsia="Calibri" w:hAnsi="Calibri"/>
          <w:b/>
          <w:bCs/>
          <w:i w:val="false"/>
          <w:iCs w:val="false"/>
          <w:color w:val="0F172A"/>
          <w:sz w:val="19"/>
          <w:szCs w:val="19"/>
        </w:rPr>
        <w:t xml:space="preserve">• Physical Final Readiness (October 23, 2026): </w:t>
      </w:r>
      <w:r>
        <w:rPr>
          <w:rFonts w:ascii="Calibri" w:cs="Calibri" w:eastAsia="Calibri" w:hAnsi="Calibri"/>
          <w:b w:val="false"/>
          <w:bCs w:val="false"/>
          <w:i w:val="false"/>
          <w:iCs w:val="false"/>
          <w:color w:val="0F172A"/>
          <w:sz w:val="19"/>
          <w:szCs w:val="19"/>
        </w:rPr>
        <w:t xml:space="preserve">The system is completely stage-rehearsed with dual-screen scrcpy mobile mirroring, 1-click Demo Director HUD, portable loudspeaker amp connection, and full multi-district (Feni &amp; Sylhet) support.</w:t>
      </w:r>
    </w:p>
    <w:sectPr>
      <w:pgSz w:w="11906" w:h="16838" w:orient="portrait"/>
      <w:pgMar w:top="500" w:right="600" w:bottom="500" w:left="6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2026-10-10T21:16:33.141Z</dcterms:created>
  <dcterms:modified xsi:type="dcterms:W3CDTF">2026-10-10T21:16:33.145Z</dcterms:modified>
</cp:coreProperties>
</file>

<file path=docProps/custom.xml><?xml version="1.0" encoding="utf-8"?>
<Properties xmlns="http://schemas.openxmlformats.org/officeDocument/2006/custom-properties" xmlns:vt="http://schemas.openxmlformats.org/officeDocument/2006/docPropsVTypes"/>
</file>