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32894" w14:textId="34B1209C" w:rsidR="00B46C00" w:rsidRDefault="00042943" w:rsidP="00B46C00">
      <w:pPr>
        <w:spacing w:before="100" w:beforeAutospacing="1" w:after="100" w:afterAutospacing="1"/>
        <w:rPr>
          <w:rFonts w:ascii="Times" w:eastAsia="Times New Roman" w:hAnsi="Times" w:cs="Times New Roman"/>
          <w:b/>
          <w:bCs/>
          <w:kern w:val="0"/>
          <w14:ligatures w14:val="none"/>
        </w:rPr>
      </w:pPr>
      <w:r>
        <w:rPr>
          <w:rFonts w:ascii="Times" w:eastAsia="Times New Roman" w:hAnsi="Times" w:cs="Times New Roman"/>
          <w:b/>
          <w:bCs/>
          <w:kern w:val="0"/>
          <w14:ligatures w14:val="none"/>
        </w:rPr>
        <w:t>Method:</w:t>
      </w:r>
    </w:p>
    <w:p w14:paraId="5B7C9888" w14:textId="77777777" w:rsidR="00281451" w:rsidRDefault="00281451" w:rsidP="00281451">
      <w:pPr>
        <w:pStyle w:val="NormalWeb"/>
      </w:pPr>
      <w:r>
        <w:rPr>
          <w:b/>
          <w:bCs/>
        </w:rPr>
        <w:t>Viability and Optimization</w:t>
      </w:r>
      <w:r w:rsidRPr="00824E56">
        <w:rPr>
          <w:b/>
          <w:bCs/>
        </w:rPr>
        <w:t xml:space="preserve"> of FITC </w:t>
      </w:r>
      <w:proofErr w:type="spellStart"/>
      <w:r w:rsidRPr="00824E56">
        <w:rPr>
          <w:b/>
          <w:bCs/>
        </w:rPr>
        <w:t>Poloboxtide</w:t>
      </w:r>
      <w:proofErr w:type="spellEnd"/>
      <w:r w:rsidRPr="00824E56">
        <w:rPr>
          <w:b/>
          <w:bCs/>
        </w:rPr>
        <w:t xml:space="preserve"> Solution</w:t>
      </w:r>
      <w:r>
        <w:t xml:space="preserve"> </w:t>
      </w:r>
    </w:p>
    <w:p w14:paraId="4C1B8F4F" w14:textId="78E7FE1D" w:rsidR="005B0EE6" w:rsidRDefault="00281451" w:rsidP="00281451">
      <w:pPr>
        <w:pStyle w:val="NormalWeb"/>
      </w:pPr>
      <w:r w:rsidRPr="0065348D">
        <w:t xml:space="preserve">In our study, we </w:t>
      </w:r>
      <w:r>
        <w:t xml:space="preserve">first </w:t>
      </w:r>
      <w:r w:rsidRPr="0065348D">
        <w:t xml:space="preserve">aimed to assess the viability of FITC </w:t>
      </w:r>
      <w:proofErr w:type="spellStart"/>
      <w:r w:rsidRPr="0065348D">
        <w:t>Poloboxtide</w:t>
      </w:r>
      <w:proofErr w:type="spellEnd"/>
      <w:r w:rsidRPr="0065348D">
        <w:t xml:space="preserve"> as a fluorescence peptide tracer and</w:t>
      </w:r>
      <w:r w:rsidR="00C44123">
        <w:t>, if viable,</w:t>
      </w:r>
      <w:r w:rsidRPr="0065348D">
        <w:t xml:space="preserve"> to </w:t>
      </w:r>
      <w:r w:rsidR="00C44123">
        <w:t xml:space="preserve">determine the </w:t>
      </w:r>
      <w:r w:rsidRPr="0065348D">
        <w:t>optim</w:t>
      </w:r>
      <w:r w:rsidR="00C44123">
        <w:t>um</w:t>
      </w:r>
      <w:r w:rsidRPr="0065348D">
        <w:t xml:space="preserve"> concentration for an ideal signal-to-noise ratio without detection</w:t>
      </w:r>
      <w:r w:rsidR="00ED05FD">
        <w:t xml:space="preserve"> of</w:t>
      </w:r>
      <w:r w:rsidRPr="0065348D">
        <w:t xml:space="preserve"> signal saturation. </w:t>
      </w:r>
      <w:r>
        <w:t>To accomplish this, w</w:t>
      </w:r>
      <w:r w:rsidRPr="0065348D">
        <w:t xml:space="preserve">e prepared a 30 </w:t>
      </w:r>
      <w:proofErr w:type="spellStart"/>
      <w:r w:rsidRPr="0065348D">
        <w:t>μM</w:t>
      </w:r>
      <w:proofErr w:type="spellEnd"/>
      <w:r w:rsidRPr="0065348D">
        <w:t xml:space="preserve"> solution of the tracer in a BSA buffer (10 mM Tris HCl pH 8, 1.0 mg/mL BSA) and performed a serial dilution, </w:t>
      </w:r>
      <w:r w:rsidR="00C44123">
        <w:t xml:space="preserve">of </w:t>
      </w:r>
      <w:r w:rsidRPr="0065348D">
        <w:t xml:space="preserve">which </w:t>
      </w:r>
      <w:r w:rsidR="00C44123" w:rsidRPr="004D48CE">
        <w:t xml:space="preserve">5 </w:t>
      </w:r>
      <w:proofErr w:type="spellStart"/>
      <w:r w:rsidR="00C44123" w:rsidRPr="004D48CE">
        <w:t>μ</w:t>
      </w:r>
      <w:r w:rsidR="00C44123">
        <w:t>L</w:t>
      </w:r>
      <w:proofErr w:type="spellEnd"/>
      <w:r w:rsidR="00C44123">
        <w:t xml:space="preserve"> was</w:t>
      </w:r>
      <w:r w:rsidR="00C44123" w:rsidRPr="0065348D">
        <w:t xml:space="preserve"> </w:t>
      </w:r>
      <w:r w:rsidRPr="0065348D">
        <w:t>added to a dark opaque 384-well plate in triplicate. To account for dilution effects</w:t>
      </w:r>
      <w:r>
        <w:t xml:space="preserve"> </w:t>
      </w:r>
      <w:r w:rsidR="00C44123">
        <w:t xml:space="preserve">protein and drug </w:t>
      </w:r>
      <w:r>
        <w:t>during the actual experimental assays</w:t>
      </w:r>
      <w:r w:rsidRPr="0065348D">
        <w:t xml:space="preserve">, 10 </w:t>
      </w:r>
      <w:proofErr w:type="spellStart"/>
      <w:r w:rsidRPr="0065348D">
        <w:t>μL</w:t>
      </w:r>
      <w:proofErr w:type="spellEnd"/>
      <w:r w:rsidRPr="0065348D">
        <w:t xml:space="preserve"> of a 1X buffer was added to each well</w:t>
      </w:r>
      <w:r>
        <w:t xml:space="preserve"> because 1X buffer will be used for dilution of protein and ligands</w:t>
      </w:r>
      <w:r w:rsidRPr="0065348D">
        <w:t xml:space="preserve">. The plates were then centrifuged at 500 RPM for 1 minute </w:t>
      </w:r>
      <w:r w:rsidR="004D48CE">
        <w:t>(</w:t>
      </w:r>
      <w:proofErr w:type="spellStart"/>
      <w:r w:rsidR="004D48CE">
        <w:t>Sorvall</w:t>
      </w:r>
      <w:proofErr w:type="spellEnd"/>
      <w:r w:rsidR="004D48CE">
        <w:t xml:space="preserve"> Legend XTR centrifuge) </w:t>
      </w:r>
      <w:r w:rsidRPr="0065348D">
        <w:t xml:space="preserve">to ensure uniform mixing. Fluorescence readings were taken using a </w:t>
      </w:r>
      <w:proofErr w:type="spellStart"/>
      <w:r w:rsidRPr="0065348D">
        <w:t>SpectraMax</w:t>
      </w:r>
      <w:proofErr w:type="spellEnd"/>
      <w:r w:rsidRPr="0065348D">
        <w:t xml:space="preserve"> i3 Multimode Microplate Reader. Following the viability assessment, we explored a range of tracer concentrations from 0.1 to 300 </w:t>
      </w:r>
      <w:proofErr w:type="spellStart"/>
      <w:r w:rsidRPr="0065348D">
        <w:t>nM</w:t>
      </w:r>
      <w:proofErr w:type="spellEnd"/>
      <w:r w:rsidRPr="0065348D">
        <w:t>, repeating the dilution and measurement process to pinpoint the optimal concentration</w:t>
      </w:r>
      <w:r>
        <w:t xml:space="preserve"> of tracer that give excellent signal to noise ration</w:t>
      </w:r>
      <w:r w:rsidRPr="0065348D">
        <w:t xml:space="preserve">. Our protocol emphasized maintaining </w:t>
      </w:r>
      <w:r w:rsidR="00ED05FD">
        <w:t>minimal exposure of the FI</w:t>
      </w:r>
      <w:r w:rsidR="00C44123">
        <w:t>TC</w:t>
      </w:r>
      <w:r w:rsidR="00ED05FD">
        <w:t xml:space="preserve"> peptide to light</w:t>
      </w:r>
      <w:r w:rsidRPr="0065348D">
        <w:t xml:space="preserve"> during the procedure and employing opaque plates to prevent the photobleaching of the tracer, thereby ensuring the reliability of our fluorescence measurements.</w:t>
      </w:r>
    </w:p>
    <w:p w14:paraId="47C85055" w14:textId="6D32ACC9" w:rsidR="00281451" w:rsidRPr="005B0EE6" w:rsidRDefault="00281451" w:rsidP="00281451">
      <w:pPr>
        <w:pStyle w:val="NormalWeb"/>
        <w:rPr>
          <w:b/>
          <w:bCs/>
        </w:rPr>
      </w:pPr>
      <w:r w:rsidRPr="005B0EE6">
        <w:rPr>
          <w:rFonts w:ascii="Times New Roman,Italic" w:hAnsi="Times New Roman,Italic"/>
          <w:b/>
          <w:bCs/>
        </w:rPr>
        <w:t xml:space="preserve">PBD Protein Optimization </w:t>
      </w:r>
    </w:p>
    <w:p w14:paraId="78BF4DA1" w14:textId="4FCA67D9" w:rsidR="004D48CE" w:rsidRPr="004D48CE" w:rsidRDefault="004D48CE" w:rsidP="004D48CE">
      <w:pPr>
        <w:pStyle w:val="NormalWeb"/>
      </w:pPr>
      <w:r w:rsidRPr="004D48CE">
        <w:t xml:space="preserve">With the fluorescent tracer concentration optimized (typically no less than 10-fold signal above background), we proceeded to the </w:t>
      </w:r>
      <w:proofErr w:type="spellStart"/>
      <w:r>
        <w:t>PoloBox</w:t>
      </w:r>
      <w:proofErr w:type="spellEnd"/>
      <w:r>
        <w:t xml:space="preserve"> Domain (</w:t>
      </w:r>
      <w:r w:rsidRPr="004D48CE">
        <w:t>PBD</w:t>
      </w:r>
      <w:r>
        <w:t>)</w:t>
      </w:r>
      <w:r w:rsidRPr="004D48CE">
        <w:t xml:space="preserve"> protein optimization stage. In this phase, we conducted a protein dilution curve in a 384-well plate. We added 5 </w:t>
      </w:r>
      <w:proofErr w:type="spellStart"/>
      <w:r w:rsidRPr="004D48CE">
        <w:t>μL</w:t>
      </w:r>
      <w:proofErr w:type="spellEnd"/>
      <w:r w:rsidRPr="004D48CE">
        <w:t xml:space="preserve"> of </w:t>
      </w:r>
      <w:r>
        <w:t xml:space="preserve">the optimum </w:t>
      </w:r>
      <w:r w:rsidRPr="004D48CE">
        <w:t xml:space="preserve">tracer </w:t>
      </w:r>
      <w:r>
        <w:t xml:space="preserve">concentration </w:t>
      </w:r>
      <w:r w:rsidR="00531D70">
        <w:t xml:space="preserve">(10 </w:t>
      </w:r>
      <w:proofErr w:type="spellStart"/>
      <w:r w:rsidR="00531D70">
        <w:t>nM</w:t>
      </w:r>
      <w:proofErr w:type="spellEnd"/>
      <w:r w:rsidR="00531D70">
        <w:t xml:space="preserve">) </w:t>
      </w:r>
      <w:r w:rsidRPr="004D48CE">
        <w:t xml:space="preserve">to </w:t>
      </w:r>
      <w:r>
        <w:t>384</w:t>
      </w:r>
      <w:r w:rsidRPr="004D48CE">
        <w:t xml:space="preserve"> well</w:t>
      </w:r>
      <w:r>
        <w:t xml:space="preserve"> plate in triplicate</w:t>
      </w:r>
      <w:r w:rsidRPr="004D48CE">
        <w:t>, maintaining a constant concentration</w:t>
      </w:r>
      <w:r>
        <w:t xml:space="preserve"> of the tracer</w:t>
      </w:r>
      <w:r w:rsidRPr="004D48CE">
        <w:t xml:space="preserve">, and </w:t>
      </w:r>
      <w:r>
        <w:t>then add</w:t>
      </w:r>
      <w:r w:rsidRPr="004D48CE">
        <w:t xml:space="preserve"> 5 </w:t>
      </w:r>
      <w:proofErr w:type="spellStart"/>
      <w:r w:rsidRPr="004D48CE">
        <w:t>μL</w:t>
      </w:r>
      <w:proofErr w:type="spellEnd"/>
      <w:r>
        <w:t xml:space="preserve"> </w:t>
      </w:r>
      <w:r w:rsidRPr="004D48CE">
        <w:t>increasing concentrations of PBD protein (ranging from 0.5 ng/well to 250 ng/well) in triplicate. These PBD protein dilutions were prepared using a 1X buffer (50 mM Tris HCl, 200 mM NaCl, 0.005% Tween, 20 mM DTT)</w:t>
      </w:r>
      <w:r>
        <w:t xml:space="preserve"> and </w:t>
      </w:r>
      <w:r w:rsidRPr="004D48CE">
        <w:t xml:space="preserve">5 </w:t>
      </w:r>
      <w:proofErr w:type="spellStart"/>
      <w:r w:rsidRPr="004D48CE">
        <w:t>μL</w:t>
      </w:r>
      <w:proofErr w:type="spellEnd"/>
      <w:r>
        <w:t xml:space="preserve"> of the 1X buffer to account for the </w:t>
      </w:r>
      <w:r w:rsidRPr="004D48CE">
        <w:t xml:space="preserve">5 </w:t>
      </w:r>
      <w:proofErr w:type="spellStart"/>
      <w:r w:rsidRPr="004D48CE">
        <w:t>μL</w:t>
      </w:r>
      <w:proofErr w:type="spellEnd"/>
      <w:r>
        <w:t xml:space="preserve"> of ligand in the final </w:t>
      </w:r>
      <w:r w:rsidR="00531D70">
        <w:t>inhibition assay procedure</w:t>
      </w:r>
      <w:r w:rsidRPr="004D48CE">
        <w:t>.</w:t>
      </w:r>
      <w:r>
        <w:t xml:space="preserve"> </w:t>
      </w:r>
      <w:r w:rsidRPr="004D48CE">
        <w:t xml:space="preserve">Subsequently, the plate underwent centrifugation </w:t>
      </w:r>
      <w:r>
        <w:t>(</w:t>
      </w:r>
      <w:proofErr w:type="spellStart"/>
      <w:r>
        <w:t>Sorvall</w:t>
      </w:r>
      <w:proofErr w:type="spellEnd"/>
      <w:r>
        <w:t xml:space="preserve"> Legend XTR centrifuge)</w:t>
      </w:r>
      <w:r w:rsidR="00531D70">
        <w:t xml:space="preserve"> at 500 RPM for 1 minute</w:t>
      </w:r>
      <w:r w:rsidRPr="004D48CE">
        <w:t xml:space="preserve">, followed by incubation on a shaker at room temperature for 45 minutes </w:t>
      </w:r>
      <w:r w:rsidR="00531D70">
        <w:t xml:space="preserve">(counted immediately after completion of centrifugation) </w:t>
      </w:r>
      <w:r w:rsidRPr="004D48CE">
        <w:t xml:space="preserve">and another round of centrifugation </w:t>
      </w:r>
      <w:r w:rsidR="00531D70">
        <w:t xml:space="preserve">after 45 minutes </w:t>
      </w:r>
      <w:r w:rsidRPr="004D48CE">
        <w:t xml:space="preserve">before analysis using the </w:t>
      </w:r>
      <w:proofErr w:type="spellStart"/>
      <w:r w:rsidR="005B0EE6" w:rsidRPr="0065348D">
        <w:t>SpectraMax</w:t>
      </w:r>
      <w:proofErr w:type="spellEnd"/>
      <w:r w:rsidR="005B0EE6" w:rsidRPr="0065348D">
        <w:t xml:space="preserve"> i3 Multimode Microplate Reader</w:t>
      </w:r>
      <w:r w:rsidRPr="004D48CE">
        <w:t xml:space="preserve">. We measured binding by calculating </w:t>
      </w:r>
      <w:proofErr w:type="spellStart"/>
      <w:r w:rsidRPr="004D48CE">
        <w:t>millipolarization</w:t>
      </w:r>
      <w:proofErr w:type="spellEnd"/>
      <w:r w:rsidRPr="004D48CE">
        <w:t xml:space="preserve"> (</w:t>
      </w:r>
      <w:proofErr w:type="spellStart"/>
      <w:r w:rsidRPr="004D48CE">
        <w:t>mP</w:t>
      </w:r>
      <w:proofErr w:type="spellEnd"/>
      <w:r w:rsidRPr="004D48CE">
        <w:t>) values</w:t>
      </w:r>
      <w:r w:rsidR="00531D70">
        <w:t>.</w:t>
      </w:r>
      <w:r w:rsidRPr="004D48CE">
        <w:t xml:space="preserve"> </w:t>
      </w:r>
      <w:r w:rsidR="00531D70">
        <w:t>T</w:t>
      </w:r>
      <w:r w:rsidRPr="004D48CE">
        <w:t xml:space="preserve">he optimal PBD </w:t>
      </w:r>
      <w:r w:rsidR="00531D70">
        <w:t xml:space="preserve">protein </w:t>
      </w:r>
      <w:r w:rsidRPr="004D48CE">
        <w:t xml:space="preserve">concentration was determined </w:t>
      </w:r>
      <w:r w:rsidR="00531D70">
        <w:t xml:space="preserve">as </w:t>
      </w:r>
      <w:r w:rsidRPr="004D48CE">
        <w:t>when 90% of the fluorescent tracer was bound (EC90). This approach ensured the precision and reliability of our fluorescence measurements.</w:t>
      </w:r>
    </w:p>
    <w:p w14:paraId="7F26690F" w14:textId="589CADE2" w:rsidR="004D48CE" w:rsidRDefault="004D48CE" w:rsidP="004D48CE">
      <w:pPr>
        <w:rPr>
          <w:rFonts w:ascii="Times New Roman" w:hAnsi="Times New Roman" w:cs="Times New Roman"/>
        </w:rPr>
      </w:pPr>
    </w:p>
    <w:p w14:paraId="6B96A8FD" w14:textId="32246868" w:rsidR="00ED05FD" w:rsidRPr="00EF0363" w:rsidRDefault="00C44123" w:rsidP="00EF0363">
      <w:pPr>
        <w:rPr>
          <w:rFonts w:ascii="Times New Roman" w:hAnsi="Times New Roman" w:cs="Times New Roman"/>
          <w:b/>
          <w:bCs/>
        </w:rPr>
      </w:pPr>
      <w:r>
        <w:rPr>
          <w:rFonts w:ascii="Times New Roman" w:hAnsi="Times New Roman" w:cs="Times New Roman"/>
          <w:b/>
          <w:bCs/>
        </w:rPr>
        <w:t xml:space="preserve">Determination of </w:t>
      </w:r>
      <w:r w:rsidR="00531D70">
        <w:rPr>
          <w:rFonts w:ascii="Times New Roman" w:hAnsi="Times New Roman" w:cs="Times New Roman"/>
          <w:b/>
          <w:bCs/>
        </w:rPr>
        <w:t xml:space="preserve">percentage </w:t>
      </w:r>
      <w:r>
        <w:rPr>
          <w:rFonts w:ascii="Times New Roman" w:hAnsi="Times New Roman" w:cs="Times New Roman"/>
          <w:b/>
          <w:bCs/>
        </w:rPr>
        <w:t xml:space="preserve">Inhibition of FITC </w:t>
      </w:r>
      <w:proofErr w:type="spellStart"/>
      <w:r>
        <w:rPr>
          <w:rFonts w:ascii="Times New Roman" w:hAnsi="Times New Roman" w:cs="Times New Roman"/>
          <w:b/>
          <w:bCs/>
        </w:rPr>
        <w:t>Polob</w:t>
      </w:r>
      <w:r w:rsidR="0026740F">
        <w:rPr>
          <w:rFonts w:ascii="Times New Roman" w:hAnsi="Times New Roman" w:cs="Times New Roman"/>
          <w:b/>
          <w:bCs/>
        </w:rPr>
        <w:t>o</w:t>
      </w:r>
      <w:r>
        <w:rPr>
          <w:rFonts w:ascii="Times New Roman" w:hAnsi="Times New Roman" w:cs="Times New Roman"/>
          <w:b/>
          <w:bCs/>
        </w:rPr>
        <w:t>xtide</w:t>
      </w:r>
      <w:proofErr w:type="spellEnd"/>
      <w:r w:rsidR="00EF0363">
        <w:rPr>
          <w:rFonts w:ascii="Times New Roman" w:hAnsi="Times New Roman" w:cs="Times New Roman"/>
          <w:b/>
          <w:bCs/>
        </w:rPr>
        <w:t xml:space="preserve"> by Fluorescence Polarization</w:t>
      </w:r>
      <w:r w:rsidR="00ED05FD" w:rsidRPr="00ED05FD">
        <w:rPr>
          <w:rFonts w:ascii="Times New Roman" w:hAnsi="Times New Roman" w:cs="Times New Roman"/>
          <w:b/>
          <w:bCs/>
        </w:rPr>
        <w:t xml:space="preserve"> </w:t>
      </w:r>
    </w:p>
    <w:p w14:paraId="24D1AD51" w14:textId="77777777" w:rsidR="00CC5F90" w:rsidRDefault="00CC5F90" w:rsidP="00EF0363">
      <w:pPr>
        <w:rPr>
          <w:rFonts w:ascii="Times New Roman" w:hAnsi="Times New Roman" w:cs="Times New Roman"/>
        </w:rPr>
      </w:pPr>
    </w:p>
    <w:p w14:paraId="26B4A872" w14:textId="57D86CC5" w:rsidR="00DF5CBA" w:rsidRDefault="00DD372A" w:rsidP="00EF0363">
      <w:pPr>
        <w:rPr>
          <w:rFonts w:ascii="Times New Roman" w:hAnsi="Times New Roman" w:cs="Times New Roman"/>
        </w:rPr>
      </w:pPr>
      <w:r>
        <w:rPr>
          <w:rFonts w:ascii="Times New Roman" w:hAnsi="Times New Roman" w:cs="Times New Roman"/>
        </w:rPr>
        <w:t xml:space="preserve">Unless specified, biological grade water </w:t>
      </w:r>
      <w:proofErr w:type="gramStart"/>
      <w:r>
        <w:rPr>
          <w:rFonts w:ascii="Times New Roman" w:hAnsi="Times New Roman" w:cs="Times New Roman"/>
        </w:rPr>
        <w:t>were</w:t>
      </w:r>
      <w:proofErr w:type="gramEnd"/>
      <w:r>
        <w:rPr>
          <w:rFonts w:ascii="Times New Roman" w:hAnsi="Times New Roman" w:cs="Times New Roman"/>
        </w:rPr>
        <w:t xml:space="preserve"> used </w:t>
      </w:r>
      <w:r w:rsidR="002A2D21">
        <w:rPr>
          <w:rFonts w:ascii="Times New Roman" w:hAnsi="Times New Roman" w:cs="Times New Roman"/>
        </w:rPr>
        <w:t>solvent</w:t>
      </w:r>
      <w:r>
        <w:rPr>
          <w:rFonts w:ascii="Times New Roman" w:hAnsi="Times New Roman" w:cs="Times New Roman"/>
        </w:rPr>
        <w:t>. All r</w:t>
      </w:r>
      <w:r w:rsidR="0097551D">
        <w:rPr>
          <w:rFonts w:ascii="Times New Roman" w:hAnsi="Times New Roman" w:cs="Times New Roman"/>
        </w:rPr>
        <w:t xml:space="preserve">eagents </w:t>
      </w:r>
      <w:r>
        <w:rPr>
          <w:rFonts w:ascii="Times New Roman" w:hAnsi="Times New Roman" w:cs="Times New Roman"/>
        </w:rPr>
        <w:t>were</w:t>
      </w:r>
      <w:r w:rsidR="0097551D">
        <w:rPr>
          <w:rFonts w:ascii="Times New Roman" w:hAnsi="Times New Roman" w:cs="Times New Roman"/>
        </w:rPr>
        <w:t xml:space="preserve"> kept on ice</w:t>
      </w:r>
      <w:r>
        <w:rPr>
          <w:rFonts w:ascii="Times New Roman" w:hAnsi="Times New Roman" w:cs="Times New Roman"/>
        </w:rPr>
        <w:t xml:space="preserve"> bath</w:t>
      </w:r>
      <w:r w:rsidR="002A2D21">
        <w:rPr>
          <w:rFonts w:ascii="Times New Roman" w:hAnsi="Times New Roman" w:cs="Times New Roman"/>
        </w:rPr>
        <w:t xml:space="preserve"> prior to use.</w:t>
      </w:r>
      <w:r w:rsidR="0097551D">
        <w:rPr>
          <w:rFonts w:ascii="Times New Roman" w:hAnsi="Times New Roman" w:cs="Times New Roman"/>
        </w:rPr>
        <w:t xml:space="preserve"> 2X buffer was prepared by mixing 0.1 M tris, 0.4 M NaCl, and 0.1% tween. 1X buffer was prepared fresh at the beginning of each assay from 2X buffer by mixing 400 </w:t>
      </w:r>
      <w:proofErr w:type="spellStart"/>
      <w:r w:rsidR="0097551D">
        <w:rPr>
          <w:rFonts w:ascii="Times New Roman" w:hAnsi="Times New Roman" w:cs="Times New Roman"/>
        </w:rPr>
        <w:t>uL</w:t>
      </w:r>
      <w:proofErr w:type="spellEnd"/>
      <w:r w:rsidR="0097551D">
        <w:rPr>
          <w:rFonts w:ascii="Times New Roman" w:hAnsi="Times New Roman" w:cs="Times New Roman"/>
        </w:rPr>
        <w:t xml:space="preserve"> of water, 500 </w:t>
      </w:r>
      <w:proofErr w:type="spellStart"/>
      <w:r w:rsidR="0097551D">
        <w:rPr>
          <w:rFonts w:ascii="Times New Roman" w:hAnsi="Times New Roman" w:cs="Times New Roman"/>
        </w:rPr>
        <w:t>uL</w:t>
      </w:r>
      <w:proofErr w:type="spellEnd"/>
      <w:r w:rsidR="0097551D">
        <w:rPr>
          <w:rFonts w:ascii="Times New Roman" w:hAnsi="Times New Roman" w:cs="Times New Roman"/>
        </w:rPr>
        <w:t xml:space="preserve"> of 2X buffer and 100 </w:t>
      </w:r>
      <w:proofErr w:type="spellStart"/>
      <w:r w:rsidR="0097551D">
        <w:rPr>
          <w:rFonts w:ascii="Times New Roman" w:hAnsi="Times New Roman" w:cs="Times New Roman"/>
        </w:rPr>
        <w:t>uL</w:t>
      </w:r>
      <w:proofErr w:type="spellEnd"/>
      <w:r w:rsidR="0097551D">
        <w:rPr>
          <w:rFonts w:ascii="Times New Roman" w:hAnsi="Times New Roman" w:cs="Times New Roman"/>
        </w:rPr>
        <w:t xml:space="preserve"> of </w:t>
      </w:r>
      <w:r w:rsidR="00DF5CBA">
        <w:rPr>
          <w:rFonts w:ascii="Times New Roman" w:hAnsi="Times New Roman" w:cs="Times New Roman"/>
        </w:rPr>
        <w:t xml:space="preserve">20 mM </w:t>
      </w:r>
      <w:r w:rsidR="0097551D">
        <w:rPr>
          <w:rFonts w:ascii="Times New Roman" w:hAnsi="Times New Roman" w:cs="Times New Roman"/>
        </w:rPr>
        <w:t>DTT</w:t>
      </w:r>
      <w:r w:rsidR="00DF5CBA">
        <w:rPr>
          <w:rFonts w:ascii="Times New Roman" w:hAnsi="Times New Roman" w:cs="Times New Roman"/>
        </w:rPr>
        <w:t xml:space="preserve"> </w:t>
      </w:r>
      <w:r w:rsidR="00F14653">
        <w:rPr>
          <w:rFonts w:ascii="Times New Roman" w:hAnsi="Times New Roman" w:cs="Times New Roman"/>
        </w:rPr>
        <w:t xml:space="preserve">(prepared from 1 M </w:t>
      </w:r>
      <w:r w:rsidR="00DF5CBA">
        <w:rPr>
          <w:rFonts w:ascii="Times New Roman" w:hAnsi="Times New Roman" w:cs="Times New Roman"/>
        </w:rPr>
        <w:t>solution</w:t>
      </w:r>
      <w:r w:rsidR="00F14653">
        <w:rPr>
          <w:rFonts w:ascii="Times New Roman" w:hAnsi="Times New Roman" w:cs="Times New Roman"/>
        </w:rPr>
        <w:t>)</w:t>
      </w:r>
      <w:r w:rsidR="0097551D">
        <w:rPr>
          <w:rFonts w:ascii="Times New Roman" w:hAnsi="Times New Roman" w:cs="Times New Roman"/>
        </w:rPr>
        <w:t xml:space="preserve">. </w:t>
      </w:r>
      <w:r>
        <w:rPr>
          <w:rFonts w:ascii="Times New Roman" w:hAnsi="Times New Roman" w:cs="Times New Roman"/>
        </w:rPr>
        <w:t xml:space="preserve">Appropriate concentration of the tracer, FITC </w:t>
      </w:r>
      <w:proofErr w:type="spellStart"/>
      <w:r>
        <w:rPr>
          <w:rFonts w:ascii="Times New Roman" w:hAnsi="Times New Roman" w:cs="Times New Roman"/>
        </w:rPr>
        <w:t>Poloboxtide</w:t>
      </w:r>
      <w:proofErr w:type="spellEnd"/>
      <w:r>
        <w:rPr>
          <w:rFonts w:ascii="Times New Roman" w:hAnsi="Times New Roman" w:cs="Times New Roman"/>
        </w:rPr>
        <w:t xml:space="preserve"> from </w:t>
      </w:r>
      <w:proofErr w:type="spellStart"/>
      <w:r>
        <w:rPr>
          <w:rFonts w:ascii="Times New Roman" w:hAnsi="Times New Roman" w:cs="Times New Roman"/>
        </w:rPr>
        <w:t>Genscript</w:t>
      </w:r>
      <w:proofErr w:type="spellEnd"/>
      <w:r>
        <w:rPr>
          <w:rFonts w:ascii="Times New Roman" w:hAnsi="Times New Roman" w:cs="Times New Roman"/>
        </w:rPr>
        <w:t xml:space="preserve">, was prepared using </w:t>
      </w:r>
      <w:r>
        <w:rPr>
          <w:rFonts w:ascii="Times New Roman" w:hAnsi="Times New Roman" w:cs="Times New Roman"/>
        </w:rPr>
        <w:lastRenderedPageBreak/>
        <w:t>1X buffer as the solvent. PLK1 PBD protein</w:t>
      </w:r>
      <w:r w:rsidR="00F14653">
        <w:rPr>
          <w:rFonts w:ascii="Times New Roman" w:hAnsi="Times New Roman" w:cs="Times New Roman"/>
        </w:rPr>
        <w:t xml:space="preserve"> (250 ng/well)</w:t>
      </w:r>
      <w:r>
        <w:rPr>
          <w:rFonts w:ascii="Times New Roman" w:hAnsi="Times New Roman" w:cs="Times New Roman"/>
        </w:rPr>
        <w:t xml:space="preserve"> from </w:t>
      </w:r>
      <w:proofErr w:type="spellStart"/>
      <w:r>
        <w:rPr>
          <w:rFonts w:ascii="Times New Roman" w:hAnsi="Times New Roman" w:cs="Times New Roman"/>
        </w:rPr>
        <w:t>Genscript</w:t>
      </w:r>
      <w:proofErr w:type="spellEnd"/>
      <w:r>
        <w:rPr>
          <w:rFonts w:ascii="Times New Roman" w:hAnsi="Times New Roman" w:cs="Times New Roman"/>
        </w:rPr>
        <w:t xml:space="preserve"> were prepared </w:t>
      </w:r>
      <w:r w:rsidR="00F14653">
        <w:rPr>
          <w:rFonts w:ascii="Times New Roman" w:hAnsi="Times New Roman" w:cs="Times New Roman"/>
        </w:rPr>
        <w:t>from a stock solution of 0.94 mg/</w:t>
      </w:r>
      <w:proofErr w:type="spellStart"/>
      <w:r w:rsidR="00F14653">
        <w:rPr>
          <w:rFonts w:ascii="Times New Roman" w:hAnsi="Times New Roman" w:cs="Times New Roman"/>
        </w:rPr>
        <w:t>mL.</w:t>
      </w:r>
      <w:proofErr w:type="spellEnd"/>
      <w:r w:rsidR="00F14653">
        <w:rPr>
          <w:rFonts w:ascii="Times New Roman" w:hAnsi="Times New Roman" w:cs="Times New Roman"/>
        </w:rPr>
        <w:t xml:space="preserve"> The test compounds were stored as a 100 mM </w:t>
      </w:r>
      <w:r w:rsidR="002A2D21">
        <w:rPr>
          <w:rFonts w:ascii="Times New Roman" w:hAnsi="Times New Roman" w:cs="Times New Roman"/>
        </w:rPr>
        <w:t xml:space="preserve">and 1 M </w:t>
      </w:r>
      <w:r w:rsidR="00F14653">
        <w:rPr>
          <w:rFonts w:ascii="Times New Roman" w:hAnsi="Times New Roman" w:cs="Times New Roman"/>
        </w:rPr>
        <w:t>stock solution</w:t>
      </w:r>
      <w:r w:rsidR="002A2D21">
        <w:rPr>
          <w:rFonts w:ascii="Times New Roman" w:hAnsi="Times New Roman" w:cs="Times New Roman"/>
        </w:rPr>
        <w:t>s</w:t>
      </w:r>
      <w:r w:rsidR="00F14653">
        <w:rPr>
          <w:rFonts w:ascii="Times New Roman" w:hAnsi="Times New Roman" w:cs="Times New Roman"/>
        </w:rPr>
        <w:t xml:space="preserve"> in DMSO and 1X buffer was used for subsequent dilution of the test compounds.</w:t>
      </w:r>
    </w:p>
    <w:p w14:paraId="2467B6EA" w14:textId="77777777" w:rsidR="00DF5CBA" w:rsidRDefault="00DF5CBA" w:rsidP="00EF0363">
      <w:pPr>
        <w:rPr>
          <w:rFonts w:ascii="Times New Roman" w:hAnsi="Times New Roman" w:cs="Times New Roman"/>
        </w:rPr>
      </w:pPr>
    </w:p>
    <w:p w14:paraId="6A1FD11D" w14:textId="0F2120D1" w:rsidR="007F0DEF" w:rsidRPr="00EF0363" w:rsidRDefault="00EF0363" w:rsidP="007F0DEF">
      <w:pPr>
        <w:rPr>
          <w:rFonts w:ascii="Times New Roman" w:hAnsi="Times New Roman" w:cs="Times New Roman"/>
        </w:rPr>
      </w:pPr>
      <w:r w:rsidRPr="00EF0363">
        <w:rPr>
          <w:rFonts w:ascii="Times New Roman" w:hAnsi="Times New Roman" w:cs="Times New Roman"/>
        </w:rPr>
        <w:t xml:space="preserve">Briefly, </w:t>
      </w:r>
      <w:r w:rsidR="00670473">
        <w:rPr>
          <w:rFonts w:ascii="Times New Roman" w:hAnsi="Times New Roman" w:cs="Times New Roman"/>
        </w:rPr>
        <w:t xml:space="preserve">5 </w:t>
      </w:r>
      <w:proofErr w:type="spellStart"/>
      <w:r w:rsidRPr="00EF0363">
        <w:rPr>
          <w:rFonts w:ascii="Times New Roman" w:hAnsi="Times New Roman" w:cs="Times New Roman"/>
        </w:rPr>
        <w:t>μL</w:t>
      </w:r>
      <w:proofErr w:type="spellEnd"/>
      <w:r w:rsidRPr="00EF0363">
        <w:rPr>
          <w:rFonts w:ascii="Times New Roman" w:hAnsi="Times New Roman" w:cs="Times New Roman"/>
        </w:rPr>
        <w:t xml:space="preserve"> Plk1 PBD proteins (</w:t>
      </w:r>
      <w:r w:rsidR="00670473">
        <w:rPr>
          <w:rFonts w:ascii="Times New Roman" w:hAnsi="Times New Roman" w:cs="Times New Roman"/>
        </w:rPr>
        <w:t>250 ng/well</w:t>
      </w:r>
      <w:r w:rsidRPr="00EF0363">
        <w:rPr>
          <w:rFonts w:ascii="Times New Roman" w:hAnsi="Times New Roman" w:cs="Times New Roman"/>
        </w:rPr>
        <w:t>)</w:t>
      </w:r>
      <w:r w:rsidR="00E81614">
        <w:rPr>
          <w:rFonts w:ascii="Times New Roman" w:hAnsi="Times New Roman" w:cs="Times New Roman"/>
        </w:rPr>
        <w:t xml:space="preserve">, </w:t>
      </w:r>
      <w:r w:rsidR="00670473">
        <w:rPr>
          <w:rFonts w:ascii="Times New Roman" w:hAnsi="Times New Roman" w:cs="Times New Roman"/>
        </w:rPr>
        <w:t>5</w:t>
      </w:r>
      <w:r w:rsidRPr="00EF0363">
        <w:rPr>
          <w:rFonts w:ascii="Times New Roman" w:hAnsi="Times New Roman" w:cs="Times New Roman"/>
        </w:rPr>
        <w:t xml:space="preserve"> </w:t>
      </w:r>
      <w:proofErr w:type="spellStart"/>
      <w:r w:rsidRPr="00EF0363">
        <w:rPr>
          <w:rFonts w:ascii="Times New Roman" w:hAnsi="Times New Roman" w:cs="Times New Roman"/>
        </w:rPr>
        <w:t>μL</w:t>
      </w:r>
      <w:proofErr w:type="spellEnd"/>
      <w:r w:rsidRPr="00EF0363">
        <w:rPr>
          <w:rFonts w:ascii="Times New Roman" w:hAnsi="Times New Roman" w:cs="Times New Roman"/>
        </w:rPr>
        <w:t xml:space="preserve"> </w:t>
      </w:r>
      <w:r w:rsidR="00670473">
        <w:rPr>
          <w:rFonts w:ascii="Times New Roman" w:hAnsi="Times New Roman" w:cs="Times New Roman"/>
        </w:rPr>
        <w:t xml:space="preserve">of the test compound and 5 </w:t>
      </w:r>
      <w:proofErr w:type="spellStart"/>
      <w:r w:rsidR="00670473">
        <w:rPr>
          <w:rFonts w:ascii="Times New Roman" w:hAnsi="Times New Roman" w:cs="Times New Roman"/>
        </w:rPr>
        <w:t>uL</w:t>
      </w:r>
      <w:proofErr w:type="spellEnd"/>
      <w:r w:rsidR="00670473">
        <w:rPr>
          <w:rFonts w:ascii="Times New Roman" w:hAnsi="Times New Roman" w:cs="Times New Roman"/>
        </w:rPr>
        <w:t xml:space="preserve"> of PLK1 </w:t>
      </w:r>
      <w:proofErr w:type="spellStart"/>
      <w:r w:rsidR="00670473">
        <w:rPr>
          <w:rFonts w:ascii="Times New Roman" w:hAnsi="Times New Roman" w:cs="Times New Roman"/>
        </w:rPr>
        <w:t>Poloboxtide</w:t>
      </w:r>
      <w:proofErr w:type="spellEnd"/>
      <w:r w:rsidR="00670473">
        <w:rPr>
          <w:rFonts w:ascii="Times New Roman" w:hAnsi="Times New Roman" w:cs="Times New Roman"/>
        </w:rPr>
        <w:t xml:space="preserve"> were </w:t>
      </w:r>
      <w:r w:rsidR="00E81614">
        <w:rPr>
          <w:rFonts w:ascii="Times New Roman" w:hAnsi="Times New Roman" w:cs="Times New Roman"/>
        </w:rPr>
        <w:t>incubated</w:t>
      </w:r>
      <w:r w:rsidR="00670473">
        <w:rPr>
          <w:rFonts w:ascii="Times New Roman" w:hAnsi="Times New Roman" w:cs="Times New Roman"/>
        </w:rPr>
        <w:t xml:space="preserve"> in a 384 well black opaque plate, in triplicate</w:t>
      </w:r>
      <w:r w:rsidR="009F312C">
        <w:rPr>
          <w:rFonts w:ascii="Times New Roman" w:hAnsi="Times New Roman" w:cs="Times New Roman"/>
        </w:rPr>
        <w:t xml:space="preserve"> for each concentration of test compounds</w:t>
      </w:r>
      <w:r w:rsidR="00670473">
        <w:rPr>
          <w:rFonts w:ascii="Times New Roman" w:hAnsi="Times New Roman" w:cs="Times New Roman"/>
        </w:rPr>
        <w:t xml:space="preserve">. </w:t>
      </w:r>
      <w:r w:rsidR="007F0DEF">
        <w:rPr>
          <w:rFonts w:ascii="Times New Roman" w:hAnsi="Times New Roman" w:cs="Times New Roman"/>
        </w:rPr>
        <w:t>For each test compound concentration, t</w:t>
      </w:r>
      <w:r w:rsidR="00670473" w:rsidRPr="00EF0363">
        <w:rPr>
          <w:rFonts w:ascii="Times New Roman" w:hAnsi="Times New Roman" w:cs="Times New Roman"/>
        </w:rPr>
        <w:t xml:space="preserve">hree wells containing </w:t>
      </w:r>
      <w:r w:rsidR="00670473">
        <w:rPr>
          <w:rFonts w:ascii="Times New Roman" w:hAnsi="Times New Roman" w:cs="Times New Roman"/>
        </w:rPr>
        <w:t>5</w:t>
      </w:r>
      <w:r w:rsidR="00670473" w:rsidRPr="00EF0363">
        <w:rPr>
          <w:rFonts w:ascii="Times New Roman" w:hAnsi="Times New Roman" w:cs="Times New Roman"/>
        </w:rPr>
        <w:t xml:space="preserve"> </w:t>
      </w:r>
      <w:proofErr w:type="spellStart"/>
      <w:r w:rsidR="00670473" w:rsidRPr="00EF0363">
        <w:rPr>
          <w:rFonts w:ascii="Times New Roman" w:hAnsi="Times New Roman" w:cs="Times New Roman"/>
        </w:rPr>
        <w:t>μL</w:t>
      </w:r>
      <w:proofErr w:type="spellEnd"/>
      <w:r w:rsidR="00670473" w:rsidRPr="00EF0363">
        <w:rPr>
          <w:rFonts w:ascii="Times New Roman" w:hAnsi="Times New Roman" w:cs="Times New Roman"/>
        </w:rPr>
        <w:t xml:space="preserve"> FITC-</w:t>
      </w:r>
      <w:proofErr w:type="spellStart"/>
      <w:r w:rsidR="00670473" w:rsidRPr="00EF0363">
        <w:rPr>
          <w:rFonts w:ascii="Times New Roman" w:hAnsi="Times New Roman" w:cs="Times New Roman"/>
        </w:rPr>
        <w:t>Poloboxtide</w:t>
      </w:r>
      <w:proofErr w:type="spellEnd"/>
      <w:r w:rsidR="00670473" w:rsidRPr="00EF0363">
        <w:rPr>
          <w:rFonts w:ascii="Times New Roman" w:hAnsi="Times New Roman" w:cs="Times New Roman"/>
        </w:rPr>
        <w:t xml:space="preserve"> (</w:t>
      </w:r>
      <w:r w:rsidR="009F312C">
        <w:rPr>
          <w:rFonts w:ascii="Times New Roman" w:hAnsi="Times New Roman" w:cs="Times New Roman"/>
        </w:rPr>
        <w:t>1</w:t>
      </w:r>
      <w:r w:rsidR="00670473" w:rsidRPr="00EF0363">
        <w:rPr>
          <w:rFonts w:ascii="Times New Roman" w:hAnsi="Times New Roman" w:cs="Times New Roman"/>
        </w:rPr>
        <w:t xml:space="preserve">0 </w:t>
      </w:r>
      <w:proofErr w:type="spellStart"/>
      <w:r w:rsidR="00670473" w:rsidRPr="00EF0363">
        <w:rPr>
          <w:rFonts w:ascii="Times New Roman" w:hAnsi="Times New Roman" w:cs="Times New Roman"/>
        </w:rPr>
        <w:t>nM</w:t>
      </w:r>
      <w:proofErr w:type="spellEnd"/>
      <w:r w:rsidR="00670473" w:rsidRPr="00EF0363">
        <w:rPr>
          <w:rFonts w:ascii="Times New Roman" w:hAnsi="Times New Roman" w:cs="Times New Roman"/>
        </w:rPr>
        <w:t>)</w:t>
      </w:r>
      <w:r w:rsidR="00670473">
        <w:rPr>
          <w:rFonts w:ascii="Times New Roman" w:hAnsi="Times New Roman" w:cs="Times New Roman"/>
        </w:rPr>
        <w:t xml:space="preserve">, 5 </w:t>
      </w:r>
      <w:proofErr w:type="spellStart"/>
      <w:r w:rsidR="00670473">
        <w:rPr>
          <w:rFonts w:ascii="Times New Roman" w:hAnsi="Times New Roman" w:cs="Times New Roman"/>
        </w:rPr>
        <w:t>uL</w:t>
      </w:r>
      <w:proofErr w:type="spellEnd"/>
      <w:r w:rsidR="00670473">
        <w:rPr>
          <w:rFonts w:ascii="Times New Roman" w:hAnsi="Times New Roman" w:cs="Times New Roman"/>
        </w:rPr>
        <w:t xml:space="preserve"> of 1X buffer</w:t>
      </w:r>
      <w:r w:rsidR="00670473" w:rsidRPr="00EF0363">
        <w:rPr>
          <w:rFonts w:ascii="Times New Roman" w:hAnsi="Times New Roman" w:cs="Times New Roman"/>
        </w:rPr>
        <w:t xml:space="preserve"> and </w:t>
      </w:r>
      <w:r w:rsidR="00670473">
        <w:rPr>
          <w:rFonts w:ascii="Times New Roman" w:hAnsi="Times New Roman" w:cs="Times New Roman"/>
        </w:rPr>
        <w:t>5</w:t>
      </w:r>
      <w:r w:rsidR="00670473" w:rsidRPr="00EF0363">
        <w:rPr>
          <w:rFonts w:ascii="Times New Roman" w:hAnsi="Times New Roman" w:cs="Times New Roman"/>
        </w:rPr>
        <w:t xml:space="preserve"> </w:t>
      </w:r>
      <w:proofErr w:type="spellStart"/>
      <w:r w:rsidR="00670473" w:rsidRPr="00EF0363">
        <w:rPr>
          <w:rFonts w:ascii="Times New Roman" w:hAnsi="Times New Roman" w:cs="Times New Roman"/>
        </w:rPr>
        <w:t>μL</w:t>
      </w:r>
      <w:proofErr w:type="spellEnd"/>
      <w:r w:rsidR="00670473" w:rsidRPr="00EF0363">
        <w:rPr>
          <w:rFonts w:ascii="Times New Roman" w:hAnsi="Times New Roman" w:cs="Times New Roman"/>
        </w:rPr>
        <w:t xml:space="preserve"> Plk1 PBD (</w:t>
      </w:r>
      <w:r w:rsidR="00670473">
        <w:rPr>
          <w:rFonts w:ascii="Times New Roman" w:hAnsi="Times New Roman" w:cs="Times New Roman"/>
        </w:rPr>
        <w:t>250 ng/well</w:t>
      </w:r>
      <w:r w:rsidR="00670473" w:rsidRPr="00EF0363">
        <w:rPr>
          <w:rFonts w:ascii="Times New Roman" w:hAnsi="Times New Roman" w:cs="Times New Roman"/>
        </w:rPr>
        <w:t>) were used as negative control (0% inhibition)</w:t>
      </w:r>
      <w:r w:rsidR="009F312C">
        <w:rPr>
          <w:rFonts w:ascii="Times New Roman" w:hAnsi="Times New Roman" w:cs="Times New Roman"/>
        </w:rPr>
        <w:t xml:space="preserve">. Three wells </w:t>
      </w:r>
      <w:r w:rsidR="007F0DEF">
        <w:rPr>
          <w:rFonts w:ascii="Times New Roman" w:hAnsi="Times New Roman" w:cs="Times New Roman"/>
        </w:rPr>
        <w:t xml:space="preserve">containing 5 </w:t>
      </w:r>
      <w:proofErr w:type="spellStart"/>
      <w:r w:rsidR="007F0DEF">
        <w:rPr>
          <w:rFonts w:ascii="Times New Roman" w:hAnsi="Times New Roman" w:cs="Times New Roman"/>
        </w:rPr>
        <w:t>uL</w:t>
      </w:r>
      <w:proofErr w:type="spellEnd"/>
      <w:r w:rsidR="007F0DEF">
        <w:rPr>
          <w:rFonts w:ascii="Times New Roman" w:hAnsi="Times New Roman" w:cs="Times New Roman"/>
        </w:rPr>
        <w:t xml:space="preserve"> of </w:t>
      </w:r>
      <w:r w:rsidR="007F0DEF" w:rsidRPr="00EF0363">
        <w:rPr>
          <w:rFonts w:ascii="Times New Roman" w:hAnsi="Times New Roman" w:cs="Times New Roman"/>
        </w:rPr>
        <w:t>FITC-</w:t>
      </w:r>
      <w:proofErr w:type="spellStart"/>
      <w:r w:rsidR="007F0DEF" w:rsidRPr="00EF0363">
        <w:rPr>
          <w:rFonts w:ascii="Times New Roman" w:hAnsi="Times New Roman" w:cs="Times New Roman"/>
        </w:rPr>
        <w:t>Poloboxtide</w:t>
      </w:r>
      <w:proofErr w:type="spellEnd"/>
      <w:r w:rsidR="007F0DEF" w:rsidRPr="00EF0363">
        <w:rPr>
          <w:rFonts w:ascii="Times New Roman" w:hAnsi="Times New Roman" w:cs="Times New Roman"/>
        </w:rPr>
        <w:t xml:space="preserve"> (</w:t>
      </w:r>
      <w:r w:rsidR="007F0DEF">
        <w:rPr>
          <w:rFonts w:ascii="Times New Roman" w:hAnsi="Times New Roman" w:cs="Times New Roman"/>
        </w:rPr>
        <w:t>1</w:t>
      </w:r>
      <w:r w:rsidR="007F0DEF" w:rsidRPr="00EF0363">
        <w:rPr>
          <w:rFonts w:ascii="Times New Roman" w:hAnsi="Times New Roman" w:cs="Times New Roman"/>
        </w:rPr>
        <w:t xml:space="preserve">0 </w:t>
      </w:r>
      <w:proofErr w:type="spellStart"/>
      <w:r w:rsidR="007F0DEF" w:rsidRPr="00EF0363">
        <w:rPr>
          <w:rFonts w:ascii="Times New Roman" w:hAnsi="Times New Roman" w:cs="Times New Roman"/>
        </w:rPr>
        <w:t>nM</w:t>
      </w:r>
      <w:proofErr w:type="spellEnd"/>
      <w:r w:rsidR="007F0DEF">
        <w:rPr>
          <w:rFonts w:ascii="Times New Roman" w:hAnsi="Times New Roman" w:cs="Times New Roman"/>
        </w:rPr>
        <w:t xml:space="preserve">) and 10 </w:t>
      </w:r>
      <w:proofErr w:type="spellStart"/>
      <w:r w:rsidR="007F0DEF">
        <w:rPr>
          <w:rFonts w:ascii="Times New Roman" w:hAnsi="Times New Roman" w:cs="Times New Roman"/>
        </w:rPr>
        <w:t>uL</w:t>
      </w:r>
      <w:proofErr w:type="spellEnd"/>
      <w:r w:rsidR="007F0DEF">
        <w:rPr>
          <w:rFonts w:ascii="Times New Roman" w:hAnsi="Times New Roman" w:cs="Times New Roman"/>
        </w:rPr>
        <w:t xml:space="preserve"> of 1X buffer were used as positive control. Subsequently, the plate was centrifuge at 500 RPM for 1 minute and incubated for 45 minutes. It was then centrifuged again prior to analyzing the fluorescence polarization measurement </w:t>
      </w:r>
      <w:r w:rsidR="0026740F">
        <w:rPr>
          <w:rFonts w:ascii="Times New Roman" w:hAnsi="Times New Roman" w:cs="Times New Roman"/>
        </w:rPr>
        <w:t xml:space="preserve">at </w:t>
      </w:r>
      <w:proofErr w:type="spellStart"/>
      <w:r w:rsidR="0026740F" w:rsidRPr="00EF0363">
        <w:rPr>
          <w:rFonts w:ascii="Times New Roman" w:hAnsi="Times New Roman" w:cs="Times New Roman"/>
        </w:rPr>
        <w:t>λex</w:t>
      </w:r>
      <w:proofErr w:type="spellEnd"/>
      <w:r w:rsidR="0026740F" w:rsidRPr="00EF0363">
        <w:rPr>
          <w:rFonts w:ascii="Times New Roman" w:hAnsi="Times New Roman" w:cs="Times New Roman"/>
        </w:rPr>
        <w:t>/</w:t>
      </w:r>
      <w:proofErr w:type="spellStart"/>
      <w:r w:rsidR="0026740F" w:rsidRPr="00EF0363">
        <w:rPr>
          <w:rFonts w:ascii="Times New Roman" w:hAnsi="Times New Roman" w:cs="Times New Roman"/>
        </w:rPr>
        <w:t>λem</w:t>
      </w:r>
      <w:proofErr w:type="spellEnd"/>
      <w:r w:rsidR="0026740F" w:rsidRPr="00EF0363">
        <w:rPr>
          <w:rFonts w:ascii="Times New Roman" w:hAnsi="Times New Roman" w:cs="Times New Roman"/>
        </w:rPr>
        <w:t>: 485/535 nm</w:t>
      </w:r>
      <w:r w:rsidR="0026740F" w:rsidRPr="004D48CE">
        <w:rPr>
          <w:rFonts w:ascii="Times New Roman" w:hAnsi="Times New Roman" w:cs="Times New Roman"/>
        </w:rPr>
        <w:t xml:space="preserve"> </w:t>
      </w:r>
      <w:r w:rsidR="007F0DEF" w:rsidRPr="004D48CE">
        <w:rPr>
          <w:rFonts w:ascii="Times New Roman" w:hAnsi="Times New Roman" w:cs="Times New Roman"/>
        </w:rPr>
        <w:t xml:space="preserve">using the </w:t>
      </w:r>
      <w:proofErr w:type="spellStart"/>
      <w:r w:rsidR="007F0DEF" w:rsidRPr="0065348D">
        <w:rPr>
          <w:rFonts w:ascii="Times New Roman" w:hAnsi="Times New Roman" w:cs="Times New Roman"/>
        </w:rPr>
        <w:t>SpectraMax</w:t>
      </w:r>
      <w:proofErr w:type="spellEnd"/>
      <w:r w:rsidR="007F0DEF" w:rsidRPr="0065348D">
        <w:rPr>
          <w:rFonts w:ascii="Times New Roman" w:hAnsi="Times New Roman" w:cs="Times New Roman"/>
        </w:rPr>
        <w:t xml:space="preserve"> i3 Multimode Microplate Reader</w:t>
      </w:r>
      <w:r w:rsidR="007F0DEF" w:rsidRPr="004D48CE">
        <w:rPr>
          <w:rFonts w:ascii="Times New Roman" w:hAnsi="Times New Roman" w:cs="Times New Roman"/>
        </w:rPr>
        <w:t>.</w:t>
      </w:r>
      <w:r w:rsidR="007F0DEF">
        <w:rPr>
          <w:rFonts w:ascii="Times New Roman" w:hAnsi="Times New Roman" w:cs="Times New Roman"/>
        </w:rPr>
        <w:t xml:space="preserve"> </w:t>
      </w:r>
      <w:r w:rsidR="0026740F">
        <w:rPr>
          <w:rFonts w:ascii="Times New Roman" w:hAnsi="Times New Roman" w:cs="Times New Roman"/>
        </w:rPr>
        <w:t>P</w:t>
      </w:r>
      <w:r w:rsidR="007F0DEF" w:rsidRPr="00EF0363">
        <w:rPr>
          <w:rFonts w:ascii="Times New Roman" w:hAnsi="Times New Roman" w:cs="Times New Roman"/>
        </w:rPr>
        <w:t xml:space="preserve">ercentage inhibition </w:t>
      </w:r>
      <w:r w:rsidR="007F0DEF">
        <w:rPr>
          <w:rFonts w:ascii="Times New Roman" w:hAnsi="Times New Roman" w:cs="Times New Roman"/>
        </w:rPr>
        <w:t xml:space="preserve">was </w:t>
      </w:r>
      <w:r w:rsidR="007F0DEF" w:rsidRPr="00EF0363">
        <w:rPr>
          <w:rFonts w:ascii="Times New Roman" w:hAnsi="Times New Roman" w:cs="Times New Roman"/>
        </w:rPr>
        <w:t xml:space="preserve">calculated for each sample as follows: </w:t>
      </w:r>
    </w:p>
    <w:p w14:paraId="137DF2B4" w14:textId="61A635C7" w:rsidR="00670473" w:rsidRDefault="00670473" w:rsidP="00EF0363">
      <w:pPr>
        <w:rPr>
          <w:rFonts w:ascii="Times New Roman" w:hAnsi="Times New Roman" w:cs="Times New Roman"/>
        </w:rPr>
      </w:pPr>
    </w:p>
    <w:p w14:paraId="04905EDD" w14:textId="77777777" w:rsidR="00F8682B" w:rsidRDefault="00F8682B" w:rsidP="00F8682B">
      <w:pPr>
        <w:jc w:val="center"/>
        <w:rPr>
          <w:rFonts w:ascii="Times New Roman" w:hAnsi="Times New Roman" w:cs="Times New Roman"/>
        </w:rPr>
      </w:pPr>
      <w:r w:rsidRPr="00EF0363">
        <w:rPr>
          <w:rFonts w:ascii="Times New Roman" w:hAnsi="Times New Roman" w:cs="Times New Roman"/>
        </w:rPr>
        <w:t xml:space="preserve">Inhibition (%) = </w:t>
      </w:r>
      <w:r>
        <w:rPr>
          <w:rFonts w:ascii="Times New Roman" w:hAnsi="Times New Roman" w:cs="Times New Roman"/>
        </w:rPr>
        <w:t>((</w:t>
      </w:r>
      <w:r w:rsidRPr="00EF0363">
        <w:rPr>
          <w:rFonts w:ascii="Times New Roman" w:hAnsi="Times New Roman" w:cs="Times New Roman"/>
        </w:rPr>
        <w:t xml:space="preserve">Negative </w:t>
      </w:r>
      <w:r>
        <w:rPr>
          <w:rFonts w:ascii="Times New Roman" w:hAnsi="Times New Roman" w:cs="Times New Roman"/>
        </w:rPr>
        <w:t>–</w:t>
      </w:r>
      <w:r w:rsidRPr="00EF0363">
        <w:rPr>
          <w:rFonts w:ascii="Times New Roman" w:hAnsi="Times New Roman" w:cs="Times New Roman"/>
        </w:rPr>
        <w:t xml:space="preserve"> Sample</w:t>
      </w:r>
      <w:r>
        <w:rPr>
          <w:rFonts w:ascii="Times New Roman" w:hAnsi="Times New Roman" w:cs="Times New Roman"/>
        </w:rPr>
        <w:t>) / (</w:t>
      </w:r>
      <w:r w:rsidRPr="00EF0363">
        <w:rPr>
          <w:rFonts w:ascii="Times New Roman" w:hAnsi="Times New Roman" w:cs="Times New Roman"/>
        </w:rPr>
        <w:t xml:space="preserve">Negative </w:t>
      </w:r>
      <w:r>
        <w:rPr>
          <w:rFonts w:ascii="Times New Roman" w:hAnsi="Times New Roman" w:cs="Times New Roman"/>
        </w:rPr>
        <w:t>–</w:t>
      </w:r>
      <w:r w:rsidRPr="00EF0363">
        <w:rPr>
          <w:rFonts w:ascii="Times New Roman" w:hAnsi="Times New Roman" w:cs="Times New Roman"/>
        </w:rPr>
        <w:t xml:space="preserve"> Positive</w:t>
      </w:r>
      <w:proofErr w:type="gramStart"/>
      <w:r>
        <w:rPr>
          <w:rFonts w:ascii="Times New Roman" w:hAnsi="Times New Roman" w:cs="Times New Roman"/>
        </w:rPr>
        <w:t>))*</w:t>
      </w:r>
      <w:proofErr w:type="gramEnd"/>
      <w:r>
        <w:rPr>
          <w:rFonts w:ascii="Times New Roman" w:hAnsi="Times New Roman" w:cs="Times New Roman"/>
        </w:rPr>
        <w:t xml:space="preserve"> 100</w:t>
      </w:r>
    </w:p>
    <w:p w14:paraId="3194045A" w14:textId="77777777" w:rsidR="00F8682B" w:rsidRPr="00EF0363" w:rsidRDefault="00F8682B" w:rsidP="00F8682B">
      <w:pPr>
        <w:rPr>
          <w:rFonts w:ascii="Times New Roman" w:hAnsi="Times New Roman" w:cs="Times New Roman"/>
        </w:rPr>
      </w:pPr>
    </w:p>
    <w:p w14:paraId="1677AFCA" w14:textId="77777777" w:rsidR="00F8682B" w:rsidRPr="00EF0363" w:rsidRDefault="00F8682B" w:rsidP="00F8682B">
      <w:pPr>
        <w:rPr>
          <w:rFonts w:ascii="Times New Roman" w:hAnsi="Times New Roman" w:cs="Times New Roman"/>
        </w:rPr>
      </w:pPr>
      <w:r>
        <w:rPr>
          <w:rFonts w:ascii="Times New Roman" w:hAnsi="Times New Roman" w:cs="Times New Roman"/>
        </w:rPr>
        <w:t>T</w:t>
      </w:r>
      <w:r w:rsidRPr="00EF0363">
        <w:rPr>
          <w:rFonts w:ascii="Times New Roman" w:hAnsi="Times New Roman" w:cs="Times New Roman"/>
        </w:rPr>
        <w:t>he</w:t>
      </w:r>
      <w:r>
        <w:rPr>
          <w:rFonts w:ascii="Times New Roman" w:hAnsi="Times New Roman" w:cs="Times New Roman"/>
        </w:rPr>
        <w:t xml:space="preserve"> percentage</w:t>
      </w:r>
      <w:r w:rsidRPr="00EF0363">
        <w:rPr>
          <w:rFonts w:ascii="Times New Roman" w:hAnsi="Times New Roman" w:cs="Times New Roman"/>
        </w:rPr>
        <w:t xml:space="preserve"> inhibition values</w:t>
      </w:r>
      <w:r>
        <w:rPr>
          <w:rFonts w:ascii="Times New Roman" w:hAnsi="Times New Roman" w:cs="Times New Roman"/>
        </w:rPr>
        <w:t xml:space="preserve"> were plotted and used to </w:t>
      </w:r>
      <w:r w:rsidRPr="00EF0363">
        <w:rPr>
          <w:rFonts w:ascii="Times New Roman" w:hAnsi="Times New Roman" w:cs="Times New Roman"/>
        </w:rPr>
        <w:t>determined IC50 using GraphPad Prism</w:t>
      </w:r>
      <w:r>
        <w:rPr>
          <w:rFonts w:ascii="Times New Roman" w:hAnsi="Times New Roman" w:cs="Times New Roman"/>
        </w:rPr>
        <w:t xml:space="preserve"> </w:t>
      </w:r>
      <w:proofErr w:type="gramStart"/>
      <w:r>
        <w:rPr>
          <w:rFonts w:ascii="Times New Roman" w:hAnsi="Times New Roman" w:cs="Times New Roman"/>
        </w:rPr>
        <w:t>10</w:t>
      </w:r>
      <w:r w:rsidRPr="00EF0363">
        <w:rPr>
          <w:rFonts w:ascii="Times New Roman" w:hAnsi="Times New Roman" w:cs="Times New Roman"/>
        </w:rPr>
        <w:t>.</w:t>
      </w:r>
      <w:r>
        <w:rPr>
          <w:rFonts w:ascii="Times New Roman" w:hAnsi="Times New Roman" w:cs="Times New Roman"/>
        </w:rPr>
        <w:t>1.1</w:t>
      </w:r>
      <w:proofErr w:type="gramEnd"/>
      <w:r w:rsidRPr="00EF0363">
        <w:rPr>
          <w:rFonts w:ascii="Times New Roman" w:hAnsi="Times New Roman" w:cs="Times New Roman"/>
        </w:rPr>
        <w:t xml:space="preserve"> </w:t>
      </w:r>
    </w:p>
    <w:p w14:paraId="511A38F3" w14:textId="77777777" w:rsidR="007F0DEF" w:rsidRDefault="007F0DEF" w:rsidP="00EF0363">
      <w:pPr>
        <w:rPr>
          <w:rFonts w:ascii="Times New Roman" w:hAnsi="Times New Roman" w:cs="Times New Roman"/>
        </w:rPr>
      </w:pPr>
    </w:p>
    <w:p w14:paraId="1BC68A8A" w14:textId="5586FA97" w:rsidR="007F0DEF" w:rsidRDefault="00CC5F90" w:rsidP="00EF0363">
      <w:pPr>
        <w:rPr>
          <w:rFonts w:ascii="Times New Roman" w:hAnsi="Times New Roman" w:cs="Times New Roman"/>
        </w:rPr>
      </w:pPr>
      <w:r w:rsidRPr="00637DC0">
        <w:rPr>
          <w:rFonts w:ascii="Times" w:eastAsia="Times New Roman" w:hAnsi="Times" w:cs="Times New Roman"/>
          <w:b/>
          <w:bCs/>
          <w:noProof/>
          <w:kern w:val="0"/>
          <w14:ligatures w14:val="none"/>
        </w:rPr>
        <w:drawing>
          <wp:anchor distT="0" distB="0" distL="114300" distR="114300" simplePos="0" relativeHeight="251663360" behindDoc="1" locked="0" layoutInCell="1" allowOverlap="1" wp14:anchorId="3EFB9D99" wp14:editId="6A2A4EDB">
            <wp:simplePos x="0" y="0"/>
            <wp:positionH relativeFrom="column">
              <wp:posOffset>-151130</wp:posOffset>
            </wp:positionH>
            <wp:positionV relativeFrom="paragraph">
              <wp:posOffset>182880</wp:posOffset>
            </wp:positionV>
            <wp:extent cx="2527935" cy="1741805"/>
            <wp:effectExtent l="0" t="0" r="0" b="0"/>
            <wp:wrapTight wrapText="bothSides">
              <wp:wrapPolygon edited="0">
                <wp:start x="1845" y="315"/>
                <wp:lineTo x="1302" y="3150"/>
                <wp:lineTo x="1302" y="3937"/>
                <wp:lineTo x="3255" y="5670"/>
                <wp:lineTo x="4124" y="5670"/>
                <wp:lineTo x="760" y="6772"/>
                <wp:lineTo x="326" y="7087"/>
                <wp:lineTo x="217" y="14017"/>
                <wp:lineTo x="2930" y="15749"/>
                <wp:lineTo x="4124" y="15749"/>
                <wp:lineTo x="3255" y="17482"/>
                <wp:lineTo x="3581" y="18112"/>
                <wp:lineTo x="4124" y="18269"/>
                <wp:lineTo x="4015" y="19214"/>
                <wp:lineTo x="6728" y="20789"/>
                <wp:lineTo x="6728" y="20946"/>
                <wp:lineTo x="14650" y="21419"/>
                <wp:lineTo x="16386" y="21419"/>
                <wp:lineTo x="16494" y="20789"/>
                <wp:lineTo x="19641" y="19214"/>
                <wp:lineTo x="18882" y="17167"/>
                <wp:lineTo x="5968" y="15749"/>
                <wp:lineTo x="14324" y="5827"/>
                <wp:lineTo x="14541" y="5355"/>
                <wp:lineTo x="3907" y="3150"/>
                <wp:lineTo x="21052" y="1890"/>
                <wp:lineTo x="21486" y="787"/>
                <wp:lineTo x="19641" y="315"/>
                <wp:lineTo x="1845" y="315"/>
              </wp:wrapPolygon>
            </wp:wrapTight>
            <wp:docPr id="74139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98769" name=""/>
                    <pic:cNvPicPr/>
                  </pic:nvPicPr>
                  <pic:blipFill>
                    <a:blip r:embed="rId5">
                      <a:extLst>
                        <a:ext uri="{28A0092B-C50C-407E-A947-70E740481C1C}">
                          <a14:useLocalDpi xmlns:a14="http://schemas.microsoft.com/office/drawing/2010/main" val="0"/>
                        </a:ext>
                      </a:extLst>
                    </a:blip>
                    <a:stretch>
                      <a:fillRect/>
                    </a:stretch>
                  </pic:blipFill>
                  <pic:spPr>
                    <a:xfrm>
                      <a:off x="0" y="0"/>
                      <a:ext cx="2527935" cy="1741805"/>
                    </a:xfrm>
                    <a:prstGeom prst="rect">
                      <a:avLst/>
                    </a:prstGeom>
                  </pic:spPr>
                </pic:pic>
              </a:graphicData>
            </a:graphic>
            <wp14:sizeRelH relativeFrom="page">
              <wp14:pctWidth>0</wp14:pctWidth>
            </wp14:sizeRelH>
            <wp14:sizeRelV relativeFrom="page">
              <wp14:pctHeight>0</wp14:pctHeight>
            </wp14:sizeRelV>
          </wp:anchor>
        </w:drawing>
      </w:r>
    </w:p>
    <w:p w14:paraId="53D06FAF" w14:textId="364846A0" w:rsidR="00EF0363" w:rsidRPr="00EF0363" w:rsidRDefault="00CC5F90" w:rsidP="00EF0363">
      <w:pPr>
        <w:rPr>
          <w:rFonts w:ascii="Times New Roman" w:hAnsi="Times New Roman" w:cs="Times New Roman"/>
        </w:rPr>
      </w:pPr>
      <w:r w:rsidRPr="001D475C">
        <w:rPr>
          <w:rFonts w:ascii="Times" w:eastAsia="Times New Roman" w:hAnsi="Times" w:cs="Times New Roman"/>
          <w:b/>
          <w:bCs/>
          <w:noProof/>
          <w:kern w:val="0"/>
          <w14:ligatures w14:val="none"/>
        </w:rPr>
        <w:drawing>
          <wp:anchor distT="0" distB="0" distL="114300" distR="114300" simplePos="0" relativeHeight="251664384" behindDoc="1" locked="0" layoutInCell="1" allowOverlap="1" wp14:anchorId="2073CD07" wp14:editId="0C3740F9">
            <wp:simplePos x="0" y="0"/>
            <wp:positionH relativeFrom="column">
              <wp:posOffset>2781300</wp:posOffset>
            </wp:positionH>
            <wp:positionV relativeFrom="paragraph">
              <wp:posOffset>7620</wp:posOffset>
            </wp:positionV>
            <wp:extent cx="2491740" cy="1911985"/>
            <wp:effectExtent l="0" t="0" r="0" b="0"/>
            <wp:wrapTight wrapText="bothSides">
              <wp:wrapPolygon edited="0">
                <wp:start x="3743" y="574"/>
                <wp:lineTo x="1431" y="3156"/>
                <wp:lineTo x="220" y="5452"/>
                <wp:lineTo x="220" y="15639"/>
                <wp:lineTo x="1982" y="16930"/>
                <wp:lineTo x="2422" y="16930"/>
                <wp:lineTo x="2422" y="17504"/>
                <wp:lineTo x="3413" y="19226"/>
                <wp:lineTo x="3413" y="19943"/>
                <wp:lineTo x="8477" y="21091"/>
                <wp:lineTo x="12000" y="21378"/>
                <wp:lineTo x="15633" y="21378"/>
                <wp:lineTo x="15743" y="21091"/>
                <wp:lineTo x="20147" y="19226"/>
                <wp:lineTo x="20587" y="18078"/>
                <wp:lineTo x="19596" y="17217"/>
                <wp:lineTo x="3853" y="16930"/>
                <wp:lineTo x="4183" y="12339"/>
                <wp:lineTo x="4844" y="10043"/>
                <wp:lineTo x="19817" y="10043"/>
                <wp:lineTo x="20367" y="9326"/>
                <wp:lineTo x="19266" y="7748"/>
                <wp:lineTo x="10569" y="5452"/>
                <wp:lineTo x="17284" y="4591"/>
                <wp:lineTo x="17064" y="3730"/>
                <wp:lineTo x="3083" y="3156"/>
                <wp:lineTo x="9908" y="3156"/>
                <wp:lineTo x="19486" y="1865"/>
                <wp:lineTo x="19376" y="574"/>
                <wp:lineTo x="3743" y="574"/>
              </wp:wrapPolygon>
            </wp:wrapTight>
            <wp:docPr id="56219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90351" name=""/>
                    <pic:cNvPicPr/>
                  </pic:nvPicPr>
                  <pic:blipFill>
                    <a:blip r:embed="rId6">
                      <a:extLst>
                        <a:ext uri="{28A0092B-C50C-407E-A947-70E740481C1C}">
                          <a14:useLocalDpi xmlns:a14="http://schemas.microsoft.com/office/drawing/2010/main" val="0"/>
                        </a:ext>
                      </a:extLst>
                    </a:blip>
                    <a:stretch>
                      <a:fillRect/>
                    </a:stretch>
                  </pic:blipFill>
                  <pic:spPr>
                    <a:xfrm>
                      <a:off x="0" y="0"/>
                      <a:ext cx="2491740" cy="1911985"/>
                    </a:xfrm>
                    <a:prstGeom prst="rect">
                      <a:avLst/>
                    </a:prstGeom>
                  </pic:spPr>
                </pic:pic>
              </a:graphicData>
            </a:graphic>
            <wp14:sizeRelH relativeFrom="page">
              <wp14:pctWidth>0</wp14:pctWidth>
            </wp14:sizeRelH>
            <wp14:sizeRelV relativeFrom="page">
              <wp14:pctHeight>0</wp14:pctHeight>
            </wp14:sizeRelV>
          </wp:anchor>
        </w:drawing>
      </w:r>
    </w:p>
    <w:p w14:paraId="63FE8B06" w14:textId="51637054" w:rsidR="00ED05FD" w:rsidRPr="00ED05FD" w:rsidRDefault="00ED05FD" w:rsidP="00ED05FD">
      <w:pPr>
        <w:rPr>
          <w:rFonts w:ascii="Times New Roman" w:eastAsia="Times New Roman" w:hAnsi="Times New Roman" w:cs="Times New Roman"/>
          <w:kern w:val="0"/>
          <w14:ligatures w14:val="none"/>
        </w:rPr>
      </w:pPr>
    </w:p>
    <w:p w14:paraId="550F43D7" w14:textId="386EB5F6" w:rsidR="00281451" w:rsidRDefault="00281451" w:rsidP="00B46C00">
      <w:pPr>
        <w:spacing w:before="100" w:beforeAutospacing="1" w:after="100" w:afterAutospacing="1"/>
        <w:rPr>
          <w:rFonts w:ascii="Times" w:eastAsia="Times New Roman" w:hAnsi="Times" w:cs="Times New Roman"/>
          <w:b/>
          <w:bCs/>
          <w:kern w:val="0"/>
          <w14:ligatures w14:val="none"/>
        </w:rPr>
      </w:pPr>
    </w:p>
    <w:p w14:paraId="1E058F88" w14:textId="3B8489CA" w:rsidR="001219FD" w:rsidRDefault="001219FD" w:rsidP="00B46C00">
      <w:pPr>
        <w:spacing w:before="100" w:beforeAutospacing="1" w:after="100" w:afterAutospacing="1"/>
        <w:rPr>
          <w:rFonts w:ascii="Times" w:eastAsia="Times New Roman" w:hAnsi="Times" w:cs="Times New Roman"/>
          <w:b/>
          <w:bCs/>
          <w:kern w:val="0"/>
          <w14:ligatures w14:val="none"/>
        </w:rPr>
      </w:pPr>
    </w:p>
    <w:p w14:paraId="31EEFA43" w14:textId="4897A5D4" w:rsidR="00280272" w:rsidRDefault="00280272" w:rsidP="00B46C00">
      <w:pPr>
        <w:spacing w:before="100" w:beforeAutospacing="1" w:after="100" w:afterAutospacing="1"/>
        <w:rPr>
          <w:rFonts w:ascii="Times" w:eastAsia="Times New Roman" w:hAnsi="Times" w:cs="Times New Roman"/>
          <w:b/>
          <w:bCs/>
          <w:kern w:val="0"/>
          <w14:ligatures w14:val="none"/>
        </w:rPr>
      </w:pPr>
    </w:p>
    <w:p w14:paraId="0256CA0A" w14:textId="6B26D31A" w:rsidR="00280272" w:rsidRDefault="00280272" w:rsidP="00B46C00">
      <w:pPr>
        <w:spacing w:before="100" w:beforeAutospacing="1" w:after="100" w:afterAutospacing="1"/>
        <w:rPr>
          <w:rFonts w:ascii="Times" w:eastAsia="Times New Roman" w:hAnsi="Times" w:cs="Times New Roman"/>
          <w:b/>
          <w:bCs/>
          <w:kern w:val="0"/>
          <w14:ligatures w14:val="none"/>
        </w:rPr>
      </w:pPr>
    </w:p>
    <w:p w14:paraId="2C56CAB9" w14:textId="27D98825" w:rsidR="00280272" w:rsidRDefault="005B1C92" w:rsidP="00B46C00">
      <w:pPr>
        <w:spacing w:before="100" w:beforeAutospacing="1" w:after="100" w:afterAutospacing="1"/>
        <w:rPr>
          <w:rFonts w:ascii="Times" w:eastAsia="Times New Roman" w:hAnsi="Times" w:cs="Times New Roman"/>
          <w:b/>
          <w:bCs/>
          <w:kern w:val="0"/>
          <w14:ligatures w14:val="none"/>
        </w:rPr>
      </w:pPr>
      <w:r w:rsidRPr="00F5294A">
        <w:drawing>
          <wp:anchor distT="0" distB="0" distL="114300" distR="114300" simplePos="0" relativeHeight="251668480" behindDoc="1" locked="0" layoutInCell="1" allowOverlap="1" wp14:anchorId="05FAAB6E" wp14:editId="226CFC87">
            <wp:simplePos x="0" y="0"/>
            <wp:positionH relativeFrom="column">
              <wp:posOffset>2809403</wp:posOffset>
            </wp:positionH>
            <wp:positionV relativeFrom="paragraph">
              <wp:posOffset>116840</wp:posOffset>
            </wp:positionV>
            <wp:extent cx="2468245" cy="1861185"/>
            <wp:effectExtent l="0" t="0" r="0" b="0"/>
            <wp:wrapTight wrapText="bothSides">
              <wp:wrapPolygon edited="0">
                <wp:start x="1334" y="442"/>
                <wp:lineTo x="1556" y="3685"/>
                <wp:lineTo x="2778" y="5453"/>
                <wp:lineTo x="3223" y="5453"/>
                <wp:lineTo x="1000" y="6927"/>
                <wp:lineTo x="445" y="7517"/>
                <wp:lineTo x="222" y="12086"/>
                <wp:lineTo x="333" y="13560"/>
                <wp:lineTo x="3223" y="14886"/>
                <wp:lineTo x="2223" y="17245"/>
                <wp:lineTo x="2223" y="19013"/>
                <wp:lineTo x="4446" y="19603"/>
                <wp:lineTo x="8891" y="19898"/>
                <wp:lineTo x="8780" y="20782"/>
                <wp:lineTo x="9558" y="21372"/>
                <wp:lineTo x="12448" y="21372"/>
                <wp:lineTo x="13892" y="20782"/>
                <wp:lineTo x="13781" y="19898"/>
                <wp:lineTo x="19561" y="19455"/>
                <wp:lineTo x="19449" y="17245"/>
                <wp:lineTo x="9447" y="17245"/>
                <wp:lineTo x="13448" y="16066"/>
                <wp:lineTo x="13670" y="14886"/>
                <wp:lineTo x="20894" y="12676"/>
                <wp:lineTo x="21117" y="11791"/>
                <wp:lineTo x="20450" y="11644"/>
                <wp:lineTo x="16671" y="7517"/>
                <wp:lineTo x="13559" y="6927"/>
                <wp:lineTo x="3779" y="5453"/>
                <wp:lineTo x="3668" y="3243"/>
                <wp:lineTo x="3001" y="3095"/>
                <wp:lineTo x="21117" y="1916"/>
                <wp:lineTo x="21450" y="884"/>
                <wp:lineTo x="18894" y="442"/>
                <wp:lineTo x="1334" y="442"/>
              </wp:wrapPolygon>
            </wp:wrapTight>
            <wp:docPr id="68950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06010" name=""/>
                    <pic:cNvPicPr/>
                  </pic:nvPicPr>
                  <pic:blipFill>
                    <a:blip r:embed="rId7">
                      <a:extLst>
                        <a:ext uri="{28A0092B-C50C-407E-A947-70E740481C1C}">
                          <a14:useLocalDpi xmlns:a14="http://schemas.microsoft.com/office/drawing/2010/main" val="0"/>
                        </a:ext>
                      </a:extLst>
                    </a:blip>
                    <a:stretch>
                      <a:fillRect/>
                    </a:stretch>
                  </pic:blipFill>
                  <pic:spPr>
                    <a:xfrm>
                      <a:off x="0" y="0"/>
                      <a:ext cx="2468245" cy="1861185"/>
                    </a:xfrm>
                    <a:prstGeom prst="rect">
                      <a:avLst/>
                    </a:prstGeom>
                  </pic:spPr>
                </pic:pic>
              </a:graphicData>
            </a:graphic>
            <wp14:sizeRelH relativeFrom="page">
              <wp14:pctWidth>0</wp14:pctWidth>
            </wp14:sizeRelH>
            <wp14:sizeRelV relativeFrom="page">
              <wp14:pctHeight>0</wp14:pctHeight>
            </wp14:sizeRelV>
          </wp:anchor>
        </w:drawing>
      </w:r>
      <w:r w:rsidRPr="005B1C92">
        <w:drawing>
          <wp:anchor distT="0" distB="0" distL="114300" distR="114300" simplePos="0" relativeHeight="251669504" behindDoc="1" locked="0" layoutInCell="1" allowOverlap="1" wp14:anchorId="1FE05199" wp14:editId="5F48C244">
            <wp:simplePos x="0" y="0"/>
            <wp:positionH relativeFrom="column">
              <wp:posOffset>-13498</wp:posOffset>
            </wp:positionH>
            <wp:positionV relativeFrom="paragraph">
              <wp:posOffset>66040</wp:posOffset>
            </wp:positionV>
            <wp:extent cx="2389505" cy="1858010"/>
            <wp:effectExtent l="0" t="0" r="0" b="0"/>
            <wp:wrapTight wrapText="bothSides">
              <wp:wrapPolygon edited="0">
                <wp:start x="3100" y="443"/>
                <wp:lineTo x="1492" y="3100"/>
                <wp:lineTo x="1492" y="3543"/>
                <wp:lineTo x="2985" y="5463"/>
                <wp:lineTo x="574" y="7234"/>
                <wp:lineTo x="230" y="8859"/>
                <wp:lineTo x="230" y="12697"/>
                <wp:lineTo x="459" y="13583"/>
                <wp:lineTo x="3329" y="14912"/>
                <wp:lineTo x="2296" y="17126"/>
                <wp:lineTo x="2296" y="18603"/>
                <wp:lineTo x="6199" y="19636"/>
                <wp:lineTo x="8036" y="19784"/>
                <wp:lineTo x="8036" y="21113"/>
                <wp:lineTo x="13547" y="21408"/>
                <wp:lineTo x="14006" y="21408"/>
                <wp:lineTo x="15269" y="20670"/>
                <wp:lineTo x="15039" y="19784"/>
                <wp:lineTo x="20550" y="18898"/>
                <wp:lineTo x="20090" y="16979"/>
                <wp:lineTo x="8495" y="14912"/>
                <wp:lineTo x="16876" y="13583"/>
                <wp:lineTo x="16991" y="12550"/>
                <wp:lineTo x="10217" y="12550"/>
                <wp:lineTo x="11251" y="10630"/>
                <wp:lineTo x="11825" y="10187"/>
                <wp:lineTo x="16876" y="8120"/>
                <wp:lineTo x="16991" y="7382"/>
                <wp:lineTo x="12399" y="6644"/>
                <wp:lineTo x="3903" y="5463"/>
                <wp:lineTo x="3788" y="3248"/>
                <wp:lineTo x="10103" y="3100"/>
                <wp:lineTo x="19976" y="1772"/>
                <wp:lineTo x="19861" y="443"/>
                <wp:lineTo x="3100" y="443"/>
              </wp:wrapPolygon>
            </wp:wrapTight>
            <wp:docPr id="200450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07397" name=""/>
                    <pic:cNvPicPr/>
                  </pic:nvPicPr>
                  <pic:blipFill>
                    <a:blip r:embed="rId8">
                      <a:extLst>
                        <a:ext uri="{28A0092B-C50C-407E-A947-70E740481C1C}">
                          <a14:useLocalDpi xmlns:a14="http://schemas.microsoft.com/office/drawing/2010/main" val="0"/>
                        </a:ext>
                      </a:extLst>
                    </a:blip>
                    <a:stretch>
                      <a:fillRect/>
                    </a:stretch>
                  </pic:blipFill>
                  <pic:spPr>
                    <a:xfrm>
                      <a:off x="0" y="0"/>
                      <a:ext cx="2389505" cy="1858010"/>
                    </a:xfrm>
                    <a:prstGeom prst="rect">
                      <a:avLst/>
                    </a:prstGeom>
                  </pic:spPr>
                </pic:pic>
              </a:graphicData>
            </a:graphic>
            <wp14:sizeRelH relativeFrom="page">
              <wp14:pctWidth>0</wp14:pctWidth>
            </wp14:sizeRelH>
            <wp14:sizeRelV relativeFrom="page">
              <wp14:pctHeight>0</wp14:pctHeight>
            </wp14:sizeRelV>
          </wp:anchor>
        </w:drawing>
      </w:r>
    </w:p>
    <w:p w14:paraId="1740C668" w14:textId="07C57E28" w:rsidR="00280272" w:rsidRDefault="00280272" w:rsidP="00B46C00">
      <w:pPr>
        <w:spacing w:before="100" w:beforeAutospacing="1" w:after="100" w:afterAutospacing="1"/>
        <w:rPr>
          <w:rFonts w:ascii="Times" w:eastAsia="Times New Roman" w:hAnsi="Times" w:cs="Times New Roman"/>
          <w:b/>
          <w:bCs/>
          <w:kern w:val="0"/>
          <w14:ligatures w14:val="none"/>
        </w:rPr>
      </w:pPr>
    </w:p>
    <w:p w14:paraId="1E9DA7FC" w14:textId="72024246" w:rsidR="00CC5F90" w:rsidRDefault="00CC5F90" w:rsidP="00B46C00">
      <w:pPr>
        <w:spacing w:before="100" w:beforeAutospacing="1" w:after="100" w:afterAutospacing="1"/>
        <w:rPr>
          <w:rFonts w:ascii="Times" w:eastAsia="Times New Roman" w:hAnsi="Times" w:cs="Times New Roman"/>
          <w:b/>
          <w:bCs/>
          <w:kern w:val="0"/>
          <w14:ligatures w14:val="none"/>
        </w:rPr>
      </w:pPr>
    </w:p>
    <w:p w14:paraId="6D2470D8" w14:textId="22A9E2B4" w:rsidR="001219FD" w:rsidRDefault="001219FD" w:rsidP="00B46C00">
      <w:pPr>
        <w:spacing w:before="100" w:beforeAutospacing="1" w:after="100" w:afterAutospacing="1"/>
        <w:rPr>
          <w:rFonts w:ascii="Times" w:eastAsia="Times New Roman" w:hAnsi="Times" w:cs="Times New Roman"/>
          <w:b/>
          <w:bCs/>
          <w:kern w:val="0"/>
          <w14:ligatures w14:val="none"/>
        </w:rPr>
      </w:pPr>
    </w:p>
    <w:p w14:paraId="4AA16927" w14:textId="77777777" w:rsidR="00280272" w:rsidRDefault="00280272" w:rsidP="001219FD">
      <w:pPr>
        <w:pStyle w:val="NormalWeb"/>
      </w:pPr>
    </w:p>
    <w:p w14:paraId="339356A8" w14:textId="77777777" w:rsidR="00CC5F90" w:rsidRDefault="00CC5F90" w:rsidP="001219FD">
      <w:pPr>
        <w:pStyle w:val="NormalWeb"/>
      </w:pPr>
    </w:p>
    <w:p w14:paraId="0BAD3516" w14:textId="3A2151BA" w:rsidR="00CC5F90" w:rsidRDefault="00CC5F90" w:rsidP="001219FD">
      <w:pPr>
        <w:pStyle w:val="NormalWeb"/>
      </w:pPr>
    </w:p>
    <w:p w14:paraId="63D7250F" w14:textId="2DD1484A" w:rsidR="00CC5F90" w:rsidRDefault="00CC5F90" w:rsidP="001219FD">
      <w:pPr>
        <w:pStyle w:val="NormalWeb"/>
      </w:pPr>
    </w:p>
    <w:p w14:paraId="4C00893B" w14:textId="6F7E96A0" w:rsidR="007A429C" w:rsidRPr="0095427C" w:rsidRDefault="00F8682B" w:rsidP="007A429C">
      <w:pPr>
        <w:rPr>
          <w:rFonts w:ascii="Times New Roman" w:hAnsi="Times New Roman" w:cs="Times New Roman"/>
          <w:b/>
          <w:bCs/>
        </w:rPr>
      </w:pPr>
      <w:r w:rsidRPr="0095427C">
        <w:rPr>
          <w:rFonts w:ascii="Times New Roman" w:hAnsi="Times New Roman" w:cs="Times New Roman"/>
          <w:b/>
          <w:bCs/>
        </w:rPr>
        <w:lastRenderedPageBreak/>
        <w:t xml:space="preserve">Discussion: </w:t>
      </w:r>
    </w:p>
    <w:p w14:paraId="62938167" w14:textId="50C96263" w:rsidR="007A429C" w:rsidRPr="0095427C" w:rsidRDefault="007A429C" w:rsidP="007A429C">
      <w:pPr>
        <w:rPr>
          <w:rFonts w:ascii="Times New Roman" w:hAnsi="Times New Roman" w:cs="Times New Roman"/>
        </w:rPr>
      </w:pPr>
      <w:r w:rsidRPr="0095427C">
        <w:rPr>
          <w:rFonts w:ascii="Times New Roman" w:hAnsi="Times New Roman" w:cs="Times New Roman"/>
        </w:rPr>
        <w:t xml:space="preserve">Our initial assays utilizing FITC </w:t>
      </w:r>
      <w:proofErr w:type="spellStart"/>
      <w:r w:rsidRPr="0095427C">
        <w:rPr>
          <w:rFonts w:ascii="Times New Roman" w:hAnsi="Times New Roman" w:cs="Times New Roman"/>
        </w:rPr>
        <w:t>Poloboxtide</w:t>
      </w:r>
      <w:proofErr w:type="spellEnd"/>
      <w:r w:rsidRPr="0095427C">
        <w:rPr>
          <w:rFonts w:ascii="Times New Roman" w:hAnsi="Times New Roman" w:cs="Times New Roman"/>
        </w:rPr>
        <w:t xml:space="preserve"> encountered several challenges, leading to a series of unsuccessful trials. To address these issues, we sought insight from colleagues with experience in similar assays. We reached out to researchers at the University of South Carolina in Columbia, who provided invaluable assistance. A comparative analysis of our protocols against theirs revealed that our FITC </w:t>
      </w:r>
      <w:proofErr w:type="spellStart"/>
      <w:r w:rsidRPr="0095427C">
        <w:rPr>
          <w:rFonts w:ascii="Times New Roman" w:hAnsi="Times New Roman" w:cs="Times New Roman"/>
        </w:rPr>
        <w:t>Poloboxtide</w:t>
      </w:r>
      <w:proofErr w:type="spellEnd"/>
      <w:r w:rsidRPr="0095427C">
        <w:rPr>
          <w:rFonts w:ascii="Times New Roman" w:hAnsi="Times New Roman" w:cs="Times New Roman"/>
        </w:rPr>
        <w:t xml:space="preserve"> was ineffectively binding to the PLK1 PBD</w:t>
      </w:r>
      <w:r w:rsidR="00F01624" w:rsidRPr="0095427C">
        <w:rPr>
          <w:rFonts w:ascii="Times New Roman" w:hAnsi="Times New Roman" w:cs="Times New Roman"/>
        </w:rPr>
        <w:t xml:space="preserve"> protein</w:t>
      </w:r>
      <w:r w:rsidRPr="0095427C">
        <w:rPr>
          <w:rFonts w:ascii="Times New Roman" w:hAnsi="Times New Roman" w:cs="Times New Roman"/>
        </w:rPr>
        <w:t xml:space="preserve">. Subsequently, we acquired a sample of FITC </w:t>
      </w:r>
      <w:proofErr w:type="spellStart"/>
      <w:r w:rsidRPr="0095427C">
        <w:rPr>
          <w:rFonts w:ascii="Times New Roman" w:hAnsi="Times New Roman" w:cs="Times New Roman"/>
        </w:rPr>
        <w:t>Poloboxtide</w:t>
      </w:r>
      <w:proofErr w:type="spellEnd"/>
      <w:r w:rsidRPr="0095427C">
        <w:rPr>
          <w:rFonts w:ascii="Times New Roman" w:hAnsi="Times New Roman" w:cs="Times New Roman"/>
        </w:rPr>
        <w:t xml:space="preserve"> from the </w:t>
      </w:r>
      <w:r w:rsidR="00667439" w:rsidRPr="0095427C">
        <w:rPr>
          <w:rFonts w:ascii="Times New Roman" w:hAnsi="Times New Roman" w:cs="Times New Roman"/>
        </w:rPr>
        <w:t>University of South Carolina</w:t>
      </w:r>
      <w:r w:rsidR="00667439" w:rsidRPr="0095427C">
        <w:rPr>
          <w:rFonts w:ascii="Times New Roman" w:hAnsi="Times New Roman" w:cs="Times New Roman"/>
        </w:rPr>
        <w:t>,</w:t>
      </w:r>
      <w:r w:rsidR="00667439" w:rsidRPr="0095427C">
        <w:rPr>
          <w:rFonts w:ascii="Times New Roman" w:hAnsi="Times New Roman" w:cs="Times New Roman"/>
        </w:rPr>
        <w:t xml:space="preserve"> </w:t>
      </w:r>
      <w:r w:rsidRPr="0095427C">
        <w:rPr>
          <w:rFonts w:ascii="Times New Roman" w:hAnsi="Times New Roman" w:cs="Times New Roman"/>
        </w:rPr>
        <w:t>Columbia team and integrated it into our assays.</w:t>
      </w:r>
    </w:p>
    <w:p w14:paraId="5E8D012D" w14:textId="369F1FD6" w:rsidR="00F01624" w:rsidRPr="0095427C" w:rsidRDefault="00F01624" w:rsidP="007A429C">
      <w:pPr>
        <w:rPr>
          <w:rFonts w:ascii="Times New Roman" w:hAnsi="Times New Roman" w:cs="Times New Roman"/>
        </w:rPr>
      </w:pPr>
    </w:p>
    <w:p w14:paraId="4FD831F2" w14:textId="101B0835" w:rsidR="007A429C" w:rsidRPr="0095427C" w:rsidRDefault="007A429C" w:rsidP="007A429C">
      <w:pPr>
        <w:rPr>
          <w:rFonts w:ascii="Times New Roman" w:hAnsi="Times New Roman" w:cs="Times New Roman"/>
        </w:rPr>
      </w:pPr>
      <w:r w:rsidRPr="0095427C">
        <w:rPr>
          <w:rFonts w:ascii="Times New Roman" w:hAnsi="Times New Roman" w:cs="Times New Roman"/>
        </w:rPr>
        <w:t xml:space="preserve">This collaboration led to two significant findings: firstly, that a 10 </w:t>
      </w:r>
      <w:proofErr w:type="spellStart"/>
      <w:r w:rsidRPr="0095427C">
        <w:rPr>
          <w:rFonts w:ascii="Times New Roman" w:hAnsi="Times New Roman" w:cs="Times New Roman"/>
        </w:rPr>
        <w:t>nM</w:t>
      </w:r>
      <w:proofErr w:type="spellEnd"/>
      <w:r w:rsidRPr="0095427C">
        <w:rPr>
          <w:rFonts w:ascii="Times New Roman" w:hAnsi="Times New Roman" w:cs="Times New Roman"/>
        </w:rPr>
        <w:t xml:space="preserve"> concentration of functional FITC </w:t>
      </w:r>
      <w:proofErr w:type="spellStart"/>
      <w:r w:rsidRPr="0095427C">
        <w:rPr>
          <w:rFonts w:ascii="Times New Roman" w:hAnsi="Times New Roman" w:cs="Times New Roman"/>
        </w:rPr>
        <w:t>Poloboxtide</w:t>
      </w:r>
      <w:proofErr w:type="spellEnd"/>
      <w:r w:rsidRPr="0095427C">
        <w:rPr>
          <w:rFonts w:ascii="Times New Roman" w:hAnsi="Times New Roman" w:cs="Times New Roman"/>
        </w:rPr>
        <w:t xml:space="preserve"> is sufficient for the assay’s objectives; secondly, that 250 ng/well of PBD protein is optimal. We discovered that an overly high concentration of the tracer, relative to the PBD protein, would result in saturation of the detection system's limits due to the unbound tracer's signal. This saturation can distort the actual binding affinity measurement of a test compound. Conversely, if the tracer concentration is too low in comparison to the PBD protein, there is a risk of underestimating a compound's binding. Accurate detection of a compound's binding affinity is contingent on measuring the displacement of the tracer from the binding site. An abundance of unbound PBD protein can cause an underestimation of binding affinity, necessitating a greater quantity of the compound to observe binding, thereby leading to an erroneously elevated IC50 value. Our research underscores the importance of optimizing the ratio of tracer to protein to ensure precise affinity measurements in fluorescence polarization assays.</w:t>
      </w:r>
    </w:p>
    <w:p w14:paraId="6F82A09D" w14:textId="77777777" w:rsidR="00F01624" w:rsidRPr="0095427C" w:rsidRDefault="00F01624" w:rsidP="007A429C">
      <w:pPr>
        <w:rPr>
          <w:rFonts w:ascii="Times New Roman" w:hAnsi="Times New Roman" w:cs="Times New Roman"/>
        </w:rPr>
      </w:pPr>
    </w:p>
    <w:p w14:paraId="6AB72EC6" w14:textId="77777777" w:rsidR="0095427C" w:rsidRPr="0095427C" w:rsidRDefault="0095427C" w:rsidP="0095427C">
      <w:pPr>
        <w:rPr>
          <w:rFonts w:ascii="Times New Roman" w:hAnsi="Times New Roman" w:cs="Times New Roman"/>
        </w:rPr>
      </w:pPr>
      <w:r w:rsidRPr="0095427C">
        <w:rPr>
          <w:rFonts w:ascii="Times New Roman" w:hAnsi="Times New Roman" w:cs="Times New Roman"/>
        </w:rPr>
        <w:t xml:space="preserve">In this pioneering study, Thymoquinone was selected as a control due to the extensive documentation of its binding affinities to Polo-like kinase 1 (PLK1) polo-box domain (PBD) in the literature. Our preliminary findings suggest that Thymoquinone exhibits a binding affinity of 15.6 µM. This result marginally exceeds the reported range of 1.1 – 12 µM, as established by </w:t>
      </w:r>
      <w:proofErr w:type="spellStart"/>
      <w:r w:rsidRPr="0095427C">
        <w:rPr>
          <w:rFonts w:ascii="Times New Roman" w:hAnsi="Times New Roman" w:cs="Times New Roman"/>
        </w:rPr>
        <w:t>Emmitte</w:t>
      </w:r>
      <w:proofErr w:type="spellEnd"/>
      <w:r w:rsidRPr="0095427C">
        <w:rPr>
          <w:rFonts w:ascii="Times New Roman" w:hAnsi="Times New Roman" w:cs="Times New Roman"/>
        </w:rPr>
        <w:t xml:space="preserve"> et al. (2009), </w:t>
      </w:r>
      <w:proofErr w:type="spellStart"/>
      <w:r w:rsidRPr="0095427C">
        <w:rPr>
          <w:rFonts w:ascii="Times New Roman" w:hAnsi="Times New Roman" w:cs="Times New Roman"/>
        </w:rPr>
        <w:t>Reindl</w:t>
      </w:r>
      <w:proofErr w:type="spellEnd"/>
      <w:r w:rsidRPr="0095427C">
        <w:rPr>
          <w:rFonts w:ascii="Times New Roman" w:hAnsi="Times New Roman" w:cs="Times New Roman"/>
        </w:rPr>
        <w:t xml:space="preserve"> et al. (2008), </w:t>
      </w:r>
      <w:proofErr w:type="spellStart"/>
      <w:r w:rsidRPr="0095427C">
        <w:rPr>
          <w:rFonts w:ascii="Times New Roman" w:hAnsi="Times New Roman" w:cs="Times New Roman"/>
        </w:rPr>
        <w:t>Normandin</w:t>
      </w:r>
      <w:proofErr w:type="spellEnd"/>
      <w:r w:rsidRPr="0095427C">
        <w:rPr>
          <w:rFonts w:ascii="Times New Roman" w:hAnsi="Times New Roman" w:cs="Times New Roman"/>
        </w:rPr>
        <w:t xml:space="preserve"> et al. (2016), and Chen et al. (2016). Despite this slight deviation, the observed affinity is in a comparable proximity for an initial assay. However, it is essential to note that Thymoquinone demonstrated inconsistent solubility across various buffer solutions, indicating a degree of unreliability as a control substance in our experimental conditions.</w:t>
      </w:r>
    </w:p>
    <w:p w14:paraId="108A4763" w14:textId="77777777" w:rsidR="0095427C" w:rsidRPr="0095427C" w:rsidRDefault="0095427C" w:rsidP="0095427C">
      <w:pPr>
        <w:rPr>
          <w:rFonts w:ascii="Times New Roman" w:hAnsi="Times New Roman" w:cs="Times New Roman"/>
        </w:rPr>
      </w:pPr>
    </w:p>
    <w:p w14:paraId="23E15232" w14:textId="77777777" w:rsidR="0095427C" w:rsidRPr="0095427C" w:rsidRDefault="0095427C" w:rsidP="0095427C">
      <w:pPr>
        <w:rPr>
          <w:rFonts w:ascii="Times New Roman" w:hAnsi="Times New Roman" w:cs="Times New Roman"/>
        </w:rPr>
      </w:pPr>
      <w:r w:rsidRPr="0095427C">
        <w:rPr>
          <w:rFonts w:ascii="Times New Roman" w:hAnsi="Times New Roman" w:cs="Times New Roman"/>
        </w:rPr>
        <w:t>Concurrently, our study includes an analysis of 46 compounds for their binding affinities to PLK1 PBD. Preliminary screening has identified Drug #2 as a molecule of interest, exhibiting a significant affinity for PLK1 PBD with an inhibitory concentration 50% (IC50) value of 3.35 µM. This finding warrants further investigation into the potential of Drug #2 as a candidate for modulating PLK1 activity. The ongoing work to characterize the full spectrum of our 46 compounds affinities for PLK1 PBD is expected to yield valuable insights into their therapeutic potential.</w:t>
      </w:r>
    </w:p>
    <w:p w14:paraId="44BEABF5" w14:textId="0B58FDE6" w:rsidR="00280272" w:rsidRPr="0095427C" w:rsidRDefault="0095427C" w:rsidP="001219FD">
      <w:pPr>
        <w:pStyle w:val="NormalWeb"/>
        <w:rPr>
          <w:b/>
          <w:bCs/>
        </w:rPr>
      </w:pPr>
      <w:r w:rsidRPr="0095427C">
        <w:rPr>
          <w:b/>
          <w:bCs/>
        </w:rPr>
        <w:t>Reference</w:t>
      </w:r>
    </w:p>
    <w:p w14:paraId="1702C961" w14:textId="68A14F01" w:rsidR="00497169" w:rsidRPr="0095427C" w:rsidRDefault="001140D1">
      <w:pPr>
        <w:rPr>
          <w:rFonts w:ascii="Times New Roman" w:hAnsi="Times New Roman" w:cs="Times New Roman"/>
          <w:color w:val="303030"/>
          <w:shd w:val="clear" w:color="auto" w:fill="FFFFFF"/>
        </w:rPr>
      </w:pPr>
      <w:proofErr w:type="spellStart"/>
      <w:r w:rsidRPr="0095427C">
        <w:rPr>
          <w:rFonts w:ascii="Times New Roman" w:hAnsi="Times New Roman" w:cs="Times New Roman"/>
          <w:color w:val="303030"/>
          <w:shd w:val="clear" w:color="auto" w:fill="FFFFFF"/>
        </w:rPr>
        <w:t>Emmitte</w:t>
      </w:r>
      <w:proofErr w:type="spellEnd"/>
      <w:r w:rsidRPr="0095427C">
        <w:rPr>
          <w:rFonts w:ascii="Times New Roman" w:hAnsi="Times New Roman" w:cs="Times New Roman"/>
          <w:color w:val="303030"/>
          <w:shd w:val="clear" w:color="auto" w:fill="FFFFFF"/>
        </w:rPr>
        <w:t xml:space="preserve"> KA, et al. Discovery of thiophene inhibitors of polo-like kinase. </w:t>
      </w:r>
      <w:proofErr w:type="spellStart"/>
      <w:r w:rsidRPr="0095427C">
        <w:rPr>
          <w:rStyle w:val="ref-journal"/>
          <w:rFonts w:ascii="Times New Roman" w:hAnsi="Times New Roman" w:cs="Times New Roman"/>
          <w:i/>
          <w:iCs/>
          <w:color w:val="303030"/>
          <w:shd w:val="clear" w:color="auto" w:fill="FFFFFF"/>
        </w:rPr>
        <w:t>Bioorg</w:t>
      </w:r>
      <w:proofErr w:type="spellEnd"/>
      <w:r w:rsidRPr="0095427C">
        <w:rPr>
          <w:rStyle w:val="ref-journal"/>
          <w:rFonts w:ascii="Times New Roman" w:hAnsi="Times New Roman" w:cs="Times New Roman"/>
          <w:i/>
          <w:iCs/>
          <w:color w:val="303030"/>
          <w:shd w:val="clear" w:color="auto" w:fill="FFFFFF"/>
        </w:rPr>
        <w:t xml:space="preserve"> Med Chem Lett. </w:t>
      </w:r>
      <w:proofErr w:type="gramStart"/>
      <w:r w:rsidRPr="0095427C">
        <w:rPr>
          <w:rFonts w:ascii="Times New Roman" w:hAnsi="Times New Roman" w:cs="Times New Roman"/>
          <w:color w:val="303030"/>
          <w:shd w:val="clear" w:color="auto" w:fill="FFFFFF"/>
        </w:rPr>
        <w:t>2009;</w:t>
      </w:r>
      <w:r w:rsidRPr="0095427C">
        <w:rPr>
          <w:rStyle w:val="ref-vol"/>
          <w:rFonts w:ascii="Times New Roman" w:hAnsi="Times New Roman" w:cs="Times New Roman"/>
          <w:color w:val="303030"/>
          <w:shd w:val="clear" w:color="auto" w:fill="FFFFFF"/>
        </w:rPr>
        <w:t>19</w:t>
      </w:r>
      <w:r w:rsidRPr="0095427C">
        <w:rPr>
          <w:rFonts w:ascii="Times New Roman" w:hAnsi="Times New Roman" w:cs="Times New Roman"/>
          <w:color w:val="303030"/>
          <w:shd w:val="clear" w:color="auto" w:fill="FFFFFF"/>
        </w:rPr>
        <w:t>:1018</w:t>
      </w:r>
      <w:proofErr w:type="gramEnd"/>
      <w:r w:rsidRPr="0095427C">
        <w:rPr>
          <w:rFonts w:ascii="Times New Roman" w:hAnsi="Times New Roman" w:cs="Times New Roman"/>
          <w:color w:val="303030"/>
          <w:shd w:val="clear" w:color="auto" w:fill="FFFFFF"/>
        </w:rPr>
        <w:t>–1021.</w:t>
      </w:r>
    </w:p>
    <w:p w14:paraId="496CDBF8" w14:textId="5EDAA922" w:rsidR="00113B69" w:rsidRPr="0095427C" w:rsidRDefault="00113B69">
      <w:pPr>
        <w:rPr>
          <w:rFonts w:ascii="Times New Roman" w:hAnsi="Times New Roman" w:cs="Times New Roman"/>
          <w:color w:val="303030"/>
          <w:shd w:val="clear" w:color="auto" w:fill="FFFFFF"/>
        </w:rPr>
      </w:pPr>
    </w:p>
    <w:p w14:paraId="506DBE15" w14:textId="558F633F" w:rsidR="00113B69" w:rsidRPr="0095427C" w:rsidRDefault="00113B69">
      <w:pPr>
        <w:rPr>
          <w:rFonts w:ascii="Times New Roman" w:hAnsi="Times New Roman" w:cs="Times New Roman"/>
          <w:color w:val="333333"/>
        </w:rPr>
      </w:pPr>
      <w:r w:rsidRPr="0095427C">
        <w:rPr>
          <w:rFonts w:ascii="Times New Roman" w:hAnsi="Times New Roman" w:cs="Times New Roman"/>
          <w:color w:val="333333"/>
        </w:rPr>
        <w:lastRenderedPageBreak/>
        <w:t>Chen Y, Zhang J, Li D, Jiang J, Wang Y, Si S. Identification of a novel Polo-like kinase 1 inhibitor that specifically blocks the functions of Polo-Box domain. </w:t>
      </w:r>
      <w:proofErr w:type="spellStart"/>
      <w:r w:rsidRPr="0095427C">
        <w:rPr>
          <w:rStyle w:val="citationsource-journal"/>
          <w:rFonts w:ascii="Times New Roman" w:hAnsi="Times New Roman" w:cs="Times New Roman"/>
          <w:color w:val="333333"/>
        </w:rPr>
        <w:t>Oncotarget</w:t>
      </w:r>
      <w:proofErr w:type="spellEnd"/>
      <w:r w:rsidRPr="0095427C">
        <w:rPr>
          <w:rFonts w:ascii="Times New Roman" w:hAnsi="Times New Roman" w:cs="Times New Roman"/>
          <w:color w:val="333333"/>
        </w:rPr>
        <w:t> 2016; 8(1):1234-46.</w:t>
      </w:r>
    </w:p>
    <w:p w14:paraId="7A80C0F4" w14:textId="21E513ED" w:rsidR="00113B69" w:rsidRPr="0095427C" w:rsidRDefault="00113B69">
      <w:pPr>
        <w:rPr>
          <w:rFonts w:ascii="Times New Roman" w:hAnsi="Times New Roman" w:cs="Times New Roman"/>
          <w:color w:val="333333"/>
        </w:rPr>
      </w:pPr>
    </w:p>
    <w:p w14:paraId="52C19319" w14:textId="1F0D73BB" w:rsidR="00113B69" w:rsidRPr="0095427C" w:rsidRDefault="00113B69">
      <w:pPr>
        <w:rPr>
          <w:rFonts w:ascii="Times New Roman" w:hAnsi="Times New Roman" w:cs="Times New Roman"/>
          <w:color w:val="333333"/>
        </w:rPr>
      </w:pPr>
      <w:proofErr w:type="spellStart"/>
      <w:r w:rsidRPr="0095427C">
        <w:rPr>
          <w:rFonts w:ascii="Times New Roman" w:hAnsi="Times New Roman" w:cs="Times New Roman"/>
          <w:color w:val="333333"/>
        </w:rPr>
        <w:t>Normandin</w:t>
      </w:r>
      <w:proofErr w:type="spellEnd"/>
      <w:r w:rsidRPr="0095427C">
        <w:rPr>
          <w:rFonts w:ascii="Times New Roman" w:hAnsi="Times New Roman" w:cs="Times New Roman"/>
          <w:color w:val="333333"/>
        </w:rPr>
        <w:t xml:space="preserve"> K, Lavallee JF, Futter M, </w:t>
      </w:r>
      <w:proofErr w:type="spellStart"/>
      <w:r w:rsidRPr="0095427C">
        <w:rPr>
          <w:rFonts w:ascii="Times New Roman" w:hAnsi="Times New Roman" w:cs="Times New Roman"/>
          <w:color w:val="333333"/>
        </w:rPr>
        <w:t>Beautrait</w:t>
      </w:r>
      <w:proofErr w:type="spellEnd"/>
      <w:r w:rsidRPr="0095427C">
        <w:rPr>
          <w:rFonts w:ascii="Times New Roman" w:hAnsi="Times New Roman" w:cs="Times New Roman"/>
          <w:color w:val="333333"/>
        </w:rPr>
        <w:t xml:space="preserve"> A, </w:t>
      </w:r>
      <w:proofErr w:type="spellStart"/>
      <w:r w:rsidRPr="0095427C">
        <w:rPr>
          <w:rFonts w:ascii="Times New Roman" w:hAnsi="Times New Roman" w:cs="Times New Roman"/>
          <w:color w:val="333333"/>
        </w:rPr>
        <w:t>Duchaine</w:t>
      </w:r>
      <w:proofErr w:type="spellEnd"/>
      <w:r w:rsidRPr="0095427C">
        <w:rPr>
          <w:rFonts w:ascii="Times New Roman" w:hAnsi="Times New Roman" w:cs="Times New Roman"/>
          <w:color w:val="333333"/>
        </w:rPr>
        <w:t xml:space="preserve"> J, </w:t>
      </w:r>
      <w:proofErr w:type="spellStart"/>
      <w:r w:rsidRPr="0095427C">
        <w:rPr>
          <w:rFonts w:ascii="Times New Roman" w:hAnsi="Times New Roman" w:cs="Times New Roman"/>
          <w:color w:val="333333"/>
        </w:rPr>
        <w:t>Guiral</w:t>
      </w:r>
      <w:proofErr w:type="spellEnd"/>
      <w:r w:rsidRPr="0095427C">
        <w:rPr>
          <w:rFonts w:ascii="Times New Roman" w:hAnsi="Times New Roman" w:cs="Times New Roman"/>
          <w:color w:val="333333"/>
        </w:rPr>
        <w:t xml:space="preserve"> S, </w:t>
      </w:r>
      <w:proofErr w:type="spellStart"/>
      <w:r w:rsidRPr="0095427C">
        <w:rPr>
          <w:rFonts w:ascii="Times New Roman" w:hAnsi="Times New Roman" w:cs="Times New Roman"/>
          <w:color w:val="333333"/>
        </w:rPr>
        <w:t>Marinier</w:t>
      </w:r>
      <w:proofErr w:type="spellEnd"/>
      <w:r w:rsidRPr="0095427C">
        <w:rPr>
          <w:rFonts w:ascii="Times New Roman" w:hAnsi="Times New Roman" w:cs="Times New Roman"/>
          <w:color w:val="333333"/>
        </w:rPr>
        <w:t xml:space="preserve"> A, Archambault V. Identification of Polo-like kinase 1 interaction inhibitors using a novel cell-based assay. </w:t>
      </w:r>
      <w:r w:rsidRPr="0095427C">
        <w:rPr>
          <w:rStyle w:val="citationsource-journal"/>
          <w:rFonts w:ascii="Times New Roman" w:hAnsi="Times New Roman" w:cs="Times New Roman"/>
          <w:color w:val="333333"/>
        </w:rPr>
        <w:t>Sci Rep</w:t>
      </w:r>
      <w:r w:rsidRPr="0095427C">
        <w:rPr>
          <w:rFonts w:ascii="Times New Roman" w:hAnsi="Times New Roman" w:cs="Times New Roman"/>
          <w:color w:val="333333"/>
        </w:rPr>
        <w:t> 2016; </w:t>
      </w:r>
      <w:hyperlink r:id="rId9" w:tgtFrame="_blank" w:history="1">
        <w:r w:rsidRPr="0095427C">
          <w:rPr>
            <w:rStyle w:val="Hyperlink"/>
            <w:rFonts w:ascii="Times New Roman" w:hAnsi="Times New Roman" w:cs="Times New Roman"/>
            <w:color w:val="10147E"/>
          </w:rPr>
          <w:t>5</w:t>
        </w:r>
      </w:hyperlink>
      <w:r w:rsidRPr="0095427C">
        <w:rPr>
          <w:rFonts w:ascii="Times New Roman" w:hAnsi="Times New Roman" w:cs="Times New Roman"/>
          <w:color w:val="333333"/>
        </w:rPr>
        <w:t xml:space="preserve">:37581; PMID:27874094; </w:t>
      </w:r>
      <w:hyperlink r:id="rId10" w:history="1">
        <w:r w:rsidRPr="0095427C">
          <w:rPr>
            <w:rStyle w:val="Hyperlink"/>
            <w:rFonts w:ascii="Times New Roman" w:hAnsi="Times New Roman" w:cs="Times New Roman"/>
          </w:rPr>
          <w:t>https://doi.org/10.1038/srep37581</w:t>
        </w:r>
      </w:hyperlink>
    </w:p>
    <w:p w14:paraId="7638A530" w14:textId="5A516220" w:rsidR="00113B69" w:rsidRPr="0095427C" w:rsidRDefault="00113B69">
      <w:pPr>
        <w:rPr>
          <w:rFonts w:ascii="Times New Roman" w:hAnsi="Times New Roman" w:cs="Times New Roman"/>
          <w:color w:val="333333"/>
        </w:rPr>
      </w:pPr>
    </w:p>
    <w:p w14:paraId="4E5800C1" w14:textId="2DE0C97B" w:rsidR="00113B69" w:rsidRPr="0095427C" w:rsidRDefault="00113B69">
      <w:pPr>
        <w:rPr>
          <w:rFonts w:ascii="Times New Roman" w:hAnsi="Times New Roman" w:cs="Times New Roman"/>
          <w:color w:val="333333"/>
        </w:rPr>
      </w:pPr>
      <w:proofErr w:type="spellStart"/>
      <w:r w:rsidRPr="0095427C">
        <w:rPr>
          <w:rFonts w:ascii="Times New Roman" w:hAnsi="Times New Roman" w:cs="Times New Roman"/>
          <w:color w:val="333333"/>
        </w:rPr>
        <w:t>Reindl</w:t>
      </w:r>
      <w:proofErr w:type="spellEnd"/>
      <w:r w:rsidRPr="0095427C">
        <w:rPr>
          <w:rFonts w:ascii="Times New Roman" w:hAnsi="Times New Roman" w:cs="Times New Roman"/>
          <w:color w:val="333333"/>
        </w:rPr>
        <w:t xml:space="preserve"> W, Yuan J, Kramer A, </w:t>
      </w:r>
      <w:proofErr w:type="spellStart"/>
      <w:r w:rsidRPr="0095427C">
        <w:rPr>
          <w:rFonts w:ascii="Times New Roman" w:hAnsi="Times New Roman" w:cs="Times New Roman"/>
          <w:color w:val="333333"/>
        </w:rPr>
        <w:t>Strebhardt</w:t>
      </w:r>
      <w:proofErr w:type="spellEnd"/>
      <w:r w:rsidRPr="0095427C">
        <w:rPr>
          <w:rFonts w:ascii="Times New Roman" w:hAnsi="Times New Roman" w:cs="Times New Roman"/>
          <w:color w:val="333333"/>
        </w:rPr>
        <w:t xml:space="preserve"> K, Berg T. Inhibition of polo-like kinase 1 by blocking polo-box domain-dependent protein-protein interactions. </w:t>
      </w:r>
      <w:r w:rsidRPr="0095427C">
        <w:rPr>
          <w:rStyle w:val="citationsource-journal"/>
          <w:rFonts w:ascii="Times New Roman" w:hAnsi="Times New Roman" w:cs="Times New Roman"/>
          <w:color w:val="333333"/>
        </w:rPr>
        <w:t>Chem Biol</w:t>
      </w:r>
      <w:r w:rsidRPr="0095427C">
        <w:rPr>
          <w:rFonts w:ascii="Times New Roman" w:hAnsi="Times New Roman" w:cs="Times New Roman"/>
          <w:color w:val="333333"/>
        </w:rPr>
        <w:t> 2008; </w:t>
      </w:r>
      <w:hyperlink r:id="rId11" w:tgtFrame="_blank" w:history="1">
        <w:r w:rsidRPr="0095427C">
          <w:rPr>
            <w:rStyle w:val="Hyperlink"/>
            <w:rFonts w:ascii="Times New Roman" w:hAnsi="Times New Roman" w:cs="Times New Roman"/>
            <w:color w:val="10147E"/>
          </w:rPr>
          <w:t>15</w:t>
        </w:r>
      </w:hyperlink>
      <w:r w:rsidRPr="0095427C">
        <w:rPr>
          <w:rFonts w:ascii="Times New Roman" w:hAnsi="Times New Roman" w:cs="Times New Roman"/>
          <w:color w:val="333333"/>
        </w:rPr>
        <w:t xml:space="preserve">:459-66; PMID:18482698; </w:t>
      </w:r>
      <w:hyperlink r:id="rId12" w:history="1">
        <w:r w:rsidRPr="0095427C">
          <w:rPr>
            <w:rStyle w:val="Hyperlink"/>
            <w:rFonts w:ascii="Times New Roman" w:hAnsi="Times New Roman" w:cs="Times New Roman"/>
          </w:rPr>
          <w:t>https://doi.org/10.1016/j.chembiol.2008.03.013</w:t>
        </w:r>
      </w:hyperlink>
    </w:p>
    <w:p w14:paraId="61037847" w14:textId="5EE0DEF9" w:rsidR="00113B69" w:rsidRPr="005B1C92" w:rsidRDefault="00113B69" w:rsidP="005B1C92"/>
    <w:p w14:paraId="4684333A" w14:textId="75C33EF7" w:rsidR="00113B69" w:rsidRDefault="00113B69"/>
    <w:sectPr w:rsidR="00113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0000500000000020000"/>
    <w:charset w:val="00"/>
    <w:family w:val="roman"/>
    <w:notTrueType/>
    <w:pitch w:val="default"/>
  </w:font>
  <w:font w:name="Times New Roman,Italic">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2E35BF"/>
    <w:multiLevelType w:val="hybridMultilevel"/>
    <w:tmpl w:val="8DAA4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2716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169"/>
    <w:rsid w:val="00042943"/>
    <w:rsid w:val="00056E29"/>
    <w:rsid w:val="00113B69"/>
    <w:rsid w:val="001140D1"/>
    <w:rsid w:val="001219FD"/>
    <w:rsid w:val="001D475C"/>
    <w:rsid w:val="0026740F"/>
    <w:rsid w:val="00280272"/>
    <w:rsid w:val="00281451"/>
    <w:rsid w:val="002A2D21"/>
    <w:rsid w:val="00442D58"/>
    <w:rsid w:val="00497169"/>
    <w:rsid w:val="004C31A7"/>
    <w:rsid w:val="004D48CE"/>
    <w:rsid w:val="00531D70"/>
    <w:rsid w:val="005B0EE6"/>
    <w:rsid w:val="005B1C92"/>
    <w:rsid w:val="00637DC0"/>
    <w:rsid w:val="0065348D"/>
    <w:rsid w:val="00667439"/>
    <w:rsid w:val="00670473"/>
    <w:rsid w:val="006E4B53"/>
    <w:rsid w:val="007209C0"/>
    <w:rsid w:val="007A429C"/>
    <w:rsid w:val="007F0DEF"/>
    <w:rsid w:val="00824E56"/>
    <w:rsid w:val="00910056"/>
    <w:rsid w:val="0095427C"/>
    <w:rsid w:val="0097551D"/>
    <w:rsid w:val="009F312C"/>
    <w:rsid w:val="00A9556E"/>
    <w:rsid w:val="00B46C00"/>
    <w:rsid w:val="00BA69C8"/>
    <w:rsid w:val="00C44123"/>
    <w:rsid w:val="00C870F8"/>
    <w:rsid w:val="00CB694D"/>
    <w:rsid w:val="00CC5F90"/>
    <w:rsid w:val="00D3053E"/>
    <w:rsid w:val="00D85F2D"/>
    <w:rsid w:val="00DD372A"/>
    <w:rsid w:val="00DF5CBA"/>
    <w:rsid w:val="00E528C1"/>
    <w:rsid w:val="00E81614"/>
    <w:rsid w:val="00EA2639"/>
    <w:rsid w:val="00ED05FD"/>
    <w:rsid w:val="00EF0363"/>
    <w:rsid w:val="00F01624"/>
    <w:rsid w:val="00F14653"/>
    <w:rsid w:val="00F5294A"/>
    <w:rsid w:val="00F53236"/>
    <w:rsid w:val="00F86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2491B"/>
  <w15:chartTrackingRefBased/>
  <w15:docId w15:val="{78AFD05C-5D45-8840-AC4A-B28C7778D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97169"/>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B46C00"/>
    <w:pPr>
      <w:ind w:left="720"/>
      <w:contextualSpacing/>
    </w:pPr>
  </w:style>
  <w:style w:type="character" w:customStyle="1" w:styleId="ref-journal">
    <w:name w:val="ref-journal"/>
    <w:basedOn w:val="DefaultParagraphFont"/>
    <w:rsid w:val="001140D1"/>
  </w:style>
  <w:style w:type="character" w:customStyle="1" w:styleId="ref-vol">
    <w:name w:val="ref-vol"/>
    <w:basedOn w:val="DefaultParagraphFont"/>
    <w:rsid w:val="001140D1"/>
  </w:style>
  <w:style w:type="character" w:customStyle="1" w:styleId="citationsource-journal">
    <w:name w:val="citation_source-journal"/>
    <w:basedOn w:val="DefaultParagraphFont"/>
    <w:rsid w:val="00113B69"/>
  </w:style>
  <w:style w:type="character" w:styleId="Hyperlink">
    <w:name w:val="Hyperlink"/>
    <w:basedOn w:val="DefaultParagraphFont"/>
    <w:uiPriority w:val="99"/>
    <w:unhideWhenUsed/>
    <w:rsid w:val="00113B69"/>
    <w:rPr>
      <w:color w:val="0000FF"/>
      <w:u w:val="single"/>
    </w:rPr>
  </w:style>
  <w:style w:type="character" w:styleId="UnresolvedMention">
    <w:name w:val="Unresolved Mention"/>
    <w:basedOn w:val="DefaultParagraphFont"/>
    <w:uiPriority w:val="99"/>
    <w:semiHidden/>
    <w:unhideWhenUsed/>
    <w:rsid w:val="00113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00833">
      <w:bodyDiv w:val="1"/>
      <w:marLeft w:val="0"/>
      <w:marRight w:val="0"/>
      <w:marTop w:val="0"/>
      <w:marBottom w:val="0"/>
      <w:divBdr>
        <w:top w:val="none" w:sz="0" w:space="0" w:color="auto"/>
        <w:left w:val="none" w:sz="0" w:space="0" w:color="auto"/>
        <w:bottom w:val="none" w:sz="0" w:space="0" w:color="auto"/>
        <w:right w:val="none" w:sz="0" w:space="0" w:color="auto"/>
      </w:divBdr>
      <w:divsChild>
        <w:div w:id="237715360">
          <w:marLeft w:val="0"/>
          <w:marRight w:val="0"/>
          <w:marTop w:val="0"/>
          <w:marBottom w:val="0"/>
          <w:divBdr>
            <w:top w:val="none" w:sz="0" w:space="0" w:color="auto"/>
            <w:left w:val="none" w:sz="0" w:space="0" w:color="auto"/>
            <w:bottom w:val="none" w:sz="0" w:space="0" w:color="auto"/>
            <w:right w:val="none" w:sz="0" w:space="0" w:color="auto"/>
          </w:divBdr>
          <w:divsChild>
            <w:div w:id="1428692170">
              <w:marLeft w:val="0"/>
              <w:marRight w:val="0"/>
              <w:marTop w:val="0"/>
              <w:marBottom w:val="0"/>
              <w:divBdr>
                <w:top w:val="none" w:sz="0" w:space="0" w:color="auto"/>
                <w:left w:val="none" w:sz="0" w:space="0" w:color="auto"/>
                <w:bottom w:val="none" w:sz="0" w:space="0" w:color="auto"/>
                <w:right w:val="none" w:sz="0" w:space="0" w:color="auto"/>
              </w:divBdr>
              <w:divsChild>
                <w:div w:id="562254195">
                  <w:marLeft w:val="0"/>
                  <w:marRight w:val="0"/>
                  <w:marTop w:val="0"/>
                  <w:marBottom w:val="0"/>
                  <w:divBdr>
                    <w:top w:val="none" w:sz="0" w:space="0" w:color="auto"/>
                    <w:left w:val="none" w:sz="0" w:space="0" w:color="auto"/>
                    <w:bottom w:val="none" w:sz="0" w:space="0" w:color="auto"/>
                    <w:right w:val="none" w:sz="0" w:space="0" w:color="auto"/>
                  </w:divBdr>
                </w:div>
              </w:divsChild>
            </w:div>
            <w:div w:id="1655916372">
              <w:marLeft w:val="0"/>
              <w:marRight w:val="0"/>
              <w:marTop w:val="0"/>
              <w:marBottom w:val="0"/>
              <w:divBdr>
                <w:top w:val="none" w:sz="0" w:space="0" w:color="auto"/>
                <w:left w:val="none" w:sz="0" w:space="0" w:color="auto"/>
                <w:bottom w:val="none" w:sz="0" w:space="0" w:color="auto"/>
                <w:right w:val="none" w:sz="0" w:space="0" w:color="auto"/>
              </w:divBdr>
              <w:divsChild>
                <w:div w:id="3267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66872">
          <w:marLeft w:val="0"/>
          <w:marRight w:val="0"/>
          <w:marTop w:val="0"/>
          <w:marBottom w:val="0"/>
          <w:divBdr>
            <w:top w:val="none" w:sz="0" w:space="0" w:color="auto"/>
            <w:left w:val="none" w:sz="0" w:space="0" w:color="auto"/>
            <w:bottom w:val="none" w:sz="0" w:space="0" w:color="auto"/>
            <w:right w:val="none" w:sz="0" w:space="0" w:color="auto"/>
          </w:divBdr>
          <w:divsChild>
            <w:div w:id="1948925604">
              <w:marLeft w:val="0"/>
              <w:marRight w:val="0"/>
              <w:marTop w:val="0"/>
              <w:marBottom w:val="0"/>
              <w:divBdr>
                <w:top w:val="none" w:sz="0" w:space="0" w:color="auto"/>
                <w:left w:val="none" w:sz="0" w:space="0" w:color="auto"/>
                <w:bottom w:val="none" w:sz="0" w:space="0" w:color="auto"/>
                <w:right w:val="none" w:sz="0" w:space="0" w:color="auto"/>
              </w:divBdr>
              <w:divsChild>
                <w:div w:id="191982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191218">
      <w:bodyDiv w:val="1"/>
      <w:marLeft w:val="0"/>
      <w:marRight w:val="0"/>
      <w:marTop w:val="0"/>
      <w:marBottom w:val="0"/>
      <w:divBdr>
        <w:top w:val="none" w:sz="0" w:space="0" w:color="auto"/>
        <w:left w:val="none" w:sz="0" w:space="0" w:color="auto"/>
        <w:bottom w:val="none" w:sz="0" w:space="0" w:color="auto"/>
        <w:right w:val="none" w:sz="0" w:space="0" w:color="auto"/>
      </w:divBdr>
    </w:div>
    <w:div w:id="547717026">
      <w:bodyDiv w:val="1"/>
      <w:marLeft w:val="0"/>
      <w:marRight w:val="0"/>
      <w:marTop w:val="0"/>
      <w:marBottom w:val="0"/>
      <w:divBdr>
        <w:top w:val="none" w:sz="0" w:space="0" w:color="auto"/>
        <w:left w:val="none" w:sz="0" w:space="0" w:color="auto"/>
        <w:bottom w:val="none" w:sz="0" w:space="0" w:color="auto"/>
        <w:right w:val="none" w:sz="0" w:space="0" w:color="auto"/>
      </w:divBdr>
    </w:div>
    <w:div w:id="569000973">
      <w:bodyDiv w:val="1"/>
      <w:marLeft w:val="0"/>
      <w:marRight w:val="0"/>
      <w:marTop w:val="0"/>
      <w:marBottom w:val="0"/>
      <w:divBdr>
        <w:top w:val="none" w:sz="0" w:space="0" w:color="auto"/>
        <w:left w:val="none" w:sz="0" w:space="0" w:color="auto"/>
        <w:bottom w:val="none" w:sz="0" w:space="0" w:color="auto"/>
        <w:right w:val="none" w:sz="0" w:space="0" w:color="auto"/>
      </w:divBdr>
      <w:divsChild>
        <w:div w:id="1367146497">
          <w:marLeft w:val="0"/>
          <w:marRight w:val="0"/>
          <w:marTop w:val="0"/>
          <w:marBottom w:val="0"/>
          <w:divBdr>
            <w:top w:val="none" w:sz="0" w:space="0" w:color="auto"/>
            <w:left w:val="none" w:sz="0" w:space="0" w:color="auto"/>
            <w:bottom w:val="none" w:sz="0" w:space="0" w:color="auto"/>
            <w:right w:val="none" w:sz="0" w:space="0" w:color="auto"/>
          </w:divBdr>
          <w:divsChild>
            <w:div w:id="2129350787">
              <w:marLeft w:val="0"/>
              <w:marRight w:val="0"/>
              <w:marTop w:val="0"/>
              <w:marBottom w:val="0"/>
              <w:divBdr>
                <w:top w:val="none" w:sz="0" w:space="0" w:color="auto"/>
                <w:left w:val="none" w:sz="0" w:space="0" w:color="auto"/>
                <w:bottom w:val="none" w:sz="0" w:space="0" w:color="auto"/>
                <w:right w:val="none" w:sz="0" w:space="0" w:color="auto"/>
              </w:divBdr>
              <w:divsChild>
                <w:div w:id="77837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412661">
      <w:bodyDiv w:val="1"/>
      <w:marLeft w:val="0"/>
      <w:marRight w:val="0"/>
      <w:marTop w:val="0"/>
      <w:marBottom w:val="0"/>
      <w:divBdr>
        <w:top w:val="none" w:sz="0" w:space="0" w:color="auto"/>
        <w:left w:val="none" w:sz="0" w:space="0" w:color="auto"/>
        <w:bottom w:val="none" w:sz="0" w:space="0" w:color="auto"/>
        <w:right w:val="none" w:sz="0" w:space="0" w:color="auto"/>
      </w:divBdr>
      <w:divsChild>
        <w:div w:id="1807311827">
          <w:marLeft w:val="0"/>
          <w:marRight w:val="0"/>
          <w:marTop w:val="0"/>
          <w:marBottom w:val="0"/>
          <w:divBdr>
            <w:top w:val="none" w:sz="0" w:space="0" w:color="auto"/>
            <w:left w:val="none" w:sz="0" w:space="0" w:color="auto"/>
            <w:bottom w:val="none" w:sz="0" w:space="0" w:color="auto"/>
            <w:right w:val="none" w:sz="0" w:space="0" w:color="auto"/>
          </w:divBdr>
          <w:divsChild>
            <w:div w:id="1531458696">
              <w:marLeft w:val="0"/>
              <w:marRight w:val="0"/>
              <w:marTop w:val="0"/>
              <w:marBottom w:val="0"/>
              <w:divBdr>
                <w:top w:val="none" w:sz="0" w:space="0" w:color="auto"/>
                <w:left w:val="none" w:sz="0" w:space="0" w:color="auto"/>
                <w:bottom w:val="none" w:sz="0" w:space="0" w:color="auto"/>
                <w:right w:val="none" w:sz="0" w:space="0" w:color="auto"/>
              </w:divBdr>
              <w:divsChild>
                <w:div w:id="70571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269089">
      <w:bodyDiv w:val="1"/>
      <w:marLeft w:val="0"/>
      <w:marRight w:val="0"/>
      <w:marTop w:val="0"/>
      <w:marBottom w:val="0"/>
      <w:divBdr>
        <w:top w:val="none" w:sz="0" w:space="0" w:color="auto"/>
        <w:left w:val="none" w:sz="0" w:space="0" w:color="auto"/>
        <w:bottom w:val="none" w:sz="0" w:space="0" w:color="auto"/>
        <w:right w:val="none" w:sz="0" w:space="0" w:color="auto"/>
      </w:divBdr>
    </w:div>
    <w:div w:id="988633478">
      <w:bodyDiv w:val="1"/>
      <w:marLeft w:val="0"/>
      <w:marRight w:val="0"/>
      <w:marTop w:val="0"/>
      <w:marBottom w:val="0"/>
      <w:divBdr>
        <w:top w:val="none" w:sz="0" w:space="0" w:color="auto"/>
        <w:left w:val="none" w:sz="0" w:space="0" w:color="auto"/>
        <w:bottom w:val="none" w:sz="0" w:space="0" w:color="auto"/>
        <w:right w:val="none" w:sz="0" w:space="0" w:color="auto"/>
      </w:divBdr>
      <w:divsChild>
        <w:div w:id="720325119">
          <w:marLeft w:val="0"/>
          <w:marRight w:val="0"/>
          <w:marTop w:val="0"/>
          <w:marBottom w:val="0"/>
          <w:divBdr>
            <w:top w:val="none" w:sz="0" w:space="0" w:color="auto"/>
            <w:left w:val="none" w:sz="0" w:space="0" w:color="auto"/>
            <w:bottom w:val="none" w:sz="0" w:space="0" w:color="auto"/>
            <w:right w:val="none" w:sz="0" w:space="0" w:color="auto"/>
          </w:divBdr>
          <w:divsChild>
            <w:div w:id="1455322522">
              <w:marLeft w:val="0"/>
              <w:marRight w:val="0"/>
              <w:marTop w:val="0"/>
              <w:marBottom w:val="0"/>
              <w:divBdr>
                <w:top w:val="none" w:sz="0" w:space="0" w:color="auto"/>
                <w:left w:val="none" w:sz="0" w:space="0" w:color="auto"/>
                <w:bottom w:val="none" w:sz="0" w:space="0" w:color="auto"/>
                <w:right w:val="none" w:sz="0" w:space="0" w:color="auto"/>
              </w:divBdr>
              <w:divsChild>
                <w:div w:id="97216818">
                  <w:marLeft w:val="0"/>
                  <w:marRight w:val="0"/>
                  <w:marTop w:val="0"/>
                  <w:marBottom w:val="0"/>
                  <w:divBdr>
                    <w:top w:val="none" w:sz="0" w:space="0" w:color="auto"/>
                    <w:left w:val="none" w:sz="0" w:space="0" w:color="auto"/>
                    <w:bottom w:val="none" w:sz="0" w:space="0" w:color="auto"/>
                    <w:right w:val="none" w:sz="0" w:space="0" w:color="auto"/>
                  </w:divBdr>
                </w:div>
              </w:divsChild>
            </w:div>
            <w:div w:id="702636914">
              <w:marLeft w:val="0"/>
              <w:marRight w:val="0"/>
              <w:marTop w:val="0"/>
              <w:marBottom w:val="0"/>
              <w:divBdr>
                <w:top w:val="none" w:sz="0" w:space="0" w:color="auto"/>
                <w:left w:val="none" w:sz="0" w:space="0" w:color="auto"/>
                <w:bottom w:val="none" w:sz="0" w:space="0" w:color="auto"/>
                <w:right w:val="none" w:sz="0" w:space="0" w:color="auto"/>
              </w:divBdr>
              <w:divsChild>
                <w:div w:id="87913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8539">
          <w:marLeft w:val="0"/>
          <w:marRight w:val="0"/>
          <w:marTop w:val="0"/>
          <w:marBottom w:val="0"/>
          <w:divBdr>
            <w:top w:val="none" w:sz="0" w:space="0" w:color="auto"/>
            <w:left w:val="none" w:sz="0" w:space="0" w:color="auto"/>
            <w:bottom w:val="none" w:sz="0" w:space="0" w:color="auto"/>
            <w:right w:val="none" w:sz="0" w:space="0" w:color="auto"/>
          </w:divBdr>
          <w:divsChild>
            <w:div w:id="125976248">
              <w:marLeft w:val="0"/>
              <w:marRight w:val="0"/>
              <w:marTop w:val="0"/>
              <w:marBottom w:val="0"/>
              <w:divBdr>
                <w:top w:val="none" w:sz="0" w:space="0" w:color="auto"/>
                <w:left w:val="none" w:sz="0" w:space="0" w:color="auto"/>
                <w:bottom w:val="none" w:sz="0" w:space="0" w:color="auto"/>
                <w:right w:val="none" w:sz="0" w:space="0" w:color="auto"/>
              </w:divBdr>
              <w:divsChild>
                <w:div w:id="16401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836596">
      <w:bodyDiv w:val="1"/>
      <w:marLeft w:val="0"/>
      <w:marRight w:val="0"/>
      <w:marTop w:val="0"/>
      <w:marBottom w:val="0"/>
      <w:divBdr>
        <w:top w:val="none" w:sz="0" w:space="0" w:color="auto"/>
        <w:left w:val="none" w:sz="0" w:space="0" w:color="auto"/>
        <w:bottom w:val="none" w:sz="0" w:space="0" w:color="auto"/>
        <w:right w:val="none" w:sz="0" w:space="0" w:color="auto"/>
      </w:divBdr>
    </w:div>
    <w:div w:id="1042949003">
      <w:bodyDiv w:val="1"/>
      <w:marLeft w:val="0"/>
      <w:marRight w:val="0"/>
      <w:marTop w:val="0"/>
      <w:marBottom w:val="0"/>
      <w:divBdr>
        <w:top w:val="none" w:sz="0" w:space="0" w:color="auto"/>
        <w:left w:val="none" w:sz="0" w:space="0" w:color="auto"/>
        <w:bottom w:val="none" w:sz="0" w:space="0" w:color="auto"/>
        <w:right w:val="none" w:sz="0" w:space="0" w:color="auto"/>
      </w:divBdr>
      <w:divsChild>
        <w:div w:id="1678196345">
          <w:marLeft w:val="0"/>
          <w:marRight w:val="0"/>
          <w:marTop w:val="0"/>
          <w:marBottom w:val="0"/>
          <w:divBdr>
            <w:top w:val="none" w:sz="0" w:space="0" w:color="auto"/>
            <w:left w:val="none" w:sz="0" w:space="0" w:color="auto"/>
            <w:bottom w:val="none" w:sz="0" w:space="0" w:color="auto"/>
            <w:right w:val="none" w:sz="0" w:space="0" w:color="auto"/>
          </w:divBdr>
          <w:divsChild>
            <w:div w:id="1138765036">
              <w:marLeft w:val="0"/>
              <w:marRight w:val="0"/>
              <w:marTop w:val="0"/>
              <w:marBottom w:val="0"/>
              <w:divBdr>
                <w:top w:val="none" w:sz="0" w:space="0" w:color="auto"/>
                <w:left w:val="none" w:sz="0" w:space="0" w:color="auto"/>
                <w:bottom w:val="none" w:sz="0" w:space="0" w:color="auto"/>
                <w:right w:val="none" w:sz="0" w:space="0" w:color="auto"/>
              </w:divBdr>
              <w:divsChild>
                <w:div w:id="10295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1706">
      <w:bodyDiv w:val="1"/>
      <w:marLeft w:val="0"/>
      <w:marRight w:val="0"/>
      <w:marTop w:val="0"/>
      <w:marBottom w:val="0"/>
      <w:divBdr>
        <w:top w:val="none" w:sz="0" w:space="0" w:color="auto"/>
        <w:left w:val="none" w:sz="0" w:space="0" w:color="auto"/>
        <w:bottom w:val="none" w:sz="0" w:space="0" w:color="auto"/>
        <w:right w:val="none" w:sz="0" w:space="0" w:color="auto"/>
      </w:divBdr>
      <w:divsChild>
        <w:div w:id="1856655057">
          <w:marLeft w:val="0"/>
          <w:marRight w:val="0"/>
          <w:marTop w:val="0"/>
          <w:marBottom w:val="0"/>
          <w:divBdr>
            <w:top w:val="none" w:sz="0" w:space="0" w:color="auto"/>
            <w:left w:val="none" w:sz="0" w:space="0" w:color="auto"/>
            <w:bottom w:val="none" w:sz="0" w:space="0" w:color="auto"/>
            <w:right w:val="none" w:sz="0" w:space="0" w:color="auto"/>
          </w:divBdr>
          <w:divsChild>
            <w:div w:id="8727828">
              <w:marLeft w:val="0"/>
              <w:marRight w:val="0"/>
              <w:marTop w:val="0"/>
              <w:marBottom w:val="0"/>
              <w:divBdr>
                <w:top w:val="none" w:sz="0" w:space="0" w:color="auto"/>
                <w:left w:val="none" w:sz="0" w:space="0" w:color="auto"/>
                <w:bottom w:val="none" w:sz="0" w:space="0" w:color="auto"/>
                <w:right w:val="none" w:sz="0" w:space="0" w:color="auto"/>
              </w:divBdr>
              <w:divsChild>
                <w:div w:id="102891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949215">
      <w:bodyDiv w:val="1"/>
      <w:marLeft w:val="0"/>
      <w:marRight w:val="0"/>
      <w:marTop w:val="0"/>
      <w:marBottom w:val="0"/>
      <w:divBdr>
        <w:top w:val="none" w:sz="0" w:space="0" w:color="auto"/>
        <w:left w:val="none" w:sz="0" w:space="0" w:color="auto"/>
        <w:bottom w:val="none" w:sz="0" w:space="0" w:color="auto"/>
        <w:right w:val="none" w:sz="0" w:space="0" w:color="auto"/>
      </w:divBdr>
    </w:div>
    <w:div w:id="1578321362">
      <w:bodyDiv w:val="1"/>
      <w:marLeft w:val="0"/>
      <w:marRight w:val="0"/>
      <w:marTop w:val="0"/>
      <w:marBottom w:val="0"/>
      <w:divBdr>
        <w:top w:val="none" w:sz="0" w:space="0" w:color="auto"/>
        <w:left w:val="none" w:sz="0" w:space="0" w:color="auto"/>
        <w:bottom w:val="none" w:sz="0" w:space="0" w:color="auto"/>
        <w:right w:val="none" w:sz="0" w:space="0" w:color="auto"/>
      </w:divBdr>
      <w:divsChild>
        <w:div w:id="1517428828">
          <w:marLeft w:val="0"/>
          <w:marRight w:val="0"/>
          <w:marTop w:val="0"/>
          <w:marBottom w:val="0"/>
          <w:divBdr>
            <w:top w:val="none" w:sz="0" w:space="0" w:color="auto"/>
            <w:left w:val="none" w:sz="0" w:space="0" w:color="auto"/>
            <w:bottom w:val="none" w:sz="0" w:space="0" w:color="auto"/>
            <w:right w:val="none" w:sz="0" w:space="0" w:color="auto"/>
          </w:divBdr>
          <w:divsChild>
            <w:div w:id="1573737978">
              <w:marLeft w:val="0"/>
              <w:marRight w:val="0"/>
              <w:marTop w:val="0"/>
              <w:marBottom w:val="0"/>
              <w:divBdr>
                <w:top w:val="none" w:sz="0" w:space="0" w:color="auto"/>
                <w:left w:val="none" w:sz="0" w:space="0" w:color="auto"/>
                <w:bottom w:val="none" w:sz="0" w:space="0" w:color="auto"/>
                <w:right w:val="none" w:sz="0" w:space="0" w:color="auto"/>
              </w:divBdr>
              <w:divsChild>
                <w:div w:id="2019427487">
                  <w:marLeft w:val="0"/>
                  <w:marRight w:val="0"/>
                  <w:marTop w:val="0"/>
                  <w:marBottom w:val="0"/>
                  <w:divBdr>
                    <w:top w:val="none" w:sz="0" w:space="0" w:color="auto"/>
                    <w:left w:val="none" w:sz="0" w:space="0" w:color="auto"/>
                    <w:bottom w:val="none" w:sz="0" w:space="0" w:color="auto"/>
                    <w:right w:val="none" w:sz="0" w:space="0" w:color="auto"/>
                  </w:divBdr>
                </w:div>
              </w:divsChild>
            </w:div>
            <w:div w:id="2116778265">
              <w:marLeft w:val="0"/>
              <w:marRight w:val="0"/>
              <w:marTop w:val="0"/>
              <w:marBottom w:val="0"/>
              <w:divBdr>
                <w:top w:val="none" w:sz="0" w:space="0" w:color="auto"/>
                <w:left w:val="none" w:sz="0" w:space="0" w:color="auto"/>
                <w:bottom w:val="none" w:sz="0" w:space="0" w:color="auto"/>
                <w:right w:val="none" w:sz="0" w:space="0" w:color="auto"/>
              </w:divBdr>
              <w:divsChild>
                <w:div w:id="8862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60500">
          <w:marLeft w:val="0"/>
          <w:marRight w:val="0"/>
          <w:marTop w:val="0"/>
          <w:marBottom w:val="0"/>
          <w:divBdr>
            <w:top w:val="none" w:sz="0" w:space="0" w:color="auto"/>
            <w:left w:val="none" w:sz="0" w:space="0" w:color="auto"/>
            <w:bottom w:val="none" w:sz="0" w:space="0" w:color="auto"/>
            <w:right w:val="none" w:sz="0" w:space="0" w:color="auto"/>
          </w:divBdr>
          <w:divsChild>
            <w:div w:id="1157381593">
              <w:marLeft w:val="0"/>
              <w:marRight w:val="0"/>
              <w:marTop w:val="0"/>
              <w:marBottom w:val="0"/>
              <w:divBdr>
                <w:top w:val="none" w:sz="0" w:space="0" w:color="auto"/>
                <w:left w:val="none" w:sz="0" w:space="0" w:color="auto"/>
                <w:bottom w:val="none" w:sz="0" w:space="0" w:color="auto"/>
                <w:right w:val="none" w:sz="0" w:space="0" w:color="auto"/>
              </w:divBdr>
              <w:divsChild>
                <w:div w:id="180167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806463">
      <w:bodyDiv w:val="1"/>
      <w:marLeft w:val="0"/>
      <w:marRight w:val="0"/>
      <w:marTop w:val="0"/>
      <w:marBottom w:val="0"/>
      <w:divBdr>
        <w:top w:val="none" w:sz="0" w:space="0" w:color="auto"/>
        <w:left w:val="none" w:sz="0" w:space="0" w:color="auto"/>
        <w:bottom w:val="none" w:sz="0" w:space="0" w:color="auto"/>
        <w:right w:val="none" w:sz="0" w:space="0" w:color="auto"/>
      </w:divBdr>
      <w:divsChild>
        <w:div w:id="1755392618">
          <w:marLeft w:val="0"/>
          <w:marRight w:val="0"/>
          <w:marTop w:val="0"/>
          <w:marBottom w:val="0"/>
          <w:divBdr>
            <w:top w:val="none" w:sz="0" w:space="0" w:color="auto"/>
            <w:left w:val="none" w:sz="0" w:space="0" w:color="auto"/>
            <w:bottom w:val="none" w:sz="0" w:space="0" w:color="auto"/>
            <w:right w:val="none" w:sz="0" w:space="0" w:color="auto"/>
          </w:divBdr>
          <w:divsChild>
            <w:div w:id="385958501">
              <w:marLeft w:val="0"/>
              <w:marRight w:val="0"/>
              <w:marTop w:val="0"/>
              <w:marBottom w:val="0"/>
              <w:divBdr>
                <w:top w:val="none" w:sz="0" w:space="0" w:color="auto"/>
                <w:left w:val="none" w:sz="0" w:space="0" w:color="auto"/>
                <w:bottom w:val="none" w:sz="0" w:space="0" w:color="auto"/>
                <w:right w:val="none" w:sz="0" w:space="0" w:color="auto"/>
              </w:divBdr>
              <w:divsChild>
                <w:div w:id="967512249">
                  <w:marLeft w:val="0"/>
                  <w:marRight w:val="0"/>
                  <w:marTop w:val="0"/>
                  <w:marBottom w:val="0"/>
                  <w:divBdr>
                    <w:top w:val="none" w:sz="0" w:space="0" w:color="auto"/>
                    <w:left w:val="none" w:sz="0" w:space="0" w:color="auto"/>
                    <w:bottom w:val="none" w:sz="0" w:space="0" w:color="auto"/>
                    <w:right w:val="none" w:sz="0" w:space="0" w:color="auto"/>
                  </w:divBdr>
                </w:div>
              </w:divsChild>
            </w:div>
            <w:div w:id="505098369">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8789">
          <w:marLeft w:val="0"/>
          <w:marRight w:val="0"/>
          <w:marTop w:val="0"/>
          <w:marBottom w:val="0"/>
          <w:divBdr>
            <w:top w:val="none" w:sz="0" w:space="0" w:color="auto"/>
            <w:left w:val="none" w:sz="0" w:space="0" w:color="auto"/>
            <w:bottom w:val="none" w:sz="0" w:space="0" w:color="auto"/>
            <w:right w:val="none" w:sz="0" w:space="0" w:color="auto"/>
          </w:divBdr>
          <w:divsChild>
            <w:div w:id="1276257379">
              <w:marLeft w:val="0"/>
              <w:marRight w:val="0"/>
              <w:marTop w:val="0"/>
              <w:marBottom w:val="0"/>
              <w:divBdr>
                <w:top w:val="none" w:sz="0" w:space="0" w:color="auto"/>
                <w:left w:val="none" w:sz="0" w:space="0" w:color="auto"/>
                <w:bottom w:val="none" w:sz="0" w:space="0" w:color="auto"/>
                <w:right w:val="none" w:sz="0" w:space="0" w:color="auto"/>
              </w:divBdr>
              <w:divsChild>
                <w:div w:id="125501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hyperlink" Target="https://doi.org/10.1016/j.chembiol.2008.03.0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s://doi.org/10.1016/j.chembiol.2008.03.013" TargetMode="External"/><Relationship Id="rId5" Type="http://schemas.openxmlformats.org/officeDocument/2006/relationships/image" Target="media/image1.emf"/><Relationship Id="rId10" Type="http://schemas.openxmlformats.org/officeDocument/2006/relationships/hyperlink" Target="https://doi.org/10.1038/srep37581" TargetMode="External"/><Relationship Id="rId4" Type="http://schemas.openxmlformats.org/officeDocument/2006/relationships/webSettings" Target="webSettings.xml"/><Relationship Id="rId9" Type="http://schemas.openxmlformats.org/officeDocument/2006/relationships/hyperlink" Target="https://doi.org/10.1038/srep3758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1314</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Adebowale Ogunjirin</dc:creator>
  <cp:keywords/>
  <dc:description/>
  <cp:lastModifiedBy>Adebowale Ogunjirin</cp:lastModifiedBy>
  <cp:revision>2</cp:revision>
  <dcterms:created xsi:type="dcterms:W3CDTF">2024-02-05T23:22:00Z</dcterms:created>
  <dcterms:modified xsi:type="dcterms:W3CDTF">2024-02-05T23:22:00Z</dcterms:modified>
</cp:coreProperties>
</file>