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007D1" w14:textId="161C80BC" w:rsidR="00587999" w:rsidRPr="00175F72" w:rsidRDefault="00587999" w:rsidP="00F63289">
      <w:pPr>
        <w:pStyle w:val="ListParagraph"/>
        <w:shd w:val="clear" w:color="auto" w:fill="FFFFFF"/>
        <w:ind w:left="0" w:right="-1"/>
        <w:jc w:val="both"/>
        <w:rPr>
          <w:rFonts w:ascii="Arial" w:hAnsi="Arial" w:cs="Arial"/>
          <w:b/>
          <w:bCs/>
          <w:color w:val="000000" w:themeColor="text1"/>
          <w:sz w:val="22"/>
          <w:szCs w:val="22"/>
        </w:rPr>
      </w:pPr>
      <w:r w:rsidRPr="00175F72">
        <w:rPr>
          <w:rFonts w:ascii="Arial" w:hAnsi="Arial" w:cs="Arial"/>
          <w:b/>
          <w:bCs/>
          <w:color w:val="000000" w:themeColor="text1"/>
          <w:sz w:val="22"/>
          <w:szCs w:val="22"/>
        </w:rPr>
        <w:t xml:space="preserve">Progress report for ACCESS resource </w:t>
      </w:r>
      <w:r w:rsidR="00FA1EEA" w:rsidRPr="00FA1EEA">
        <w:rPr>
          <w:rFonts w:ascii="Arial" w:hAnsi="Arial" w:cs="Arial"/>
          <w:b/>
          <w:bCs/>
          <w:color w:val="000000" w:themeColor="text1"/>
          <w:sz w:val="22"/>
          <w:szCs w:val="22"/>
        </w:rPr>
        <w:t>BIO230137</w:t>
      </w:r>
      <w:r w:rsidR="00FA1EEA" w:rsidRPr="00FA1EEA">
        <w:rPr>
          <w:rFonts w:ascii="Arial" w:hAnsi="Arial" w:cs="Arial"/>
          <w:b/>
          <w:bCs/>
          <w:color w:val="000000" w:themeColor="text1"/>
          <w:sz w:val="22"/>
          <w:szCs w:val="22"/>
        </w:rPr>
        <w:t xml:space="preserve"> </w:t>
      </w:r>
      <w:r w:rsidR="00346059">
        <w:rPr>
          <w:rFonts w:ascii="Arial" w:hAnsi="Arial" w:cs="Arial"/>
          <w:b/>
          <w:bCs/>
          <w:color w:val="000000" w:themeColor="text1"/>
          <w:sz w:val="22"/>
          <w:szCs w:val="22"/>
        </w:rPr>
        <w:t>(0</w:t>
      </w:r>
      <w:r w:rsidR="00FA1EEA">
        <w:rPr>
          <w:rFonts w:ascii="Arial" w:hAnsi="Arial" w:cs="Arial"/>
          <w:b/>
          <w:bCs/>
          <w:color w:val="000000" w:themeColor="text1"/>
          <w:sz w:val="22"/>
          <w:szCs w:val="22"/>
        </w:rPr>
        <w:t>9</w:t>
      </w:r>
      <w:r w:rsidR="00346059">
        <w:rPr>
          <w:rFonts w:ascii="Arial" w:hAnsi="Arial" w:cs="Arial"/>
          <w:b/>
          <w:bCs/>
          <w:color w:val="000000" w:themeColor="text1"/>
          <w:sz w:val="22"/>
          <w:szCs w:val="22"/>
        </w:rPr>
        <w:t>/</w:t>
      </w:r>
      <w:r w:rsidR="00FA1EEA">
        <w:rPr>
          <w:rFonts w:ascii="Arial" w:hAnsi="Arial" w:cs="Arial"/>
          <w:b/>
          <w:bCs/>
          <w:color w:val="000000" w:themeColor="text1"/>
          <w:sz w:val="22"/>
          <w:szCs w:val="22"/>
        </w:rPr>
        <w:t>03</w:t>
      </w:r>
      <w:r w:rsidR="00346059">
        <w:rPr>
          <w:rFonts w:ascii="Arial" w:hAnsi="Arial" w:cs="Arial"/>
          <w:b/>
          <w:bCs/>
          <w:color w:val="000000" w:themeColor="text1"/>
          <w:sz w:val="22"/>
          <w:szCs w:val="22"/>
        </w:rPr>
        <w:t>/2024)</w:t>
      </w:r>
    </w:p>
    <w:p w14:paraId="4DD47FFA" w14:textId="62404F17" w:rsidR="00DD14FC" w:rsidRPr="00175F72" w:rsidRDefault="00DD14FC" w:rsidP="00F63289">
      <w:pPr>
        <w:pStyle w:val="ListParagraph"/>
        <w:shd w:val="clear" w:color="auto" w:fill="FFFFFF"/>
        <w:snapToGrid w:val="0"/>
        <w:spacing w:after="120"/>
        <w:ind w:left="0"/>
        <w:contextualSpacing w:val="0"/>
        <w:jc w:val="both"/>
        <w:rPr>
          <w:rFonts w:ascii="Arial" w:hAnsi="Arial" w:cs="Arial"/>
          <w:color w:val="000000" w:themeColor="text1"/>
          <w:sz w:val="22"/>
          <w:szCs w:val="22"/>
        </w:rPr>
      </w:pPr>
      <w:r w:rsidRPr="00164516">
        <w:rPr>
          <w:rFonts w:ascii="Arial" w:hAnsi="Arial" w:cs="Arial"/>
          <w:b/>
          <w:bCs/>
          <w:i/>
          <w:iCs/>
          <w:color w:val="000000" w:themeColor="text1"/>
          <w:sz w:val="22"/>
          <w:szCs w:val="22"/>
        </w:rPr>
        <w:t>Topic</w:t>
      </w:r>
      <w:r w:rsidRPr="00175F72">
        <w:rPr>
          <w:rFonts w:ascii="Arial" w:hAnsi="Arial" w:cs="Arial"/>
          <w:color w:val="000000" w:themeColor="text1"/>
          <w:sz w:val="22"/>
          <w:szCs w:val="22"/>
        </w:rPr>
        <w:t xml:space="preserve">: </w:t>
      </w:r>
      <w:r w:rsidR="00FA1EEA" w:rsidRPr="00FA1EEA">
        <w:rPr>
          <w:rFonts w:ascii="Arial" w:hAnsi="Arial" w:cs="Arial"/>
          <w:color w:val="000000" w:themeColor="text1"/>
          <w:sz w:val="22"/>
          <w:szCs w:val="22"/>
        </w:rPr>
        <w:t>Free energy calculations of PLK1-ligand complexes using Molecular Dynamics with Advanced Sampling</w:t>
      </w:r>
    </w:p>
    <w:p w14:paraId="35281943" w14:textId="405DF2EB" w:rsidR="00DD14FC" w:rsidRPr="00175F72" w:rsidRDefault="00841197" w:rsidP="00F63289">
      <w:pPr>
        <w:pStyle w:val="ListParagraph"/>
        <w:shd w:val="clear" w:color="auto" w:fill="FFFFFF"/>
        <w:spacing w:after="120"/>
        <w:ind w:left="0"/>
        <w:jc w:val="both"/>
        <w:rPr>
          <w:rFonts w:ascii="Arial" w:hAnsi="Arial" w:cs="Arial"/>
          <w:color w:val="000000" w:themeColor="text1"/>
          <w:sz w:val="22"/>
          <w:szCs w:val="22"/>
        </w:rPr>
      </w:pPr>
      <w:r w:rsidRPr="00164516">
        <w:rPr>
          <w:rFonts w:ascii="Arial" w:hAnsi="Arial" w:cs="Arial"/>
          <w:b/>
          <w:bCs/>
          <w:i/>
          <w:iCs/>
          <w:color w:val="000000" w:themeColor="text1"/>
          <w:sz w:val="22"/>
          <w:szCs w:val="22"/>
        </w:rPr>
        <w:t>Goal</w:t>
      </w:r>
      <w:r w:rsidR="007329B8" w:rsidRPr="00175F72">
        <w:rPr>
          <w:rFonts w:ascii="Arial" w:hAnsi="Arial" w:cs="Arial"/>
          <w:color w:val="000000" w:themeColor="text1"/>
          <w:sz w:val="22"/>
          <w:szCs w:val="22"/>
        </w:rPr>
        <w:t xml:space="preserve">: </w:t>
      </w:r>
      <w:r w:rsidR="00B40BEE" w:rsidRPr="00175F72">
        <w:rPr>
          <w:rFonts w:ascii="Arial" w:hAnsi="Arial" w:cs="Arial"/>
          <w:color w:val="000000" w:themeColor="text1"/>
          <w:sz w:val="22"/>
          <w:szCs w:val="22"/>
        </w:rPr>
        <w:t xml:space="preserve">The overarching goal of our study is to understand the detailed free energy surface during the binding of identified novel nonpeptide-based selective inhibitors for the polo-box domain (PBD) of polo-like kinase 1 (PLK1). Specifically, MetaD simulations will be performed for two sets of molecules. First, </w:t>
      </w:r>
      <w:r w:rsidR="00CC429B">
        <w:rPr>
          <w:rFonts w:ascii="Arial" w:hAnsi="Arial" w:cs="Arial"/>
          <w:color w:val="000000" w:themeColor="text1"/>
          <w:sz w:val="22"/>
          <w:szCs w:val="22"/>
        </w:rPr>
        <w:t xml:space="preserve">we will study </w:t>
      </w:r>
      <w:r w:rsidR="00B40BEE" w:rsidRPr="00175F72">
        <w:rPr>
          <w:rFonts w:ascii="Arial" w:hAnsi="Arial" w:cs="Arial"/>
          <w:color w:val="000000" w:themeColor="text1"/>
          <w:sz w:val="22"/>
          <w:szCs w:val="22"/>
        </w:rPr>
        <w:t xml:space="preserve">the previously </w:t>
      </w:r>
      <w:r w:rsidR="00CC429B">
        <w:rPr>
          <w:rFonts w:ascii="Arial" w:hAnsi="Arial" w:cs="Arial"/>
          <w:color w:val="000000" w:themeColor="text1"/>
          <w:sz w:val="22"/>
          <w:szCs w:val="22"/>
        </w:rPr>
        <w:t>identified</w:t>
      </w:r>
      <w:r w:rsidR="00B40BEE" w:rsidRPr="00175F72">
        <w:rPr>
          <w:rFonts w:ascii="Arial" w:hAnsi="Arial" w:cs="Arial"/>
          <w:color w:val="000000" w:themeColor="text1"/>
          <w:sz w:val="22"/>
          <w:szCs w:val="22"/>
        </w:rPr>
        <w:t xml:space="preserve"> inhibitors with known experimental binding sites. Then, the newly identified possible PLK1-PBD molecules will be </w:t>
      </w:r>
      <w:r w:rsidR="00CC429B">
        <w:rPr>
          <w:rFonts w:ascii="Arial" w:hAnsi="Arial" w:cs="Arial"/>
          <w:color w:val="000000" w:themeColor="text1"/>
          <w:sz w:val="22"/>
          <w:szCs w:val="22"/>
        </w:rPr>
        <w:t>explored with metadynamics</w:t>
      </w:r>
      <w:r w:rsidR="00B40BEE" w:rsidRPr="00175F72">
        <w:rPr>
          <w:rFonts w:ascii="Arial" w:hAnsi="Arial" w:cs="Arial"/>
          <w:color w:val="000000" w:themeColor="text1"/>
          <w:sz w:val="22"/>
          <w:szCs w:val="22"/>
        </w:rPr>
        <w:t>.</w:t>
      </w:r>
    </w:p>
    <w:p w14:paraId="164B9825" w14:textId="77777777" w:rsidR="0095299F" w:rsidRPr="00175F72" w:rsidRDefault="00B2558D" w:rsidP="00F63289">
      <w:pPr>
        <w:snapToGrid w:val="0"/>
        <w:spacing w:after="120"/>
        <w:jc w:val="both"/>
        <w:rPr>
          <w:rFonts w:ascii="Arial" w:hAnsi="Arial" w:cs="Arial"/>
          <w:color w:val="000000" w:themeColor="text1"/>
          <w:sz w:val="22"/>
          <w:szCs w:val="22"/>
        </w:rPr>
      </w:pPr>
      <w:r w:rsidRPr="00164516">
        <w:rPr>
          <w:rFonts w:ascii="Arial" w:hAnsi="Arial" w:cs="Arial"/>
          <w:b/>
          <w:bCs/>
          <w:i/>
          <w:iCs/>
          <w:color w:val="000000" w:themeColor="text1"/>
          <w:sz w:val="22"/>
          <w:szCs w:val="22"/>
        </w:rPr>
        <w:t>Summary</w:t>
      </w:r>
      <w:r w:rsidRPr="00175F72">
        <w:rPr>
          <w:rFonts w:ascii="Arial" w:hAnsi="Arial" w:cs="Arial"/>
          <w:color w:val="000000" w:themeColor="text1"/>
          <w:sz w:val="22"/>
          <w:szCs w:val="22"/>
        </w:rPr>
        <w:t xml:space="preserve">: </w:t>
      </w:r>
      <w:r w:rsidR="0095299F" w:rsidRPr="00175F72">
        <w:rPr>
          <w:rFonts w:ascii="Arial" w:hAnsi="Arial" w:cs="Arial"/>
          <w:color w:val="000000" w:themeColor="text1"/>
          <w:sz w:val="22"/>
          <w:szCs w:val="22"/>
        </w:rPr>
        <w:t xml:space="preserve">Polo-like kinase 1 (PLK1) is a critical regulator of cell division and a promising anticancer target. This study employs advanced molecular dynamics simulations to elucidate the binding mechanisms of potential inhibitors to the PLK1 polo-box domain (PBD). Through enhanced sampling techniques, we aim to identify novel binding sites and inhibitors and characterize the dynamic nature of ligand-protein interactions. This computational approach will provide valuable insights into the structure-activity relationships of PLK1 inhibitors, facilitating the discovery of potent and selective drug candidates. </w:t>
      </w:r>
    </w:p>
    <w:p w14:paraId="788EB902" w14:textId="6C6FD94A" w:rsidR="00E73D11" w:rsidRDefault="00164516" w:rsidP="00F63289">
      <w:pPr>
        <w:snapToGrid w:val="0"/>
        <w:spacing w:after="120"/>
        <w:jc w:val="both"/>
        <w:rPr>
          <w:rFonts w:ascii="Arial" w:hAnsi="Arial" w:cs="Arial"/>
          <w:color w:val="000000" w:themeColor="text1"/>
          <w:sz w:val="22"/>
          <w:szCs w:val="22"/>
        </w:rPr>
      </w:pPr>
      <w:r w:rsidRPr="00175F72">
        <w:rPr>
          <w:rFonts w:ascii="Arial" w:hAnsi="Arial" w:cs="Arial"/>
          <w:noProof/>
          <w:color w:val="000000" w:themeColor="text1"/>
          <w:sz w:val="22"/>
          <w:szCs w:val="22"/>
        </w:rPr>
        <mc:AlternateContent>
          <mc:Choice Requires="wps">
            <w:drawing>
              <wp:anchor distT="0" distB="0" distL="114300" distR="114300" simplePos="0" relativeHeight="251661312" behindDoc="1" locked="0" layoutInCell="1" allowOverlap="1" wp14:anchorId="5F194F39" wp14:editId="00061F89">
                <wp:simplePos x="0" y="0"/>
                <wp:positionH relativeFrom="column">
                  <wp:posOffset>635</wp:posOffset>
                </wp:positionH>
                <wp:positionV relativeFrom="paragraph">
                  <wp:posOffset>239395</wp:posOffset>
                </wp:positionV>
                <wp:extent cx="2834640" cy="3108960"/>
                <wp:effectExtent l="0" t="0" r="0" b="0"/>
                <wp:wrapTight wrapText="bothSides">
                  <wp:wrapPolygon edited="0">
                    <wp:start x="0" y="0"/>
                    <wp:lineTo x="0" y="21600"/>
                    <wp:lineTo x="21600" y="21600"/>
                    <wp:lineTo x="21600" y="0"/>
                  </wp:wrapPolygon>
                </wp:wrapTight>
                <wp:docPr id="868174985" name="TextBox 22"/>
                <wp:cNvGraphicFramePr/>
                <a:graphic xmlns:a="http://schemas.openxmlformats.org/drawingml/2006/main">
                  <a:graphicData uri="http://schemas.microsoft.com/office/word/2010/wordprocessingShape">
                    <wps:wsp>
                      <wps:cNvSpPr txBox="1"/>
                      <wps:spPr>
                        <a:xfrm>
                          <a:off x="0" y="0"/>
                          <a:ext cx="2834640" cy="3108960"/>
                        </a:xfrm>
                        <a:prstGeom prst="rect">
                          <a:avLst/>
                        </a:prstGeom>
                        <a:noFill/>
                      </wps:spPr>
                      <wps:txbx>
                        <w:txbxContent>
                          <w:p w14:paraId="73D03E51" w14:textId="0277CE51" w:rsidR="00164516" w:rsidRDefault="00E73D11" w:rsidP="00164516">
                            <w:pPr>
                              <w:rPr>
                                <w:rFonts w:ascii="Arial" w:hAnsi="Arial" w:cs="Arial"/>
                                <w:b/>
                                <w:bCs/>
                                <w:color w:val="000000" w:themeColor="text1"/>
                                <w:kern w:val="24"/>
                                <w:sz w:val="20"/>
                                <w:szCs w:val="20"/>
                              </w:rPr>
                            </w:pPr>
                            <w:r w:rsidRPr="00E73D11">
                              <w:rPr>
                                <w:rFonts w:ascii="Arial" w:hAnsi="Arial" w:cs="Arial"/>
                                <w:b/>
                                <w:bCs/>
                                <w:color w:val="000000" w:themeColor="text1"/>
                                <w:kern w:val="24"/>
                                <w:sz w:val="20"/>
                                <w:szCs w:val="20"/>
                              </w:rPr>
                              <w:drawing>
                                <wp:inline distT="0" distB="0" distL="0" distR="0" wp14:anchorId="4932B97D" wp14:editId="691051DB">
                                  <wp:extent cx="2654300" cy="2399665"/>
                                  <wp:effectExtent l="0" t="0" r="0" b="635"/>
                                  <wp:docPr id="24" name="Picture 23" descr="A graph of a graph with numbers and a line&#10;&#10;Description automatically generated with medium confidence">
                                    <a:extLst xmlns:a="http://schemas.openxmlformats.org/drawingml/2006/main">
                                      <a:ext uri="{FF2B5EF4-FFF2-40B4-BE49-F238E27FC236}">
                                        <a16:creationId xmlns:a16="http://schemas.microsoft.com/office/drawing/2014/main" id="{701EE1DB-49B7-7749-826D-DB7EF4577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graph of a graph with numbers and a line&#10;&#10;Description automatically generated with medium confidence">
                                            <a:extLst>
                                              <a:ext uri="{FF2B5EF4-FFF2-40B4-BE49-F238E27FC236}">
                                                <a16:creationId xmlns:a16="http://schemas.microsoft.com/office/drawing/2014/main" id="{701EE1DB-49B7-7749-826D-DB7EF4577E73}"/>
                                              </a:ext>
                                            </a:extLst>
                                          </pic:cNvPr>
                                          <pic:cNvPicPr>
                                            <a:picLocks noChangeAspect="1"/>
                                          </pic:cNvPicPr>
                                        </pic:nvPicPr>
                                        <pic:blipFill>
                                          <a:blip r:embed="rId5"/>
                                          <a:srcRect/>
                                          <a:stretch/>
                                        </pic:blipFill>
                                        <pic:spPr>
                                          <a:xfrm>
                                            <a:off x="0" y="0"/>
                                            <a:ext cx="2654300" cy="2399665"/>
                                          </a:xfrm>
                                          <a:prstGeom prst="rect">
                                            <a:avLst/>
                                          </a:prstGeom>
                                        </pic:spPr>
                                      </pic:pic>
                                    </a:graphicData>
                                  </a:graphic>
                                </wp:inline>
                              </w:drawing>
                            </w:r>
                          </w:p>
                          <w:p w14:paraId="16F3AF1A" w14:textId="57DDEDB1" w:rsidR="00164516" w:rsidRPr="005748BC" w:rsidRDefault="00164516" w:rsidP="00C55480">
                            <w:pPr>
                              <w:ind w:left="-90"/>
                              <w:rPr>
                                <w:rFonts w:ascii="Arial" w:hAnsi="Arial" w:cs="Arial"/>
                                <w:b/>
                                <w:bCs/>
                                <w:color w:val="000000" w:themeColor="text1"/>
                                <w:kern w:val="24"/>
                                <w:sz w:val="20"/>
                                <w:szCs w:val="20"/>
                                <w14:ligatures w14:val="none"/>
                              </w:rPr>
                            </w:pPr>
                            <w:r>
                              <w:rPr>
                                <w:rFonts w:ascii="Arial" w:hAnsi="Arial" w:cs="Arial"/>
                                <w:b/>
                                <w:iCs/>
                                <w:color w:val="000000" w:themeColor="text1"/>
                                <w:sz w:val="20"/>
                                <w:szCs w:val="20"/>
                              </w:rPr>
                              <w:t>Figure 1</w:t>
                            </w:r>
                            <w:r w:rsidRPr="00175F72">
                              <w:rPr>
                                <w:rFonts w:ascii="Arial" w:hAnsi="Arial" w:cs="Arial"/>
                                <w:bCs/>
                                <w:iCs/>
                                <w:color w:val="000000" w:themeColor="text1"/>
                                <w:sz w:val="20"/>
                                <w:szCs w:val="20"/>
                              </w:rPr>
                              <w:t xml:space="preserve">. </w:t>
                            </w:r>
                            <w:r w:rsidR="00E73D11" w:rsidRPr="00E73D11">
                              <w:rPr>
                                <w:rFonts w:ascii="Arial" w:hAnsi="Arial" w:cs="Arial"/>
                                <w:bCs/>
                                <w:color w:val="000000" w:themeColor="text1"/>
                                <w:sz w:val="20"/>
                                <w:szCs w:val="20"/>
                              </w:rPr>
                              <w:t>Correlating experimental IC</w:t>
                            </w:r>
                            <w:r w:rsidR="00E73D11" w:rsidRPr="00E73D11">
                              <w:rPr>
                                <w:rFonts w:ascii="Arial" w:hAnsi="Arial" w:cs="Arial"/>
                                <w:bCs/>
                                <w:color w:val="000000" w:themeColor="text1"/>
                                <w:sz w:val="20"/>
                                <w:szCs w:val="20"/>
                                <w:vertAlign w:val="subscript"/>
                              </w:rPr>
                              <w:t>50</w:t>
                            </w:r>
                            <w:r w:rsidR="00E73D11" w:rsidRPr="00E73D11">
                              <w:rPr>
                                <w:rFonts w:ascii="Arial" w:hAnsi="Arial" w:cs="Arial"/>
                                <w:bCs/>
                                <w:color w:val="000000" w:themeColor="text1"/>
                                <w:sz w:val="20"/>
                                <w:szCs w:val="20"/>
                              </w:rPr>
                              <w:t xml:space="preserve"> (in µM) values </w:t>
                            </w:r>
                            <w:r w:rsidR="00E73D11">
                              <w:rPr>
                                <w:rFonts w:ascii="Arial" w:hAnsi="Arial" w:cs="Arial"/>
                                <w:bCs/>
                                <w:color w:val="000000" w:themeColor="text1"/>
                                <w:sz w:val="20"/>
                                <w:szCs w:val="20"/>
                              </w:rPr>
                              <w:t xml:space="preserve">with </w:t>
                            </w:r>
                            <w:proofErr w:type="spellStart"/>
                            <w:r w:rsidR="00E73D11" w:rsidRPr="00E73D11">
                              <w:rPr>
                                <w:rFonts w:ascii="Arial" w:hAnsi="Arial" w:cs="Arial"/>
                                <w:bCs/>
                                <w:color w:val="000000" w:themeColor="text1"/>
                                <w:sz w:val="20"/>
                                <w:szCs w:val="20"/>
                              </w:rPr>
                              <w:t>ΔG</w:t>
                            </w:r>
                            <w:r w:rsidR="00E73D11" w:rsidRPr="00E73D11">
                              <w:rPr>
                                <w:rFonts w:ascii="Arial" w:hAnsi="Arial" w:cs="Arial"/>
                                <w:bCs/>
                                <w:color w:val="000000" w:themeColor="text1"/>
                                <w:sz w:val="20"/>
                                <w:szCs w:val="20"/>
                                <w:vertAlign w:val="subscript"/>
                              </w:rPr>
                              <w:t>bind</w:t>
                            </w:r>
                            <w:proofErr w:type="spellEnd"/>
                            <w:r w:rsidR="00E73D11" w:rsidRPr="00E73D11">
                              <w:rPr>
                                <w:rFonts w:ascii="Arial" w:hAnsi="Arial" w:cs="Arial"/>
                                <w:bCs/>
                                <w:color w:val="000000" w:themeColor="text1"/>
                                <w:sz w:val="20"/>
                                <w:szCs w:val="20"/>
                              </w:rPr>
                              <w:t xml:space="preserve"> (in kcal/mol), including</w:t>
                            </w:r>
                            <w:r w:rsidR="00E73D11">
                              <w:rPr>
                                <w:rFonts w:ascii="Arial" w:hAnsi="Arial" w:cs="Arial"/>
                                <w:bCs/>
                                <w:color w:val="000000" w:themeColor="text1"/>
                                <w:sz w:val="20"/>
                                <w:szCs w:val="20"/>
                              </w:rPr>
                              <w:t xml:space="preserve"> thymoquinone</w:t>
                            </w:r>
                            <w:r w:rsidR="00E73D11" w:rsidRPr="00E73D11">
                              <w:rPr>
                                <w:rFonts w:ascii="Arial" w:hAnsi="Arial" w:cs="Arial"/>
                                <w:bCs/>
                                <w:color w:val="000000" w:themeColor="text1"/>
                                <w:sz w:val="20"/>
                                <w:szCs w:val="20"/>
                              </w:rPr>
                              <w:t xml:space="preserve"> </w:t>
                            </w:r>
                            <w:r w:rsidR="00E73D11">
                              <w:rPr>
                                <w:rFonts w:ascii="Arial" w:hAnsi="Arial" w:cs="Arial"/>
                                <w:bCs/>
                                <w:color w:val="000000" w:themeColor="text1"/>
                                <w:sz w:val="20"/>
                                <w:szCs w:val="20"/>
                              </w:rPr>
                              <w:t>(</w:t>
                            </w:r>
                            <w:r w:rsidR="00E73D11" w:rsidRPr="00E73D11">
                              <w:rPr>
                                <w:rFonts w:ascii="Arial" w:hAnsi="Arial" w:cs="Arial"/>
                                <w:bCs/>
                                <w:color w:val="000000" w:themeColor="text1"/>
                                <w:sz w:val="20"/>
                                <w:szCs w:val="20"/>
                              </w:rPr>
                              <w:t>TQ</w:t>
                            </w:r>
                            <w:r w:rsidR="00E73D11">
                              <w:rPr>
                                <w:rFonts w:ascii="Arial" w:hAnsi="Arial" w:cs="Arial"/>
                                <w:bCs/>
                                <w:color w:val="000000" w:themeColor="text1"/>
                                <w:sz w:val="20"/>
                                <w:szCs w:val="20"/>
                              </w:rPr>
                              <w:t>)</w:t>
                            </w:r>
                            <w:r w:rsidR="00E73D11" w:rsidRPr="00E73D11">
                              <w:rPr>
                                <w:rFonts w:ascii="Arial" w:hAnsi="Arial" w:cs="Arial"/>
                                <w:bCs/>
                                <w:color w:val="000000" w:themeColor="text1"/>
                                <w:sz w:val="20"/>
                                <w:szCs w:val="20"/>
                              </w:rPr>
                              <w:t xml:space="preserve">, </w:t>
                            </w:r>
                            <w:r w:rsidR="00E73D11">
                              <w:rPr>
                                <w:rFonts w:ascii="Arial" w:hAnsi="Arial" w:cs="Arial"/>
                                <w:bCs/>
                                <w:color w:val="000000" w:themeColor="text1"/>
                                <w:sz w:val="20"/>
                                <w:szCs w:val="20"/>
                              </w:rPr>
                              <w:t>poloxin (</w:t>
                            </w:r>
                            <w:r w:rsidR="00E73D11" w:rsidRPr="00E73D11">
                              <w:rPr>
                                <w:rFonts w:ascii="Arial" w:hAnsi="Arial" w:cs="Arial"/>
                                <w:bCs/>
                                <w:color w:val="000000" w:themeColor="text1"/>
                                <w:sz w:val="20"/>
                                <w:szCs w:val="20"/>
                              </w:rPr>
                              <w:t>PLX</w:t>
                            </w:r>
                            <w:r w:rsidR="00E73D11">
                              <w:rPr>
                                <w:rFonts w:ascii="Arial" w:hAnsi="Arial" w:cs="Arial"/>
                                <w:bCs/>
                                <w:color w:val="000000" w:themeColor="text1"/>
                                <w:sz w:val="20"/>
                                <w:szCs w:val="20"/>
                              </w:rPr>
                              <w:t>)</w:t>
                            </w:r>
                            <w:r w:rsidR="00E73D11" w:rsidRPr="00E73D11">
                              <w:rPr>
                                <w:rFonts w:ascii="Arial" w:hAnsi="Arial" w:cs="Arial"/>
                                <w:bCs/>
                                <w:color w:val="000000" w:themeColor="text1"/>
                                <w:sz w:val="20"/>
                                <w:szCs w:val="20"/>
                              </w:rPr>
                              <w:t>, and Allopole-A</w:t>
                            </w:r>
                            <w:r w:rsidR="00E73D11">
                              <w:rPr>
                                <w:rFonts w:ascii="Arial" w:hAnsi="Arial" w:cs="Arial"/>
                                <w:bCs/>
                                <w:color w:val="000000" w:themeColor="text1"/>
                                <w:sz w:val="20"/>
                                <w:szCs w:val="20"/>
                              </w:rPr>
                              <w:t xml:space="preserve"> (</w:t>
                            </w:r>
                            <w:r w:rsidR="00E73D11" w:rsidRPr="00E73D11">
                              <w:rPr>
                                <w:rFonts w:ascii="Arial" w:hAnsi="Arial" w:cs="Arial"/>
                                <w:bCs/>
                                <w:color w:val="000000" w:themeColor="text1"/>
                                <w:sz w:val="20"/>
                                <w:szCs w:val="20"/>
                              </w:rPr>
                              <w:t>Allop.A</w:t>
                            </w:r>
                            <w:r w:rsidR="00E73D11">
                              <w:rPr>
                                <w:rFonts w:ascii="Arial" w:hAnsi="Arial" w:cs="Arial"/>
                                <w:bCs/>
                                <w:color w:val="000000" w:themeColor="text1"/>
                                <w:sz w:val="20"/>
                                <w:szCs w:val="20"/>
                              </w:rPr>
                              <w:t>).</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5F194F39" id="_x0000_t202" coordsize="21600,21600" o:spt="202" path="m,l,21600r21600,l21600,xe">
                <v:stroke joinstyle="miter"/>
                <v:path gradientshapeok="t" o:connecttype="rect"/>
              </v:shapetype>
              <v:shape id="TextBox 22" o:spid="_x0000_s1026" type="#_x0000_t202" style="position:absolute;left:0;text-align:left;margin-left:.05pt;margin-top:18.85pt;width:223.2pt;height:244.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" filled="f" stroked="f">
                <v:textbox>
                  <w:txbxContent>
                    <w:p w14:paraId="73D03E51" w14:textId="0277CE51" w:rsidR="00164516" w:rsidRDefault="00E73D11" w:rsidP="00164516">
                      <w:pPr>
                        <w:rPr>
                          <w:rFonts w:ascii="Arial" w:hAnsi="Arial" w:cs="Arial"/>
                          <w:b/>
                          <w:bCs/>
                          <w:color w:val="000000" w:themeColor="text1"/>
                          <w:kern w:val="24"/>
                          <w:sz w:val="20"/>
                          <w:szCs w:val="20"/>
                        </w:rPr>
                      </w:pPr>
                      <w:r w:rsidRPr="00E73D11">
                        <w:rPr>
                          <w:rFonts w:ascii="Arial" w:hAnsi="Arial" w:cs="Arial"/>
                          <w:b/>
                          <w:bCs/>
                          <w:color w:val="000000" w:themeColor="text1"/>
                          <w:kern w:val="24"/>
                          <w:sz w:val="20"/>
                          <w:szCs w:val="20"/>
                        </w:rPr>
                        <w:drawing>
                          <wp:inline distT="0" distB="0" distL="0" distR="0" wp14:anchorId="4932B97D" wp14:editId="691051DB">
                            <wp:extent cx="2654300" cy="2399665"/>
                            <wp:effectExtent l="0" t="0" r="0" b="635"/>
                            <wp:docPr id="24" name="Picture 23" descr="A graph of a graph with numbers and a line&#10;&#10;Description automatically generated with medium confidence">
                              <a:extLst xmlns:a="http://schemas.openxmlformats.org/drawingml/2006/main">
                                <a:ext uri="{FF2B5EF4-FFF2-40B4-BE49-F238E27FC236}">
                                  <a16:creationId xmlns:a16="http://schemas.microsoft.com/office/drawing/2014/main" id="{701EE1DB-49B7-7749-826D-DB7EF4577E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descr="A graph of a graph with numbers and a line&#10;&#10;Description automatically generated with medium confidence">
                                      <a:extLst>
                                        <a:ext uri="{FF2B5EF4-FFF2-40B4-BE49-F238E27FC236}">
                                          <a16:creationId xmlns:a16="http://schemas.microsoft.com/office/drawing/2014/main" id="{701EE1DB-49B7-7749-826D-DB7EF4577E73}"/>
                                        </a:ext>
                                      </a:extLst>
                                    </pic:cNvPr>
                                    <pic:cNvPicPr>
                                      <a:picLocks noChangeAspect="1"/>
                                    </pic:cNvPicPr>
                                  </pic:nvPicPr>
                                  <pic:blipFill>
                                    <a:blip r:embed="rId5"/>
                                    <a:srcRect/>
                                    <a:stretch/>
                                  </pic:blipFill>
                                  <pic:spPr>
                                    <a:xfrm>
                                      <a:off x="0" y="0"/>
                                      <a:ext cx="2654300" cy="2399665"/>
                                    </a:xfrm>
                                    <a:prstGeom prst="rect">
                                      <a:avLst/>
                                    </a:prstGeom>
                                  </pic:spPr>
                                </pic:pic>
                              </a:graphicData>
                            </a:graphic>
                          </wp:inline>
                        </w:drawing>
                      </w:r>
                    </w:p>
                    <w:p w14:paraId="16F3AF1A" w14:textId="57DDEDB1" w:rsidR="00164516" w:rsidRPr="005748BC" w:rsidRDefault="00164516" w:rsidP="00C55480">
                      <w:pPr>
                        <w:ind w:left="-90"/>
                        <w:rPr>
                          <w:rFonts w:ascii="Arial" w:hAnsi="Arial" w:cs="Arial"/>
                          <w:b/>
                          <w:bCs/>
                          <w:color w:val="000000" w:themeColor="text1"/>
                          <w:kern w:val="24"/>
                          <w:sz w:val="20"/>
                          <w:szCs w:val="20"/>
                          <w14:ligatures w14:val="none"/>
                        </w:rPr>
                      </w:pPr>
                      <w:r>
                        <w:rPr>
                          <w:rFonts w:ascii="Arial" w:hAnsi="Arial" w:cs="Arial"/>
                          <w:b/>
                          <w:iCs/>
                          <w:color w:val="000000" w:themeColor="text1"/>
                          <w:sz w:val="20"/>
                          <w:szCs w:val="20"/>
                        </w:rPr>
                        <w:t>Figure 1</w:t>
                      </w:r>
                      <w:r w:rsidRPr="00175F72">
                        <w:rPr>
                          <w:rFonts w:ascii="Arial" w:hAnsi="Arial" w:cs="Arial"/>
                          <w:bCs/>
                          <w:iCs/>
                          <w:color w:val="000000" w:themeColor="text1"/>
                          <w:sz w:val="20"/>
                          <w:szCs w:val="20"/>
                        </w:rPr>
                        <w:t xml:space="preserve">. </w:t>
                      </w:r>
                      <w:r w:rsidR="00E73D11" w:rsidRPr="00E73D11">
                        <w:rPr>
                          <w:rFonts w:ascii="Arial" w:hAnsi="Arial" w:cs="Arial"/>
                          <w:bCs/>
                          <w:color w:val="000000" w:themeColor="text1"/>
                          <w:sz w:val="20"/>
                          <w:szCs w:val="20"/>
                        </w:rPr>
                        <w:t>Correlating experimental IC</w:t>
                      </w:r>
                      <w:r w:rsidR="00E73D11" w:rsidRPr="00E73D11">
                        <w:rPr>
                          <w:rFonts w:ascii="Arial" w:hAnsi="Arial" w:cs="Arial"/>
                          <w:bCs/>
                          <w:color w:val="000000" w:themeColor="text1"/>
                          <w:sz w:val="20"/>
                          <w:szCs w:val="20"/>
                          <w:vertAlign w:val="subscript"/>
                        </w:rPr>
                        <w:t>50</w:t>
                      </w:r>
                      <w:r w:rsidR="00E73D11" w:rsidRPr="00E73D11">
                        <w:rPr>
                          <w:rFonts w:ascii="Arial" w:hAnsi="Arial" w:cs="Arial"/>
                          <w:bCs/>
                          <w:color w:val="000000" w:themeColor="text1"/>
                          <w:sz w:val="20"/>
                          <w:szCs w:val="20"/>
                        </w:rPr>
                        <w:t xml:space="preserve"> (in µM) values </w:t>
                      </w:r>
                      <w:r w:rsidR="00E73D11">
                        <w:rPr>
                          <w:rFonts w:ascii="Arial" w:hAnsi="Arial" w:cs="Arial"/>
                          <w:bCs/>
                          <w:color w:val="000000" w:themeColor="text1"/>
                          <w:sz w:val="20"/>
                          <w:szCs w:val="20"/>
                        </w:rPr>
                        <w:t xml:space="preserve">with </w:t>
                      </w:r>
                      <w:proofErr w:type="spellStart"/>
                      <w:r w:rsidR="00E73D11" w:rsidRPr="00E73D11">
                        <w:rPr>
                          <w:rFonts w:ascii="Arial" w:hAnsi="Arial" w:cs="Arial"/>
                          <w:bCs/>
                          <w:color w:val="000000" w:themeColor="text1"/>
                          <w:sz w:val="20"/>
                          <w:szCs w:val="20"/>
                        </w:rPr>
                        <w:t>ΔG</w:t>
                      </w:r>
                      <w:r w:rsidR="00E73D11" w:rsidRPr="00E73D11">
                        <w:rPr>
                          <w:rFonts w:ascii="Arial" w:hAnsi="Arial" w:cs="Arial"/>
                          <w:bCs/>
                          <w:color w:val="000000" w:themeColor="text1"/>
                          <w:sz w:val="20"/>
                          <w:szCs w:val="20"/>
                          <w:vertAlign w:val="subscript"/>
                        </w:rPr>
                        <w:t>bind</w:t>
                      </w:r>
                      <w:proofErr w:type="spellEnd"/>
                      <w:r w:rsidR="00E73D11" w:rsidRPr="00E73D11">
                        <w:rPr>
                          <w:rFonts w:ascii="Arial" w:hAnsi="Arial" w:cs="Arial"/>
                          <w:bCs/>
                          <w:color w:val="000000" w:themeColor="text1"/>
                          <w:sz w:val="20"/>
                          <w:szCs w:val="20"/>
                        </w:rPr>
                        <w:t xml:space="preserve"> (in kcal/mol), including</w:t>
                      </w:r>
                      <w:r w:rsidR="00E73D11">
                        <w:rPr>
                          <w:rFonts w:ascii="Arial" w:hAnsi="Arial" w:cs="Arial"/>
                          <w:bCs/>
                          <w:color w:val="000000" w:themeColor="text1"/>
                          <w:sz w:val="20"/>
                          <w:szCs w:val="20"/>
                        </w:rPr>
                        <w:t xml:space="preserve"> thymoquinone</w:t>
                      </w:r>
                      <w:r w:rsidR="00E73D11" w:rsidRPr="00E73D11">
                        <w:rPr>
                          <w:rFonts w:ascii="Arial" w:hAnsi="Arial" w:cs="Arial"/>
                          <w:bCs/>
                          <w:color w:val="000000" w:themeColor="text1"/>
                          <w:sz w:val="20"/>
                          <w:szCs w:val="20"/>
                        </w:rPr>
                        <w:t xml:space="preserve"> </w:t>
                      </w:r>
                      <w:r w:rsidR="00E73D11">
                        <w:rPr>
                          <w:rFonts w:ascii="Arial" w:hAnsi="Arial" w:cs="Arial"/>
                          <w:bCs/>
                          <w:color w:val="000000" w:themeColor="text1"/>
                          <w:sz w:val="20"/>
                          <w:szCs w:val="20"/>
                        </w:rPr>
                        <w:t>(</w:t>
                      </w:r>
                      <w:r w:rsidR="00E73D11" w:rsidRPr="00E73D11">
                        <w:rPr>
                          <w:rFonts w:ascii="Arial" w:hAnsi="Arial" w:cs="Arial"/>
                          <w:bCs/>
                          <w:color w:val="000000" w:themeColor="text1"/>
                          <w:sz w:val="20"/>
                          <w:szCs w:val="20"/>
                        </w:rPr>
                        <w:t>TQ</w:t>
                      </w:r>
                      <w:r w:rsidR="00E73D11">
                        <w:rPr>
                          <w:rFonts w:ascii="Arial" w:hAnsi="Arial" w:cs="Arial"/>
                          <w:bCs/>
                          <w:color w:val="000000" w:themeColor="text1"/>
                          <w:sz w:val="20"/>
                          <w:szCs w:val="20"/>
                        </w:rPr>
                        <w:t>)</w:t>
                      </w:r>
                      <w:r w:rsidR="00E73D11" w:rsidRPr="00E73D11">
                        <w:rPr>
                          <w:rFonts w:ascii="Arial" w:hAnsi="Arial" w:cs="Arial"/>
                          <w:bCs/>
                          <w:color w:val="000000" w:themeColor="text1"/>
                          <w:sz w:val="20"/>
                          <w:szCs w:val="20"/>
                        </w:rPr>
                        <w:t xml:space="preserve">, </w:t>
                      </w:r>
                      <w:r w:rsidR="00E73D11">
                        <w:rPr>
                          <w:rFonts w:ascii="Arial" w:hAnsi="Arial" w:cs="Arial"/>
                          <w:bCs/>
                          <w:color w:val="000000" w:themeColor="text1"/>
                          <w:sz w:val="20"/>
                          <w:szCs w:val="20"/>
                        </w:rPr>
                        <w:t>poloxin (</w:t>
                      </w:r>
                      <w:r w:rsidR="00E73D11" w:rsidRPr="00E73D11">
                        <w:rPr>
                          <w:rFonts w:ascii="Arial" w:hAnsi="Arial" w:cs="Arial"/>
                          <w:bCs/>
                          <w:color w:val="000000" w:themeColor="text1"/>
                          <w:sz w:val="20"/>
                          <w:szCs w:val="20"/>
                        </w:rPr>
                        <w:t>PLX</w:t>
                      </w:r>
                      <w:r w:rsidR="00E73D11">
                        <w:rPr>
                          <w:rFonts w:ascii="Arial" w:hAnsi="Arial" w:cs="Arial"/>
                          <w:bCs/>
                          <w:color w:val="000000" w:themeColor="text1"/>
                          <w:sz w:val="20"/>
                          <w:szCs w:val="20"/>
                        </w:rPr>
                        <w:t>)</w:t>
                      </w:r>
                      <w:r w:rsidR="00E73D11" w:rsidRPr="00E73D11">
                        <w:rPr>
                          <w:rFonts w:ascii="Arial" w:hAnsi="Arial" w:cs="Arial"/>
                          <w:bCs/>
                          <w:color w:val="000000" w:themeColor="text1"/>
                          <w:sz w:val="20"/>
                          <w:szCs w:val="20"/>
                        </w:rPr>
                        <w:t>, and Allopole-A</w:t>
                      </w:r>
                      <w:r w:rsidR="00E73D11">
                        <w:rPr>
                          <w:rFonts w:ascii="Arial" w:hAnsi="Arial" w:cs="Arial"/>
                          <w:bCs/>
                          <w:color w:val="000000" w:themeColor="text1"/>
                          <w:sz w:val="20"/>
                          <w:szCs w:val="20"/>
                        </w:rPr>
                        <w:t xml:space="preserve"> (</w:t>
                      </w:r>
                      <w:r w:rsidR="00E73D11" w:rsidRPr="00E73D11">
                        <w:rPr>
                          <w:rFonts w:ascii="Arial" w:hAnsi="Arial" w:cs="Arial"/>
                          <w:bCs/>
                          <w:color w:val="000000" w:themeColor="text1"/>
                          <w:sz w:val="20"/>
                          <w:szCs w:val="20"/>
                        </w:rPr>
                        <w:t>Allop.A</w:t>
                      </w:r>
                      <w:r w:rsidR="00E73D11">
                        <w:rPr>
                          <w:rFonts w:ascii="Arial" w:hAnsi="Arial" w:cs="Arial"/>
                          <w:bCs/>
                          <w:color w:val="000000" w:themeColor="text1"/>
                          <w:sz w:val="20"/>
                          <w:szCs w:val="20"/>
                        </w:rPr>
                        <w:t>).</w:t>
                      </w:r>
                    </w:p>
                  </w:txbxContent>
                </v:textbox>
                <w10:wrap type="tight"/>
              </v:shape>
            </w:pict>
          </mc:Fallback>
        </mc:AlternateContent>
      </w:r>
      <w:r w:rsidR="0095299F" w:rsidRPr="00164516">
        <w:rPr>
          <w:rFonts w:ascii="Arial" w:hAnsi="Arial" w:cs="Arial"/>
          <w:b/>
          <w:bCs/>
          <w:i/>
          <w:iCs/>
          <w:color w:val="000000" w:themeColor="text1"/>
          <w:sz w:val="22"/>
          <w:szCs w:val="22"/>
        </w:rPr>
        <w:t>Ligand selection</w:t>
      </w:r>
      <w:r w:rsidR="0095299F" w:rsidRPr="00175F72">
        <w:rPr>
          <w:rFonts w:ascii="Arial" w:hAnsi="Arial" w:cs="Arial"/>
          <w:color w:val="000000" w:themeColor="text1"/>
          <w:sz w:val="22"/>
          <w:szCs w:val="22"/>
        </w:rPr>
        <w:t xml:space="preserve">: </w:t>
      </w:r>
      <w:r w:rsidR="00DA5EA7" w:rsidRPr="00175F72">
        <w:rPr>
          <w:rFonts w:ascii="Arial" w:hAnsi="Arial" w:cs="Arial"/>
          <w:color w:val="000000" w:themeColor="text1"/>
          <w:sz w:val="22"/>
          <w:szCs w:val="22"/>
        </w:rPr>
        <w:t xml:space="preserve">This </w:t>
      </w:r>
      <w:r w:rsidR="0041284A" w:rsidRPr="00175F72">
        <w:rPr>
          <w:rFonts w:ascii="Arial" w:hAnsi="Arial" w:cs="Arial"/>
          <w:color w:val="000000" w:themeColor="text1"/>
          <w:sz w:val="22"/>
          <w:szCs w:val="22"/>
        </w:rPr>
        <w:t xml:space="preserve">research </w:t>
      </w:r>
      <w:r w:rsidR="0095299F" w:rsidRPr="00175F72">
        <w:rPr>
          <w:rFonts w:ascii="Arial" w:hAnsi="Arial" w:cs="Arial"/>
          <w:color w:val="000000" w:themeColor="text1"/>
          <w:sz w:val="22"/>
          <w:szCs w:val="22"/>
        </w:rPr>
        <w:t>is multicomponent</w:t>
      </w:r>
      <w:r w:rsidR="0041284A" w:rsidRPr="00175F72">
        <w:rPr>
          <w:rFonts w:ascii="Arial" w:hAnsi="Arial" w:cs="Arial"/>
          <w:color w:val="000000" w:themeColor="text1"/>
          <w:sz w:val="22"/>
          <w:szCs w:val="22"/>
        </w:rPr>
        <w:t xml:space="preserve">. </w:t>
      </w:r>
      <w:r w:rsidR="007D34CA" w:rsidRPr="00175F72">
        <w:rPr>
          <w:rFonts w:ascii="Arial" w:hAnsi="Arial" w:cs="Arial"/>
          <w:color w:val="000000" w:themeColor="text1"/>
          <w:sz w:val="22"/>
          <w:szCs w:val="22"/>
        </w:rPr>
        <w:t xml:space="preserve">The first part involves </w:t>
      </w:r>
      <w:r w:rsidR="0052641D">
        <w:rPr>
          <w:rFonts w:ascii="Arial" w:hAnsi="Arial" w:cs="Arial"/>
          <w:color w:val="000000" w:themeColor="text1"/>
          <w:sz w:val="22"/>
          <w:szCs w:val="22"/>
        </w:rPr>
        <w:t xml:space="preserve">studying some selected existing PLK1-PBD inhibitors </w:t>
      </w:r>
      <w:r w:rsidR="00E73D11">
        <w:rPr>
          <w:rFonts w:ascii="Arial" w:hAnsi="Arial" w:cs="Arial"/>
          <w:color w:val="000000" w:themeColor="text1"/>
          <w:sz w:val="22"/>
          <w:szCs w:val="22"/>
        </w:rPr>
        <w:t>to understand the detailed binding profile of potential inhibitors to the protein</w:t>
      </w:r>
      <w:r w:rsidR="00C77E81">
        <w:rPr>
          <w:rFonts w:ascii="Arial" w:hAnsi="Arial" w:cs="Arial"/>
          <w:color w:val="000000" w:themeColor="text1"/>
          <w:sz w:val="22"/>
          <w:szCs w:val="22"/>
        </w:rPr>
        <w:t xml:space="preserve"> (</w:t>
      </w:r>
      <w:r w:rsidR="00C77E81" w:rsidRPr="00C77E81">
        <w:rPr>
          <w:rFonts w:ascii="Arial" w:hAnsi="Arial" w:cs="Arial"/>
          <w:b/>
          <w:bCs/>
          <w:color w:val="000000" w:themeColor="text1"/>
          <w:sz w:val="22"/>
          <w:szCs w:val="22"/>
        </w:rPr>
        <w:t>Figure 1</w:t>
      </w:r>
      <w:r w:rsidR="00C77E81">
        <w:rPr>
          <w:rFonts w:ascii="Arial" w:hAnsi="Arial" w:cs="Arial"/>
          <w:color w:val="000000" w:themeColor="text1"/>
          <w:sz w:val="22"/>
          <w:szCs w:val="22"/>
        </w:rPr>
        <w:t>) as a benchmark for subsequent novel molecule simulations</w:t>
      </w:r>
      <w:r w:rsidR="00E73D11">
        <w:rPr>
          <w:rFonts w:ascii="Arial" w:hAnsi="Arial" w:cs="Arial"/>
          <w:color w:val="000000" w:themeColor="text1"/>
          <w:sz w:val="22"/>
          <w:szCs w:val="22"/>
        </w:rPr>
        <w:t>.</w:t>
      </w:r>
    </w:p>
    <w:p w14:paraId="017028A6" w14:textId="4C5C7B82" w:rsidR="00175F72" w:rsidRDefault="00C77E81" w:rsidP="00F63289">
      <w:pPr>
        <w:snapToGrid w:val="0"/>
        <w:spacing w:after="120"/>
        <w:jc w:val="both"/>
        <w:rPr>
          <w:rFonts w:ascii="Arial" w:hAnsi="Arial" w:cs="Arial"/>
          <w:color w:val="000000" w:themeColor="text1"/>
          <w:sz w:val="22"/>
          <w:szCs w:val="22"/>
        </w:rPr>
      </w:pPr>
      <w:r>
        <w:rPr>
          <w:rFonts w:ascii="Arial" w:hAnsi="Arial" w:cs="Arial"/>
          <w:color w:val="000000" w:themeColor="text1"/>
          <w:sz w:val="22"/>
          <w:szCs w:val="22"/>
        </w:rPr>
        <w:t xml:space="preserve">Second, </w:t>
      </w:r>
      <w:r w:rsidR="00BF04FD" w:rsidRPr="00175F72">
        <w:rPr>
          <w:rFonts w:ascii="Arial" w:hAnsi="Arial" w:cs="Arial"/>
          <w:color w:val="000000" w:themeColor="text1"/>
          <w:sz w:val="22"/>
          <w:szCs w:val="22"/>
        </w:rPr>
        <w:t xml:space="preserve">students </w:t>
      </w:r>
      <w:r w:rsidR="00243539" w:rsidRPr="00175F72">
        <w:rPr>
          <w:rFonts w:ascii="Arial" w:hAnsi="Arial" w:cs="Arial"/>
          <w:color w:val="000000" w:themeColor="text1"/>
          <w:sz w:val="22"/>
          <w:szCs w:val="22"/>
        </w:rPr>
        <w:t>screened the</w:t>
      </w:r>
      <w:r w:rsidR="0076679F" w:rsidRPr="00175F72">
        <w:rPr>
          <w:rFonts w:ascii="Arial" w:hAnsi="Arial" w:cs="Arial"/>
          <w:color w:val="000000" w:themeColor="text1"/>
          <w:sz w:val="22"/>
          <w:szCs w:val="22"/>
        </w:rPr>
        <w:t xml:space="preserve"> </w:t>
      </w:r>
      <w:proofErr w:type="spellStart"/>
      <w:r w:rsidR="0076679F" w:rsidRPr="00175F72">
        <w:rPr>
          <w:rFonts w:ascii="Arial" w:hAnsi="Arial" w:cs="Arial"/>
          <w:color w:val="000000" w:themeColor="text1"/>
          <w:sz w:val="22"/>
          <w:szCs w:val="22"/>
        </w:rPr>
        <w:t>SuperNatural</w:t>
      </w:r>
      <w:proofErr w:type="spellEnd"/>
      <w:r w:rsidR="0076679F" w:rsidRPr="00175F72">
        <w:rPr>
          <w:rFonts w:ascii="Arial" w:hAnsi="Arial" w:cs="Arial"/>
          <w:color w:val="000000" w:themeColor="text1"/>
          <w:sz w:val="22"/>
          <w:szCs w:val="22"/>
        </w:rPr>
        <w:fldChar w:fldCharType="begin"/>
      </w:r>
      <w:r>
        <w:rPr>
          <w:rFonts w:ascii="Arial" w:hAnsi="Arial" w:cs="Arial"/>
          <w:color w:val="000000" w:themeColor="text1"/>
          <w:sz w:val="22"/>
          <w:szCs w:val="22"/>
        </w:rPr>
        <w:instrText xml:space="preserve"> ADDIN ZOTERO_ITEM CSL_CITATION {"citationID":"6WiMDMNl","properties":{"formattedCitation":"(Gallo et al., 2023)","plainCitation":"(Gallo et al., 2023)","noteIndex":0},"citationItems":[{"id":1365,"uris":["http://zotero.org/users/11964725/items/753VAGJZ"],"itemData":{"id":1365,"type":"article-journal","abstract":"Natural products (NPs) are single chemical compounds, substances or mixtures produced by a living organism - found in nature. Evolutionarily, NPs have been used as healing agents since thousands of years and still today continue to be the most important source of new potential therapeutic preparations. Natural products have played a key role in modern drug discovery for several diseases. Furthermore, following consumers’ increasing demand for natural food ingredients, many efforts have been made to discover natural low-calorie sweeteners in recent years. SuperNatural 3.0 is a freely available database of natural products and derivatives. The updated version contains 449 058 natural compounds along with their structural and physicochemical information. Additionally, information on pathways, mechanism of action, toxicity, vendor information if available, drug-like chemical space prediction for several diseases as antiviral, antibacterial, antimalarial, anticancer, and target specific cells like the central nervous system (CNS) are also provided for the natural compounds. The updated version of the database also provides a valuable pool of natural compounds in which potential highly sweet compounds are expected to be found. The possible taste profile of the natural compounds was predicted using our published VirtualTaste models. The SuperNatural 3.0 database is freely available via http://bioinf-applied.charite.de/supernatural_3, without any login or registration.","container-title":"Nucleic Acids Research","DOI":"10.1093/nar/gkac1008","ISSN":"0305-1048","issue":"D1","journalAbbreviation":"Nucleic Acids Research","page":"D654-D659","title":"SuperNatural 3.0—a database of natural products and natural product-based derivatives","volume":"51","author":[{"family":"Gallo","given":"Kathleen"},{"family":"Kemmler","given":"Emanuel"},{"family":"Goede","given":"Andrean"},{"family":"Becker","given":"Finnja"},{"family":"Dunkel","given":"Mathias"},{"family":"Preissner","given":"Robert"},{"family":"Banerjee","given":"Priyanka"}],"issued":{"date-parts":[["2023",1,6]]}}}],"schema":"https://github.com/citation-style-language/schema/raw/master/csl-citation.json"} </w:instrText>
      </w:r>
      <w:r w:rsidR="0076679F" w:rsidRPr="00175F72">
        <w:rPr>
          <w:rFonts w:ascii="Arial" w:hAnsi="Arial" w:cs="Arial"/>
          <w:color w:val="000000" w:themeColor="text1"/>
          <w:sz w:val="22"/>
          <w:szCs w:val="22"/>
        </w:rPr>
        <w:fldChar w:fldCharType="separate"/>
      </w:r>
      <w:r>
        <w:rPr>
          <w:rFonts w:ascii="Arial" w:hAnsi="Arial" w:cs="Arial"/>
          <w:color w:val="000000"/>
          <w:kern w:val="0"/>
          <w:sz w:val="22"/>
          <w:szCs w:val="22"/>
        </w:rPr>
        <w:t>(Gallo et al., 2023)</w:t>
      </w:r>
      <w:r w:rsidR="0076679F" w:rsidRPr="00175F72">
        <w:rPr>
          <w:rFonts w:ascii="Arial" w:hAnsi="Arial" w:cs="Arial"/>
          <w:color w:val="000000" w:themeColor="text1"/>
          <w:sz w:val="22"/>
          <w:szCs w:val="22"/>
        </w:rPr>
        <w:fldChar w:fldCharType="end"/>
      </w:r>
      <w:r w:rsidR="00243539" w:rsidRPr="00175F72">
        <w:rPr>
          <w:rFonts w:ascii="Arial" w:hAnsi="Arial" w:cs="Arial"/>
          <w:color w:val="000000" w:themeColor="text1"/>
          <w:sz w:val="22"/>
          <w:szCs w:val="22"/>
        </w:rPr>
        <w:t xml:space="preserve"> database using various protocols</w:t>
      </w:r>
      <w:r>
        <w:rPr>
          <w:rFonts w:ascii="Arial" w:hAnsi="Arial" w:cs="Arial"/>
          <w:color w:val="000000" w:themeColor="text1"/>
          <w:sz w:val="22"/>
          <w:szCs w:val="22"/>
        </w:rPr>
        <w:t xml:space="preserve"> (</w:t>
      </w:r>
      <w:r w:rsidRPr="00C77E81">
        <w:rPr>
          <w:rFonts w:ascii="Arial" w:hAnsi="Arial" w:cs="Arial"/>
          <w:b/>
          <w:bCs/>
          <w:color w:val="000000" w:themeColor="text1"/>
          <w:sz w:val="22"/>
          <w:szCs w:val="22"/>
        </w:rPr>
        <w:t>Figure 2</w:t>
      </w:r>
      <w:r>
        <w:rPr>
          <w:rFonts w:ascii="Arial" w:hAnsi="Arial" w:cs="Arial"/>
          <w:color w:val="000000" w:themeColor="text1"/>
          <w:sz w:val="22"/>
          <w:szCs w:val="22"/>
        </w:rPr>
        <w:t>)</w:t>
      </w:r>
      <w:r w:rsidR="00E73D11">
        <w:rPr>
          <w:rFonts w:ascii="Arial" w:hAnsi="Arial" w:cs="Arial"/>
          <w:color w:val="000000" w:themeColor="text1"/>
          <w:sz w:val="22"/>
          <w:szCs w:val="22"/>
        </w:rPr>
        <w:t xml:space="preserve">. </w:t>
      </w:r>
      <w:r w:rsidR="00E5242C" w:rsidRPr="00175F72">
        <w:rPr>
          <w:rFonts w:ascii="Arial" w:hAnsi="Arial" w:cs="Arial"/>
          <w:color w:val="000000" w:themeColor="text1"/>
          <w:sz w:val="22"/>
          <w:szCs w:val="22"/>
        </w:rPr>
        <w:t xml:space="preserve">Currently, </w:t>
      </w:r>
      <w:r w:rsidR="00AD388D" w:rsidRPr="00175F72">
        <w:rPr>
          <w:rFonts w:ascii="Arial" w:hAnsi="Arial" w:cs="Arial"/>
          <w:color w:val="000000" w:themeColor="text1"/>
          <w:sz w:val="22"/>
          <w:szCs w:val="22"/>
        </w:rPr>
        <w:t>students</w:t>
      </w:r>
      <w:r w:rsidR="00E5242C" w:rsidRPr="00175F72">
        <w:rPr>
          <w:rFonts w:ascii="Arial" w:hAnsi="Arial" w:cs="Arial"/>
          <w:color w:val="000000" w:themeColor="text1"/>
          <w:sz w:val="22"/>
          <w:szCs w:val="22"/>
        </w:rPr>
        <w:t xml:space="preserve"> are </w:t>
      </w:r>
      <w:r w:rsidR="00DF37A6" w:rsidRPr="00175F72">
        <w:rPr>
          <w:rFonts w:ascii="Arial" w:hAnsi="Arial" w:cs="Arial"/>
          <w:color w:val="000000" w:themeColor="text1"/>
          <w:sz w:val="22"/>
          <w:szCs w:val="22"/>
        </w:rPr>
        <w:t>exploring</w:t>
      </w:r>
      <w:r w:rsidR="00E5242C" w:rsidRPr="00175F72">
        <w:rPr>
          <w:rFonts w:ascii="Arial" w:hAnsi="Arial" w:cs="Arial"/>
          <w:color w:val="000000" w:themeColor="text1"/>
          <w:sz w:val="22"/>
          <w:szCs w:val="22"/>
        </w:rPr>
        <w:t xml:space="preserve"> about </w:t>
      </w:r>
      <w:r w:rsidR="00AD388D" w:rsidRPr="00175F72">
        <w:rPr>
          <w:rFonts w:ascii="Arial" w:hAnsi="Arial" w:cs="Arial"/>
          <w:color w:val="000000" w:themeColor="text1"/>
          <w:sz w:val="22"/>
          <w:szCs w:val="22"/>
        </w:rPr>
        <w:t>50</w:t>
      </w:r>
      <w:r w:rsidR="00F63289" w:rsidRPr="00175F72">
        <w:rPr>
          <w:rFonts w:ascii="Arial" w:hAnsi="Arial" w:cs="Arial"/>
          <w:color w:val="000000" w:themeColor="text1"/>
          <w:sz w:val="22"/>
          <w:szCs w:val="22"/>
        </w:rPr>
        <w:t xml:space="preserve"> compounds from </w:t>
      </w:r>
      <w:proofErr w:type="spellStart"/>
      <w:r w:rsidR="006D2176" w:rsidRPr="00175F72">
        <w:rPr>
          <w:rFonts w:ascii="Arial" w:hAnsi="Arial" w:cs="Arial"/>
          <w:color w:val="000000" w:themeColor="text1"/>
          <w:sz w:val="22"/>
          <w:szCs w:val="22"/>
        </w:rPr>
        <w:t>SuperNatural</w:t>
      </w:r>
      <w:proofErr w:type="spellEnd"/>
      <w:r w:rsidR="006D2176" w:rsidRPr="00175F72">
        <w:rPr>
          <w:rFonts w:ascii="Arial" w:hAnsi="Arial" w:cs="Arial"/>
          <w:color w:val="000000" w:themeColor="text1"/>
          <w:sz w:val="22"/>
          <w:szCs w:val="22"/>
        </w:rPr>
        <w:t xml:space="preserve"> and writing their outcome titled “</w:t>
      </w:r>
      <w:r w:rsidR="006D2176" w:rsidRPr="00175F72">
        <w:rPr>
          <w:rFonts w:ascii="Arial" w:hAnsi="Arial" w:cs="Arial"/>
          <w:b/>
          <w:bCs/>
          <w:color w:val="000000" w:themeColor="text1"/>
          <w:sz w:val="22"/>
          <w:szCs w:val="22"/>
        </w:rPr>
        <w:t>A Bilingual Computational Workflow for Identifying PLK1 Inhibitors: Integrating American Sign Language and English</w:t>
      </w:r>
      <w:r w:rsidR="006D2176" w:rsidRPr="00175F72">
        <w:rPr>
          <w:rFonts w:ascii="Arial" w:hAnsi="Arial" w:cs="Arial"/>
          <w:color w:val="000000" w:themeColor="text1"/>
          <w:sz w:val="22"/>
          <w:szCs w:val="22"/>
        </w:rPr>
        <w:t>”</w:t>
      </w:r>
      <w:r w:rsidR="00DF37A6" w:rsidRPr="00175F72">
        <w:rPr>
          <w:rFonts w:ascii="Arial" w:hAnsi="Arial" w:cs="Arial"/>
          <w:color w:val="000000" w:themeColor="text1"/>
          <w:sz w:val="22"/>
          <w:szCs w:val="22"/>
        </w:rPr>
        <w:t xml:space="preserve"> as a video journal and full article for consideration in </w:t>
      </w:r>
      <w:proofErr w:type="spellStart"/>
      <w:r w:rsidR="00DF37A6" w:rsidRPr="00175F72">
        <w:rPr>
          <w:rFonts w:ascii="Arial" w:hAnsi="Arial" w:cs="Arial"/>
          <w:color w:val="000000" w:themeColor="text1"/>
          <w:sz w:val="22"/>
          <w:szCs w:val="22"/>
        </w:rPr>
        <w:t>JoVE</w:t>
      </w:r>
      <w:proofErr w:type="spellEnd"/>
      <w:r w:rsidR="00DF37A6" w:rsidRPr="00175F72">
        <w:rPr>
          <w:rFonts w:ascii="Arial" w:hAnsi="Arial" w:cs="Arial"/>
          <w:color w:val="000000" w:themeColor="text1"/>
          <w:sz w:val="22"/>
          <w:szCs w:val="22"/>
        </w:rPr>
        <w:t xml:space="preserve"> (</w:t>
      </w:r>
      <w:hyperlink r:id="rId6" w:history="1">
        <w:r w:rsidR="00DF37A6" w:rsidRPr="00175F72">
          <w:rPr>
            <w:rStyle w:val="Hyperlink"/>
            <w:rFonts w:ascii="Arial" w:hAnsi="Arial" w:cs="Arial"/>
            <w:sz w:val="22"/>
            <w:szCs w:val="22"/>
          </w:rPr>
          <w:t>https://www.jove.com/</w:t>
        </w:r>
      </w:hyperlink>
      <w:r w:rsidR="00DF37A6" w:rsidRPr="00175F72">
        <w:rPr>
          <w:rFonts w:ascii="Arial" w:hAnsi="Arial" w:cs="Arial"/>
          <w:color w:val="000000" w:themeColor="text1"/>
          <w:sz w:val="22"/>
          <w:szCs w:val="22"/>
        </w:rPr>
        <w:t>).</w:t>
      </w:r>
      <w:r>
        <w:rPr>
          <w:rFonts w:ascii="Arial" w:hAnsi="Arial" w:cs="Arial"/>
          <w:color w:val="000000" w:themeColor="text1"/>
          <w:sz w:val="22"/>
          <w:szCs w:val="22"/>
        </w:rPr>
        <w:t xml:space="preserve"> They are also using Anvil for these simulations.</w:t>
      </w:r>
    </w:p>
    <w:p w14:paraId="5AD5F3E5" w14:textId="367607E0" w:rsidR="00175F72" w:rsidRDefault="00E73D11" w:rsidP="00F63289">
      <w:pPr>
        <w:snapToGrid w:val="0"/>
        <w:spacing w:after="120"/>
        <w:jc w:val="both"/>
        <w:rPr>
          <w:rFonts w:ascii="Arial" w:hAnsi="Arial" w:cs="Arial"/>
          <w:color w:val="000000" w:themeColor="text1"/>
          <w:sz w:val="22"/>
          <w:szCs w:val="22"/>
        </w:rPr>
      </w:pPr>
      <w:r>
        <w:rPr>
          <w:rFonts w:ascii="Arial" w:hAnsi="Arial" w:cs="Arial"/>
          <w:color w:val="000000" w:themeColor="text1"/>
          <w:sz w:val="22"/>
          <w:szCs w:val="22"/>
        </w:rPr>
        <w:t>Third</w:t>
      </w:r>
      <w:r w:rsidR="00175F72">
        <w:rPr>
          <w:rFonts w:ascii="Arial" w:hAnsi="Arial" w:cs="Arial"/>
          <w:color w:val="000000" w:themeColor="text1"/>
          <w:sz w:val="22"/>
          <w:szCs w:val="22"/>
        </w:rPr>
        <w:t>, another set of students identified potential inhibitors from the COCONUT</w:t>
      </w:r>
      <w:r w:rsidR="00175F72">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{"citationID":"qed7ZZoW","properties":{"formattedCitation":"(Sorokina et al., 2021)","plainCitation":"(Sorokina et al., 2021)","noteIndex":0},"citationItems":[{"id":960,"uris":["http://zotero.org/groups/2656856/items/EL7VWD7U"],"itemData":{"id":960,"type":"article-journal","container-title":"Journal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00175F72">
        <w:rPr>
          <w:rFonts w:ascii="Arial" w:hAnsi="Arial" w:cs="Arial"/>
          <w:color w:val="000000" w:themeColor="text1"/>
          <w:sz w:val="22"/>
          <w:szCs w:val="22"/>
        </w:rPr>
        <w:fldChar w:fldCharType="separate"/>
      </w:r>
      <w:r w:rsidR="00C77E81">
        <w:rPr>
          <w:rFonts w:ascii="Arial" w:hAnsi="Arial" w:cs="Arial"/>
          <w:kern w:val="0"/>
          <w:sz w:val="22"/>
        </w:rPr>
        <w:t>(Sorokina et al., 2021)</w:t>
      </w:r>
      <w:r w:rsidR="00175F72">
        <w:rPr>
          <w:rFonts w:ascii="Arial" w:hAnsi="Arial" w:cs="Arial"/>
          <w:color w:val="000000" w:themeColor="text1"/>
          <w:sz w:val="22"/>
          <w:szCs w:val="22"/>
        </w:rPr>
        <w:fldChar w:fldCharType="end"/>
      </w:r>
      <w:r w:rsidR="00175F72">
        <w:rPr>
          <w:rFonts w:ascii="Arial" w:hAnsi="Arial" w:cs="Arial"/>
          <w:color w:val="000000" w:themeColor="text1"/>
          <w:sz w:val="22"/>
          <w:szCs w:val="22"/>
        </w:rPr>
        <w:t xml:space="preserve"> in a virtual screening through physicochemical properties trimming and docking analysis. The protocol identified 45 small natural compounds with promising affinity for the PLK1-PBD. </w:t>
      </w:r>
    </w:p>
    <w:p w14:paraId="7817FFE2" w14:textId="532F368C" w:rsidR="00E73D11" w:rsidRPr="00286B80" w:rsidRDefault="008F5229" w:rsidP="00E73D11">
      <w:pPr>
        <w:snapToGrid w:val="0"/>
        <w:spacing w:after="120"/>
        <w:jc w:val="both"/>
        <w:rPr>
          <w:rFonts w:ascii="Arial" w:hAnsi="Arial" w:cs="Arial"/>
          <w:color w:val="000000" w:themeColor="text1"/>
          <w:sz w:val="20"/>
          <w:szCs w:val="20"/>
        </w:rPr>
      </w:pPr>
      <w:r w:rsidRPr="00175F72">
        <w:rPr>
          <w:rFonts w:ascii="Arial" w:hAnsi="Arial" w:cs="Arial"/>
          <w:noProof/>
          <w:color w:val="000000" w:themeColor="text1"/>
          <w:sz w:val="22"/>
          <w:szCs w:val="22"/>
        </w:rPr>
        <mc:AlternateContent>
          <mc:Choice Requires="wps">
            <w:drawing>
              <wp:anchor distT="0" distB="0" distL="114300" distR="114300" simplePos="0" relativeHeight="251659264" behindDoc="1" locked="0" layoutInCell="1" allowOverlap="1" wp14:anchorId="0F3475A4" wp14:editId="2FFBE948">
                <wp:simplePos x="0" y="0"/>
                <wp:positionH relativeFrom="column">
                  <wp:posOffset>-68995</wp:posOffset>
                </wp:positionH>
                <wp:positionV relativeFrom="paragraph">
                  <wp:posOffset>550438</wp:posOffset>
                </wp:positionV>
                <wp:extent cx="3657600" cy="2468880"/>
                <wp:effectExtent l="0" t="0" r="0" b="0"/>
                <wp:wrapTight wrapText="bothSides">
                  <wp:wrapPolygon edited="0">
                    <wp:start x="0" y="0"/>
                    <wp:lineTo x="0" y="21600"/>
                    <wp:lineTo x="21600" y="21600"/>
                    <wp:lineTo x="21600" y="0"/>
                  </wp:wrapPolygon>
                </wp:wrapTight>
                <wp:docPr id="23" name="TextBox 22">
                  <a:extLst xmlns:a="http://schemas.openxmlformats.org/drawingml/2006/main">
                    <a:ext uri="{FF2B5EF4-FFF2-40B4-BE49-F238E27FC236}">
                      <a16:creationId xmlns:a16="http://schemas.microsoft.com/office/drawing/2014/main" id="{4E97EE37-C4F2-37B4-DE73-0FDB6AC55085}"/>
                    </a:ext>
                  </a:extLst>
                </wp:docPr>
                <wp:cNvGraphicFramePr/>
                <a:graphic xmlns:a="http://schemas.openxmlformats.org/drawingml/2006/main">
                  <a:graphicData uri="http://schemas.microsoft.com/office/word/2010/wordprocessingShape">
                    <wps:wsp>
                      <wps:cNvSpPr txBox="1"/>
                      <wps:spPr>
                        <a:xfrm>
                          <a:off x="0" y="0"/>
                          <a:ext cx="3657600" cy="2468880"/>
                        </a:xfrm>
                        <a:prstGeom prst="rect">
                          <a:avLst/>
                        </a:prstGeom>
                        <a:noFill/>
                      </wps:spPr>
                      <wps:txbx>
                        <w:txbxContent>
                          <w:p w14:paraId="739D09D2" w14:textId="4317204A" w:rsidR="00640275" w:rsidRDefault="00B60445" w:rsidP="005748BC">
                            <w:pPr>
                              <w:rPr>
                                <w:rFonts w:ascii="Arial" w:hAnsi="Arial" w:cs="Arial"/>
                                <w:b/>
                                <w:bCs/>
                                <w:color w:val="000000" w:themeColor="text1"/>
                                <w:kern w:val="24"/>
                                <w:sz w:val="20"/>
                                <w:szCs w:val="20"/>
                              </w:rPr>
                            </w:pPr>
                            <w:r w:rsidRPr="00B60445">
                              <w:rPr>
                                <w:rFonts w:ascii="Arial" w:hAnsi="Arial" w:cs="Arial"/>
                                <w:bCs/>
                                <w:iCs/>
                                <w:noProof/>
                                <w:color w:val="000000" w:themeColor="text1"/>
                                <w:sz w:val="22"/>
                                <w:szCs w:val="22"/>
                              </w:rPr>
                              <w:drawing>
                                <wp:inline distT="0" distB="0" distL="0" distR="0" wp14:anchorId="693E9C2F" wp14:editId="3949A920">
                                  <wp:extent cx="3474720" cy="2071953"/>
                                  <wp:effectExtent l="0" t="0" r="0" b="0"/>
                                  <wp:docPr id="13219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3001" name=""/>
                                          <pic:cNvPicPr/>
                                        </pic:nvPicPr>
                                        <pic:blipFill rotWithShape="1">
                                          <a:blip r:embed="rId7"/>
                                          <a:srcRect l="5114" r="1442" b="13650"/>
                                          <a:stretch/>
                                        </pic:blipFill>
                                        <pic:spPr bwMode="auto">
                                          <a:xfrm>
                                            <a:off x="0" y="0"/>
                                            <a:ext cx="3474720" cy="2071953"/>
                                          </a:xfrm>
                                          <a:prstGeom prst="rect">
                                            <a:avLst/>
                                          </a:prstGeom>
                                          <a:ln>
                                            <a:noFill/>
                                          </a:ln>
                                          <a:extLst>
                                            <a:ext uri="{53640926-AAD7-44D8-BBD7-CCE9431645EC}">
                                              <a14:shadowObscured xmlns:a14="http://schemas.microsoft.com/office/drawing/2010/main"/>
                                            </a:ext>
                                          </a:extLst>
                                        </pic:spPr>
                                      </pic:pic>
                                    </a:graphicData>
                                  </a:graphic>
                                </wp:inline>
                              </w:drawing>
                            </w:r>
                          </w:p>
                          <w:p w14:paraId="31D0A2A8" w14:textId="399E8C61" w:rsidR="005748BC" w:rsidRPr="005748BC" w:rsidRDefault="005748BC" w:rsidP="005748BC">
                            <w:pPr>
                              <w:rPr>
                                <w:rFonts w:ascii="Arial" w:hAnsi="Arial" w:cs="Arial"/>
                                <w:b/>
                                <w:bCs/>
                                <w:color w:val="000000" w:themeColor="text1"/>
                                <w:kern w:val="24"/>
                                <w:sz w:val="20"/>
                                <w:szCs w:val="20"/>
                                <w14:ligatures w14:val="none"/>
                              </w:rPr>
                            </w:pPr>
                            <w:r w:rsidRPr="005748BC">
                              <w:rPr>
                                <w:rFonts w:ascii="Arial" w:hAnsi="Arial" w:cs="Arial"/>
                                <w:b/>
                                <w:bCs/>
                                <w:color w:val="000000" w:themeColor="text1"/>
                                <w:kern w:val="24"/>
                                <w:sz w:val="20"/>
                                <w:szCs w:val="20"/>
                              </w:rPr>
                              <w:t xml:space="preserve">Figure </w:t>
                            </w:r>
                            <w:r w:rsidR="00E73D11">
                              <w:rPr>
                                <w:rFonts w:ascii="Arial" w:hAnsi="Arial" w:cs="Arial"/>
                                <w:b/>
                                <w:bCs/>
                                <w:color w:val="000000" w:themeColor="text1"/>
                                <w:kern w:val="24"/>
                                <w:sz w:val="20"/>
                                <w:szCs w:val="20"/>
                              </w:rPr>
                              <w:t>2</w:t>
                            </w:r>
                            <w:r>
                              <w:rPr>
                                <w:rFonts w:ascii="Arial" w:hAnsi="Arial" w:cs="Arial"/>
                                <w:color w:val="000000" w:themeColor="text1"/>
                                <w:kern w:val="24"/>
                                <w:sz w:val="20"/>
                                <w:szCs w:val="20"/>
                              </w:rPr>
                              <w:t xml:space="preserve">: </w:t>
                            </w:r>
                            <w:r w:rsidR="000B4F16">
                              <w:rPr>
                                <w:rFonts w:ascii="Arial" w:hAnsi="Arial" w:cs="Arial"/>
                                <w:color w:val="000000" w:themeColor="text1"/>
                                <w:kern w:val="24"/>
                                <w:sz w:val="20"/>
                                <w:szCs w:val="20"/>
                              </w:rPr>
                              <w:t>Computational i</w:t>
                            </w:r>
                            <w:r>
                              <w:rPr>
                                <w:rFonts w:ascii="Arial" w:hAnsi="Arial" w:cs="Arial"/>
                                <w:color w:val="000000" w:themeColor="text1"/>
                                <w:kern w:val="24"/>
                                <w:sz w:val="20"/>
                                <w:szCs w:val="20"/>
                              </w:rPr>
                              <w:t>dentif</w:t>
                            </w:r>
                            <w:r w:rsidR="000B4F16">
                              <w:rPr>
                                <w:rFonts w:ascii="Arial" w:hAnsi="Arial" w:cs="Arial"/>
                                <w:color w:val="000000" w:themeColor="text1"/>
                                <w:kern w:val="24"/>
                                <w:sz w:val="20"/>
                                <w:szCs w:val="20"/>
                              </w:rPr>
                              <w:t>ication of</w:t>
                            </w:r>
                            <w:r>
                              <w:rPr>
                                <w:rFonts w:ascii="Arial" w:hAnsi="Arial" w:cs="Arial"/>
                                <w:color w:val="000000" w:themeColor="text1"/>
                                <w:kern w:val="24"/>
                                <w:sz w:val="20"/>
                                <w:szCs w:val="20"/>
                              </w:rPr>
                              <w:t xml:space="preserve"> potential PLK1-PBD inhibitors with improved affinity and selectivity.</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F3475A4" id="_x0000_s1027" type="#_x0000_t202" style="position:absolute;left:0;text-align:left;margin-left:-5.45pt;margin-top:43.35pt;width:4in;height:19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" filled="f" stroked="f">
                <v:textbox>
                  <w:txbxContent>
                    <w:p w14:paraId="739D09D2" w14:textId="4317204A" w:rsidR="00640275" w:rsidRDefault="00B60445" w:rsidP="005748BC">
                      <w:pPr>
                        <w:rPr>
                          <w:rFonts w:ascii="Arial" w:hAnsi="Arial" w:cs="Arial"/>
                          <w:b/>
                          <w:bCs/>
                          <w:color w:val="000000" w:themeColor="text1"/>
                          <w:kern w:val="24"/>
                          <w:sz w:val="20"/>
                          <w:szCs w:val="20"/>
                        </w:rPr>
                      </w:pPr>
                      <w:r w:rsidRPr="00B60445">
                        <w:rPr>
                          <w:rFonts w:ascii="Arial" w:hAnsi="Arial" w:cs="Arial"/>
                          <w:bCs/>
                          <w:iCs/>
                          <w:noProof/>
                          <w:color w:val="000000" w:themeColor="text1"/>
                          <w:sz w:val="22"/>
                          <w:szCs w:val="22"/>
                        </w:rPr>
                        <w:drawing>
                          <wp:inline distT="0" distB="0" distL="0" distR="0" wp14:anchorId="693E9C2F" wp14:editId="3949A920">
                            <wp:extent cx="3474720" cy="2071953"/>
                            <wp:effectExtent l="0" t="0" r="0" b="0"/>
                            <wp:docPr id="13219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3001" name=""/>
                                    <pic:cNvPicPr/>
                                  </pic:nvPicPr>
                                  <pic:blipFill rotWithShape="1">
                                    <a:blip r:embed="rId7"/>
                                    <a:srcRect l="5114" r="1442" b="13650"/>
                                    <a:stretch/>
                                  </pic:blipFill>
                                  <pic:spPr bwMode="auto">
                                    <a:xfrm>
                                      <a:off x="0" y="0"/>
                                      <a:ext cx="3474720" cy="2071953"/>
                                    </a:xfrm>
                                    <a:prstGeom prst="rect">
                                      <a:avLst/>
                                    </a:prstGeom>
                                    <a:ln>
                                      <a:noFill/>
                                    </a:ln>
                                    <a:extLst>
                                      <a:ext uri="{53640926-AAD7-44D8-BBD7-CCE9431645EC}">
                                        <a14:shadowObscured xmlns:a14="http://schemas.microsoft.com/office/drawing/2010/main"/>
                                      </a:ext>
                                    </a:extLst>
                                  </pic:spPr>
                                </pic:pic>
                              </a:graphicData>
                            </a:graphic>
                          </wp:inline>
                        </w:drawing>
                      </w:r>
                    </w:p>
                    <w:p w14:paraId="31D0A2A8" w14:textId="399E8C61" w:rsidR="005748BC" w:rsidRPr="005748BC" w:rsidRDefault="005748BC" w:rsidP="005748BC">
                      <w:pPr>
                        <w:rPr>
                          <w:rFonts w:ascii="Arial" w:hAnsi="Arial" w:cs="Arial"/>
                          <w:b/>
                          <w:bCs/>
                          <w:color w:val="000000" w:themeColor="text1"/>
                          <w:kern w:val="24"/>
                          <w:sz w:val="20"/>
                          <w:szCs w:val="20"/>
                          <w14:ligatures w14:val="none"/>
                        </w:rPr>
                      </w:pPr>
                      <w:r w:rsidRPr="005748BC">
                        <w:rPr>
                          <w:rFonts w:ascii="Arial" w:hAnsi="Arial" w:cs="Arial"/>
                          <w:b/>
                          <w:bCs/>
                          <w:color w:val="000000" w:themeColor="text1"/>
                          <w:kern w:val="24"/>
                          <w:sz w:val="20"/>
                          <w:szCs w:val="20"/>
                        </w:rPr>
                        <w:t xml:space="preserve">Figure </w:t>
                      </w:r>
                      <w:r w:rsidR="00E73D11">
                        <w:rPr>
                          <w:rFonts w:ascii="Arial" w:hAnsi="Arial" w:cs="Arial"/>
                          <w:b/>
                          <w:bCs/>
                          <w:color w:val="000000" w:themeColor="text1"/>
                          <w:kern w:val="24"/>
                          <w:sz w:val="20"/>
                          <w:szCs w:val="20"/>
                        </w:rPr>
                        <w:t>2</w:t>
                      </w:r>
                      <w:r>
                        <w:rPr>
                          <w:rFonts w:ascii="Arial" w:hAnsi="Arial" w:cs="Arial"/>
                          <w:color w:val="000000" w:themeColor="text1"/>
                          <w:kern w:val="24"/>
                          <w:sz w:val="20"/>
                          <w:szCs w:val="20"/>
                        </w:rPr>
                        <w:t xml:space="preserve">: </w:t>
                      </w:r>
                      <w:r w:rsidR="000B4F16">
                        <w:rPr>
                          <w:rFonts w:ascii="Arial" w:hAnsi="Arial" w:cs="Arial"/>
                          <w:color w:val="000000" w:themeColor="text1"/>
                          <w:kern w:val="24"/>
                          <w:sz w:val="20"/>
                          <w:szCs w:val="20"/>
                        </w:rPr>
                        <w:t>Computational i</w:t>
                      </w:r>
                      <w:r>
                        <w:rPr>
                          <w:rFonts w:ascii="Arial" w:hAnsi="Arial" w:cs="Arial"/>
                          <w:color w:val="000000" w:themeColor="text1"/>
                          <w:kern w:val="24"/>
                          <w:sz w:val="20"/>
                          <w:szCs w:val="20"/>
                        </w:rPr>
                        <w:t>dentif</w:t>
                      </w:r>
                      <w:r w:rsidR="000B4F16">
                        <w:rPr>
                          <w:rFonts w:ascii="Arial" w:hAnsi="Arial" w:cs="Arial"/>
                          <w:color w:val="000000" w:themeColor="text1"/>
                          <w:kern w:val="24"/>
                          <w:sz w:val="20"/>
                          <w:szCs w:val="20"/>
                        </w:rPr>
                        <w:t>ication of</w:t>
                      </w:r>
                      <w:r>
                        <w:rPr>
                          <w:rFonts w:ascii="Arial" w:hAnsi="Arial" w:cs="Arial"/>
                          <w:color w:val="000000" w:themeColor="text1"/>
                          <w:kern w:val="24"/>
                          <w:sz w:val="20"/>
                          <w:szCs w:val="20"/>
                        </w:rPr>
                        <w:t xml:space="preserve"> potential PLK1-PBD inhibitors with improved affinity and selectivity.</w:t>
                      </w:r>
                    </w:p>
                  </w:txbxContent>
                </v:textbox>
                <w10:wrap type="tight"/>
              </v:shape>
            </w:pict>
          </mc:Fallback>
        </mc:AlternateContent>
      </w:r>
      <w:r w:rsidR="00A0384E" w:rsidRPr="00E4123C">
        <w:rPr>
          <w:rFonts w:ascii="Arial" w:hAnsi="Arial" w:cs="Arial"/>
          <w:b/>
          <w:bCs/>
          <w:i/>
          <w:iCs/>
          <w:color w:val="000000" w:themeColor="text1"/>
          <w:sz w:val="22"/>
          <w:szCs w:val="22"/>
        </w:rPr>
        <w:t>Metadynamics</w:t>
      </w:r>
      <w:r w:rsidR="00A0384E">
        <w:rPr>
          <w:rFonts w:ascii="Arial" w:hAnsi="Arial" w:cs="Arial"/>
          <w:color w:val="000000" w:themeColor="text1"/>
          <w:sz w:val="22"/>
          <w:szCs w:val="22"/>
        </w:rPr>
        <w:t xml:space="preserve">: </w:t>
      </w:r>
      <w:r w:rsidR="00D149EB">
        <w:rPr>
          <w:rFonts w:ascii="Arial" w:hAnsi="Arial" w:cs="Arial"/>
          <w:color w:val="000000" w:themeColor="text1"/>
          <w:sz w:val="22"/>
          <w:szCs w:val="22"/>
        </w:rPr>
        <w:t>With the provisional allocation, w</w:t>
      </w:r>
      <w:r w:rsidR="00A0384E">
        <w:rPr>
          <w:rFonts w:ascii="Arial" w:hAnsi="Arial" w:cs="Arial"/>
          <w:color w:val="000000" w:themeColor="text1"/>
          <w:sz w:val="22"/>
          <w:szCs w:val="22"/>
        </w:rPr>
        <w:t xml:space="preserve">e have simulated </w:t>
      </w:r>
      <w:r w:rsidR="00D149EB">
        <w:rPr>
          <w:rFonts w:ascii="Arial" w:hAnsi="Arial" w:cs="Arial"/>
          <w:color w:val="000000" w:themeColor="text1"/>
          <w:sz w:val="22"/>
          <w:szCs w:val="22"/>
        </w:rPr>
        <w:t>potent existing inhibitors thymoquinone (TQ)</w:t>
      </w:r>
      <w:r w:rsidR="00FC5743">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{"citationID":"td2iXF72","properties":{"formattedCitation":"(Reindl et al., 2008)","plainCitation":"(Reindl et al., 2008)","noteIndex":0},"citationItems":[{"id":42,"uris":["http://zotero.org/users/11964725/items/SAUGTD8F"],"itemData":{"id":42,"type":"article-journal","container-title":"Chemistry &amp; biology","issue":"5","note":"ISBN: 1074-5521\npublisher: Elsevier","page":"459-466","title":"Inhibition of polo-like kinase 1 by blocking polo-box domain-dependent protein-protein interactions","volume":"15","author":[{"family":"Reindl","given":"Wolfgang"},{"family":"Yuan","given":"Juping"},{"family":"Krämer","given":"Andrea"},{"family":"Strebhardt","given":"Klaus"},{"family":"Berg","given":"Thorsten"}],"issued":{"date-parts":[["2008"]]}}}],"schema":"https://github.com/citation-style-language/schema/raw/master/csl-citation.json"} </w:instrText>
      </w:r>
      <w:r w:rsidR="00FC5743">
        <w:rPr>
          <w:rFonts w:ascii="Arial" w:hAnsi="Arial" w:cs="Arial"/>
          <w:color w:val="000000" w:themeColor="text1"/>
          <w:sz w:val="22"/>
          <w:szCs w:val="22"/>
        </w:rPr>
        <w:fldChar w:fldCharType="separate"/>
      </w:r>
      <w:r w:rsidR="00C77E81">
        <w:rPr>
          <w:rFonts w:ascii="Arial" w:hAnsi="Arial" w:cs="Arial"/>
          <w:color w:val="000000"/>
          <w:kern w:val="0"/>
          <w:sz w:val="22"/>
        </w:rPr>
        <w:t>(</w:t>
      </w:r>
      <w:proofErr w:type="spellStart"/>
      <w:r w:rsidR="00C77E81">
        <w:rPr>
          <w:rFonts w:ascii="Arial" w:hAnsi="Arial" w:cs="Arial"/>
          <w:color w:val="000000"/>
          <w:kern w:val="0"/>
          <w:sz w:val="22"/>
        </w:rPr>
        <w:t>Reindl</w:t>
      </w:r>
      <w:proofErr w:type="spellEnd"/>
      <w:r w:rsidR="00C77E81">
        <w:rPr>
          <w:rFonts w:ascii="Arial" w:hAnsi="Arial" w:cs="Arial"/>
          <w:color w:val="000000"/>
          <w:kern w:val="0"/>
          <w:sz w:val="22"/>
        </w:rPr>
        <w:t xml:space="preserve"> et al., 2008)</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poloxin</w:t>
      </w:r>
      <w:r w:rsidR="00FC5743">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{"citationID":"d60sFyOS","properties":{"formattedCitation":"(Scharow et al., 2015)","plainCitation":"(Scharow et al., 2015)","noteIndex":0},"citationItems":[{"id":63,"uris":["http://zotero.org/users/11964725/items/PRF3XMEV"],"itemData":{"id":63,"type":"article-journal","container-title":"ACS chemical biology","issue":"11","note":"ISBN: 1554-8929\npublisher: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issued":{"date-parts":[["2015"]]}}}],"schema":"https://github.com/citation-style-language/schema/raw/master/csl-citation.json"} </w:instrText>
      </w:r>
      <w:r w:rsidR="00FC5743">
        <w:rPr>
          <w:rFonts w:ascii="Arial" w:hAnsi="Arial" w:cs="Arial"/>
          <w:color w:val="000000" w:themeColor="text1"/>
          <w:sz w:val="22"/>
          <w:szCs w:val="22"/>
        </w:rPr>
        <w:fldChar w:fldCharType="separate"/>
      </w:r>
      <w:r w:rsidR="00C77E81">
        <w:rPr>
          <w:rFonts w:ascii="Arial" w:hAnsi="Arial" w:cs="Arial"/>
          <w:color w:val="000000"/>
          <w:kern w:val="0"/>
          <w:sz w:val="22"/>
        </w:rPr>
        <w:t>(</w:t>
      </w:r>
      <w:proofErr w:type="spellStart"/>
      <w:r w:rsidR="00C77E81">
        <w:rPr>
          <w:rFonts w:ascii="Arial" w:hAnsi="Arial" w:cs="Arial"/>
          <w:color w:val="000000"/>
          <w:kern w:val="0"/>
          <w:sz w:val="22"/>
        </w:rPr>
        <w:t>Scharow</w:t>
      </w:r>
      <w:proofErr w:type="spellEnd"/>
      <w:r w:rsidR="00C77E81">
        <w:rPr>
          <w:rFonts w:ascii="Arial" w:hAnsi="Arial" w:cs="Arial"/>
          <w:color w:val="000000"/>
          <w:kern w:val="0"/>
          <w:sz w:val="22"/>
        </w:rPr>
        <w:t xml:space="preserve"> et al., 2015)</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poloxin-2, poloxin-22, poloxin-23</w:t>
      </w:r>
      <w:r w:rsidR="00FC5743">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{"citationID":"MSuGDhbr","properties":{"formattedCitation":"(Scharow et al., 2015)","plainCitation":"(Scharow et al., 2015)","noteIndex":0},"citationItems":[{"id":63,"uris":["http://zotero.org/users/11964725/items/PRF3XMEV"],"itemData":{"id":63,"type":"article-journal","container-title":"ACS chemical biology","issue":"11","note":"ISBN: 1554-8929\npublisher: ACS Publications","page":"2570-2579","title":"Optimized Plk1 PBD inhibitors based on poloxin induce mitotic arrest and apoptosis in tumor cells","volume":"10","author":[{"family":"Scharow","given":"Andrej"},{"family":"Raab","given":"Monika"},{"family":"Saxena","given":"Krishna"},{"family":"Sreeramulu","given":"Sridhar"},{"family":"Kudlinzki","given":"Denis"},{"family":"Gande","given":"Santosh"},{"family":"Dötsch","given":"Christina"},{"family":"Kurunci-Csacsko","given":"Elisabeth"},{"family":"Klaeger","given":"Susan"},{"family":"Kuster","given":"Bernhard"}],"issued":{"date-parts":[["2015"]]}}}],"schema":"https://github.com/citation-style-language/schema/raw/master/csl-citation.json"} </w:instrText>
      </w:r>
      <w:r w:rsidR="00FC5743">
        <w:rPr>
          <w:rFonts w:ascii="Arial" w:hAnsi="Arial" w:cs="Arial"/>
          <w:color w:val="000000" w:themeColor="text1"/>
          <w:sz w:val="22"/>
          <w:szCs w:val="22"/>
        </w:rPr>
        <w:fldChar w:fldCharType="separate"/>
      </w:r>
      <w:r w:rsidR="00C77E81">
        <w:rPr>
          <w:rFonts w:ascii="Arial" w:hAnsi="Arial" w:cs="Arial"/>
          <w:color w:val="000000"/>
          <w:kern w:val="0"/>
          <w:sz w:val="22"/>
        </w:rPr>
        <w:t>(</w:t>
      </w:r>
      <w:proofErr w:type="spellStart"/>
      <w:r w:rsidR="00C77E81">
        <w:rPr>
          <w:rFonts w:ascii="Arial" w:hAnsi="Arial" w:cs="Arial"/>
          <w:color w:val="000000"/>
          <w:kern w:val="0"/>
          <w:sz w:val="22"/>
        </w:rPr>
        <w:t>Scharow</w:t>
      </w:r>
      <w:proofErr w:type="spellEnd"/>
      <w:r w:rsidR="00C77E81">
        <w:rPr>
          <w:rFonts w:ascii="Arial" w:hAnsi="Arial" w:cs="Arial"/>
          <w:color w:val="000000"/>
          <w:kern w:val="0"/>
          <w:sz w:val="22"/>
        </w:rPr>
        <w:t xml:space="preserve"> et al., 2015)</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xml:space="preserve">, </w:t>
      </w:r>
      <w:r w:rsidR="00D149EB" w:rsidRPr="00D149EB">
        <w:rPr>
          <w:rFonts w:ascii="Arial" w:hAnsi="Arial" w:cs="Arial"/>
          <w:color w:val="000000" w:themeColor="text1"/>
          <w:sz w:val="22"/>
          <w:szCs w:val="22"/>
        </w:rPr>
        <w:t>(–)–9*</w:t>
      </w:r>
      <w:r w:rsidR="00D149EB">
        <w:rPr>
          <w:rFonts w:ascii="Arial" w:hAnsi="Arial" w:cs="Arial"/>
          <w:color w:val="000000" w:themeColor="text1"/>
          <w:sz w:val="22"/>
          <w:szCs w:val="22"/>
        </w:rPr>
        <w:t xml:space="preserve">, </w:t>
      </w:r>
      <w:r w:rsidR="00D149EB" w:rsidRPr="00D149EB">
        <w:rPr>
          <w:rFonts w:ascii="Arial" w:hAnsi="Arial" w:cs="Arial"/>
          <w:color w:val="000000" w:themeColor="text1"/>
          <w:sz w:val="22"/>
          <w:szCs w:val="22"/>
        </w:rPr>
        <w:t>(</w:t>
      </w:r>
      <w:r w:rsidR="00D149EB">
        <w:rPr>
          <w:rFonts w:ascii="Arial" w:hAnsi="Arial" w:cs="Arial"/>
          <w:color w:val="000000" w:themeColor="text1"/>
          <w:sz w:val="22"/>
          <w:szCs w:val="22"/>
        </w:rPr>
        <w:t>+</w:t>
      </w:r>
      <w:r w:rsidR="00D149EB" w:rsidRPr="00D149EB">
        <w:rPr>
          <w:rFonts w:ascii="Arial" w:hAnsi="Arial" w:cs="Arial"/>
          <w:color w:val="000000" w:themeColor="text1"/>
          <w:sz w:val="22"/>
          <w:szCs w:val="22"/>
        </w:rPr>
        <w:t>)–9*</w:t>
      </w:r>
      <w:r w:rsidR="00FC5743">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{"citationID":"YKihChPd","properties":{"formattedCitation":"(Huggins et al., 2019)","plainCitation":"(Huggins et al., 2019)","noteIndex":0},"citationItems":[{"id":124,"uris":["http://zotero.org/users/11964725/items/TPQ2JUZE"],"itemData":{"id":124,"type":"article-journal","container-title":"ACS omega","issue":"1","note":"ISBN: 2470-1343\npublisher: ACS Publications","page":"822-831","title":"Development of a Novel Cell-Permeable Protein–Protein Interaction Inhibitor for the Polo-box Domain of Polo-like Kinase 1","volume":"5","author":[{"family":"Huggins","given":"David J."},{"family":"Hardwick","given":"Bryn S."},{"family":"Sharma","given":"Pooja"},{"family":"Emery","given":"Amy"},{"family":"Laraia","given":"Luca"},{"family":"Zhang","given":"Fengzhi"},{"family":"Narvaez","given":"Ana J."},{"family":"Roberts-Thomson","given":"Meredith"},{"family":"Crooks","given":"Alex T."},{"family":"Boyle","given":"Robert G."}],"issued":{"date-parts":[["2019"]]}}}],"schema":"https://github.com/citation-style-language/schema/raw/master/csl-citation.json"} </w:instrText>
      </w:r>
      <w:r w:rsidR="00FC5743">
        <w:rPr>
          <w:rFonts w:ascii="Arial" w:hAnsi="Arial" w:cs="Arial"/>
          <w:color w:val="000000" w:themeColor="text1"/>
          <w:sz w:val="22"/>
          <w:szCs w:val="22"/>
        </w:rPr>
        <w:fldChar w:fldCharType="separate"/>
      </w:r>
      <w:r w:rsidR="00C77E81">
        <w:rPr>
          <w:rFonts w:ascii="Arial" w:hAnsi="Arial" w:cs="Arial"/>
          <w:color w:val="000000"/>
          <w:kern w:val="0"/>
          <w:sz w:val="22"/>
        </w:rPr>
        <w:t>(Huggins et al., 2019)</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and allopole-A</w:t>
      </w:r>
      <w:r w:rsidR="00FC5743">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{"citationID":"VAMg86wo","properties":{"formattedCitation":"(Park et al., 2023)","plainCitation":"(Park et al., 2023)","noteIndex":0},"citationItems":[{"id":123,"uris":["http://zotero.org/users/11964725/items/4UZCFRWD"],"itemData":{"id":123,"type":"article-journal","abstract":"Polo-like kinase 1 (Plk1) is considered an attractive target for anticancer therapy. Over the years, studies on the noncatalytic polo-box domain (PBD) of Plk1 have raised the expectation of generating highly specific protein–protein interaction inhibitors. However, the molecular nature of the canonical PBD-dependent interaction, which requires extensive water network–mediated interactions with its phospholigands, has hampered efforts to identify small molecules suitable for Plk1 PBD drug discovery. Here, we report the identification of the first allosteric inhibitor of Plk1 PBD, called Allopole, a prodrug that can disrupt intracellular interactions between PBD and its cognate phospholigands, delocalize Plk1 from centrosomes and kinetochores, and induce mitotic block and cancer cell killing. At the structural level, its unmasked active form, Allopole-A, bound to a deep Trp-Phe-lined pocket occluded by a latch-like loop, whose adjoining region was required for securely retaining a ligand anchored to the phospho-binding cleft. Allopole-A binding completely dislodged the L2 loop, an event that appeared sufficient to trigger the dissociation of a phospholigand and inhibit PBD-dependent Plk1 function during mitosis. Given Allopole’s high specificity and antiproliferative potency, this study is expected to open an unexplored avenue for developing Plk1 PBD-specific anticancer therapeutic agents.","container-title":"Proceedings of the National Academy of Sciences","issue":"35","note":"type: doi:10.1073/pnas.2305037120","page":"e2305037120","title":"Specific inhibition of an anticancer target, polo-like kinase 1, by allosterically dismantling its mechanism of substrate recognition","volume":"120","author":[{"family":"Park","given":"Jung-Eun"},{"family":"Kirsch","given":"Klara"},{"family":"Lee","given":"Hobin"},{"family":"Oliva","given":"Paola"},{"family":"Ahn","given":"Jong Il"},{"family":"Ravishankar","given":"Harsha"},{"family":"Zeng","given":"Yan"},{"family":"Fox","given":"Stephen D."},{"family":"Kirby","given":"Samuel A."},{"family":"Badhwar","given":"Pooja"},{"family":"Andresson","given":"Thorkell"},{"family":"Jacobson","given":"Kenneth A."},{"family":"Lee","given":"Kyung S."}],"issued":{"date-parts":[["2023"]]}}}],"schema":"https://github.com/citation-style-language/schema/raw/master/csl-citation.json"} </w:instrText>
      </w:r>
      <w:r w:rsidR="00FC5743">
        <w:rPr>
          <w:rFonts w:ascii="Arial" w:hAnsi="Arial" w:cs="Arial"/>
          <w:color w:val="000000" w:themeColor="text1"/>
          <w:sz w:val="22"/>
          <w:szCs w:val="22"/>
        </w:rPr>
        <w:fldChar w:fldCharType="separate"/>
      </w:r>
      <w:r w:rsidR="00C77E81">
        <w:rPr>
          <w:rFonts w:ascii="Arial" w:hAnsi="Arial" w:cs="Arial"/>
          <w:color w:val="000000"/>
          <w:kern w:val="0"/>
          <w:sz w:val="22"/>
        </w:rPr>
        <w:t>(Park et al., 2023)</w:t>
      </w:r>
      <w:r w:rsidR="00FC5743">
        <w:rPr>
          <w:rFonts w:ascii="Arial" w:hAnsi="Arial" w:cs="Arial"/>
          <w:color w:val="000000" w:themeColor="text1"/>
          <w:sz w:val="22"/>
          <w:szCs w:val="22"/>
        </w:rPr>
        <w:fldChar w:fldCharType="end"/>
      </w:r>
      <w:r w:rsidR="00D149EB">
        <w:rPr>
          <w:rFonts w:ascii="Arial" w:hAnsi="Arial" w:cs="Arial"/>
          <w:color w:val="000000" w:themeColor="text1"/>
          <w:sz w:val="22"/>
          <w:szCs w:val="22"/>
        </w:rPr>
        <w:t xml:space="preserve"> as a benchmark for our study.</w:t>
      </w:r>
      <w:r w:rsidR="00EB55C1">
        <w:rPr>
          <w:rFonts w:ascii="Arial" w:hAnsi="Arial" w:cs="Arial"/>
          <w:color w:val="000000" w:themeColor="text1"/>
          <w:sz w:val="22"/>
          <w:szCs w:val="22"/>
        </w:rPr>
        <w:t xml:space="preserve"> </w:t>
      </w:r>
      <w:r w:rsidR="00EB55C1" w:rsidRPr="00712D14">
        <w:rPr>
          <w:rFonts w:ascii="Arial" w:hAnsi="Arial" w:cs="Arial"/>
          <w:color w:val="000000" w:themeColor="text1"/>
          <w:sz w:val="22"/>
          <w:szCs w:val="22"/>
        </w:rPr>
        <w:t xml:space="preserve">By unbiasing the data, </w:t>
      </w:r>
      <w:r w:rsidR="00EB55C1" w:rsidRPr="00712D14">
        <w:rPr>
          <w:rFonts w:ascii="Arial" w:hAnsi="Arial" w:cs="Arial"/>
          <w:b/>
          <w:bCs/>
          <w:color w:val="000000" w:themeColor="text1"/>
          <w:sz w:val="22"/>
          <w:szCs w:val="22"/>
        </w:rPr>
        <w:t xml:space="preserve">Figure </w:t>
      </w:r>
      <w:r w:rsidR="00C77E81">
        <w:rPr>
          <w:rFonts w:ascii="Arial" w:hAnsi="Arial" w:cs="Arial"/>
          <w:b/>
          <w:bCs/>
          <w:color w:val="000000" w:themeColor="text1"/>
          <w:sz w:val="22"/>
          <w:szCs w:val="22"/>
        </w:rPr>
        <w:t>3</w:t>
      </w:r>
      <w:r w:rsidR="00EB55C1" w:rsidRPr="00712D14">
        <w:rPr>
          <w:rFonts w:ascii="Arial" w:hAnsi="Arial" w:cs="Arial"/>
          <w:color w:val="000000" w:themeColor="text1"/>
          <w:sz w:val="22"/>
          <w:szCs w:val="22"/>
        </w:rPr>
        <w:t xml:space="preserve"> depicts the </w:t>
      </w:r>
      <w:r w:rsidR="00EB55C1">
        <w:rPr>
          <w:rFonts w:ascii="Arial" w:hAnsi="Arial" w:cs="Arial"/>
          <w:color w:val="000000" w:themeColor="text1"/>
          <w:sz w:val="22"/>
          <w:szCs w:val="22"/>
        </w:rPr>
        <w:t>potential of mean force (PMF)</w:t>
      </w:r>
      <w:r w:rsidR="00EB55C1" w:rsidRPr="00712D14">
        <w:rPr>
          <w:rFonts w:ascii="Arial" w:hAnsi="Arial" w:cs="Arial"/>
          <w:color w:val="000000" w:themeColor="text1"/>
          <w:sz w:val="22"/>
          <w:szCs w:val="22"/>
        </w:rPr>
        <w:t xml:space="preserve"> of TQ-bound PLK-PBD at various binding sites (BS). </w:t>
      </w:r>
      <w:r w:rsidR="005D34AE">
        <w:rPr>
          <w:rFonts w:ascii="Arial" w:hAnsi="Arial" w:cs="Arial"/>
          <w:color w:val="000000" w:themeColor="text1"/>
          <w:sz w:val="22"/>
          <w:szCs w:val="22"/>
        </w:rPr>
        <w:t>W</w:t>
      </w:r>
      <w:r w:rsidR="005D34AE" w:rsidRPr="005D34AE">
        <w:rPr>
          <w:rFonts w:ascii="Arial" w:hAnsi="Arial" w:cs="Arial"/>
          <w:color w:val="000000" w:themeColor="text1"/>
          <w:sz w:val="22"/>
          <w:szCs w:val="22"/>
        </w:rPr>
        <w:t xml:space="preserve">e employed </w:t>
      </w:r>
      <w:r w:rsidR="005D34AE">
        <w:rPr>
          <w:rFonts w:ascii="Arial" w:hAnsi="Arial" w:cs="Arial"/>
          <w:color w:val="000000" w:themeColor="text1"/>
          <w:sz w:val="22"/>
          <w:szCs w:val="22"/>
        </w:rPr>
        <w:t>m</w:t>
      </w:r>
      <w:r w:rsidR="005D34AE" w:rsidRPr="005D34AE">
        <w:rPr>
          <w:rFonts w:ascii="Arial" w:hAnsi="Arial" w:cs="Arial"/>
          <w:color w:val="000000" w:themeColor="text1"/>
          <w:sz w:val="22"/>
          <w:szCs w:val="22"/>
        </w:rPr>
        <w:t xml:space="preserve">etadynamics simulations to generate </w:t>
      </w:r>
      <w:r w:rsidR="005D34AE">
        <w:rPr>
          <w:rFonts w:ascii="Arial" w:hAnsi="Arial" w:cs="Arial"/>
          <w:color w:val="000000" w:themeColor="text1"/>
          <w:sz w:val="22"/>
          <w:szCs w:val="22"/>
        </w:rPr>
        <w:t xml:space="preserve">the </w:t>
      </w:r>
      <w:r w:rsidR="005D34AE" w:rsidRPr="005D34AE">
        <w:rPr>
          <w:rFonts w:ascii="Arial" w:hAnsi="Arial" w:cs="Arial"/>
          <w:color w:val="000000" w:themeColor="text1"/>
          <w:sz w:val="22"/>
          <w:szCs w:val="22"/>
        </w:rPr>
        <w:t>Potential of Mean Force (PMF) profiles for multiple binding sites</w:t>
      </w:r>
      <w:r w:rsidR="005D34AE">
        <w:rPr>
          <w:rFonts w:ascii="Arial" w:hAnsi="Arial" w:cs="Arial"/>
          <w:color w:val="000000" w:themeColor="text1"/>
          <w:sz w:val="22"/>
          <w:szCs w:val="22"/>
        </w:rPr>
        <w:t xml:space="preserve"> t</w:t>
      </w:r>
      <w:r w:rsidR="005D34AE" w:rsidRPr="005D34AE">
        <w:rPr>
          <w:rFonts w:ascii="Arial" w:hAnsi="Arial" w:cs="Arial"/>
          <w:color w:val="000000" w:themeColor="text1"/>
          <w:sz w:val="22"/>
          <w:szCs w:val="22"/>
        </w:rPr>
        <w:t xml:space="preserve">o characterize the binding landscape. While PMF depths provide insights into relative binding affinities, </w:t>
      </w:r>
      <w:r w:rsidR="005D34AE">
        <w:rPr>
          <w:rFonts w:ascii="Arial" w:hAnsi="Arial" w:cs="Arial"/>
          <w:color w:val="000000" w:themeColor="text1"/>
          <w:sz w:val="22"/>
          <w:szCs w:val="22"/>
        </w:rPr>
        <w:t>we estimate the</w:t>
      </w:r>
      <w:r w:rsidR="005D34AE" w:rsidRPr="005D34AE">
        <w:rPr>
          <w:rFonts w:ascii="Arial" w:hAnsi="Arial" w:cs="Arial"/>
          <w:color w:val="000000" w:themeColor="text1"/>
          <w:sz w:val="22"/>
          <w:szCs w:val="22"/>
        </w:rPr>
        <w:t xml:space="preserve"> absolute binding free energies</w:t>
      </w:r>
      <w:r w:rsidR="007B6224">
        <w:rPr>
          <w:rFonts w:ascii="Arial" w:hAnsi="Arial" w:cs="Arial"/>
          <w:color w:val="000000" w:themeColor="text1"/>
          <w:sz w:val="22"/>
          <w:szCs w:val="22"/>
        </w:rPr>
        <w:t xml:space="preserve"> for ligands at each binding pocket. U</w:t>
      </w:r>
      <w:r w:rsidR="005D34AE">
        <w:rPr>
          <w:rFonts w:ascii="Arial" w:hAnsi="Arial" w:cs="Arial"/>
          <w:color w:val="000000" w:themeColor="text1"/>
          <w:sz w:val="22"/>
          <w:szCs w:val="22"/>
        </w:rPr>
        <w:t>sing</w:t>
      </w:r>
      <w:r w:rsidR="005D34AE" w:rsidRPr="005D34AE">
        <w:rPr>
          <w:rFonts w:ascii="Arial" w:hAnsi="Arial" w:cs="Arial"/>
          <w:color w:val="000000" w:themeColor="text1"/>
          <w:sz w:val="22"/>
          <w:szCs w:val="22"/>
        </w:rPr>
        <w:t xml:space="preserve"> a reference state, typically the unbound state</w:t>
      </w:r>
      <w:r w:rsidR="007B6224">
        <w:rPr>
          <w:rFonts w:ascii="Arial" w:hAnsi="Arial" w:cs="Arial"/>
          <w:color w:val="000000" w:themeColor="text1"/>
          <w:sz w:val="22"/>
          <w:szCs w:val="22"/>
        </w:rPr>
        <w:t>,</w:t>
      </w:r>
      <w:r w:rsidR="005D34AE" w:rsidRPr="005D34AE">
        <w:rPr>
          <w:rFonts w:ascii="Arial" w:hAnsi="Arial" w:cs="Arial"/>
          <w:color w:val="000000" w:themeColor="text1"/>
          <w:sz w:val="22"/>
          <w:szCs w:val="22"/>
        </w:rPr>
        <w:t xml:space="preserve"> </w:t>
      </w:r>
      <w:r w:rsidR="007B6224">
        <w:rPr>
          <w:rFonts w:ascii="Arial" w:hAnsi="Arial" w:cs="Arial"/>
          <w:color w:val="000000" w:themeColor="text1"/>
          <w:sz w:val="22"/>
          <w:szCs w:val="22"/>
        </w:rPr>
        <w:t xml:space="preserve">where the binding pocket distance expanded most (at 30 </w:t>
      </w:r>
      <w:r w:rsidR="007B6224" w:rsidRPr="007B6224">
        <w:rPr>
          <w:rFonts w:ascii="Arial" w:hAnsi="Arial" w:cs="Arial"/>
          <w:color w:val="000000" w:themeColor="text1"/>
          <w:sz w:val="22"/>
          <w:szCs w:val="22"/>
        </w:rPr>
        <w:t>Å</w:t>
      </w:r>
      <w:r w:rsidR="007B6224">
        <w:rPr>
          <w:rFonts w:ascii="Arial" w:hAnsi="Arial" w:cs="Arial"/>
          <w:color w:val="000000" w:themeColor="text1"/>
          <w:sz w:val="22"/>
          <w:szCs w:val="22"/>
        </w:rPr>
        <w:t>)</w:t>
      </w:r>
      <w:r w:rsidR="005D34AE" w:rsidRPr="005D34AE">
        <w:rPr>
          <w:rFonts w:ascii="Arial" w:hAnsi="Arial" w:cs="Arial"/>
          <w:color w:val="000000" w:themeColor="text1"/>
          <w:sz w:val="22"/>
          <w:szCs w:val="22"/>
        </w:rPr>
        <w:t xml:space="preserve"> in this analysis. The adaptive biasing approach within AMBER was instrumental in constructing these free energy maps, accommodating multiple degrees of freedom through independent collective variables and the multiple-walker method</w:t>
      </w:r>
      <w:r w:rsidR="007B6224">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{"citationID":"vQ2wK1gh","properties":{"formattedCitation":"(Moradi et al., 2015)","plainCitation":"(Moradi et al., 2015)","noteIndex":0},"citationItems":[{"id":1330,"uris":["http://zotero.org/groups/2656856/items/5U9ZRVZK"],"itemData":{"id":1330,"type":"paper-conference","container-title":"Journal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007B6224">
        <w:rPr>
          <w:rFonts w:ascii="Arial" w:hAnsi="Arial" w:cs="Arial"/>
          <w:color w:val="000000" w:themeColor="text1"/>
          <w:sz w:val="22"/>
          <w:szCs w:val="22"/>
        </w:rPr>
        <w:fldChar w:fldCharType="separate"/>
      </w:r>
      <w:r w:rsidR="00C77E81">
        <w:rPr>
          <w:rFonts w:ascii="Arial" w:hAnsi="Arial" w:cs="Arial"/>
          <w:color w:val="000000"/>
          <w:kern w:val="0"/>
          <w:sz w:val="22"/>
        </w:rPr>
        <w:t>(Moradi et al., 2015)</w:t>
      </w:r>
      <w:r w:rsidR="007B6224">
        <w:rPr>
          <w:rFonts w:ascii="Arial" w:hAnsi="Arial" w:cs="Arial"/>
          <w:color w:val="000000" w:themeColor="text1"/>
          <w:sz w:val="22"/>
          <w:szCs w:val="22"/>
        </w:rPr>
        <w:fldChar w:fldCharType="end"/>
      </w:r>
      <w:r w:rsidR="005D34AE" w:rsidRPr="005D34AE">
        <w:rPr>
          <w:rFonts w:ascii="Arial" w:hAnsi="Arial" w:cs="Arial"/>
          <w:color w:val="000000" w:themeColor="text1"/>
          <w:sz w:val="22"/>
          <w:szCs w:val="22"/>
        </w:rPr>
        <w:t>.</w:t>
      </w:r>
      <w:r w:rsidR="007B6224">
        <w:rPr>
          <w:rFonts w:ascii="Arial" w:hAnsi="Arial" w:cs="Arial"/>
          <w:color w:val="000000" w:themeColor="text1"/>
          <w:sz w:val="22"/>
          <w:szCs w:val="22"/>
        </w:rPr>
        <w:t xml:space="preserve"> </w:t>
      </w:r>
      <w:r w:rsidR="00EB55C1" w:rsidRPr="00712D14">
        <w:rPr>
          <w:rFonts w:ascii="Arial" w:hAnsi="Arial" w:cs="Arial"/>
          <w:color w:val="000000" w:themeColor="text1"/>
          <w:sz w:val="22"/>
          <w:szCs w:val="22"/>
        </w:rPr>
        <w:t xml:space="preserve">Besides capturing the detailed energy landscape, </w:t>
      </w:r>
      <w:r w:rsidR="007B6224">
        <w:rPr>
          <w:rFonts w:ascii="Arial" w:hAnsi="Arial" w:cs="Arial"/>
          <w:color w:val="000000" w:themeColor="text1"/>
          <w:sz w:val="22"/>
          <w:szCs w:val="22"/>
        </w:rPr>
        <w:t xml:space="preserve">the </w:t>
      </w:r>
      <w:r w:rsidR="00EB55C1">
        <w:rPr>
          <w:rFonts w:ascii="Arial" w:hAnsi="Arial" w:cs="Arial"/>
          <w:color w:val="000000" w:themeColor="text1"/>
          <w:sz w:val="22"/>
          <w:szCs w:val="22"/>
        </w:rPr>
        <w:t>estimate</w:t>
      </w:r>
      <w:r w:rsidR="007B6224">
        <w:rPr>
          <w:rFonts w:ascii="Arial" w:hAnsi="Arial" w:cs="Arial"/>
          <w:color w:val="000000" w:themeColor="text1"/>
          <w:sz w:val="22"/>
          <w:szCs w:val="22"/>
        </w:rPr>
        <w:t>d</w:t>
      </w:r>
      <w:r w:rsidR="00EB55C1">
        <w:rPr>
          <w:rFonts w:ascii="Arial" w:hAnsi="Arial" w:cs="Arial"/>
          <w:color w:val="000000" w:themeColor="text1"/>
          <w:sz w:val="22"/>
          <w:szCs w:val="22"/>
        </w:rPr>
        <w:t xml:space="preserve"> </w:t>
      </w:r>
      <w:r w:rsidR="00EB55C1" w:rsidRPr="00FC7324">
        <w:rPr>
          <w:rFonts w:ascii="Arial" w:hAnsi="Arial" w:cs="Arial"/>
          <w:i/>
          <w:iCs/>
          <w:color w:val="000000" w:themeColor="text1"/>
          <w:sz w:val="22"/>
          <w:szCs w:val="22"/>
        </w:rPr>
        <w:t>rough</w:t>
      </w:r>
      <w:r w:rsidR="00EB55C1">
        <w:rPr>
          <w:rFonts w:ascii="Arial" w:hAnsi="Arial" w:cs="Arial"/>
          <w:color w:val="000000" w:themeColor="text1"/>
          <w:sz w:val="22"/>
          <w:szCs w:val="22"/>
        </w:rPr>
        <w:t xml:space="preserve"> absolute </w:t>
      </w:r>
      <w:r w:rsidR="00EB55C1" w:rsidRPr="006405CE">
        <w:rPr>
          <w:rFonts w:ascii="Arial" w:hAnsi="Arial" w:cs="Arial"/>
          <w:color w:val="000000" w:themeColor="text1"/>
          <w:sz w:val="22"/>
          <w:szCs w:val="22"/>
        </w:rPr>
        <w:t>free energy</w:t>
      </w:r>
      <w:r w:rsidR="00EB55C1">
        <w:rPr>
          <w:rFonts w:ascii="Arial" w:hAnsi="Arial" w:cs="Arial"/>
          <w:color w:val="000000" w:themeColor="text1"/>
          <w:sz w:val="22"/>
          <w:szCs w:val="22"/>
        </w:rPr>
        <w:t xml:space="preserve"> of </w:t>
      </w:r>
      <w:r w:rsidR="00EB55C1" w:rsidRPr="006405CE">
        <w:rPr>
          <w:rFonts w:ascii="Arial" w:hAnsi="Arial" w:cs="Arial"/>
          <w:color w:val="000000" w:themeColor="text1"/>
          <w:sz w:val="22"/>
          <w:szCs w:val="22"/>
        </w:rPr>
        <w:t>binding</w:t>
      </w:r>
      <w:r w:rsidR="007B6224">
        <w:rPr>
          <w:rFonts w:ascii="Arial" w:hAnsi="Arial" w:cs="Arial"/>
          <w:color w:val="000000" w:themeColor="text1"/>
          <w:sz w:val="22"/>
          <w:szCs w:val="22"/>
        </w:rPr>
        <w:t xml:space="preserve"> is relevant to the research goal</w:t>
      </w:r>
      <w:r w:rsidR="00EB55C1">
        <w:rPr>
          <w:rFonts w:ascii="Arial" w:hAnsi="Arial" w:cs="Arial"/>
          <w:color w:val="000000" w:themeColor="text1"/>
          <w:sz w:val="22"/>
          <w:szCs w:val="22"/>
        </w:rPr>
        <w:t xml:space="preserve">. Researchers have used the </w:t>
      </w:r>
      <w:r w:rsidR="00EB55C1" w:rsidRPr="006405CE">
        <w:rPr>
          <w:rFonts w:ascii="Arial" w:hAnsi="Arial" w:cs="Arial"/>
          <w:color w:val="000000" w:themeColor="text1"/>
          <w:sz w:val="22"/>
          <w:szCs w:val="22"/>
        </w:rPr>
        <w:t xml:space="preserve">difference </w:t>
      </w:r>
      <w:r w:rsidR="00EB55C1">
        <w:rPr>
          <w:rFonts w:ascii="Arial" w:hAnsi="Arial" w:cs="Arial"/>
          <w:color w:val="000000" w:themeColor="text1"/>
          <w:sz w:val="22"/>
          <w:szCs w:val="22"/>
        </w:rPr>
        <w:t>between the</w:t>
      </w:r>
      <w:r w:rsidR="00EB55C1" w:rsidRPr="006405CE">
        <w:rPr>
          <w:rFonts w:ascii="Arial" w:hAnsi="Arial" w:cs="Arial"/>
          <w:color w:val="000000" w:themeColor="text1"/>
          <w:sz w:val="22"/>
          <w:szCs w:val="22"/>
        </w:rPr>
        <w:t xml:space="preserve"> free energy </w:t>
      </w:r>
      <w:r w:rsidR="00EB55C1">
        <w:rPr>
          <w:rFonts w:ascii="Arial" w:hAnsi="Arial" w:cs="Arial"/>
          <w:color w:val="000000" w:themeColor="text1"/>
          <w:sz w:val="22"/>
          <w:szCs w:val="22"/>
        </w:rPr>
        <w:t>of</w:t>
      </w:r>
      <w:r w:rsidR="00EB55C1" w:rsidRPr="006405CE">
        <w:rPr>
          <w:rFonts w:ascii="Arial" w:hAnsi="Arial" w:cs="Arial"/>
          <w:color w:val="000000" w:themeColor="text1"/>
          <w:sz w:val="22"/>
          <w:szCs w:val="22"/>
        </w:rPr>
        <w:t xml:space="preserve"> the bound and unbound state minima on the PMF profile</w:t>
      </w:r>
      <w:r w:rsidR="00EB55C1">
        <w:rPr>
          <w:rFonts w:ascii="Arial" w:hAnsi="Arial" w:cs="Arial"/>
          <w:color w:val="000000" w:themeColor="text1"/>
          <w:sz w:val="22"/>
          <w:szCs w:val="22"/>
        </w:rPr>
        <w:t xml:space="preserve"> to estimate the </w:t>
      </w:r>
      <w:r w:rsidR="00EB55C1" w:rsidRPr="006405CE">
        <w:rPr>
          <w:rFonts w:ascii="Arial" w:hAnsi="Arial" w:cs="Arial"/>
          <w:color w:val="000000" w:themeColor="text1"/>
          <w:sz w:val="22"/>
          <w:szCs w:val="22"/>
        </w:rPr>
        <w:t>binding free energy</w:t>
      </w:r>
      <w:r w:rsidR="00EB55C1">
        <w:rPr>
          <w:rFonts w:ascii="Arial" w:hAnsi="Arial" w:cs="Arial"/>
          <w:color w:val="000000" w:themeColor="text1"/>
          <w:sz w:val="22"/>
          <w:szCs w:val="22"/>
        </w:rPr>
        <w:t xml:space="preserve"> of ligands to proteins</w:t>
      </w:r>
      <w:r w:rsidR="00EB55C1">
        <w:rPr>
          <w:rFonts w:ascii="Arial" w:hAnsi="Arial" w:cs="Arial"/>
          <w:color w:val="000000" w:themeColor="text1"/>
          <w:sz w:val="22"/>
          <w:szCs w:val="22"/>
        </w:rPr>
        <w:fldChar w:fldCharType="begin"/>
      </w:r>
      <w:r w:rsidR="00C77E81">
        <w:rPr>
          <w:rFonts w:ascii="Arial" w:hAnsi="Arial" w:cs="Arial"/>
          <w:color w:val="000000" w:themeColor="text1"/>
          <w:sz w:val="22"/>
          <w:szCs w:val="22"/>
        </w:rPr>
        <w:instrText xml:space="preserve"> ADDIN ZOTERO_ITEM CSL_CITATION {"citationID":"IN5y28fm","properties":{"formattedCitation":"(Buch et al., 2011)","plainCitation":"(Buch et al., 2011)","noteIndex":0},"citationItems":[{"id":1471,"uris":["http://zotero.org/groups/2656856/items/YCPUCP5H"],"itemData":{"id":1471,"type":"article-journal","container-title":"Journal of Chemical Theory and Computation","issue":"6","note":"ISBN: 1549-9618\npublisher: ACS Publications","page":"1765-1772","title":"Optimized potential of mean force calculations for standard binding free energies","volume":"7","author":[{"family":"Buch","given":"Ignasi"},{"family":"Sadiq","given":"S. Kashif"},{"family":"De Fabritiis","given":"Gianni"}],"issued":{"date-parts":[["2011"]]}}}],"schema":"https://github.com/citation-style-language/schema/raw/master/csl-citation.json"} </w:instrText>
      </w:r>
      <w:r w:rsidR="00EB55C1">
        <w:rPr>
          <w:rFonts w:ascii="Arial" w:hAnsi="Arial" w:cs="Arial"/>
          <w:color w:val="000000" w:themeColor="text1"/>
          <w:sz w:val="22"/>
          <w:szCs w:val="22"/>
        </w:rPr>
        <w:fldChar w:fldCharType="separate"/>
      </w:r>
      <w:r w:rsidR="00C77E81">
        <w:rPr>
          <w:rFonts w:ascii="Arial" w:hAnsi="Arial" w:cs="Arial"/>
          <w:color w:val="000000"/>
          <w:kern w:val="0"/>
          <w:sz w:val="22"/>
        </w:rPr>
        <w:t>(Buch et al., 2011)</w:t>
      </w:r>
      <w:r w:rsidR="00EB55C1">
        <w:rPr>
          <w:rFonts w:ascii="Arial" w:hAnsi="Arial" w:cs="Arial"/>
          <w:color w:val="000000" w:themeColor="text1"/>
          <w:sz w:val="22"/>
          <w:szCs w:val="22"/>
        </w:rPr>
        <w:fldChar w:fldCharType="end"/>
      </w:r>
      <w:r w:rsidR="00EB55C1">
        <w:rPr>
          <w:rFonts w:ascii="Arial" w:hAnsi="Arial" w:cs="Arial"/>
          <w:color w:val="000000" w:themeColor="text1"/>
          <w:sz w:val="22"/>
          <w:szCs w:val="22"/>
        </w:rPr>
        <w:t xml:space="preserve">. </w:t>
      </w:r>
      <w:r w:rsidR="00C77E81">
        <w:rPr>
          <w:rFonts w:ascii="Arial" w:hAnsi="Arial" w:cs="Arial"/>
          <w:color w:val="000000" w:themeColor="text1"/>
          <w:sz w:val="22"/>
          <w:szCs w:val="22"/>
        </w:rPr>
        <w:t>This resource will enable us to complete this project.</w:t>
      </w:r>
    </w:p>
    <w:p w14:paraId="3B3AF767" w14:textId="67A1E69C" w:rsidR="003F6596" w:rsidRDefault="004601A4" w:rsidP="009D3032">
      <w:pPr>
        <w:snapToGrid w:val="0"/>
        <w:jc w:val="both"/>
        <w:rPr>
          <w:rFonts w:ascii="Arial" w:hAnsi="Arial" w:cs="Arial"/>
          <w:b/>
          <w:bCs/>
          <w:color w:val="212121"/>
          <w:sz w:val="20"/>
          <w:szCs w:val="20"/>
        </w:rPr>
      </w:pPr>
      <w:r w:rsidRPr="004601A4">
        <w:rPr>
          <w:rFonts w:ascii="Arial" w:hAnsi="Arial" w:cs="Arial"/>
          <w:b/>
          <w:bCs/>
          <w:noProof/>
          <w:color w:val="212121"/>
          <w:sz w:val="20"/>
          <w:szCs w:val="20"/>
        </w:rPr>
        <w:lastRenderedPageBreak/>
        <w:drawing>
          <wp:inline distT="0" distB="0" distL="0" distR="0" wp14:anchorId="4918E283" wp14:editId="644E1385">
            <wp:extent cx="6400800" cy="8888120"/>
            <wp:effectExtent l="0" t="0" r="0" b="1905"/>
            <wp:docPr id="19146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3909" name=""/>
                    <pic:cNvPicPr/>
                  </pic:nvPicPr>
                  <pic:blipFill>
                    <a:blip r:embed="rId8"/>
                    <a:stretch>
                      <a:fillRect/>
                    </a:stretch>
                  </pic:blipFill>
                  <pic:spPr>
                    <a:xfrm>
                      <a:off x="0" y="0"/>
                      <a:ext cx="6400800" cy="8888120"/>
                    </a:xfrm>
                    <a:prstGeom prst="rect">
                      <a:avLst/>
                    </a:prstGeom>
                  </pic:spPr>
                </pic:pic>
              </a:graphicData>
            </a:graphic>
          </wp:inline>
        </w:drawing>
      </w:r>
    </w:p>
    <w:p w14:paraId="3210E167" w14:textId="130CFC77" w:rsidR="00D149EB" w:rsidRPr="001B3EB0" w:rsidRDefault="00D91A35" w:rsidP="00D91A35">
      <w:pPr>
        <w:snapToGrid w:val="0"/>
        <w:rPr>
          <w:rFonts w:ascii="Arial" w:hAnsi="Arial" w:cs="Arial"/>
          <w:color w:val="212121"/>
          <w:sz w:val="20"/>
          <w:szCs w:val="20"/>
        </w:rPr>
      </w:pPr>
      <w:r w:rsidRPr="00D91A35">
        <w:rPr>
          <w:rFonts w:ascii="Arial" w:hAnsi="Arial" w:cs="Arial"/>
          <w:b/>
          <w:bCs/>
          <w:color w:val="212121"/>
          <w:sz w:val="20"/>
          <w:szCs w:val="20"/>
        </w:rPr>
        <w:t xml:space="preserve">Figure </w:t>
      </w:r>
      <w:r w:rsidR="00C77E81">
        <w:rPr>
          <w:rFonts w:ascii="Arial" w:hAnsi="Arial" w:cs="Arial"/>
          <w:b/>
          <w:bCs/>
          <w:color w:val="212121"/>
          <w:sz w:val="20"/>
          <w:szCs w:val="20"/>
        </w:rPr>
        <w:t>3</w:t>
      </w:r>
      <w:r w:rsidRPr="00D91A35">
        <w:rPr>
          <w:rFonts w:ascii="Arial" w:hAnsi="Arial" w:cs="Arial"/>
          <w:color w:val="212121"/>
          <w:sz w:val="20"/>
          <w:szCs w:val="20"/>
        </w:rPr>
        <w:t>: Experimentally identified binding sites (BS, 1 to 3) in PBD, top five pockets identified through blind docking revealed inhibitor binding to five possible pockets, including the active site, phospho-peptide pocket (</w:t>
      </w:r>
      <w:r w:rsidRPr="00D91A35">
        <w:rPr>
          <w:rFonts w:ascii="Arial" w:hAnsi="Arial" w:cs="Arial"/>
          <w:b/>
          <w:bCs/>
          <w:color w:val="212121"/>
          <w:sz w:val="20"/>
          <w:szCs w:val="20"/>
        </w:rPr>
        <w:t>a</w:t>
      </w:r>
      <w:r w:rsidRPr="00D91A35">
        <w:rPr>
          <w:rFonts w:ascii="Arial" w:hAnsi="Arial" w:cs="Arial"/>
          <w:color w:val="212121"/>
          <w:sz w:val="20"/>
          <w:szCs w:val="20"/>
        </w:rPr>
        <w:t>), the free energy profiles constructed from center of mass (</w:t>
      </w:r>
      <w:proofErr w:type="spellStart"/>
      <w:r w:rsidRPr="00D91A35">
        <w:rPr>
          <w:rFonts w:ascii="Arial" w:hAnsi="Arial" w:cs="Arial"/>
          <w:color w:val="212121"/>
          <w:sz w:val="20"/>
          <w:szCs w:val="20"/>
        </w:rPr>
        <w:t>CoM</w:t>
      </w:r>
      <w:proofErr w:type="spellEnd"/>
      <w:r w:rsidRPr="00D91A35">
        <w:rPr>
          <w:rFonts w:ascii="Arial" w:hAnsi="Arial" w:cs="Arial"/>
          <w:color w:val="212121"/>
          <w:sz w:val="20"/>
          <w:szCs w:val="20"/>
        </w:rPr>
        <w:t>) distance between opposite binding residues of PLK1-PBD binding to allopole-A (</w:t>
      </w:r>
      <w:r w:rsidRPr="00D91A35">
        <w:rPr>
          <w:rFonts w:ascii="Arial" w:hAnsi="Arial" w:cs="Arial"/>
          <w:b/>
          <w:bCs/>
          <w:color w:val="212121"/>
          <w:sz w:val="20"/>
          <w:szCs w:val="20"/>
        </w:rPr>
        <w:t>b</w:t>
      </w:r>
      <w:r w:rsidRPr="00D91A35">
        <w:rPr>
          <w:rFonts w:ascii="Arial" w:hAnsi="Arial" w:cs="Arial"/>
          <w:color w:val="212121"/>
          <w:sz w:val="20"/>
          <w:szCs w:val="20"/>
        </w:rPr>
        <w:t>), –(–)9* (</w:t>
      </w:r>
      <w:r w:rsidRPr="00D91A35">
        <w:rPr>
          <w:rFonts w:ascii="Arial" w:hAnsi="Arial" w:cs="Arial"/>
          <w:b/>
          <w:bCs/>
          <w:color w:val="212121"/>
          <w:sz w:val="20"/>
          <w:szCs w:val="20"/>
        </w:rPr>
        <w:t>c</w:t>
      </w:r>
      <w:r w:rsidRPr="00D91A35">
        <w:rPr>
          <w:rFonts w:ascii="Arial" w:hAnsi="Arial" w:cs="Arial"/>
          <w:color w:val="212121"/>
          <w:sz w:val="20"/>
          <w:szCs w:val="20"/>
        </w:rPr>
        <w:t>), –(+)9* (</w:t>
      </w:r>
      <w:r w:rsidRPr="00D91A35">
        <w:rPr>
          <w:rFonts w:ascii="Arial" w:hAnsi="Arial" w:cs="Arial"/>
          <w:b/>
          <w:bCs/>
          <w:color w:val="212121"/>
          <w:sz w:val="20"/>
          <w:szCs w:val="20"/>
        </w:rPr>
        <w:t>d</w:t>
      </w:r>
      <w:r w:rsidRPr="00D91A35">
        <w:rPr>
          <w:rFonts w:ascii="Arial" w:hAnsi="Arial" w:cs="Arial"/>
          <w:color w:val="212121"/>
          <w:sz w:val="20"/>
          <w:szCs w:val="20"/>
        </w:rPr>
        <w:t>), poloxin (</w:t>
      </w:r>
      <w:r w:rsidRPr="00D91A35">
        <w:rPr>
          <w:rFonts w:ascii="Arial" w:hAnsi="Arial" w:cs="Arial"/>
          <w:b/>
          <w:bCs/>
          <w:color w:val="212121"/>
          <w:sz w:val="20"/>
          <w:szCs w:val="20"/>
        </w:rPr>
        <w:t>e</w:t>
      </w:r>
      <w:r w:rsidRPr="00D91A35">
        <w:rPr>
          <w:rFonts w:ascii="Arial" w:hAnsi="Arial" w:cs="Arial"/>
          <w:color w:val="212121"/>
          <w:sz w:val="20"/>
          <w:szCs w:val="20"/>
        </w:rPr>
        <w:t>), poloxin-2 (</w:t>
      </w:r>
      <w:r w:rsidRPr="00D91A35">
        <w:rPr>
          <w:rFonts w:ascii="Arial" w:hAnsi="Arial" w:cs="Arial"/>
          <w:b/>
          <w:bCs/>
          <w:color w:val="212121"/>
          <w:sz w:val="20"/>
          <w:szCs w:val="20"/>
        </w:rPr>
        <w:t>f</w:t>
      </w:r>
      <w:r w:rsidRPr="00D91A35">
        <w:rPr>
          <w:rFonts w:ascii="Arial" w:hAnsi="Arial" w:cs="Arial"/>
          <w:color w:val="212121"/>
          <w:sz w:val="20"/>
          <w:szCs w:val="20"/>
        </w:rPr>
        <w:t>), thymoquinone (</w:t>
      </w:r>
      <w:r w:rsidRPr="00D91A35">
        <w:rPr>
          <w:rFonts w:ascii="Arial" w:hAnsi="Arial" w:cs="Arial"/>
          <w:b/>
          <w:bCs/>
          <w:color w:val="212121"/>
          <w:sz w:val="20"/>
          <w:szCs w:val="20"/>
        </w:rPr>
        <w:t>g</w:t>
      </w:r>
      <w:r w:rsidRPr="00D91A35">
        <w:rPr>
          <w:rFonts w:ascii="Arial" w:hAnsi="Arial" w:cs="Arial"/>
          <w:color w:val="212121"/>
          <w:sz w:val="20"/>
          <w:szCs w:val="20"/>
        </w:rPr>
        <w:t>), and comparison across the various computational approaches for TQ (</w:t>
      </w:r>
      <w:r w:rsidRPr="00D91A35">
        <w:rPr>
          <w:rFonts w:ascii="Arial" w:hAnsi="Arial" w:cs="Arial"/>
          <w:b/>
          <w:bCs/>
          <w:color w:val="212121"/>
          <w:sz w:val="20"/>
          <w:szCs w:val="20"/>
        </w:rPr>
        <w:t>h</w:t>
      </w:r>
      <w:r w:rsidRPr="00D91A35">
        <w:rPr>
          <w:rFonts w:ascii="Arial" w:hAnsi="Arial" w:cs="Arial"/>
          <w:color w:val="212121"/>
          <w:sz w:val="20"/>
          <w:szCs w:val="20"/>
        </w:rPr>
        <w:t>). The binding scores correlate (R</w:t>
      </w:r>
      <w:r w:rsidRPr="00D91A35">
        <w:rPr>
          <w:rFonts w:ascii="Arial" w:hAnsi="Arial" w:cs="Arial"/>
          <w:color w:val="212121"/>
          <w:sz w:val="20"/>
          <w:szCs w:val="20"/>
          <w:vertAlign w:val="superscript"/>
        </w:rPr>
        <w:t>2</w:t>
      </w:r>
      <w:r w:rsidRPr="00D91A35">
        <w:rPr>
          <w:rFonts w:ascii="Arial" w:hAnsi="Arial" w:cs="Arial"/>
          <w:color w:val="212121"/>
          <w:sz w:val="20"/>
          <w:szCs w:val="20"/>
        </w:rPr>
        <w:t xml:space="preserve"> = 0.9) with the MetaD binding energies. </w:t>
      </w:r>
    </w:p>
    <w:sectPr w:rsidR="00D149EB" w:rsidRPr="001B3EB0" w:rsidSect="00866445">
      <w:pgSz w:w="11900" w:h="16820" w:code="9"/>
      <w:pgMar w:top="839" w:right="654" w:bottom="708" w:left="654" w:header="245"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841A3"/>
    <w:multiLevelType w:val="hybridMultilevel"/>
    <w:tmpl w:val="CA2A235C"/>
    <w:lvl w:ilvl="0" w:tplc="D2269C5C">
      <w:start w:val="1"/>
      <w:numFmt w:val="upperLetter"/>
      <w:lvlText w:val="%1."/>
      <w:lvlJc w:val="left"/>
      <w:pPr>
        <w:ind w:left="450" w:hanging="360"/>
      </w:pPr>
      <w:rPr>
        <w:rFonts w:ascii="Arial" w:eastAsiaTheme="minorHAnsi" w:hAnsi="Arial" w:cs="Arial"/>
        <w:b/>
        <w:bCs/>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4404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mirrorMargins/>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EA7"/>
    <w:rsid w:val="00036531"/>
    <w:rsid w:val="00057C5E"/>
    <w:rsid w:val="000812B1"/>
    <w:rsid w:val="000B4F16"/>
    <w:rsid w:val="000E145A"/>
    <w:rsid w:val="000E7398"/>
    <w:rsid w:val="00104A5B"/>
    <w:rsid w:val="00142A70"/>
    <w:rsid w:val="00164516"/>
    <w:rsid w:val="00164E39"/>
    <w:rsid w:val="00175F72"/>
    <w:rsid w:val="001E5FF2"/>
    <w:rsid w:val="0023515B"/>
    <w:rsid w:val="00241AEB"/>
    <w:rsid w:val="00243539"/>
    <w:rsid w:val="0027154E"/>
    <w:rsid w:val="00286B80"/>
    <w:rsid w:val="002B6F23"/>
    <w:rsid w:val="002C3AFF"/>
    <w:rsid w:val="002C50AE"/>
    <w:rsid w:val="002D4DA1"/>
    <w:rsid w:val="002E7BBE"/>
    <w:rsid w:val="00311684"/>
    <w:rsid w:val="00346059"/>
    <w:rsid w:val="0035084E"/>
    <w:rsid w:val="00363853"/>
    <w:rsid w:val="00380073"/>
    <w:rsid w:val="00381145"/>
    <w:rsid w:val="00393842"/>
    <w:rsid w:val="003943F7"/>
    <w:rsid w:val="003A25FC"/>
    <w:rsid w:val="003A4F63"/>
    <w:rsid w:val="003B18DF"/>
    <w:rsid w:val="003F6596"/>
    <w:rsid w:val="00405A01"/>
    <w:rsid w:val="0041284A"/>
    <w:rsid w:val="004162B0"/>
    <w:rsid w:val="004601A4"/>
    <w:rsid w:val="00466B89"/>
    <w:rsid w:val="004720FE"/>
    <w:rsid w:val="00483DA8"/>
    <w:rsid w:val="00524789"/>
    <w:rsid w:val="0052641D"/>
    <w:rsid w:val="005377D1"/>
    <w:rsid w:val="005643A7"/>
    <w:rsid w:val="005748BC"/>
    <w:rsid w:val="00587999"/>
    <w:rsid w:val="00591DDA"/>
    <w:rsid w:val="005D34AE"/>
    <w:rsid w:val="005F4065"/>
    <w:rsid w:val="00616EF7"/>
    <w:rsid w:val="00640275"/>
    <w:rsid w:val="006431DA"/>
    <w:rsid w:val="0064328B"/>
    <w:rsid w:val="0069416C"/>
    <w:rsid w:val="006D2176"/>
    <w:rsid w:val="00707043"/>
    <w:rsid w:val="007329B8"/>
    <w:rsid w:val="00733217"/>
    <w:rsid w:val="00755DD2"/>
    <w:rsid w:val="007639B3"/>
    <w:rsid w:val="00764014"/>
    <w:rsid w:val="0076679F"/>
    <w:rsid w:val="00775091"/>
    <w:rsid w:val="00792694"/>
    <w:rsid w:val="007B6224"/>
    <w:rsid w:val="007D34CA"/>
    <w:rsid w:val="007E47DD"/>
    <w:rsid w:val="00803B3A"/>
    <w:rsid w:val="00841197"/>
    <w:rsid w:val="00866445"/>
    <w:rsid w:val="00867F0B"/>
    <w:rsid w:val="00871DEA"/>
    <w:rsid w:val="00873DE7"/>
    <w:rsid w:val="008B2917"/>
    <w:rsid w:val="008E366D"/>
    <w:rsid w:val="008F5229"/>
    <w:rsid w:val="009363B9"/>
    <w:rsid w:val="0095299F"/>
    <w:rsid w:val="009643D1"/>
    <w:rsid w:val="0097241D"/>
    <w:rsid w:val="009B1732"/>
    <w:rsid w:val="009B68E0"/>
    <w:rsid w:val="009D3032"/>
    <w:rsid w:val="009D4553"/>
    <w:rsid w:val="009D7C34"/>
    <w:rsid w:val="00A0101C"/>
    <w:rsid w:val="00A0384E"/>
    <w:rsid w:val="00A5233F"/>
    <w:rsid w:val="00A5357D"/>
    <w:rsid w:val="00A94B72"/>
    <w:rsid w:val="00AA1DA3"/>
    <w:rsid w:val="00AB239B"/>
    <w:rsid w:val="00AC306A"/>
    <w:rsid w:val="00AC5078"/>
    <w:rsid w:val="00AD204C"/>
    <w:rsid w:val="00AD388D"/>
    <w:rsid w:val="00AE78CE"/>
    <w:rsid w:val="00B07F71"/>
    <w:rsid w:val="00B2558D"/>
    <w:rsid w:val="00B37085"/>
    <w:rsid w:val="00B40BEE"/>
    <w:rsid w:val="00B452CC"/>
    <w:rsid w:val="00B60445"/>
    <w:rsid w:val="00B6420F"/>
    <w:rsid w:val="00BB516C"/>
    <w:rsid w:val="00BD4DEE"/>
    <w:rsid w:val="00BF04FD"/>
    <w:rsid w:val="00BF74A1"/>
    <w:rsid w:val="00C26EC7"/>
    <w:rsid w:val="00C55480"/>
    <w:rsid w:val="00C77E81"/>
    <w:rsid w:val="00C840FB"/>
    <w:rsid w:val="00C87C98"/>
    <w:rsid w:val="00CC119B"/>
    <w:rsid w:val="00CC429B"/>
    <w:rsid w:val="00CD4617"/>
    <w:rsid w:val="00D135DA"/>
    <w:rsid w:val="00D149EB"/>
    <w:rsid w:val="00D16471"/>
    <w:rsid w:val="00D8294B"/>
    <w:rsid w:val="00D91A35"/>
    <w:rsid w:val="00DA5EA7"/>
    <w:rsid w:val="00DA7B7E"/>
    <w:rsid w:val="00DD14FC"/>
    <w:rsid w:val="00DF37A6"/>
    <w:rsid w:val="00E247E2"/>
    <w:rsid w:val="00E4123C"/>
    <w:rsid w:val="00E5242C"/>
    <w:rsid w:val="00E53793"/>
    <w:rsid w:val="00E73D11"/>
    <w:rsid w:val="00E87AE7"/>
    <w:rsid w:val="00EB55C1"/>
    <w:rsid w:val="00EE78CE"/>
    <w:rsid w:val="00F0621D"/>
    <w:rsid w:val="00F223D1"/>
    <w:rsid w:val="00F41027"/>
    <w:rsid w:val="00F54176"/>
    <w:rsid w:val="00F57734"/>
    <w:rsid w:val="00F6205E"/>
    <w:rsid w:val="00F63289"/>
    <w:rsid w:val="00FA1EEA"/>
    <w:rsid w:val="00FC5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BD37"/>
  <w15:chartTrackingRefBased/>
  <w15:docId w15:val="{B2EEB005-4A9E-834A-B9F4-56E91757A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8BC"/>
  </w:style>
  <w:style w:type="paragraph" w:styleId="Heading1">
    <w:name w:val="heading 1"/>
    <w:basedOn w:val="Normal"/>
    <w:next w:val="Normal"/>
    <w:link w:val="Heading1Char"/>
    <w:uiPriority w:val="9"/>
    <w:qFormat/>
    <w:rsid w:val="00DA5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E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E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E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E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EA7"/>
    <w:rPr>
      <w:rFonts w:eastAsiaTheme="majorEastAsia" w:cstheme="majorBidi"/>
      <w:color w:val="272727" w:themeColor="text1" w:themeTint="D8"/>
    </w:rPr>
  </w:style>
  <w:style w:type="paragraph" w:styleId="Title">
    <w:name w:val="Title"/>
    <w:basedOn w:val="Normal"/>
    <w:next w:val="Normal"/>
    <w:link w:val="TitleChar"/>
    <w:uiPriority w:val="10"/>
    <w:qFormat/>
    <w:rsid w:val="00DA5E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E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E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A5EA7"/>
    <w:rPr>
      <w:i/>
      <w:iCs/>
      <w:color w:val="404040" w:themeColor="text1" w:themeTint="BF"/>
    </w:rPr>
  </w:style>
  <w:style w:type="paragraph" w:styleId="ListParagraph">
    <w:name w:val="List Paragraph"/>
    <w:basedOn w:val="Normal"/>
    <w:uiPriority w:val="34"/>
    <w:qFormat/>
    <w:rsid w:val="00DA5EA7"/>
    <w:pPr>
      <w:ind w:left="720"/>
      <w:contextualSpacing/>
    </w:pPr>
  </w:style>
  <w:style w:type="character" w:styleId="IntenseEmphasis">
    <w:name w:val="Intense Emphasis"/>
    <w:basedOn w:val="DefaultParagraphFont"/>
    <w:uiPriority w:val="21"/>
    <w:qFormat/>
    <w:rsid w:val="00DA5EA7"/>
    <w:rPr>
      <w:i/>
      <w:iCs/>
      <w:color w:val="0F4761" w:themeColor="accent1" w:themeShade="BF"/>
    </w:rPr>
  </w:style>
  <w:style w:type="paragraph" w:styleId="IntenseQuote">
    <w:name w:val="Intense Quote"/>
    <w:basedOn w:val="Normal"/>
    <w:next w:val="Normal"/>
    <w:link w:val="IntenseQuoteChar"/>
    <w:uiPriority w:val="30"/>
    <w:qFormat/>
    <w:rsid w:val="00DA5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EA7"/>
    <w:rPr>
      <w:i/>
      <w:iCs/>
      <w:color w:val="0F4761" w:themeColor="accent1" w:themeShade="BF"/>
    </w:rPr>
  </w:style>
  <w:style w:type="character" w:styleId="IntenseReference">
    <w:name w:val="Intense Reference"/>
    <w:basedOn w:val="DefaultParagraphFont"/>
    <w:uiPriority w:val="32"/>
    <w:qFormat/>
    <w:rsid w:val="00DA5EA7"/>
    <w:rPr>
      <w:b/>
      <w:bCs/>
      <w:smallCaps/>
      <w:color w:val="0F4761" w:themeColor="accent1" w:themeShade="BF"/>
      <w:spacing w:val="5"/>
    </w:rPr>
  </w:style>
  <w:style w:type="table" w:styleId="TableGrid">
    <w:name w:val="Table Grid"/>
    <w:basedOn w:val="TableNormal"/>
    <w:uiPriority w:val="39"/>
    <w:rsid w:val="00036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5377D1"/>
    <w:pPr>
      <w:tabs>
        <w:tab w:val="left" w:pos="380"/>
      </w:tabs>
      <w:spacing w:line="480" w:lineRule="auto"/>
      <w:ind w:left="384" w:hanging="384"/>
    </w:pPr>
  </w:style>
  <w:style w:type="character" w:styleId="Hyperlink">
    <w:name w:val="Hyperlink"/>
    <w:basedOn w:val="DefaultParagraphFont"/>
    <w:uiPriority w:val="99"/>
    <w:unhideWhenUsed/>
    <w:rsid w:val="003B18DF"/>
    <w:rPr>
      <w:color w:val="467886" w:themeColor="hyperlink"/>
      <w:u w:val="single"/>
    </w:rPr>
  </w:style>
  <w:style w:type="character" w:styleId="UnresolvedMention">
    <w:name w:val="Unresolved Mention"/>
    <w:basedOn w:val="DefaultParagraphFont"/>
    <w:uiPriority w:val="99"/>
    <w:semiHidden/>
    <w:unhideWhenUsed/>
    <w:rsid w:val="003B18DF"/>
    <w:rPr>
      <w:color w:val="605E5C"/>
      <w:shd w:val="clear" w:color="auto" w:fill="E1DFDD"/>
    </w:rPr>
  </w:style>
  <w:style w:type="paragraph" w:styleId="NormalWeb">
    <w:name w:val="Normal (Web)"/>
    <w:basedOn w:val="Normal"/>
    <w:uiPriority w:val="99"/>
    <w:semiHidden/>
    <w:unhideWhenUsed/>
    <w:rsid w:val="00D91A3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13909">
      <w:bodyDiv w:val="1"/>
      <w:marLeft w:val="0"/>
      <w:marRight w:val="0"/>
      <w:marTop w:val="0"/>
      <w:marBottom w:val="0"/>
      <w:divBdr>
        <w:top w:val="none" w:sz="0" w:space="0" w:color="auto"/>
        <w:left w:val="none" w:sz="0" w:space="0" w:color="auto"/>
        <w:bottom w:val="none" w:sz="0" w:space="0" w:color="auto"/>
        <w:right w:val="none" w:sz="0" w:space="0" w:color="auto"/>
      </w:divBdr>
    </w:div>
    <w:div w:id="674773353">
      <w:bodyDiv w:val="1"/>
      <w:marLeft w:val="0"/>
      <w:marRight w:val="0"/>
      <w:marTop w:val="0"/>
      <w:marBottom w:val="0"/>
      <w:divBdr>
        <w:top w:val="none" w:sz="0" w:space="0" w:color="auto"/>
        <w:left w:val="none" w:sz="0" w:space="0" w:color="auto"/>
        <w:bottom w:val="none" w:sz="0" w:space="0" w:color="auto"/>
        <w:right w:val="none" w:sz="0" w:space="0" w:color="auto"/>
      </w:divBdr>
    </w:div>
    <w:div w:id="759302742">
      <w:bodyDiv w:val="1"/>
      <w:marLeft w:val="0"/>
      <w:marRight w:val="0"/>
      <w:marTop w:val="0"/>
      <w:marBottom w:val="0"/>
      <w:divBdr>
        <w:top w:val="none" w:sz="0" w:space="0" w:color="auto"/>
        <w:left w:val="none" w:sz="0" w:space="0" w:color="auto"/>
        <w:bottom w:val="none" w:sz="0" w:space="0" w:color="auto"/>
        <w:right w:val="none" w:sz="0" w:space="0" w:color="auto"/>
      </w:divBdr>
    </w:div>
    <w:div w:id="891120048">
      <w:bodyDiv w:val="1"/>
      <w:marLeft w:val="0"/>
      <w:marRight w:val="0"/>
      <w:marTop w:val="0"/>
      <w:marBottom w:val="0"/>
      <w:divBdr>
        <w:top w:val="none" w:sz="0" w:space="0" w:color="auto"/>
        <w:left w:val="none" w:sz="0" w:space="0" w:color="auto"/>
        <w:bottom w:val="none" w:sz="0" w:space="0" w:color="auto"/>
        <w:right w:val="none" w:sz="0" w:space="0" w:color="auto"/>
      </w:divBdr>
    </w:div>
    <w:div w:id="894320846">
      <w:bodyDiv w:val="1"/>
      <w:marLeft w:val="0"/>
      <w:marRight w:val="0"/>
      <w:marTop w:val="0"/>
      <w:marBottom w:val="0"/>
      <w:divBdr>
        <w:top w:val="none" w:sz="0" w:space="0" w:color="auto"/>
        <w:left w:val="none" w:sz="0" w:space="0" w:color="auto"/>
        <w:bottom w:val="none" w:sz="0" w:space="0" w:color="auto"/>
        <w:right w:val="none" w:sz="0" w:space="0" w:color="auto"/>
      </w:divBdr>
    </w:div>
    <w:div w:id="1019503162">
      <w:bodyDiv w:val="1"/>
      <w:marLeft w:val="0"/>
      <w:marRight w:val="0"/>
      <w:marTop w:val="0"/>
      <w:marBottom w:val="0"/>
      <w:divBdr>
        <w:top w:val="none" w:sz="0" w:space="0" w:color="auto"/>
        <w:left w:val="none" w:sz="0" w:space="0" w:color="auto"/>
        <w:bottom w:val="none" w:sz="0" w:space="0" w:color="auto"/>
        <w:right w:val="none" w:sz="0" w:space="0" w:color="auto"/>
      </w:divBdr>
    </w:div>
    <w:div w:id="1152285558">
      <w:bodyDiv w:val="1"/>
      <w:marLeft w:val="0"/>
      <w:marRight w:val="0"/>
      <w:marTop w:val="0"/>
      <w:marBottom w:val="0"/>
      <w:divBdr>
        <w:top w:val="none" w:sz="0" w:space="0" w:color="auto"/>
        <w:left w:val="none" w:sz="0" w:space="0" w:color="auto"/>
        <w:bottom w:val="none" w:sz="0" w:space="0" w:color="auto"/>
        <w:right w:val="none" w:sz="0" w:space="0" w:color="auto"/>
      </w:divBdr>
    </w:div>
    <w:div w:id="1500654746">
      <w:bodyDiv w:val="1"/>
      <w:marLeft w:val="0"/>
      <w:marRight w:val="0"/>
      <w:marTop w:val="0"/>
      <w:marBottom w:val="0"/>
      <w:divBdr>
        <w:top w:val="none" w:sz="0" w:space="0" w:color="auto"/>
        <w:left w:val="none" w:sz="0" w:space="0" w:color="auto"/>
        <w:bottom w:val="none" w:sz="0" w:space="0" w:color="auto"/>
        <w:right w:val="none" w:sz="0" w:space="0" w:color="auto"/>
      </w:divBdr>
    </w:div>
    <w:div w:id="1614702156">
      <w:bodyDiv w:val="1"/>
      <w:marLeft w:val="0"/>
      <w:marRight w:val="0"/>
      <w:marTop w:val="0"/>
      <w:marBottom w:val="0"/>
      <w:divBdr>
        <w:top w:val="none" w:sz="0" w:space="0" w:color="auto"/>
        <w:left w:val="none" w:sz="0" w:space="0" w:color="auto"/>
        <w:bottom w:val="none" w:sz="0" w:space="0" w:color="auto"/>
        <w:right w:val="none" w:sz="0" w:space="0" w:color="auto"/>
      </w:divBdr>
    </w:div>
    <w:div w:id="1780372682">
      <w:bodyDiv w:val="1"/>
      <w:marLeft w:val="0"/>
      <w:marRight w:val="0"/>
      <w:marTop w:val="0"/>
      <w:marBottom w:val="0"/>
      <w:divBdr>
        <w:top w:val="none" w:sz="0" w:space="0" w:color="auto"/>
        <w:left w:val="none" w:sz="0" w:space="0" w:color="auto"/>
        <w:bottom w:val="none" w:sz="0" w:space="0" w:color="auto"/>
        <w:right w:val="none" w:sz="0" w:space="0" w:color="auto"/>
      </w:divBdr>
    </w:div>
    <w:div w:id="1921209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ove.com/"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.~WRD0004</Template>
  <TotalTime>22</TotalTime>
  <Pages>2</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Monsurat Lawal</dc:creator>
  <cp:keywords/>
  <dc:description/>
  <cp:lastModifiedBy>Monsurat Lawal</cp:lastModifiedBy>
  <cp:revision>3</cp:revision>
  <dcterms:created xsi:type="dcterms:W3CDTF">2024-09-03T14:33:00Z</dcterms:created>
  <dcterms:modified xsi:type="dcterms:W3CDTF">2024-09-03T15:02:00Z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id="eVo5uUrr"/&gt;&lt;style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