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A40D40" w14:textId="06D148F7" w:rsidR="002F1319" w:rsidRDefault="00000000" w:rsidP="00414EBC">
      <w:pPr>
        <w:jc w:val="center"/>
        <w:rPr>
          <w:b/>
          <w:bCs/>
        </w:rPr>
      </w:pPr>
      <w:r>
        <w:rPr>
          <w:b/>
          <w:bCs/>
        </w:rPr>
        <w:t>Supporting Information</w:t>
      </w:r>
    </w:p>
    <w:p w14:paraId="030C381C" w14:textId="77777777" w:rsidR="00414EBC" w:rsidRDefault="00414EBC" w:rsidP="00414EBC">
      <w:pPr>
        <w:jc w:val="center"/>
        <w:rPr>
          <w:b/>
          <w:bCs/>
        </w:rPr>
      </w:pPr>
    </w:p>
    <w:p w14:paraId="1550216E" w14:textId="441DF8D8" w:rsidR="00414EBC" w:rsidRDefault="00414EBC" w:rsidP="00414EBC">
      <w:pPr>
        <w:jc w:val="center"/>
        <w:rPr>
          <w:b/>
          <w:bCs/>
        </w:rPr>
      </w:pPr>
      <w:r>
        <w:rPr>
          <w:b/>
          <w:bCs/>
        </w:rPr>
        <w:t>For</w:t>
      </w:r>
    </w:p>
    <w:p w14:paraId="2501A14E" w14:textId="75FD7947" w:rsidR="00414EBC" w:rsidRDefault="00414EBC" w:rsidP="00414EBC">
      <w:pPr>
        <w:jc w:val="center"/>
        <w:rPr>
          <w:b/>
          <w:bCs/>
        </w:rPr>
      </w:pPr>
    </w:p>
    <w:p w14:paraId="4CE0466B" w14:textId="72358FBF" w:rsidR="00414EBC" w:rsidRPr="00FD52DB" w:rsidRDefault="00414EBC" w:rsidP="00414EBC">
      <w:pPr>
        <w:jc w:val="center"/>
        <w:rPr>
          <w:rFonts w:eastAsia="Times New Roman"/>
          <w:b/>
          <w:bCs/>
        </w:rPr>
      </w:pPr>
      <w:r w:rsidRPr="00FD52DB">
        <w:rPr>
          <w:rFonts w:eastAsia="Times New Roman"/>
          <w:b/>
          <w:bCs/>
        </w:rPr>
        <w:t>Targeting the Cryptic W</w:t>
      </w:r>
      <w:r w:rsidR="00DB6AED">
        <w:rPr>
          <w:rFonts w:eastAsia="Times New Roman"/>
          <w:b/>
          <w:bCs/>
        </w:rPr>
        <w:t>-</w:t>
      </w:r>
      <w:r w:rsidRPr="00FD52DB">
        <w:rPr>
          <w:rFonts w:eastAsia="Times New Roman"/>
          <w:b/>
          <w:bCs/>
        </w:rPr>
        <w:t>F Pocket of the PLK1 Polo-Box Domain with Thymoquinone Derivatives</w:t>
      </w:r>
    </w:p>
    <w:p w14:paraId="52FA4971" w14:textId="77777777" w:rsidR="00414EBC" w:rsidRPr="00FD52DB" w:rsidRDefault="00414EBC" w:rsidP="00414EBC">
      <w:pPr>
        <w:rPr>
          <w:rFonts w:eastAsia="Times New Roman"/>
          <w:b/>
          <w:bCs/>
        </w:rPr>
      </w:pPr>
    </w:p>
    <w:p w14:paraId="78B6F371" w14:textId="77777777" w:rsidR="00DB6AED" w:rsidRPr="00427B5D" w:rsidRDefault="00DB6AED" w:rsidP="00DB6AED">
      <w:r w:rsidRPr="00B30CDE">
        <w:t xml:space="preserve">Saadet </w:t>
      </w:r>
      <w:proofErr w:type="spellStart"/>
      <w:proofErr w:type="gramStart"/>
      <w:r w:rsidRPr="00B30CDE">
        <w:t>Kumas,</w:t>
      </w:r>
      <w:r w:rsidRPr="00B30CDE">
        <w:rPr>
          <w:vertAlign w:val="superscript"/>
        </w:rPr>
        <w:t>a</w:t>
      </w:r>
      <w:proofErr w:type="spellEnd"/>
      <w:proofErr w:type="gramEnd"/>
      <w:r w:rsidRPr="00B30CDE">
        <w:t xml:space="preserve"> Safura </w:t>
      </w:r>
      <w:proofErr w:type="spellStart"/>
      <w:proofErr w:type="gramStart"/>
      <w:r w:rsidRPr="00B30CDE">
        <w:t>Siddiqui,</w:t>
      </w:r>
      <w:r w:rsidRPr="00B30CDE">
        <w:rPr>
          <w:vertAlign w:val="superscript"/>
        </w:rPr>
        <w:t>b</w:t>
      </w:r>
      <w:proofErr w:type="spellEnd"/>
      <w:proofErr w:type="gramEnd"/>
      <w:r w:rsidRPr="00B30CDE">
        <w:t xml:space="preserve"> Nina </w:t>
      </w:r>
      <w:proofErr w:type="spellStart"/>
      <w:proofErr w:type="gramStart"/>
      <w:r w:rsidRPr="00B30CDE">
        <w:t>Shupp,</w:t>
      </w:r>
      <w:r w:rsidRPr="00B30CDE">
        <w:rPr>
          <w:vertAlign w:val="superscript"/>
        </w:rPr>
        <w:t>c</w:t>
      </w:r>
      <w:proofErr w:type="spellEnd"/>
      <w:proofErr w:type="gramEnd"/>
      <w:r w:rsidRPr="00B30CDE">
        <w:t xml:space="preserve"> Melek Elik</w:t>
      </w:r>
      <w:r w:rsidRPr="00B30CDE">
        <w:rPr>
          <w:vertAlign w:val="superscript"/>
        </w:rPr>
        <w:t>d</w:t>
      </w:r>
      <w:r>
        <w:t xml:space="preserve"> and </w:t>
      </w:r>
      <w:r w:rsidRPr="00427B5D">
        <w:t xml:space="preserve">Leyla </w:t>
      </w:r>
      <w:proofErr w:type="spellStart"/>
      <w:proofErr w:type="gramStart"/>
      <w:r w:rsidRPr="00427B5D">
        <w:t>Ucmakli,</w:t>
      </w:r>
      <w:r w:rsidRPr="00427B5D">
        <w:rPr>
          <w:vertAlign w:val="superscript"/>
        </w:rPr>
        <w:t>e</w:t>
      </w:r>
      <w:proofErr w:type="spellEnd"/>
      <w:proofErr w:type="gramEnd"/>
    </w:p>
    <w:p w14:paraId="1DA61E47" w14:textId="77777777" w:rsidR="00DB6AED" w:rsidRPr="00B30CDE" w:rsidRDefault="00DB6AED" w:rsidP="00DB6AED">
      <w:pPr>
        <w:rPr>
          <w:vertAlign w:val="superscript"/>
        </w:rPr>
      </w:pPr>
    </w:p>
    <w:p w14:paraId="08E456BF" w14:textId="77777777" w:rsidR="00DB6AED" w:rsidRPr="00B30CDE" w:rsidRDefault="00DB6AED" w:rsidP="00DB6AED">
      <w:pPr>
        <w:pStyle w:val="ListParagraph"/>
        <w:numPr>
          <w:ilvl w:val="0"/>
          <w:numId w:val="1"/>
        </w:numPr>
      </w:pPr>
      <w:r w:rsidRPr="00B30CDE">
        <w:t xml:space="preserve">Deep Run High School, 4801 Twin Hickory Rd, Glen Allen, VA, 23059, USA; </w:t>
      </w:r>
      <w:hyperlink r:id="rId5" w:history="1">
        <w:r w:rsidRPr="00D54AC7">
          <w:rPr>
            <w:rStyle w:val="Hyperlink"/>
          </w:rPr>
          <w:t>saadetkumas40@gmail.com</w:t>
        </w:r>
      </w:hyperlink>
      <w:r>
        <w:t xml:space="preserve"> </w:t>
      </w:r>
    </w:p>
    <w:p w14:paraId="3AE0A5C5" w14:textId="77777777" w:rsidR="00DB6AED" w:rsidRPr="00B30CDE" w:rsidRDefault="00DB6AED" w:rsidP="00DB6AED">
      <w:pPr>
        <w:pStyle w:val="ListParagraph"/>
        <w:numPr>
          <w:ilvl w:val="0"/>
          <w:numId w:val="1"/>
        </w:numPr>
      </w:pPr>
      <w:r w:rsidRPr="00B30CDE">
        <w:t xml:space="preserve">Dominion High School, 21326 Augusta Dr, Sterling, VA, 20164, USA; </w:t>
      </w:r>
      <w:hyperlink r:id="rId6" w:history="1">
        <w:r w:rsidRPr="00D54AC7">
          <w:rPr>
            <w:rStyle w:val="Hyperlink"/>
          </w:rPr>
          <w:t>safurasid09@gmail.com</w:t>
        </w:r>
      </w:hyperlink>
      <w:r>
        <w:t xml:space="preserve"> </w:t>
      </w:r>
    </w:p>
    <w:p w14:paraId="57443BE0" w14:textId="77777777" w:rsidR="00DB6AED" w:rsidRPr="00B30CDE" w:rsidRDefault="00DB6AED" w:rsidP="00DB6AED">
      <w:pPr>
        <w:pStyle w:val="ListParagraph"/>
        <w:numPr>
          <w:ilvl w:val="0"/>
          <w:numId w:val="1"/>
        </w:numPr>
      </w:pPr>
      <w:r w:rsidRPr="00B30CDE">
        <w:t xml:space="preserve">Fairfax High School, 5540 Ashleigh Rd, Fairfax, VA, 22030, USA; </w:t>
      </w:r>
      <w:hyperlink r:id="rId7">
        <w:r w:rsidRPr="00B30CDE">
          <w:rPr>
            <w:rStyle w:val="Hyperlink"/>
          </w:rPr>
          <w:t>ntshupp@gmail.com</w:t>
        </w:r>
      </w:hyperlink>
    </w:p>
    <w:p w14:paraId="6FB9DAE3" w14:textId="77777777" w:rsidR="00DB6AED" w:rsidRDefault="00DB6AED" w:rsidP="00DB6AED">
      <w:pPr>
        <w:pStyle w:val="ListParagraph"/>
        <w:numPr>
          <w:ilvl w:val="0"/>
          <w:numId w:val="1"/>
        </w:numPr>
      </w:pPr>
      <w:r w:rsidRPr="00B30CDE">
        <w:t xml:space="preserve">Fort Lee High School, 3000 Lemoine Avenue, Fort Lee, NJ 07024; </w:t>
      </w:r>
      <w:hyperlink r:id="rId8">
        <w:r w:rsidRPr="00B30CDE">
          <w:rPr>
            <w:rStyle w:val="Hyperlink"/>
          </w:rPr>
          <w:t>melekelik09@gmail.com</w:t>
        </w:r>
      </w:hyperlink>
    </w:p>
    <w:p w14:paraId="480F207D" w14:textId="77777777" w:rsidR="00DB6AED" w:rsidRPr="00B30CDE" w:rsidRDefault="00DB6AED" w:rsidP="00DB6AED">
      <w:pPr>
        <w:pStyle w:val="ListParagraph"/>
        <w:numPr>
          <w:ilvl w:val="0"/>
          <w:numId w:val="1"/>
        </w:numPr>
      </w:pPr>
      <w:r w:rsidRPr="00427B5D">
        <w:t>James Caldwell High School, 265 Westville Avenue, West Caldwell</w:t>
      </w:r>
      <w:r>
        <w:t>,</w:t>
      </w:r>
      <w:r w:rsidRPr="00427B5D">
        <w:t xml:space="preserve"> NJ 07006; </w:t>
      </w:r>
      <w:hyperlink r:id="rId9" w:history="1">
        <w:r w:rsidRPr="00D54AC7">
          <w:rPr>
            <w:rStyle w:val="Hyperlink"/>
          </w:rPr>
          <w:t>zehraleyla872@gmail.com</w:t>
        </w:r>
      </w:hyperlink>
      <w:r>
        <w:t xml:space="preserve"> </w:t>
      </w:r>
    </w:p>
    <w:p w14:paraId="1CFCB35D" w14:textId="77777777" w:rsidR="00DB6AED" w:rsidRPr="00FD52DB" w:rsidRDefault="00DB6AED" w:rsidP="00414EBC">
      <w:pPr>
        <w:rPr>
          <w:rFonts w:eastAsia="Times New Roman"/>
          <w:b/>
          <w:bCs/>
        </w:rPr>
      </w:pPr>
    </w:p>
    <w:p w14:paraId="1F6F5171" w14:textId="77777777" w:rsidR="00414EBC" w:rsidRPr="00FD52DB" w:rsidRDefault="00414EBC" w:rsidP="00414EBC">
      <w:pPr>
        <w:rPr>
          <w:rFonts w:eastAsia="Times New Roman"/>
        </w:rPr>
      </w:pPr>
      <w:r w:rsidRPr="00FD52DB">
        <w:rPr>
          <w:rFonts w:eastAsia="Times New Roman"/>
          <w:b/>
          <w:bCs/>
        </w:rPr>
        <w:t>Mentor</w:t>
      </w:r>
      <w:r w:rsidRPr="00FD52DB">
        <w:rPr>
          <w:rFonts w:eastAsia="Times New Roman"/>
        </w:rPr>
        <w:t>: Dr. Monsurat Lawal (</w:t>
      </w:r>
      <w:hyperlink r:id="rId10">
        <w:r w:rsidRPr="00FD52DB">
          <w:rPr>
            <w:rFonts w:eastAsia="Times New Roman"/>
            <w:color w:val="0000EE"/>
            <w:u w:val="single"/>
          </w:rPr>
          <w:t>mlawal@metrotechinstitute.org</w:t>
        </w:r>
      </w:hyperlink>
      <w:r w:rsidRPr="00FD52DB">
        <w:rPr>
          <w:rFonts w:eastAsia="Times New Roman"/>
        </w:rPr>
        <w:t>)</w:t>
      </w:r>
    </w:p>
    <w:p w14:paraId="069D272C" w14:textId="77777777" w:rsidR="002F1319" w:rsidRDefault="002F1319"/>
    <w:p w14:paraId="4D384D8F" w14:textId="77777777" w:rsidR="00880570" w:rsidRDefault="00880570"/>
    <w:p w14:paraId="6D883B42" w14:textId="3D5EBA25" w:rsidR="004D4564" w:rsidRPr="003B6B69" w:rsidRDefault="004D4564" w:rsidP="004D4564">
      <w:pPr>
        <w:rPr>
          <w:lang w:val="en-US"/>
        </w:rPr>
      </w:pPr>
      <w:r w:rsidRPr="00B30CDE">
        <w:rPr>
          <w:b/>
          <w:bCs/>
        </w:rPr>
        <w:t xml:space="preserve">Figure S1. </w:t>
      </w:r>
      <w:r w:rsidRPr="002C68C8">
        <w:rPr>
          <w:i/>
          <w:iCs/>
          <w:lang w:val="en-US"/>
        </w:rPr>
        <w:t>Comprehensive in silico toxicity profiling of the 40 thymoquinone derivatives. (</w:t>
      </w:r>
      <w:r w:rsidRPr="002C68C8">
        <w:rPr>
          <w:b/>
          <w:bCs/>
          <w:i/>
          <w:iCs/>
          <w:lang w:val="en-US"/>
        </w:rPr>
        <w:t>a</w:t>
      </w:r>
      <w:r w:rsidRPr="002C68C8">
        <w:rPr>
          <w:i/>
          <w:iCs/>
          <w:lang w:val="en-US"/>
        </w:rPr>
        <w:t>)</w:t>
      </w:r>
      <w:r w:rsidRPr="002C68C8">
        <w:rPr>
          <w:b/>
          <w:bCs/>
          <w:i/>
          <w:iCs/>
          <w:lang w:val="en-US"/>
        </w:rPr>
        <w:t xml:space="preserve"> </w:t>
      </w:r>
      <w:r w:rsidRPr="002C68C8">
        <w:rPr>
          <w:i/>
          <w:iCs/>
          <w:lang w:val="en-US"/>
        </w:rPr>
        <w:t xml:space="preserve">A heatmap visualization of toxicity probability scores across diverse biological endpoints. The compounds on the x-axis are arranged according to </w:t>
      </w:r>
      <w:r>
        <w:rPr>
          <w:i/>
          <w:iCs/>
          <w:lang w:val="en-US"/>
        </w:rPr>
        <w:t>W</w:t>
      </w:r>
      <w:r w:rsidRPr="002C68C8">
        <w:rPr>
          <w:i/>
          <w:iCs/>
          <w:lang w:val="en-US"/>
        </w:rPr>
        <w:t>ard-linkage hierarchical clustering to group similar toxicity profiles, while the y-axis lists specific toxicity endpoints. The color scale ranges from white/light yellow (0.0 probability) to dark red (1.0 probability), indicating high risk. Notable clusters of high toxicity probability (dark red) are observed for Human hepatotoxicity, Nephrotoxicity, and Genotoxicity. (</w:t>
      </w:r>
      <w:r w:rsidRPr="002C68C8">
        <w:rPr>
          <w:b/>
          <w:bCs/>
          <w:i/>
          <w:iCs/>
          <w:lang w:val="en-US"/>
        </w:rPr>
        <w:t>b</w:t>
      </w:r>
      <w:r w:rsidRPr="002C68C8">
        <w:rPr>
          <w:i/>
          <w:iCs/>
          <w:lang w:val="en-US"/>
        </w:rPr>
        <w:t>) Box plots displaying the distribution of ecotoxicity metrics on a log scale. The endpoints include Bioconcentration Factor (BCF), Inhibitory Growth Concentration (IGC</w:t>
      </w:r>
      <w:r w:rsidRPr="002C68C8">
        <w:rPr>
          <w:i/>
          <w:iCs/>
          <w:vertAlign w:val="subscript"/>
          <w:lang w:val="en-US"/>
        </w:rPr>
        <w:t>50</w:t>
      </w:r>
      <w:r w:rsidRPr="002C68C8">
        <w:rPr>
          <w:i/>
          <w:iCs/>
          <w:lang w:val="en-US"/>
        </w:rPr>
        <w:t>), and Lethal Concentration values for Daphnia Magna (LC</w:t>
      </w:r>
      <w:r w:rsidRPr="002C68C8">
        <w:rPr>
          <w:i/>
          <w:iCs/>
          <w:vertAlign w:val="subscript"/>
          <w:lang w:val="en-US"/>
        </w:rPr>
        <w:t>50</w:t>
      </w:r>
      <w:r w:rsidRPr="002C68C8">
        <w:rPr>
          <w:i/>
          <w:iCs/>
          <w:lang w:val="en-US"/>
        </w:rPr>
        <w:t>DM) and Fathead Minnow (LC</w:t>
      </w:r>
      <w:r w:rsidRPr="002C68C8">
        <w:rPr>
          <w:i/>
          <w:iCs/>
          <w:vertAlign w:val="subscript"/>
          <w:lang w:val="en-US"/>
        </w:rPr>
        <w:t>50</w:t>
      </w:r>
      <w:r w:rsidRPr="002C68C8">
        <w:rPr>
          <w:i/>
          <w:iCs/>
          <w:lang w:val="en-US"/>
        </w:rPr>
        <w:t>FM). (</w:t>
      </w:r>
      <w:r w:rsidRPr="002C68C8">
        <w:rPr>
          <w:b/>
          <w:bCs/>
          <w:i/>
          <w:iCs/>
          <w:lang w:val="en-US"/>
        </w:rPr>
        <w:t>c</w:t>
      </w:r>
      <w:r w:rsidRPr="002C68C8">
        <w:rPr>
          <w:i/>
          <w:iCs/>
          <w:lang w:val="en-US"/>
        </w:rPr>
        <w:t xml:space="preserve">) A horizontal bar chart summarizing the mean probability scores (± SEM) for systemic toxicity endpoints. Bars are color-coded based on risk: red indicates a mean score &gt; 0.5 (concern), while blue indicates a mean score &lt; 0.5 (low concern). "Skin sensitization" exhibits the highest probability score (near 1.0), followed by Nephrotoxicity and Human hepatotoxicity. Conversely, </w:t>
      </w:r>
      <w:proofErr w:type="spellStart"/>
      <w:r w:rsidRPr="002C68C8">
        <w:rPr>
          <w:i/>
          <w:iCs/>
          <w:lang w:val="en-US"/>
        </w:rPr>
        <w:t>hERG</w:t>
      </w:r>
      <w:proofErr w:type="spellEnd"/>
      <w:r w:rsidRPr="002C68C8">
        <w:rPr>
          <w:i/>
          <w:iCs/>
          <w:lang w:val="en-US"/>
        </w:rPr>
        <w:t xml:space="preserve"> and Respiratory toxicity show low mean scores. (</w:t>
      </w:r>
      <w:r w:rsidRPr="002C68C8">
        <w:rPr>
          <w:b/>
          <w:bCs/>
          <w:i/>
          <w:iCs/>
          <w:lang w:val="en-US"/>
        </w:rPr>
        <w:t>d</w:t>
      </w:r>
      <w:r w:rsidRPr="002C68C8">
        <w:rPr>
          <w:i/>
          <w:iCs/>
          <w:lang w:val="en-US"/>
        </w:rPr>
        <w:t>) Violin plots illustrating the probability scores for interactions with various Nuclear Receptors (teal) and Stress Response pathways (orange). A red dashed line marks the 0.5 probability threshold. Most pathways show low probability scores concentrated near zero, though NR-ER and SR-ARE show wider distributions with some compounds reaching higher probability values. (</w:t>
      </w:r>
      <w:r w:rsidRPr="002C68C8">
        <w:rPr>
          <w:b/>
          <w:bCs/>
          <w:i/>
          <w:iCs/>
          <w:lang w:val="en-US"/>
        </w:rPr>
        <w:t>e</w:t>
      </w:r>
      <w:r w:rsidRPr="002C68C8">
        <w:rPr>
          <w:i/>
          <w:iCs/>
          <w:lang w:val="en-US"/>
        </w:rPr>
        <w:t>) A stacked bar chart quantifying the number of compounds falling into specific safety classification categories.</w:t>
      </w:r>
      <w:r w:rsidRPr="003B6B69">
        <w:rPr>
          <w:lang w:val="en-US"/>
        </w:rPr>
        <w:t xml:space="preserve"> </w:t>
      </w:r>
    </w:p>
    <w:p w14:paraId="2DE2B6B6" w14:textId="77777777" w:rsidR="004D4564" w:rsidRDefault="004D4564"/>
    <w:p w14:paraId="55F46B12" w14:textId="77777777" w:rsidR="002F1319" w:rsidRDefault="00000000">
      <w:r>
        <w:rPr>
          <w:noProof/>
        </w:rPr>
        <w:lastRenderedPageBreak/>
        <w:drawing>
          <wp:inline distT="114300" distB="114300" distL="114300" distR="114300" wp14:anchorId="1CBC7233" wp14:editId="67534497">
            <wp:extent cx="5943600" cy="539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71E7A" w14:textId="77777777" w:rsidR="003B6B69" w:rsidRDefault="003B6B69" w:rsidP="001657A1"/>
    <w:sectPr w:rsidR="003B6B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0CEFE39-4C23-A94F-BADE-237B827A2D7F}"/>
    <w:embedBold r:id="rId2" w:fontKey="{ADDF97EF-928B-414E-A0D9-E7F921F9053A}"/>
    <w:embedItalic r:id="rId3" w:fontKey="{3582E95F-BCAB-1D49-9913-F06BA510CB1D}"/>
    <w:embedBoldItalic r:id="rId4" w:fontKey="{16850950-A50C-8548-81CE-B968745F20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60D9C894-3B4D-A24F-AC08-49738AA700E9}"/>
    <w:embedBold r:id="rId6" w:fontKey="{0B8B0027-D6E6-8E46-8820-F08B6668C6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73F32C7-8F0E-284B-9120-8C028CCAD9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4308FCA-061A-C046-B481-10D43469F1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C1E2E"/>
    <w:multiLevelType w:val="hybridMultilevel"/>
    <w:tmpl w:val="FF448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3305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319"/>
    <w:rsid w:val="001657A1"/>
    <w:rsid w:val="002C68C8"/>
    <w:rsid w:val="002F1319"/>
    <w:rsid w:val="003B6B69"/>
    <w:rsid w:val="00414EBC"/>
    <w:rsid w:val="004453B5"/>
    <w:rsid w:val="00491479"/>
    <w:rsid w:val="004D4564"/>
    <w:rsid w:val="00880570"/>
    <w:rsid w:val="00CA2DF4"/>
    <w:rsid w:val="00D949A1"/>
    <w:rsid w:val="00DB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9D433C"/>
  <w15:docId w15:val="{3CEB6343-9328-8749-BC03-B87DD726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14EB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4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ekelik09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tshupp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furasid09@gmail.com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saadetkumas40@gmail.com" TargetMode="External"/><Relationship Id="rId10" Type="http://schemas.openxmlformats.org/officeDocument/2006/relationships/hyperlink" Target="mailto:mlawal@metrotechinstitut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ehraleyla872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409</Words>
  <Characters>2389</Characters>
  <Application>Microsoft Office Word</Application>
  <DocSecurity>0</DocSecurity>
  <Lines>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Monsurat Motunrayo Lawal</cp:lastModifiedBy>
  <cp:revision>9</cp:revision>
  <dcterms:created xsi:type="dcterms:W3CDTF">2026-09-06T21:24:00Z</dcterms:created>
  <dcterms:modified xsi:type="dcterms:W3CDTF">2026-09-08T03:48:00Z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dd5d1939d890b07f99d086470bee64013a8b067b7185ec6a120c99b1cbb6629e</vt:lpwstr>
  </property>
</Properties>
</file>