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360"/>
        <w:jc w:val="center"/>
      </w:pPr>
      <w:r>
        <w:rPr>
          <w:rFonts w:ascii="Noto Sans CJK SC" w:hAnsi="Noto Sans CJK SC" w:eastAsia="Noto Sans CJK SC" w:cs="Noto Sans CJK SC"/>
          <w:b/>
          <w:color w:val="7A5A00"/>
          <w:sz w:val="22"/>
        </w:rPr>
        <w:t>研究总结与开发交接</w:t>
      </w:r>
    </w:p>
    <w:p>
      <w:pPr>
        <w:pStyle w:val="Title"/>
        <w:keepLines/>
        <w:jc w:val="center"/>
      </w:pPr>
      <w:r>
        <w:rPr>
          <w:rFonts w:ascii="Noto Sans CJK SC" w:hAnsi="Noto Sans CJK SC" w:eastAsia="Noto Sans CJK SC" w:cs="Noto Sans CJK SC"/>
          <w:b/>
          <w:color w:val="17324D"/>
          <w:sz w:val="56"/>
        </w:rPr>
        <w:t>生成式三维地质建模与</w:t>
        <w:br/>
        <w:t>地球物理引导研究总结</w:t>
      </w:r>
    </w:p>
    <w:p>
      <w:pPr>
        <w:pStyle w:val="Subtitle"/>
        <w:spacing w:after="560"/>
        <w:jc w:val="center"/>
      </w:pPr>
      <w:r>
        <w:rPr>
          <w:rFonts w:ascii="Noto Sans CJK SC" w:hAnsi="Noto Sans CJK SC" w:eastAsia="Noto Sans CJK SC" w:cs="Noto Sans CJK SC"/>
          <w:color w:val="1F4D78"/>
          <w:sz w:val="28"/>
        </w:rPr>
        <w:t>基于 flow2 条件流匹配模型的推理阶段引导方案</w:t>
      </w:r>
    </w:p>
    <w:p>
      <w:pPr>
        <w:spacing w:after="1800"/>
        <w:jc w:val="center"/>
      </w:pPr>
      <w:r>
        <w:rPr>
          <w:rFonts w:ascii="Noto Sans CJK SC" w:hAnsi="Noto Sans CJK SC" w:eastAsia="Noto Sans CJK SC" w:cs="Noto Sans CJK SC"/>
          <w:i/>
          <w:color w:val="5B6573"/>
          <w:sz w:val="21"/>
        </w:rPr>
        <w:t>对话内容精简整合版</w:t>
      </w:r>
    </w:p>
    <w:p>
      <w:pPr>
        <w:spacing w:after="80"/>
        <w:jc w:val="center"/>
      </w:pPr>
      <w:r>
        <w:rPr>
          <w:rFonts w:ascii="Noto Sans CJK SC" w:hAnsi="Noto Sans CJK SC" w:eastAsia="Noto Sans CJK SC" w:cs="Noto Sans CJK SC"/>
          <w:b/>
          <w:color w:val="17324D"/>
          <w:sz w:val="21"/>
        </w:rPr>
        <w:t>项目：MCY / flow2</w:t>
      </w:r>
    </w:p>
    <w:p>
      <w:pPr>
        <w:spacing w:after="80"/>
        <w:jc w:val="center"/>
      </w:pPr>
      <w:r>
        <w:rPr>
          <w:rFonts w:ascii="Noto Sans CJK SC" w:hAnsi="Noto Sans CJK SC" w:eastAsia="Noto Sans CJK SC" w:cs="Noto Sans CJK SC"/>
          <w:color w:val="17324D"/>
          <w:sz w:val="21"/>
        </w:rPr>
        <w:t>状态：阶段0已完成，阶段1待开发</w:t>
      </w:r>
    </w:p>
    <w:p>
      <w:pPr>
        <w:jc w:val="center"/>
      </w:pPr>
      <w:r>
        <w:rPr>
          <w:rFonts w:ascii="Noto Sans CJK SC" w:hAnsi="Noto Sans CJK SC" w:eastAsia="Noto Sans CJK SC" w:cs="Noto Sans CJK SC"/>
          <w:color w:val="5B6573"/>
          <w:sz w:val="20"/>
        </w:rPr>
        <w:t>更新日期：2026-07-26</w:t>
      </w:r>
    </w:p>
    <w:p>
      <w:r>
        <w:br w:type="page"/>
      </w:r>
    </w:p>
    <w:p>
      <w:pPr>
        <w:pStyle w:val="Heading1"/>
        <w:keepNext/>
        <w:keepLines w:val="0"/>
      </w:pPr>
      <w:r>
        <w:rPr>
          <w:rFonts w:ascii="Noto Sans CJK SC" w:hAnsi="Noto Sans CJK SC" w:eastAsia="Noto Sans CJK SC" w:cs="Noto Sans CJK SC"/>
        </w:rPr>
        <w:t>结论先行</w:t>
      </w:r>
    </w:p>
    <w:p>
      <w:pPr>
        <w:shd w:fill="E8F3EE" w:val="clear"/>
        <w:keepNext w:val="0"/>
        <w:keepLines/>
        <w:pBdr>
          <w:left w:val="single" w:sz="16" w:space="8" w:color="2E7D5B"/>
        </w:pBdr>
        <w:spacing w:before="100" w:after="160" w:line="288" w:lineRule="auto"/>
        <w:ind w:left="202" w:right="115"/>
      </w:pPr>
      <w:r>
        <w:rPr>
          <w:rFonts w:ascii="Noto Sans CJK SC" w:hAnsi="Noto Sans CJK SC" w:eastAsia="Noto Sans CJK SC" w:cs="Noto Sans CJK SC"/>
          <w:b/>
          <w:color w:val="2E7D5B"/>
          <w:sz w:val="21"/>
        </w:rPr>
        <w:t xml:space="preserve">项目总目标  </w:t>
      </w:r>
      <w:r>
        <w:rPr>
          <w:rFonts w:ascii="Noto Sans CJK SC" w:hAnsi="Noto Sans CJK SC" w:eastAsia="Noto Sans CJK SC" w:cs="Noto Sans CJK SC"/>
          <w:color w:val="17324D"/>
          <w:sz w:val="21"/>
        </w:rPr>
        <w:t>把已训练的 flow2 条件三维生成模型作为地质结构先验，在不重训练、不修改 3D U-Net 和 checkpoint 的前提下，通过推理阶段可微引导融合稀疏钻井、地表条件与全局地球物理信息，生成多组既满足观测、又保持地质合理性的三维离散模型，并量化结构不确定性。</w:t>
      </w:r>
    </w:p>
    <w:p>
      <w:pPr>
        <w:spacing w:before="0" w:after="120" w:line="300" w:lineRule="auto"/>
        <w:jc w:val="both"/>
      </w:pPr>
      <w:r>
        <w:rPr>
          <w:rFonts w:ascii="Noto Sans CJK SC" w:hAnsi="Noto Sans CJK SC" w:eastAsia="Noto Sans CJK SC" w:cs="Noto Sans CJK SC"/>
          <w:i w:val="0"/>
          <w:sz w:val="21"/>
        </w:rPr>
        <w:t>当前最关键的研究问题不是“能否降低某个连续 residual”，而是“全局信息能否让 soft 连续状态真正跨过类别决策边界，从而正确改变 hard-label 岩体的体积、位置、延伸和连通性”。因此，所有实验必须以严格配对的硬标签和几何指标为主，连续损失只作为机制诊断。</w:t>
      </w:r>
    </w:p>
    <w:p>
      <w:pPr>
        <w:spacing w:before="0" w:after="120" w:line="300" w:lineRule="auto"/>
        <w:jc w:val="both"/>
      </w:pPr>
      <w:r>
        <w:rPr>
          <w:rFonts w:ascii="Noto Sans CJK SC" w:hAnsi="Noto Sans CJK SC" w:eastAsia="Noto Sans CJK SC" w:cs="Noto Sans CJK SC"/>
          <w:i w:val="0"/>
          <w:sz w:val="21"/>
        </w:rPr>
        <w:t>总体路线采用证据由强到弱、现实性由低到高的递进设计：先用真值构造三维概率体做机制上限实验，再使用全类别物性体，随后把真值物性退化成模糊、低分辨率、含噪的 smooth 三维属性体，最后再与二维地表正演场联合。阶段0已经完成工程基线冻结；下一步应进入阶段1，而不是继续围绕当前二维重力系数进行大范围搜索。</w:t>
      </w:r>
    </w:p>
    <w:p>
      <w:pPr>
        <w:pStyle w:val="Heading1"/>
        <w:keepNext/>
        <w:keepLines w:val="0"/>
      </w:pPr>
      <w:r>
        <w:rPr>
          <w:rFonts w:ascii="Noto Sans CJK SC" w:hAnsi="Noto Sans CJK SC" w:eastAsia="Noto Sans CJK SC" w:cs="Noto Sans CJK SC"/>
        </w:rPr>
        <w:t>阅读导航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Noto Sans CJK SC" w:hAnsi="Noto Sans CJK SC" w:eastAsia="Noto Sans CJK SC" w:cs="Noto Sans CJK SC"/>
          <w:sz w:val="21"/>
        </w:rPr>
        <w:t>研究起点、总目标与核心科学问题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Noto Sans CJK SC" w:hAnsi="Noto Sans CJK SC" w:eastAsia="Noto Sans CJK SC" w:cs="Noto Sans CJK SC"/>
          <w:sz w:val="21"/>
        </w:rPr>
        <w:t>当前系统事实、阶段0结论与二维重力引导诊断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Noto Sans CJK SC" w:hAnsi="Noto Sans CJK SC" w:eastAsia="Noto Sans CJK SC" w:cs="Noto Sans CJK SC"/>
          <w:sz w:val="21"/>
        </w:rPr>
        <w:t>三类全局信息及 smooth 三维属性体的精确定义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Noto Sans CJK SC" w:hAnsi="Noto Sans CJK SC" w:eastAsia="Noto Sans CJK SC" w:cs="Noto Sans CJK SC"/>
          <w:sz w:val="21"/>
        </w:rPr>
        <w:t>推理阶段三维引导公式、保护机制与失败模式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Noto Sans CJK SC" w:hAnsi="Noto Sans CJK SC" w:eastAsia="Noto Sans CJK SC" w:cs="Noto Sans CJK SC"/>
          <w:sz w:val="21"/>
        </w:rPr>
        <w:t>阶段0至阶段5的总体实施路线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Noto Sans CJK SC" w:hAnsi="Noto Sans CJK SC" w:eastAsia="Noto Sans CJK SC" w:cs="Noto Sans CJK SC"/>
          <w:sz w:val="21"/>
        </w:rPr>
        <w:t>阶段1开发规范、实验协议和评价门槛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Noto Sans CJK SC" w:hAnsi="Noto Sans CJK SC" w:eastAsia="Noto Sans CJK SC" w:cs="Noto Sans CJK SC"/>
          <w:sz w:val="21"/>
        </w:rPr>
        <w:t>候选创新点、文献依据、风险边界与下一步</w:t>
      </w:r>
    </w:p>
    <w:p>
      <w:pPr>
        <w:shd w:fill="F4F6F9" w:val="clear"/>
        <w:keepNext w:val="0"/>
        <w:keepLines/>
        <w:pBdr>
          <w:left w:val="single" w:sz="16" w:space="8" w:color="2E74B5"/>
        </w:pBdr>
        <w:spacing w:before="100" w:after="160" w:line="288" w:lineRule="auto"/>
        <w:ind w:left="202" w:right="115"/>
      </w:pPr>
      <w:r>
        <w:rPr>
          <w:rFonts w:ascii="Noto Sans CJK SC" w:hAnsi="Noto Sans CJK SC" w:eastAsia="Noto Sans CJK SC" w:cs="Noto Sans CJK SC"/>
          <w:b/>
          <w:color w:val="2E74B5"/>
          <w:sz w:val="21"/>
        </w:rPr>
        <w:t xml:space="preserve">范围说明  </w:t>
      </w:r>
      <w:r>
        <w:rPr>
          <w:rFonts w:ascii="Noto Sans CJK SC" w:hAnsi="Noto Sans CJK SC" w:eastAsia="Noto Sans CJK SC" w:cs="Noto Sans CJK SC"/>
          <w:color w:val="17324D"/>
          <w:sz w:val="21"/>
        </w:rPr>
        <w:t>本文聚焦生成式三维地质建模项目相关对话。硬件排障、通用 Git 操作和课程讲解等旁支内容不纳入研究路线。对话形成的方案视为项目决策，附件文献仅用于支撑方法定位。</w:t>
      </w:r>
    </w:p>
    <w:p>
      <w:pPr>
        <w:pStyle w:val="Heading1"/>
        <w:keepNext/>
        <w:keepLines w:val="0"/>
      </w:pPr>
      <w:r>
        <w:rPr>
          <w:rFonts w:ascii="Noto Sans CJK SC" w:hAnsi="Noto Sans CJK SC" w:eastAsia="Noto Sans CJK SC" w:cs="Noto Sans CJK SC"/>
        </w:rPr>
        <w:t>1. 研究起点与问题定义</w:t>
      </w:r>
    </w:p>
    <w:p>
      <w:pPr>
        <w:pStyle w:val="Heading2"/>
        <w:keepNext/>
        <w:keepLines w:val="0"/>
      </w:pPr>
      <w:r>
        <w:rPr>
          <w:rFonts w:ascii="Noto Sans CJK SC" w:hAnsi="Noto Sans CJK SC" w:eastAsia="Noto Sans CJK SC" w:cs="Noto Sans CJK SC"/>
        </w:rPr>
        <w:t>1.1 原始模型提供了什么</w:t>
      </w:r>
    </w:p>
    <w:p>
      <w:pPr>
        <w:spacing w:before="0" w:after="120" w:line="300" w:lineRule="auto"/>
        <w:jc w:val="both"/>
      </w:pPr>
      <w:r>
        <w:rPr>
          <w:rFonts w:ascii="Noto Sans CJK SC" w:hAnsi="Noto Sans CJK SC" w:eastAsia="Noto Sans CJK SC" w:cs="Noto Sans CJK SC"/>
          <w:i w:val="0"/>
          <w:sz w:val="21"/>
        </w:rPr>
        <w:t>flow2 来源于 StructuralGeo 合成三维地质数据和条件流匹配框架。模型使用 3D attention U-Net 学习离散岩性体的生成分布，可在地表岩性和稀疏钻井条件下产生多组 64³ 三维实现。其核心价值是提供比单一确定性插值更丰富的地质结构先验，并天然支持集合式不确定性表达。[R1，附件 PDF 第1、14页]</w:t>
      </w:r>
    </w:p>
    <w:p>
      <w:pPr>
        <w:spacing w:before="0" w:after="120" w:line="300" w:lineRule="auto"/>
        <w:jc w:val="both"/>
      </w:pPr>
      <w:r>
        <w:rPr>
          <w:rFonts w:ascii="Noto Sans CJK SC" w:hAnsi="Noto Sans CJK SC" w:eastAsia="Noto Sans CJK SC" w:cs="Noto Sans CJK SC"/>
          <w:i w:val="0"/>
          <w:sz w:val="21"/>
        </w:rPr>
        <w:t>原模型尚未解决的关键问题是：地表和少量钻井只提供局部直接信息，深部重要岩体可能几乎不被钻井命中。此时多个生成结果都能满足局部条件，却在深部形态上差异很大。研究需要引入能够约束全局体积和空间位置的地球物理信息，同时避免把生成先验破坏为不连续或不合理的体素拼接。</w:t>
      </w:r>
    </w:p>
    <w:p>
      <w:pPr>
        <w:pStyle w:val="Heading2"/>
        <w:keepNext/>
        <w:keepLines w:val="0"/>
      </w:pPr>
      <w:r>
        <w:rPr>
          <w:rFonts w:ascii="Noto Sans CJK SC" w:hAnsi="Noto Sans CJK SC" w:eastAsia="Noto Sans CJK SC" w:cs="Noto Sans CJK SC"/>
        </w:rPr>
        <w:t>1.2 核心科学问题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SC" w:hAnsi="Noto Sans CJK SC" w:eastAsia="Noto Sans CJK SC" w:cs="Noto Sans CJK SC"/>
          <w:b/>
          <w:color w:val="17324D"/>
          <w:sz w:val="21"/>
        </w:rPr>
        <w:t>问题1：</w:t>
      </w:r>
      <w:r>
        <w:rPr>
          <w:rFonts w:ascii="Noto Sans CJK SC" w:hAnsi="Noto Sans CJK SC" w:eastAsia="Noto Sans CJK SC" w:cs="Noto Sans CJK SC"/>
          <w:sz w:val="21"/>
        </w:rPr>
        <w:t>可控性。推理阶段的可微梯度能否显著并正确地改变解码后的离散结构，而不只是改变连续 embedding？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SC" w:hAnsi="Noto Sans CJK SC" w:eastAsia="Noto Sans CJK SC" w:cs="Noto Sans CJK SC"/>
          <w:b/>
          <w:color w:val="17324D"/>
          <w:sz w:val="21"/>
        </w:rPr>
        <w:t>问题2：</w:t>
      </w:r>
      <w:r>
        <w:rPr>
          <w:rFonts w:ascii="Noto Sans CJK SC" w:hAnsi="Noto Sans CJK SC" w:eastAsia="Noto Sans CJK SC" w:cs="Noto Sans CJK SC"/>
          <w:sz w:val="21"/>
        </w:rPr>
        <w:t>信息层级。三维概率体、完整三维物性体、反演式 smooth 属性体和二维地表正演场分别能提供什么约束，何时会因非唯一性而失效？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SC" w:hAnsi="Noto Sans CJK SC" w:eastAsia="Noto Sans CJK SC" w:cs="Noto Sans CJK SC"/>
          <w:b/>
          <w:color w:val="17324D"/>
          <w:sz w:val="21"/>
        </w:rPr>
        <w:t>问题3：</w:t>
      </w:r>
      <w:r>
        <w:rPr>
          <w:rFonts w:ascii="Noto Sans CJK SC" w:hAnsi="Noto Sans CJK SC" w:eastAsia="Noto Sans CJK SC" w:cs="Noto Sans CJK SC"/>
          <w:sz w:val="21"/>
        </w:rPr>
        <w:t>先验与观测平衡。如何控制引导强度、时间调度和 trust region，使观测信息进入结果而又不破坏 flow2 学到的地质模式？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SC" w:hAnsi="Noto Sans CJK SC" w:eastAsia="Noto Sans CJK SC" w:cs="Noto Sans CJK SC"/>
          <w:b/>
          <w:color w:val="17324D"/>
          <w:sz w:val="21"/>
        </w:rPr>
        <w:t>问题4：</w:t>
      </w:r>
      <w:r>
        <w:rPr>
          <w:rFonts w:ascii="Noto Sans CJK SC" w:hAnsi="Noto Sans CJK SC" w:eastAsia="Noto Sans CJK SC" w:cs="Noto Sans CJK SC"/>
          <w:sz w:val="21"/>
        </w:rPr>
        <w:t>不确定性。引导后的多实现是否仍具有合理多样性，集合概率体是否能反映数据不足和先验偏差，而不是出现模式坍缩？</w:t>
      </w:r>
    </w:p>
    <w:p>
      <w:pPr>
        <w:pStyle w:val="Heading2"/>
        <w:keepNext/>
        <w:keepLines w:val="0"/>
      </w:pPr>
      <w:r>
        <w:rPr>
          <w:rFonts w:ascii="Noto Sans CJK SC" w:hAnsi="Noto Sans CJK SC" w:eastAsia="Noto Sans CJK SC" w:cs="Noto Sans CJK SC"/>
        </w:rPr>
        <w:t>1.3 冻结的研究边界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SC" w:hAnsi="Noto Sans CJK SC" w:eastAsia="Noto Sans CJK SC" w:cs="Noto Sans CJK SC"/>
          <w:sz w:val="21"/>
        </w:rPr>
        <w:t>flow2 是唯一开发基线；暂不修改训练流程、3D U-Net 架构和现有 checkpoint。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SC" w:hAnsi="Noto Sans CJK SC" w:eastAsia="Noto Sans CJK SC" w:cs="Noto Sans CJK SC"/>
          <w:sz w:val="21"/>
        </w:rPr>
        <w:t>允许修改推理求解器、soft decode、引导损失、梯度控制、条件重投影、日志与评价。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SC" w:hAnsi="Noto Sans CJK SC" w:eastAsia="Noto Sans CJK SC" w:cs="Noto Sans CJK SC"/>
          <w:sz w:val="21"/>
        </w:rPr>
        <w:t>第一阶段是同分布合成数据上的 oracle 机制验证，不对真实地球物理应用作提前宣称。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SC" w:hAnsi="Noto Sans CJK SC" w:eastAsia="Noto Sans CJK SC" w:cs="Noto Sans CJK SC"/>
          <w:sz w:val="21"/>
        </w:rPr>
        <w:t>label 9 仅是 cond_generation_0 中的侵入体/岩脉式目标案例，不是全数据集统一的“岩脉语义”。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SC" w:hAnsi="Noto Sans CJK SC" w:eastAsia="Noto Sans CJK SC" w:cs="Noto Sans CJK SC"/>
          <w:sz w:val="21"/>
        </w:rPr>
        <w:t>任何较低的连续损失都不能替代 hard-label、几何、条件一致性和集合不确定性评价。</w:t>
      </w:r>
    </w:p>
    <w:p>
      <w:pPr>
        <w:pStyle w:val="Heading1"/>
        <w:keepNext/>
        <w:keepLines w:val="0"/>
      </w:pPr>
      <w:r>
        <w:rPr>
          <w:rFonts w:ascii="Noto Sans CJK SC" w:hAnsi="Noto Sans CJK SC" w:eastAsia="Noto Sans CJK SC" w:cs="Noto Sans CJK SC"/>
        </w:rPr>
        <w:t>2. 当前系统、数据与阶段0事实</w:t>
      </w:r>
    </w:p>
    <w:p>
      <w:pPr>
        <w:pStyle w:val="Heading2"/>
        <w:keepNext/>
        <w:keepLines w:val="0"/>
      </w:pPr>
      <w:r>
        <w:rPr>
          <w:rFonts w:ascii="Noto Sans CJK SC" w:hAnsi="Noto Sans CJK SC" w:eastAsia="Noto Sans CJK SC" w:cs="Noto Sans CJK SC"/>
        </w:rPr>
        <w:t>2.1 验证案例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4050"/>
        <w:gridCol w:w="3660"/>
      </w:tblGrid>
      <w:tr>
        <w:trPr>
          <w:tblHeader w:val="true"/>
        </w:trP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4D9E0"/>
              <w:left w:val="single" w:sz="4" w:space="0" w:color="D4D9E0"/>
              <w:bottom w:val="single" w:sz="4" w:space="0" w:color="D4D9E0"/>
              <w:right w:val="single" w:sz="4" w:space="0" w:color="D4D9E0"/>
              <w:insideH w:val="single" w:sz="4" w:space="0" w:color="D4D9E0"/>
              <w:insideV w:val="single" w:sz="4" w:space="0" w:color="D4D9E0"/>
            </w:tcBorders>
            <w:shd w:fill="E8EEF5" w:val="clear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7324D"/>
                <w:sz w:val="18"/>
              </w:rPr>
              <w:t>项目</w:t>
            </w:r>
          </w:p>
        </w:tc>
        <w:tc>
          <w:tcPr>
            <w:tcW w:type="dxa" w:w="40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4D9E0"/>
              <w:left w:val="single" w:sz="4" w:space="0" w:color="D4D9E0"/>
              <w:bottom w:val="single" w:sz="4" w:space="0" w:color="D4D9E0"/>
              <w:right w:val="single" w:sz="4" w:space="0" w:color="D4D9E0"/>
              <w:insideH w:val="single" w:sz="4" w:space="0" w:color="D4D9E0"/>
              <w:insideV w:val="single" w:sz="4" w:space="0" w:color="D4D9E0"/>
            </w:tcBorders>
            <w:shd w:fill="E8EEF5" w:val="clear"/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17324D"/>
                <w:sz w:val="18"/>
              </w:rPr>
              <w:t>已确认事实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4D9E0"/>
              <w:left w:val="single" w:sz="4" w:space="0" w:color="D4D9E0"/>
              <w:bottom w:val="single" w:sz="4" w:space="0" w:color="D4D9E0"/>
              <w:right w:val="single" w:sz="4" w:space="0" w:color="D4D9E0"/>
              <w:insideH w:val="single" w:sz="4" w:space="0" w:color="D4D9E0"/>
              <w:insideV w:val="single" w:sz="4" w:space="0" w:color="D4D9E0"/>
            </w:tcBorders>
            <w:shd w:fill="E8EEF5" w:val="clear"/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17324D"/>
                <w:sz w:val="18"/>
              </w:rPr>
              <w:t>研究含义</w:t>
            </w:r>
          </w:p>
        </w:tc>
      </w:tr>
      <w:tr>
        <w:tc>
          <w:tcPr>
            <w:tcW w:type="dxa" w:w="1650"/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张量</w:t>
            </w:r>
          </w:p>
        </w:tc>
        <w:tc>
          <w:tcPr>
            <w:tcW w:type="dxa" w:w="405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[1, 1, 64, 64, 64]，float32，离散整数值</w:t>
            </w:r>
          </w:p>
        </w:tc>
        <w:tc>
          <w:tcPr>
            <w:tcW w:type="dxa" w:w="366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与模型网格一致</w:t>
            </w:r>
          </w:p>
        </w:tc>
      </w:tr>
      <w:tr>
        <w:tc>
          <w:tcPr>
            <w:tcW w:type="dxa" w:w="1650"/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标签</w:t>
            </w:r>
          </w:p>
        </w:tc>
        <w:tc>
          <w:tcPr>
            <w:tcW w:type="dxa" w:w="405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原始标签 -1 至 13；embedding 索引 0 至 14</w:t>
            </w:r>
          </w:p>
        </w:tc>
        <w:tc>
          <w:tcPr>
            <w:tcW w:type="dxa" w:w="366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实现时必须显式区分</w:t>
            </w:r>
          </w:p>
        </w:tc>
      </w:tr>
      <w:tr>
        <w:tc>
          <w:tcPr>
            <w:tcW w:type="dxa" w:w="1650"/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钻井</w:t>
            </w:r>
          </w:p>
        </w:tc>
        <w:tc>
          <w:tcPr>
            <w:tcW w:type="dxa" w:w="405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9 口完整垂直井；与真值冲突 0</w:t>
            </w:r>
          </w:p>
        </w:tc>
        <w:tc>
          <w:tcPr>
            <w:tcW w:type="dxa" w:w="366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硬条件可严格投影</w:t>
            </w:r>
          </w:p>
        </w:tc>
      </w:tr>
      <w:tr>
        <w:tc>
          <w:tcPr>
            <w:tcW w:type="dxa" w:w="1650"/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未约束区</w:t>
            </w:r>
          </w:p>
        </w:tc>
        <w:tc>
          <w:tcPr>
            <w:tcW w:type="dxa" w:w="405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地下未约束体素 193,037，占 73.64%</w:t>
            </w:r>
          </w:p>
        </w:tc>
        <w:tc>
          <w:tcPr>
            <w:tcW w:type="dxa" w:w="366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局部条件明显不足</w:t>
            </w:r>
          </w:p>
        </w:tc>
      </w:tr>
      <w:tr>
        <w:tc>
          <w:tcPr>
            <w:tcW w:type="dxa" w:w="1650"/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label 9</w:t>
            </w:r>
          </w:p>
        </w:tc>
        <w:tc>
          <w:tcPr>
            <w:tcW w:type="dxa" w:w="405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真值 8,968 体素；钻井仅命中 13 体素</w:t>
            </w:r>
          </w:p>
        </w:tc>
        <w:tc>
          <w:tcPr>
            <w:tcW w:type="dxa" w:w="366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仅覆盖 0.145%</w:t>
            </w:r>
          </w:p>
        </w:tc>
      </w:tr>
      <w:tr>
        <w:tc>
          <w:tcPr>
            <w:tcW w:type="dxa" w:w="1650"/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连通性</w:t>
            </w:r>
          </w:p>
        </w:tc>
        <w:tc>
          <w:tcPr>
            <w:tcW w:type="dxa" w:w="405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label 9 在 6 邻接下 7 个体，26 邻接下 4 个体</w:t>
            </w:r>
          </w:p>
        </w:tc>
        <w:tc>
          <w:tcPr>
            <w:tcW w:type="dxa" w:w="366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适合几何与连通性评价</w:t>
            </w:r>
          </w:p>
        </w:tc>
      </w:tr>
    </w:tbl>
    <w:p>
      <w:pPr>
        <w:spacing w:before="0" w:after="60"/>
      </w:pPr>
    </w:p>
    <w:p>
      <w:pPr>
        <w:spacing w:before="0" w:after="120" w:line="300" w:lineRule="auto"/>
        <w:jc w:val="both"/>
      </w:pPr>
      <w:r>
        <w:rPr>
          <w:rFonts w:ascii="Noto Sans CJK SC" w:hAnsi="Noto Sans CJK SC" w:eastAsia="Noto Sans CJK SC" w:cs="Noto Sans CJK SC"/>
          <w:i w:val="0"/>
          <w:sz w:val="21"/>
        </w:rPr>
        <w:t>该案例几乎没有用钻井直接约束 label 9 的主体，因此非常适合测试“全局信息能否补充稀疏局部条件”。同时，它也是高风险案例：如果目标选择、连通体定义或 ROI 处理不严谨，很容易把其他 label 9 小体误当成主要岩脉。</w:t>
      </w:r>
    </w:p>
    <w:p>
      <w:pPr>
        <w:pStyle w:val="Heading2"/>
        <w:keepNext/>
        <w:keepLines w:val="0"/>
      </w:pPr>
      <w:r>
        <w:rPr>
          <w:rFonts w:ascii="Noto Sans CJK SC" w:hAnsi="Noto Sans CJK SC" w:eastAsia="Noto Sans CJK SC" w:cs="Noto Sans CJK SC"/>
        </w:rPr>
        <w:t>2.2 checkpoint 与推理基线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SC" w:hAnsi="Noto Sans CJK SC" w:eastAsia="Noto Sans CJK SC" w:cs="Noto Sans CJK SC"/>
          <w:sz w:val="21"/>
        </w:rPr>
        <w:t>checkpoint 的 state_dict 有 412 个张量，EMA shadow 有 411 个张量；唯一缺少的是冻结的 embedding.weight。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SC" w:hAnsi="Noto Sans CJK SC" w:eastAsia="Noto Sans CJK SC" w:cs="Noto Sans CJK SC"/>
          <w:sz w:val="21"/>
        </w:rPr>
        <w:t>正确加载策略是：embedding.weight 使用普通 checkpoint 权重，全部 411 个可训练参数使用 EMA；阶段0验证无缺失、无多余和无 shape mismatch。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SC" w:hAnsi="Noto Sans CJK SC" w:eastAsia="Noto Sans CJK SC" w:cs="Noto Sans CJK SC"/>
          <w:sz w:val="21"/>
        </w:rPr>
        <w:t>严格配对实验统一使用 fixed-Euler；历史 adaptive-Dopri5 只作参考和求解器审计，不能与 fixed-Euler 引导结果混用。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SC" w:hAnsi="Noto Sans CJK SC" w:eastAsia="Noto Sans CJK SC" w:cs="Noto Sans CJK SC"/>
          <w:sz w:val="21"/>
        </w:rPr>
        <w:t>baseline 与 guided 必须共享 checkpoint、EMA、输入张量、seed、初始噪声、时间网格、步数和求解器；guidance=0 必须复现 paired baseline。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SC" w:hAnsi="Noto Sans CJK SC" w:eastAsia="Noto Sans CJK SC" w:cs="Noto Sans CJK SC"/>
          <w:sz w:val="21"/>
        </w:rPr>
        <w:t>阶段0相关测试为 17 passed；13 个 warning 均为 Matplotlib/Pyparsing 依赖弃用警告，不是功能失败。</w:t>
      </w:r>
    </w:p>
    <w:p>
      <w:pPr>
        <w:pStyle w:val="Heading2"/>
        <w:keepNext/>
        <w:keepLines w:val="0"/>
      </w:pPr>
      <w:r>
        <w:rPr>
          <w:rFonts w:ascii="Noto Sans CJK SC" w:hAnsi="Noto Sans CJK SC" w:eastAsia="Noto Sans CJK SC" w:cs="Noto Sans CJK SC"/>
        </w:rPr>
        <w:t>2.3 阶段0已经证明和没有证明什么</w:t>
      </w:r>
    </w:p>
    <w:p>
      <w:pPr>
        <w:shd w:fill="E8F3EE" w:val="clear"/>
        <w:keepNext w:val="0"/>
        <w:keepLines/>
        <w:pBdr>
          <w:left w:val="single" w:sz="16" w:space="8" w:color="2E7D5B"/>
        </w:pBdr>
        <w:spacing w:before="100" w:after="160" w:line="288" w:lineRule="auto"/>
        <w:ind w:left="202" w:right="115"/>
      </w:pPr>
      <w:r>
        <w:rPr>
          <w:rFonts w:ascii="Noto Sans CJK SC" w:hAnsi="Noto Sans CJK SC" w:eastAsia="Noto Sans CJK SC" w:cs="Noto Sans CJK SC"/>
          <w:b/>
          <w:color w:val="2E7D5B"/>
          <w:sz w:val="21"/>
        </w:rPr>
        <w:t xml:space="preserve">已经证明  </w:t>
      </w:r>
      <w:r>
        <w:rPr>
          <w:rFonts w:ascii="Noto Sans CJK SC" w:hAnsi="Noto Sans CJK SC" w:eastAsia="Noto Sans CJK SC" w:cs="Noto Sans CJK SC"/>
          <w:color w:val="17324D"/>
          <w:sz w:val="21"/>
        </w:rPr>
        <w:t>权重加载、输入校验、fixed-Euler 严格配对、引导链路和回归测试均可工作；当前差异能够归因于引导，而不是 seed、EMA 或求解器混用。</w:t>
      </w:r>
    </w:p>
    <w:p>
      <w:pPr>
        <w:shd w:fill="FFF6D8" w:val="clear"/>
        <w:keepNext w:val="0"/>
        <w:keepLines/>
        <w:pBdr>
          <w:left w:val="single" w:sz="16" w:space="8" w:color="7A5A00"/>
        </w:pBdr>
        <w:spacing w:before="100" w:after="160" w:line="288" w:lineRule="auto"/>
        <w:ind w:left="202" w:right="115"/>
      </w:pPr>
      <w:r>
        <w:rPr>
          <w:rFonts w:ascii="Noto Sans CJK SC" w:hAnsi="Noto Sans CJK SC" w:eastAsia="Noto Sans CJK SC" w:cs="Noto Sans CJK SC"/>
          <w:b/>
          <w:color w:val="7A5A00"/>
          <w:sz w:val="21"/>
        </w:rPr>
        <w:t xml:space="preserve">尚未证明  </w:t>
      </w:r>
      <w:r>
        <w:rPr>
          <w:rFonts w:ascii="Noto Sans CJK SC" w:hAnsi="Noto Sans CJK SC" w:eastAsia="Noto Sans CJK SC" w:cs="Noto Sans CJK SC"/>
          <w:color w:val="17324D"/>
          <w:sz w:val="21"/>
        </w:rPr>
        <w:t>当前二维重力引导没有证明 label 9 或整体地质结构得到改善；decoded_change_ratio 只表示“改变了多少”，不表示“是否变好”，也没有说明变化是否位于目标岩体。</w:t>
      </w:r>
    </w:p>
    <w:p>
      <w:pPr>
        <w:spacing w:before="0" w:after="120" w:line="300" w:lineRule="auto"/>
        <w:jc w:val="both"/>
      </w:pPr>
      <w:r>
        <w:rPr>
          <w:rFonts w:ascii="Noto Sans CJK SC" w:hAnsi="Noto Sans CJK SC" w:eastAsia="Noto Sans CJK SC" w:cs="Noto Sans CJK SC"/>
          <w:i w:val="0"/>
          <w:sz w:val="21"/>
        </w:rPr>
        <w:t>单样本求解器审计中，adaptive-Dopri5 与 32 步 fixed-Euler 的 decoded 差异为 4.8645%，约 12,752 个体素。相同 fixed-Euler 配对下，二维重力 relative guidance 在 alpha=0.05 时每个样本只改变 27 至 33 个体素，平均 31.25 个，占 0.01192%。求解器差异约是当前引导差异的 408 倍，说明严格配对是必要条件，也说明当前二维引导对 hard structure 的控制极弱。</w:t>
      </w:r>
    </w:p>
    <w:p>
      <w:pPr>
        <w:spacing w:before="0" w:after="120" w:line="300" w:lineRule="auto"/>
        <w:jc w:val="both"/>
      </w:pPr>
      <w:r>
        <w:rPr>
          <w:rFonts w:ascii="Noto Sans CJK SC" w:hAnsi="Noto Sans CJK SC" w:eastAsia="Noto Sans CJK SC" w:cs="Noto Sans CJK SC"/>
          <w:i w:val="0"/>
          <w:sz w:val="21"/>
        </w:rPr>
        <w:t>阶段0仍有一个不阻塞但应补强的审计缺口：配置已记录 observed_gravity.pt 路径，但 observed_gravity_sha256 为空。阶段1应对所有生成后目标体和观测体记录实际文件哈希。</w:t>
      </w:r>
    </w:p>
    <w:p>
      <w:r>
        <w:br w:type="page"/>
      </w:r>
    </w:p>
    <w:p>
      <w:pPr>
        <w:pStyle w:val="Heading1"/>
        <w:keepNext/>
        <w:keepLines w:val="0"/>
      </w:pPr>
      <w:r>
        <w:rPr>
          <w:rFonts w:ascii="Noto Sans CJK SC" w:hAnsi="Noto Sans CJK SC" w:eastAsia="Noto Sans CJK SC" w:cs="Noto Sans CJK SC"/>
        </w:rPr>
        <w:t>3. 必须区分的三类全局信息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60"/>
        <w:gridCol w:w="3060"/>
        <w:gridCol w:w="2260"/>
        <w:gridCol w:w="2280"/>
      </w:tblGrid>
      <w:tr>
        <w:trPr>
          <w:tblHeader w:val="true"/>
        </w:trPr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4D9E0"/>
              <w:left w:val="single" w:sz="4" w:space="0" w:color="D4D9E0"/>
              <w:bottom w:val="single" w:sz="4" w:space="0" w:color="D4D9E0"/>
              <w:right w:val="single" w:sz="4" w:space="0" w:color="D4D9E0"/>
              <w:insideH w:val="single" w:sz="4" w:space="0" w:color="D4D9E0"/>
              <w:insideV w:val="single" w:sz="4" w:space="0" w:color="D4D9E0"/>
            </w:tcBorders>
            <w:shd w:fill="E8EEF5" w:val="clear"/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17324D"/>
                <w:sz w:val="17"/>
              </w:rPr>
              <w:t>信息类型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4D9E0"/>
              <w:left w:val="single" w:sz="4" w:space="0" w:color="D4D9E0"/>
              <w:bottom w:val="single" w:sz="4" w:space="0" w:color="D4D9E0"/>
              <w:right w:val="single" w:sz="4" w:space="0" w:color="D4D9E0"/>
              <w:insideH w:val="single" w:sz="4" w:space="0" w:color="D4D9E0"/>
              <w:insideV w:val="single" w:sz="4" w:space="0" w:color="D4D9E0"/>
            </w:tcBorders>
            <w:shd w:fill="E8EEF5" w:val="clear"/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17324D"/>
                <w:sz w:val="17"/>
              </w:rPr>
              <w:t>定义与作用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4D9E0"/>
              <w:left w:val="single" w:sz="4" w:space="0" w:color="D4D9E0"/>
              <w:bottom w:val="single" w:sz="4" w:space="0" w:color="D4D9E0"/>
              <w:right w:val="single" w:sz="4" w:space="0" w:color="D4D9E0"/>
              <w:insideH w:val="single" w:sz="4" w:space="0" w:color="D4D9E0"/>
              <w:insideV w:val="single" w:sz="4" w:space="0" w:color="D4D9E0"/>
            </w:tcBorders>
            <w:shd w:fill="E8EEF5" w:val="clear"/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17324D"/>
                <w:sz w:val="17"/>
              </w:rPr>
              <w:t>优点</w:t>
            </w:r>
          </w:p>
        </w:tc>
        <w:tc>
          <w:tcPr>
            <w:tcW w:type="dxa" w:w="228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4D9E0"/>
              <w:left w:val="single" w:sz="4" w:space="0" w:color="D4D9E0"/>
              <w:bottom w:val="single" w:sz="4" w:space="0" w:color="D4D9E0"/>
              <w:right w:val="single" w:sz="4" w:space="0" w:color="D4D9E0"/>
              <w:insideH w:val="single" w:sz="4" w:space="0" w:color="D4D9E0"/>
              <w:insideV w:val="single" w:sz="4" w:space="0" w:color="D4D9E0"/>
            </w:tcBorders>
            <w:shd w:fill="E8EEF5" w:val="clear"/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17324D"/>
                <w:sz w:val="17"/>
              </w:rPr>
              <w:t>主要限制</w:t>
            </w:r>
          </w:p>
        </w:tc>
      </w:tr>
      <w:tr>
        <w:tc>
          <w:tcPr>
            <w:tcW w:type="dxa" w:w="176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三维目标概率体</w:t>
            </w:r>
          </w:p>
        </w:tc>
        <w:tc>
          <w:tcPr>
            <w:tcW w:type="dxa" w:w="306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给定目标类别在每个体素的概率或软掩膜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直接约束位置、体积和连通性；最强上限证据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来自真值时属于 oracle，不是真实观测</w:t>
            </w:r>
          </w:p>
        </w:tc>
      </w:tr>
      <w:tr>
        <w:tc>
          <w:tcPr>
            <w:tcW w:type="dxa" w:w="176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三维物性属性体</w:t>
            </w:r>
          </w:p>
        </w:tc>
        <w:tc>
          <w:tcPr>
            <w:tcW w:type="dxa" w:w="306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全类别映射到密度、磁化率或速度后的三维体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覆盖所有类别；可与传统反演属性对应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物性重叠和尺度平滑会增加歧义</w:t>
            </w:r>
          </w:p>
        </w:tc>
      </w:tr>
      <w:tr>
        <w:tc>
          <w:tcPr>
            <w:tcW w:type="dxa" w:w="176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二维地表正演场</w:t>
            </w:r>
          </w:p>
        </w:tc>
        <w:tc>
          <w:tcPr>
            <w:tcW w:type="dxa" w:w="306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由三维物性经重力、磁法等正演得到的地表场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最接近实际采集数据；便于物理一致性检查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深度和形态非唯一性强，能降 residual 但不保证结构正确</w:t>
            </w:r>
          </w:p>
        </w:tc>
      </w:tr>
    </w:tbl>
    <w:p>
      <w:pPr>
        <w:spacing w:before="0" w:after="60"/>
      </w:pPr>
    </w:p>
    <w:p>
      <w:pPr>
        <w:shd w:fill="F4F6F9" w:val="clear"/>
        <w:keepNext w:val="0"/>
        <w:keepLines/>
        <w:pBdr>
          <w:left w:val="single" w:sz="16" w:space="8" w:color="2E74B5"/>
        </w:pBdr>
        <w:spacing w:before="100" w:after="160" w:line="288" w:lineRule="auto"/>
        <w:ind w:left="202" w:right="115"/>
      </w:pPr>
      <w:r>
        <w:rPr>
          <w:rFonts w:ascii="Noto Sans CJK SC" w:hAnsi="Noto Sans CJK SC" w:eastAsia="Noto Sans CJK SC" w:cs="Noto Sans CJK SC"/>
          <w:b/>
          <w:color w:val="2E74B5"/>
          <w:sz w:val="21"/>
        </w:rPr>
        <w:t xml:space="preserve">路线原则  </w:t>
      </w:r>
      <w:r>
        <w:rPr>
          <w:rFonts w:ascii="Noto Sans CJK SC" w:hAnsi="Noto Sans CJK SC" w:eastAsia="Noto Sans CJK SC" w:cs="Noto Sans CJK SC"/>
          <w:color w:val="17324D"/>
          <w:sz w:val="21"/>
        </w:rPr>
        <w:t>三者不能混为同一难度。阶段1先用三维概率体回答“机制能否工作”；阶段2和阶段3回答“物性与 smooth 信息能否工作”；阶段4才回答“与二维观测联合后是否更稳健”。</w:t>
      </w:r>
    </w:p>
    <w:p>
      <w:pPr>
        <w:pStyle w:val="Heading1"/>
        <w:keepNext/>
        <w:keepLines w:val="0"/>
      </w:pPr>
      <w:r>
        <w:rPr>
          <w:rFonts w:ascii="Noto Sans CJK SC" w:hAnsi="Noto Sans CJK SC" w:eastAsia="Noto Sans CJK SC" w:cs="Noto Sans CJK SC"/>
        </w:rPr>
        <w:t>4. smooth 三维属性体思路</w:t>
      </w:r>
    </w:p>
    <w:p>
      <w:pPr>
        <w:pStyle w:val="Heading2"/>
        <w:keepNext/>
        <w:keepLines w:val="0"/>
      </w:pPr>
      <w:r>
        <w:rPr>
          <w:rFonts w:ascii="Noto Sans CJK SC" w:hAnsi="Noto Sans CJK SC" w:eastAsia="Noto Sans CJK SC" w:cs="Noto Sans CJK SC"/>
        </w:rPr>
        <w:t>4.1 精确定义</w:t>
      </w:r>
    </w:p>
    <w:p>
      <w:pPr>
        <w:spacing w:before="0" w:after="120" w:line="300" w:lineRule="auto"/>
        <w:jc w:val="both"/>
      </w:pPr>
      <w:r>
        <w:rPr>
          <w:rFonts w:ascii="Noto Sans CJK SC" w:hAnsi="Noto Sans CJK SC" w:eastAsia="Noto Sans CJK SC" w:cs="Noto Sans CJK SC"/>
          <w:i w:val="0"/>
          <w:sz w:val="21"/>
        </w:rPr>
        <w:t>先把离散真值类别映射为物性。对每个空间位置 r，类别 m_true(r) 对应物性 q_k，例如密度、磁化率或 P 波速度：</w:t>
      </w:r>
    </w:p>
    <w:p>
      <w:pPr>
        <w:keepLines/>
        <w:spacing w:before="100" w:after="140"/>
        <w:jc w:val="center"/>
      </w:pPr>
      <w:r>
        <w:rPr>
          <w:rFonts w:ascii="Cambria Math" w:hAnsi="Cambria Math" w:eastAsia="Cambria Math" w:cs="Cambria Math"/>
          <w:color w:val="17324D"/>
          <w:sz w:val="23"/>
        </w:rPr>
        <w:t>q_true(r) = q_{m_true(r)}</w:t>
      </w:r>
    </w:p>
    <w:p>
      <w:pPr>
        <w:spacing w:before="0" w:after="120" w:line="300" w:lineRule="auto"/>
        <w:jc w:val="both"/>
      </w:pPr>
      <w:r>
        <w:rPr>
          <w:rFonts w:ascii="Noto Sans CJK SC" w:hAnsi="Noto Sans CJK SC" w:eastAsia="Noto Sans CJK SC" w:cs="Noto Sans CJK SC"/>
          <w:i w:val="0"/>
          <w:sz w:val="21"/>
        </w:rPr>
        <w:t>再对完整三维物性体施加与传统反演结果类似的退化算子，包括模糊、降采样、深度相关分辨率、噪声、属性不确定性和缺失区域：</w:t>
      </w:r>
    </w:p>
    <w:p>
      <w:pPr>
        <w:keepLines/>
        <w:spacing w:before="100" w:after="60"/>
        <w:jc w:val="center"/>
      </w:pPr>
      <w:r>
        <w:rPr>
          <w:rFonts w:ascii="Cambria Math" w:hAnsi="Cambria Math" w:eastAsia="Cambria Math" w:cs="Cambria Math"/>
          <w:color w:val="17324D"/>
          <w:sz w:val="23"/>
        </w:rPr>
        <w:t>q_obs^3D = S(q_true) + ε</w:t>
      </w:r>
    </w:p>
    <w:p>
      <w:pPr>
        <w:spacing w:after="140"/>
        <w:jc w:val="center"/>
      </w:pPr>
      <w:r>
        <w:rPr>
          <w:rFonts w:ascii="Noto Sans CJK SC" w:hAnsi="Noto Sans CJK SC" w:eastAsia="Noto Sans CJK SC" w:cs="Noto Sans CJK SC"/>
          <w:i/>
          <w:color w:val="5B6573"/>
          <w:sz w:val="17"/>
        </w:rPr>
        <w:t>S 表示三维退化或反演替代算子；ε 表示噪声与建模误差。</w:t>
      </w:r>
    </w:p>
    <w:p>
      <w:pPr>
        <w:shd w:fill="FFF6D8" w:val="clear"/>
        <w:keepNext w:val="0"/>
        <w:keepLines/>
        <w:pBdr>
          <w:left w:val="single" w:sz="16" w:space="8" w:color="7A5A00"/>
        </w:pBdr>
        <w:spacing w:before="100" w:after="160" w:line="288" w:lineRule="auto"/>
        <w:ind w:left="202" w:right="115"/>
      </w:pPr>
      <w:r>
        <w:rPr>
          <w:rFonts w:ascii="Noto Sans CJK SC" w:hAnsi="Noto Sans CJK SC" w:eastAsia="Noto Sans CJK SC" w:cs="Noto Sans CJK SC"/>
          <w:b/>
          <w:color w:val="7A5A00"/>
          <w:sz w:val="21"/>
        </w:rPr>
        <w:t xml:space="preserve">性质界定  </w:t>
      </w:r>
      <w:r>
        <w:rPr>
          <w:rFonts w:ascii="Noto Sans CJK SC" w:hAnsi="Noto Sans CJK SC" w:eastAsia="Noto Sans CJK SC" w:cs="Noto Sans CJK SC"/>
          <w:color w:val="17324D"/>
          <w:sz w:val="21"/>
        </w:rPr>
        <w:t>在当前合成实验中，q_obs^3D 仍然是 oracle/inversion-surrogate，即“模拟反演得到的 smooth 属性体”，不是直接采集数据，也不是实际反演结果。它的作用是建立从真值上限到现实观测之间可控、可诊断的难度阶梯。</w:t>
      </w:r>
    </w:p>
    <w:p>
      <w:pPr>
        <w:pStyle w:val="Heading2"/>
        <w:keepNext/>
        <w:keepLines w:val="0"/>
      </w:pPr>
      <w:r>
        <w:rPr>
          <w:rFonts w:ascii="Noto Sans CJK SC" w:hAnsi="Noto Sans CJK SC" w:eastAsia="Noto Sans CJK SC" w:cs="Noto Sans CJK SC"/>
        </w:rPr>
        <w:t>4.2 为什么 smooth 是关键中间层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SC" w:hAnsi="Noto Sans CJK SC" w:eastAsia="Noto Sans CJK SC" w:cs="Noto Sans CJK SC"/>
          <w:sz w:val="21"/>
        </w:rPr>
        <w:t>它比类别概率体更接近重力、磁法或地震反演常见的连续属性输出，同时保留三维全局位置和体积信息。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SC" w:hAnsi="Noto Sans CJK SC" w:eastAsia="Noto Sans CJK SC" w:cs="Noto Sans CJK SC"/>
          <w:sz w:val="21"/>
        </w:rPr>
        <w:t>它允许系统研究分辨率、噪声、深度衰减和物性不确定性对生成结果的影响，而不是从 oracle 直接跳到高非唯一性的二维场。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SC" w:hAnsi="Noto Sans CJK SC" w:eastAsia="Noto Sans CJK SC" w:cs="Noto Sans CJK SC"/>
          <w:sz w:val="21"/>
        </w:rPr>
        <w:t>它为不同物理场提供统一接口：只需更换类别到物性的映射 q_k、退化算子 S 和可信度权重 W。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SC" w:hAnsi="Noto Sans CJK SC" w:eastAsia="Noto Sans CJK SC" w:cs="Noto Sans CJK SC"/>
          <w:sz w:val="21"/>
        </w:rPr>
        <w:t>它能回答方法是否只是复制真值，还是能够从模糊、低分辨率的全局趋势中恢复符合生成先验的离散结构。</w:t>
      </w:r>
    </w:p>
    <w:p>
      <w:pPr>
        <w:pStyle w:val="Heading2"/>
        <w:keepNext/>
        <w:keepLines w:val="0"/>
      </w:pPr>
      <w:r>
        <w:rPr>
          <w:rFonts w:ascii="Noto Sans CJK SC" w:hAnsi="Noto Sans CJK SC" w:eastAsia="Noto Sans CJK SC" w:cs="Noto Sans CJK SC"/>
        </w:rPr>
        <w:t>4.3 算子匹配原则</w:t>
      </w:r>
    </w:p>
    <w:p>
      <w:pPr>
        <w:spacing w:before="0" w:after="120" w:line="300" w:lineRule="auto"/>
        <w:jc w:val="both"/>
      </w:pPr>
      <w:r>
        <w:rPr>
          <w:rFonts w:ascii="Noto Sans CJK SC" w:hAnsi="Noto Sans CJK SC" w:eastAsia="Noto Sans CJK SC" w:cs="Noto Sans CJK SC"/>
          <w:i w:val="0"/>
          <w:sz w:val="21"/>
        </w:rPr>
        <w:t>必须对当前生成物性和目标真值使用相同尺度算子后再比较，不能直接拿未平滑的离散生成体拟合已经平滑的目标。推荐的多尺度损失为：</w:t>
      </w:r>
    </w:p>
    <w:p>
      <w:pPr>
        <w:keepLines/>
        <w:spacing w:before="100" w:after="140"/>
        <w:jc w:val="center"/>
      </w:pPr>
      <w:r>
        <w:rPr>
          <w:rFonts w:ascii="Cambria Math" w:hAnsi="Cambria Math" w:eastAsia="Cambria Math" w:cs="Cambria Math"/>
          <w:color w:val="17324D"/>
          <w:sz w:val="23"/>
        </w:rPr>
        <w:t>L_3D(x_t) = Σ_s λ_s || W_s ⊙ [ S_s(q_t) - S_s(q_true) ] ||²_2</w:t>
      </w:r>
    </w:p>
    <w:p>
      <w:pPr>
        <w:spacing w:before="0" w:after="120" w:line="300" w:lineRule="auto"/>
        <w:jc w:val="both"/>
      </w:pPr>
      <w:r>
        <w:rPr>
          <w:rFonts w:ascii="Noto Sans CJK SC" w:hAnsi="Noto Sans CJK SC" w:eastAsia="Noto Sans CJK SC" w:cs="Noto Sans CJK SC"/>
          <w:i w:val="0"/>
          <w:sz w:val="21"/>
        </w:rPr>
        <w:t>其中 S_s 是不同尺度的 3D 高斯平滑或平均池化，W_s 是可信度、ROI 或缺失掩膜，λ_s 控制尺度权重。早期优先粗尺度以控制全局位置、体积和延伸，后期再加入细尺度改善边界。若两侧算子不一致，模型可能只通过 soft 类别混合拟合中间物性；hard decode 后这种改善会消失，重现“连续 loss 下降但离散结构不变”的问题。</w:t>
      </w:r>
    </w:p>
    <w:p>
      <w:pPr>
        <w:pStyle w:val="Heading2"/>
        <w:keepNext/>
        <w:keepLines w:val="0"/>
      </w:pPr>
      <w:r>
        <w:rPr>
          <w:rFonts w:ascii="Noto Sans CJK SC" w:hAnsi="Noto Sans CJK SC" w:eastAsia="Noto Sans CJK SC" w:cs="Noto Sans CJK SC"/>
        </w:rPr>
        <w:t>4.4 建议的现实性退化阶梯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80"/>
        <w:gridCol w:w="4100"/>
        <w:gridCol w:w="4280"/>
      </w:tblGrid>
      <w:tr>
        <w:trPr>
          <w:tblHeader w:val="true"/>
        </w:trPr>
        <w:tc>
          <w:tcPr>
            <w:tcW w:type="dxa" w:w="98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4D9E0"/>
              <w:left w:val="single" w:sz="4" w:space="0" w:color="D4D9E0"/>
              <w:bottom w:val="single" w:sz="4" w:space="0" w:color="D4D9E0"/>
              <w:right w:val="single" w:sz="4" w:space="0" w:color="D4D9E0"/>
              <w:insideH w:val="single" w:sz="4" w:space="0" w:color="D4D9E0"/>
              <w:insideV w:val="single" w:sz="4" w:space="0" w:color="D4D9E0"/>
            </w:tcBorders>
            <w:shd w:fill="E8EEF5" w:val="clear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7324D"/>
                <w:sz w:val="18"/>
              </w:rPr>
              <w:t>级别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4D9E0"/>
              <w:left w:val="single" w:sz="4" w:space="0" w:color="D4D9E0"/>
              <w:bottom w:val="single" w:sz="4" w:space="0" w:color="D4D9E0"/>
              <w:right w:val="single" w:sz="4" w:space="0" w:color="D4D9E0"/>
              <w:insideH w:val="single" w:sz="4" w:space="0" w:color="D4D9E0"/>
              <w:insideV w:val="single" w:sz="4" w:space="0" w:color="D4D9E0"/>
            </w:tcBorders>
            <w:shd w:fill="E8EEF5" w:val="clear"/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17324D"/>
                <w:sz w:val="18"/>
              </w:rPr>
              <w:t>目标构造</w:t>
            </w:r>
          </w:p>
        </w:tc>
        <w:tc>
          <w:tcPr>
            <w:tcW w:type="dxa" w:w="428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4D9E0"/>
              <w:left w:val="single" w:sz="4" w:space="0" w:color="D4D9E0"/>
              <w:bottom w:val="single" w:sz="4" w:space="0" w:color="D4D9E0"/>
              <w:right w:val="single" w:sz="4" w:space="0" w:color="D4D9E0"/>
              <w:insideH w:val="single" w:sz="4" w:space="0" w:color="D4D9E0"/>
              <w:insideV w:val="single" w:sz="4" w:space="0" w:color="D4D9E0"/>
            </w:tcBorders>
            <w:shd w:fill="E8EEF5" w:val="clear"/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17324D"/>
                <w:sz w:val="18"/>
              </w:rPr>
              <w:t>回答的问题</w:t>
            </w:r>
          </w:p>
        </w:tc>
      </w:tr>
      <w:tr>
        <w:tc>
          <w:tcPr>
            <w:tcW w:type="dxa" w:w="980"/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A</w:t>
            </w:r>
          </w:p>
        </w:tc>
        <w:tc>
          <w:tcPr>
            <w:tcW w:type="dxa" w:w="410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完整分辨率、无噪声的全类别物性体</w:t>
            </w:r>
          </w:p>
        </w:tc>
        <w:tc>
          <w:tcPr>
            <w:tcW w:type="dxa" w:w="428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物性映射和三维梯度是否可控</w:t>
            </w:r>
          </w:p>
        </w:tc>
      </w:tr>
      <w:tr>
        <w:tc>
          <w:tcPr>
            <w:tcW w:type="dxa" w:w="980"/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B</w:t>
            </w:r>
          </w:p>
        </w:tc>
        <w:tc>
          <w:tcPr>
            <w:tcW w:type="dxa" w:w="410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单尺度高斯模糊</w:t>
            </w:r>
          </w:p>
        </w:tc>
        <w:tc>
          <w:tcPr>
            <w:tcW w:type="dxa" w:w="428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边界不确定时是否仍能恢复结构</w:t>
            </w:r>
          </w:p>
        </w:tc>
      </w:tr>
      <w:tr>
        <w:tc>
          <w:tcPr>
            <w:tcW w:type="dxa" w:w="980"/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C</w:t>
            </w:r>
          </w:p>
        </w:tc>
        <w:tc>
          <w:tcPr>
            <w:tcW w:type="dxa" w:w="410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多尺度模糊 + 降采样再上采样</w:t>
            </w:r>
          </w:p>
        </w:tc>
        <w:tc>
          <w:tcPr>
            <w:tcW w:type="dxa" w:w="428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低分辨率全局趋势是否有效</w:t>
            </w:r>
          </w:p>
        </w:tc>
      </w:tr>
      <w:tr>
        <w:tc>
          <w:tcPr>
            <w:tcW w:type="dxa" w:w="980"/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D</w:t>
            </w:r>
          </w:p>
        </w:tc>
        <w:tc>
          <w:tcPr>
            <w:tcW w:type="dxa" w:w="410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深部更强模糊 + 异方差噪声</w:t>
            </w:r>
          </w:p>
        </w:tc>
        <w:tc>
          <w:tcPr>
            <w:tcW w:type="dxa" w:w="428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随深度变差的分辨率是否可承受</w:t>
            </w:r>
          </w:p>
        </w:tc>
      </w:tr>
      <w:tr>
        <w:tc>
          <w:tcPr>
            <w:tcW w:type="dxa" w:w="980"/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E</w:t>
            </w:r>
          </w:p>
        </w:tc>
        <w:tc>
          <w:tcPr>
            <w:tcW w:type="dxa" w:w="410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物性分布重叠、区域缺失、可信度图</w:t>
            </w:r>
          </w:p>
        </w:tc>
        <w:tc>
          <w:tcPr>
            <w:tcW w:type="dxa" w:w="428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接近真实反演的不确定信息是否仍有价值</w:t>
            </w:r>
          </w:p>
        </w:tc>
      </w:tr>
    </w:tbl>
    <w:p>
      <w:pPr>
        <w:spacing w:before="0" w:after="60"/>
      </w:pPr>
    </w:p>
    <w:p>
      <w:pPr>
        <w:pStyle w:val="Heading1"/>
        <w:keepNext/>
        <w:keepLines w:val="0"/>
      </w:pPr>
      <w:r>
        <w:rPr>
          <w:rFonts w:ascii="Noto Sans CJK SC" w:hAnsi="Noto Sans CJK SC" w:eastAsia="Noto Sans CJK SC" w:cs="Noto Sans CJK SC"/>
        </w:rPr>
        <w:t>5. 推理阶段三维引导机制</w:t>
      </w:r>
    </w:p>
    <w:p>
      <w:pPr>
        <w:pStyle w:val="Heading2"/>
        <w:keepNext/>
        <w:keepLines w:val="0"/>
      </w:pPr>
      <w:r>
        <w:rPr>
          <w:rFonts w:ascii="Noto Sans CJK SC" w:hAnsi="Noto Sans CJK SC" w:eastAsia="Noto Sans CJK SC" w:cs="Noto Sans CJK SC"/>
        </w:rPr>
        <w:t>5.1 从连续状态到 soft 类别概率</w:t>
      </w:r>
    </w:p>
    <w:p>
      <w:pPr>
        <w:spacing w:before="0" w:after="120" w:line="300" w:lineRule="auto"/>
        <w:jc w:val="both"/>
      </w:pPr>
      <w:r>
        <w:rPr>
          <w:rFonts w:ascii="Noto Sans CJK SC" w:hAnsi="Noto Sans CJK SC" w:eastAsia="Noto Sans CJK SC" w:cs="Noto Sans CJK SC"/>
          <w:i w:val="0"/>
          <w:sz w:val="21"/>
        </w:rPr>
        <w:t>flow2 的连续状态 x_t 需要通过类别 embedding e_k 形成可微 soft probability。推荐以余弦相似度和温度 τ_t 计算：</w:t>
      </w:r>
    </w:p>
    <w:p>
      <w:pPr>
        <w:keepLines/>
        <w:spacing w:before="100" w:after="140"/>
        <w:jc w:val="center"/>
      </w:pPr>
      <w:r>
        <w:rPr>
          <w:rFonts w:ascii="Cambria Math" w:hAnsi="Cambria Math" w:eastAsia="Cambria Math" w:cs="Cambria Math"/>
          <w:color w:val="17324D"/>
          <w:sz w:val="23"/>
        </w:rPr>
        <w:t>p_t(k,r) = softmax_k( cos(x_t(r), e_k) / τ_t )</w:t>
      </w:r>
    </w:p>
    <w:p>
      <w:pPr>
        <w:spacing w:before="0" w:after="120" w:line="300" w:lineRule="auto"/>
        <w:jc w:val="both"/>
      </w:pPr>
      <w:r>
        <w:rPr>
          <w:rFonts w:ascii="Noto Sans CJK SC" w:hAnsi="Noto Sans CJK SC" w:eastAsia="Noto Sans CJK SC" w:cs="Noto Sans CJK SC"/>
          <w:i w:val="0"/>
          <w:sz w:val="21"/>
        </w:rPr>
        <w:t>较高温度有利于早期平滑梯度传播，后期降低温度可促使概率质量跨过类别边界。温度过高会使 hard decode 不变，过低则可能导致梯度饱和和不稳定。</w:t>
      </w:r>
    </w:p>
    <w:p>
      <w:pPr>
        <w:pStyle w:val="Heading2"/>
        <w:keepNext/>
        <w:keepLines w:val="0"/>
      </w:pPr>
      <w:r>
        <w:rPr>
          <w:rFonts w:ascii="Noto Sans CJK SC" w:hAnsi="Noto Sans CJK SC" w:eastAsia="Noto Sans CJK SC" w:cs="Noto Sans CJK SC"/>
        </w:rPr>
        <w:t>5.2 从 soft 类别到期望物性</w:t>
      </w:r>
    </w:p>
    <w:p>
      <w:pPr>
        <w:keepLines/>
        <w:spacing w:before="100" w:after="140"/>
        <w:jc w:val="center"/>
      </w:pPr>
      <w:r>
        <w:rPr>
          <w:rFonts w:ascii="Cambria Math" w:hAnsi="Cambria Math" w:eastAsia="Cambria Math" w:cs="Cambria Math"/>
          <w:color w:val="17324D"/>
          <w:sz w:val="23"/>
        </w:rPr>
        <w:t>q_t(r) = Σ_k p_t(k,r) q_k</w:t>
      </w:r>
    </w:p>
    <w:p>
      <w:pPr>
        <w:spacing w:before="0" w:after="120" w:line="300" w:lineRule="auto"/>
        <w:jc w:val="both"/>
      </w:pPr>
      <w:r>
        <w:rPr>
          <w:rFonts w:ascii="Noto Sans CJK SC" w:hAnsi="Noto Sans CJK SC" w:eastAsia="Noto Sans CJK SC" w:cs="Noto Sans CJK SC"/>
          <w:i w:val="0"/>
          <w:sz w:val="21"/>
        </w:rPr>
        <w:t>阶段1只需取目标 label 9 的概率 p_t(9,r)；阶段2以后使用全类别期望物性 q_t。阶段1必须支持全部 label 9、最大连通体和显式选定连通体，避免评价对象不明确。</w:t>
      </w:r>
    </w:p>
    <w:p>
      <w:pPr>
        <w:pStyle w:val="Heading2"/>
        <w:keepNext/>
        <w:keepLines w:val="0"/>
      </w:pPr>
      <w:r>
        <w:rPr>
          <w:rFonts w:ascii="Noto Sans CJK SC" w:hAnsi="Noto Sans CJK SC" w:eastAsia="Noto Sans CJK SC" w:cs="Noto Sans CJK SC"/>
        </w:rPr>
        <w:t>5.3 引导更新与保护机制</w:t>
      </w:r>
    </w:p>
    <w:p>
      <w:pPr>
        <w:keepLines/>
        <w:spacing w:before="100" w:after="140"/>
        <w:jc w:val="center"/>
      </w:pPr>
      <w:r>
        <w:rPr>
          <w:rFonts w:ascii="Cambria Math" w:hAnsi="Cambria Math" w:eastAsia="Cambria Math" w:cs="Cambria Math"/>
          <w:color w:val="17324D"/>
          <w:sz w:val="23"/>
        </w:rPr>
        <w:t>dx/dt = v_θ(x,t | c) - λ(t) ∇_x L_3D(x)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SC" w:hAnsi="Noto Sans CJK SC" w:eastAsia="Noto Sans CJK SC" w:cs="Noto Sans CJK SC"/>
          <w:b/>
          <w:color w:val="17324D"/>
          <w:sz w:val="21"/>
        </w:rPr>
        <w:t>条件重投影：</w:t>
      </w:r>
      <w:r>
        <w:rPr>
          <w:rFonts w:ascii="Noto Sans CJK SC" w:hAnsi="Noto Sans CJK SC" w:eastAsia="Noto Sans CJK SC" w:cs="Noto Sans CJK SC"/>
          <w:sz w:val="21"/>
        </w:rPr>
        <w:t>每一步引导后重新投影地表和钻井条件，条件违背数必须为 0。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SC" w:hAnsi="Noto Sans CJK SC" w:eastAsia="Noto Sans CJK SC" w:cs="Noto Sans CJK SC"/>
          <w:b/>
          <w:color w:val="17324D"/>
          <w:sz w:val="21"/>
        </w:rPr>
        <w:t>相对速度上限：</w:t>
      </w:r>
      <w:r>
        <w:rPr>
          <w:rFonts w:ascii="Noto Sans CJK SC" w:hAnsi="Noto Sans CJK SC" w:eastAsia="Noto Sans CJK SC" w:cs="Noto Sans CJK SC"/>
          <w:sz w:val="21"/>
        </w:rPr>
        <w:t>限制 ||g_t|| 相对 ||v_θ|| 的比例，防止引导梯度压过生成先验。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SC" w:hAnsi="Noto Sans CJK SC" w:eastAsia="Noto Sans CJK SC" w:cs="Noto Sans CJK SC"/>
          <w:b/>
          <w:color w:val="17324D"/>
          <w:sz w:val="21"/>
        </w:rPr>
        <w:t>梯度裁剪：</w:t>
      </w:r>
      <w:r>
        <w:rPr>
          <w:rFonts w:ascii="Noto Sans CJK SC" w:hAnsi="Noto Sans CJK SC" w:eastAsia="Noto Sans CJK SC" w:cs="Noto Sans CJK SC"/>
          <w:sz w:val="21"/>
        </w:rPr>
        <w:t>记录 raw/used gradient norm 和裁剪比例，避免局部爆炸。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SC" w:hAnsi="Noto Sans CJK SC" w:eastAsia="Noto Sans CJK SC" w:cs="Noto Sans CJK SC"/>
          <w:b/>
          <w:color w:val="17324D"/>
          <w:sz w:val="21"/>
        </w:rPr>
        <w:t>时间调度：</w:t>
      </w:r>
      <w:r>
        <w:rPr>
          <w:rFonts w:ascii="Noto Sans CJK SC" w:hAnsi="Noto Sans CJK SC" w:eastAsia="Noto Sans CJK SC" w:cs="Noto Sans CJK SC"/>
          <w:sz w:val="21"/>
        </w:rPr>
        <w:t>优先考虑 late 或 coarse-to-fine 调度；不要在初始高噪声阶段强行拟合细边界。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SC" w:hAnsi="Noto Sans CJK SC" w:eastAsia="Noto Sans CJK SC" w:cs="Noto Sans CJK SC"/>
          <w:b/>
          <w:color w:val="17324D"/>
          <w:sz w:val="21"/>
        </w:rPr>
        <w:t>离散化促进：</w:t>
      </w:r>
      <w:r>
        <w:rPr>
          <w:rFonts w:ascii="Noto Sans CJK SC" w:hAnsi="Noto Sans CJK SC" w:eastAsia="Noto Sans CJK SC" w:cs="Noto Sans CJK SC"/>
          <w:sz w:val="21"/>
        </w:rPr>
        <w:t>后期温度退火或适度熵约束，使 soft 改变转化为 hard-label 改变。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SC" w:hAnsi="Noto Sans CJK SC" w:eastAsia="Noto Sans CJK SC" w:cs="Noto Sans CJK SC"/>
          <w:b/>
          <w:color w:val="17324D"/>
          <w:sz w:val="21"/>
        </w:rPr>
        <w:t>严格配对：</w:t>
      </w:r>
      <w:r>
        <w:rPr>
          <w:rFonts w:ascii="Noto Sans CJK SC" w:hAnsi="Noto Sans CJK SC" w:eastAsia="Noto Sans CJK SC" w:cs="Noto Sans CJK SC"/>
          <w:sz w:val="21"/>
        </w:rPr>
        <w:t>引导强度为 0 时必须逐体素复现 fixed-Euler baseline。</w:t>
      </w:r>
    </w:p>
    <w:p>
      <w:pPr>
        <w:pStyle w:val="Heading2"/>
        <w:keepNext/>
        <w:keepLines w:val="0"/>
      </w:pPr>
      <w:r>
        <w:rPr>
          <w:rFonts w:ascii="Noto Sans CJK SC" w:hAnsi="Noto Sans CJK SC" w:eastAsia="Noto Sans CJK SC" w:cs="Noto Sans CJK SC"/>
        </w:rPr>
        <w:t>5.4 可诊断的失败模式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3220"/>
        <w:gridCol w:w="364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4D9E0"/>
              <w:left w:val="single" w:sz="4" w:space="0" w:color="D4D9E0"/>
              <w:bottom w:val="single" w:sz="4" w:space="0" w:color="D4D9E0"/>
              <w:right w:val="single" w:sz="4" w:space="0" w:color="D4D9E0"/>
              <w:insideH w:val="single" w:sz="4" w:space="0" w:color="D4D9E0"/>
              <w:insideV w:val="single" w:sz="4" w:space="0" w:color="D4D9E0"/>
            </w:tcBorders>
            <w:shd w:fill="E8EEF5" w:val="clear"/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17324D"/>
                <w:sz w:val="17"/>
              </w:rPr>
              <w:t>现象</w:t>
            </w:r>
          </w:p>
        </w:tc>
        <w:tc>
          <w:tcPr>
            <w:tcW w:type="dxa" w:w="322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4D9E0"/>
              <w:left w:val="single" w:sz="4" w:space="0" w:color="D4D9E0"/>
              <w:bottom w:val="single" w:sz="4" w:space="0" w:color="D4D9E0"/>
              <w:right w:val="single" w:sz="4" w:space="0" w:color="D4D9E0"/>
              <w:insideH w:val="single" w:sz="4" w:space="0" w:color="D4D9E0"/>
              <w:insideV w:val="single" w:sz="4" w:space="0" w:color="D4D9E0"/>
            </w:tcBorders>
            <w:shd w:fill="E8EEF5" w:val="clear"/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17324D"/>
                <w:sz w:val="17"/>
              </w:rPr>
              <w:t>优先解释</w:t>
            </w:r>
          </w:p>
        </w:tc>
        <w:tc>
          <w:tcPr>
            <w:tcW w:type="dxa" w:w="364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4D9E0"/>
              <w:left w:val="single" w:sz="4" w:space="0" w:color="D4D9E0"/>
              <w:bottom w:val="single" w:sz="4" w:space="0" w:color="D4D9E0"/>
              <w:right w:val="single" w:sz="4" w:space="0" w:color="D4D9E0"/>
              <w:insideH w:val="single" w:sz="4" w:space="0" w:color="D4D9E0"/>
              <w:insideV w:val="single" w:sz="4" w:space="0" w:color="D4D9E0"/>
            </w:tcBorders>
            <w:shd w:fill="E8EEF5" w:val="clear"/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17324D"/>
                <w:sz w:val="17"/>
              </w:rPr>
              <w:t>下一步判断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3D 概率 loss 下降但 hard 不变</w:t>
            </w:r>
          </w:p>
        </w:tc>
        <w:tc>
          <w:tcPr>
            <w:tcW w:type="dxa" w:w="322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温度过高、梯度弱或未跨类别边界</w:t>
            </w:r>
          </w:p>
        </w:tc>
        <w:tc>
          <w:tcPr>
            <w:tcW w:type="dxa" w:w="364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检查 margin、熵、hard change 和梯度比例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hard 改变很多但指标恶化</w:t>
            </w:r>
          </w:p>
        </w:tc>
        <w:tc>
          <w:tcPr>
            <w:tcW w:type="dxa" w:w="322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引导过强或目标/ROI 定义错误</w:t>
            </w:r>
          </w:p>
        </w:tc>
        <w:tc>
          <w:tcPr>
            <w:tcW w:type="dxa" w:w="364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降 trust ratio，核对连通体与条件投影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阶段1成功，完整物性体失败</w:t>
            </w:r>
          </w:p>
        </w:tc>
        <w:tc>
          <w:tcPr>
            <w:tcW w:type="dxa" w:w="322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物性类别可分性不足或损失尺度不当</w:t>
            </w:r>
          </w:p>
        </w:tc>
        <w:tc>
          <w:tcPr>
            <w:tcW w:type="dxa" w:w="364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检查 q_k 间距、归一化和尺度权重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完整物性成功，smooth 失败</w:t>
            </w:r>
          </w:p>
        </w:tc>
        <w:tc>
          <w:tcPr>
            <w:tcW w:type="dxa" w:w="322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退化过强或可信度处理不足</w:t>
            </w:r>
          </w:p>
        </w:tc>
        <w:tc>
          <w:tcPr>
            <w:tcW w:type="dxa" w:w="364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建立 SNR/分辨率临界曲线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二维 residual 降低而几何不变</w:t>
            </w:r>
          </w:p>
        </w:tc>
        <w:tc>
          <w:tcPr>
            <w:tcW w:type="dxa" w:w="322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二维正演固有非唯一性</w:t>
            </w:r>
          </w:p>
        </w:tc>
        <w:tc>
          <w:tcPr>
            <w:tcW w:type="dxa" w:w="364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保留为联合约束，不再单独追求结构恢复</w:t>
            </w:r>
          </w:p>
        </w:tc>
      </w:tr>
    </w:tbl>
    <w:p>
      <w:pPr>
        <w:spacing w:before="0" w:after="60"/>
      </w:pPr>
    </w:p>
    <w:p>
      <w:r>
        <w:br w:type="page"/>
      </w:r>
    </w:p>
    <w:p>
      <w:pPr>
        <w:pStyle w:val="Heading1"/>
        <w:keepNext/>
        <w:keepLines w:val="0"/>
      </w:pPr>
      <w:r>
        <w:rPr>
          <w:rFonts w:ascii="Noto Sans CJK SC" w:hAnsi="Noto Sans CJK SC" w:eastAsia="Noto Sans CJK SC" w:cs="Noto Sans CJK SC"/>
        </w:rPr>
        <w:t>6. 总体实施路线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00780"/>
            <wp:docPr id="1" name="Picture 1" title="flow2 研究阶段路线图" descr="从阶段0基线冻结依次进入三维概率体、完整物性体、smooth退化、二维三维联合和真实应用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earch_rou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00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spacing w:before="80" w:after="160"/>
        <w:jc w:val="center"/>
      </w:pPr>
      <w:r>
        <w:rPr>
          <w:rFonts w:ascii="Noto Sans CJK SC" w:hAnsi="Noto Sans CJK SC" w:eastAsia="Noto Sans CJK SC" w:cs="Noto Sans CJK SC"/>
          <w:color w:val="5B6573"/>
          <w:sz w:val="18"/>
        </w:rPr>
        <w:t>图1  研究路线：证据逐级变弱、现实性逐级增强；每级都有独立验收门槛。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1600"/>
        <w:gridCol w:w="1100"/>
        <w:gridCol w:w="3000"/>
        <w:gridCol w:w="296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4D9E0"/>
              <w:left w:val="single" w:sz="4" w:space="0" w:color="D4D9E0"/>
              <w:bottom w:val="single" w:sz="4" w:space="0" w:color="D4D9E0"/>
              <w:right w:val="single" w:sz="4" w:space="0" w:color="D4D9E0"/>
              <w:insideH w:val="single" w:sz="4" w:space="0" w:color="D4D9E0"/>
              <w:insideV w:val="single" w:sz="4" w:space="0" w:color="D4D9E0"/>
            </w:tcBorders>
            <w:shd w:fill="E8EEF5" w:val="clear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7324D"/>
                <w:sz w:val="17"/>
              </w:rPr>
              <w:t>阶段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4D9E0"/>
              <w:left w:val="single" w:sz="4" w:space="0" w:color="D4D9E0"/>
              <w:bottom w:val="single" w:sz="4" w:space="0" w:color="D4D9E0"/>
              <w:right w:val="single" w:sz="4" w:space="0" w:color="D4D9E0"/>
              <w:insideH w:val="single" w:sz="4" w:space="0" w:color="D4D9E0"/>
              <w:insideV w:val="single" w:sz="4" w:space="0" w:color="D4D9E0"/>
            </w:tcBorders>
            <w:shd w:fill="E8EEF5" w:val="clear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7324D"/>
                <w:sz w:val="17"/>
              </w:rPr>
              <w:t>名称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4D9E0"/>
              <w:left w:val="single" w:sz="4" w:space="0" w:color="D4D9E0"/>
              <w:bottom w:val="single" w:sz="4" w:space="0" w:color="D4D9E0"/>
              <w:right w:val="single" w:sz="4" w:space="0" w:color="D4D9E0"/>
              <w:insideH w:val="single" w:sz="4" w:space="0" w:color="D4D9E0"/>
              <w:insideV w:val="single" w:sz="4" w:space="0" w:color="D4D9E0"/>
            </w:tcBorders>
            <w:shd w:fill="E8EEF5" w:val="clear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7324D"/>
                <w:sz w:val="17"/>
              </w:rPr>
              <w:t>状态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4D9E0"/>
              <w:left w:val="single" w:sz="4" w:space="0" w:color="D4D9E0"/>
              <w:bottom w:val="single" w:sz="4" w:space="0" w:color="D4D9E0"/>
              <w:right w:val="single" w:sz="4" w:space="0" w:color="D4D9E0"/>
              <w:insideH w:val="single" w:sz="4" w:space="0" w:color="D4D9E0"/>
              <w:insideV w:val="single" w:sz="4" w:space="0" w:color="D4D9E0"/>
            </w:tcBorders>
            <w:shd w:fill="E8EEF5" w:val="clear"/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17324D"/>
                <w:sz w:val="17"/>
              </w:rPr>
              <w:t>主要输入</w:t>
            </w:r>
          </w:p>
        </w:tc>
        <w:tc>
          <w:tcPr>
            <w:tcW w:type="dxa" w:w="29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4D9E0"/>
              <w:left w:val="single" w:sz="4" w:space="0" w:color="D4D9E0"/>
              <w:bottom w:val="single" w:sz="4" w:space="0" w:color="D4D9E0"/>
              <w:right w:val="single" w:sz="4" w:space="0" w:color="D4D9E0"/>
              <w:insideH w:val="single" w:sz="4" w:space="0" w:color="D4D9E0"/>
              <w:insideV w:val="single" w:sz="4" w:space="0" w:color="D4D9E0"/>
            </w:tcBorders>
            <w:shd w:fill="E8EEF5" w:val="clear"/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17324D"/>
                <w:sz w:val="17"/>
              </w:rPr>
              <w:t>核心验收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0</w:t>
            </w:r>
          </w:p>
        </w:tc>
        <w:tc>
          <w:tcPr>
            <w:tcW w:type="dxa" w:w="1600"/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基线冻结</w:t>
            </w:r>
          </w:p>
        </w:tc>
        <w:tc>
          <w:tcPr>
            <w:tcW w:type="dxa" w:w="1100"/>
            <w:vAlign w:val="center"/>
            <w:shd w:fill="E8F3EE" w:val="clea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E7D5B"/>
                <w:sz w:val="18"/>
              </w:rPr>
              <w:t>已完成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checkpoint/EMA、fixed-Euler、输入与哈希</w:t>
            </w:r>
          </w:p>
        </w:tc>
        <w:tc>
          <w:tcPr>
            <w:tcW w:type="dxa" w:w="296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差异可归因；测试通过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1</w:t>
            </w:r>
          </w:p>
        </w:tc>
        <w:tc>
          <w:tcPr>
            <w:tcW w:type="dxa" w:w="1600"/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概率体上限</w:t>
            </w:r>
          </w:p>
        </w:tc>
        <w:tc>
          <w:tcPr>
            <w:tcW w:type="dxa" w:w="1100"/>
            <w:vAlign w:val="center"/>
            <w:shd w:fill="E8EEF5" w:val="clea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E74B5"/>
                <w:sz w:val="18"/>
              </w:rPr>
              <w:t>下一步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真值 label 9 三维概率体</w:t>
            </w:r>
          </w:p>
        </w:tc>
        <w:tc>
          <w:tcPr>
            <w:tcW w:type="dxa" w:w="296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hard 结构显著且正确改善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2</w:t>
            </w:r>
          </w:p>
        </w:tc>
        <w:tc>
          <w:tcPr>
            <w:tcW w:type="dxa" w:w="1600"/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完整物性体</w:t>
            </w:r>
          </w:p>
        </w:tc>
        <w:tc>
          <w:tcPr>
            <w:tcW w:type="dxa" w:w="1100"/>
            <w:vAlign w:val="center"/>
            <w:shd w:fill="F2F4F7" w:val="clea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5B6573"/>
                <w:sz w:val="18"/>
              </w:rPr>
              <w:t>待开展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全类别密度/磁化率/速度体</w:t>
            </w:r>
          </w:p>
        </w:tc>
        <w:tc>
          <w:tcPr>
            <w:tcW w:type="dxa" w:w="296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整体与目标指标同步改善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3</w:t>
            </w:r>
          </w:p>
        </w:tc>
        <w:tc>
          <w:tcPr>
            <w:tcW w:type="dxa" w:w="1600"/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smooth 退化</w:t>
            </w:r>
          </w:p>
        </w:tc>
        <w:tc>
          <w:tcPr>
            <w:tcW w:type="dxa" w:w="1100"/>
            <w:vAlign w:val="center"/>
            <w:shd w:fill="F2F4F7" w:val="clea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5B6573"/>
                <w:sz w:val="18"/>
              </w:rPr>
              <w:t>待开展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模糊、降采样、噪声、缺失和可信度图</w:t>
            </w:r>
          </w:p>
        </w:tc>
        <w:tc>
          <w:tcPr>
            <w:tcW w:type="dxa" w:w="296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存在稳定有效的分辨率/SNR 区间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4</w:t>
            </w:r>
          </w:p>
        </w:tc>
        <w:tc>
          <w:tcPr>
            <w:tcW w:type="dxa" w:w="1600"/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二维三维联合</w:t>
            </w:r>
          </w:p>
        </w:tc>
        <w:tc>
          <w:tcPr>
            <w:tcW w:type="dxa" w:w="1100"/>
            <w:vAlign w:val="center"/>
            <w:shd w:fill="F2F4F7" w:val="clea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5B6573"/>
                <w:sz w:val="18"/>
              </w:rPr>
              <w:t>待开展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3D smooth + 2D 重力/磁法正演</w:t>
            </w:r>
          </w:p>
        </w:tc>
        <w:tc>
          <w:tcPr>
            <w:tcW w:type="dxa" w:w="296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相对单一引导更稳健且不过拟合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5</w:t>
            </w:r>
          </w:p>
        </w:tc>
        <w:tc>
          <w:tcPr>
            <w:tcW w:type="dxa" w:w="1600"/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迁移与应用</w:t>
            </w:r>
          </w:p>
        </w:tc>
        <w:tc>
          <w:tcPr>
            <w:tcW w:type="dxa" w:w="1100"/>
            <w:vAlign w:val="center"/>
            <w:shd w:fill="F2F4F7" w:val="clea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5B6573"/>
                <w:sz w:val="18"/>
              </w:rPr>
              <w:t>远期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域外合成、区域数据或真实反演属性</w:t>
            </w:r>
          </w:p>
        </w:tc>
        <w:tc>
          <w:tcPr>
            <w:tcW w:type="dxa" w:w="296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校准不确定性并明确适用边界</w:t>
            </w:r>
          </w:p>
        </w:tc>
      </w:tr>
    </w:tbl>
    <w:p>
      <w:pPr>
        <w:spacing w:before="0" w:after="60"/>
      </w:pPr>
    </w:p>
    <w:p>
      <w:pPr>
        <w:pStyle w:val="Heading2"/>
        <w:keepNext/>
        <w:keepLines w:val="0"/>
      </w:pPr>
      <w:r>
        <w:rPr>
          <w:rFonts w:ascii="Noto Sans CJK SC" w:hAnsi="Noto Sans CJK SC" w:eastAsia="Noto Sans CJK SC" w:cs="Noto Sans CJK SC"/>
        </w:rPr>
        <w:t>6.1 阶段1：三维概率体上限实验</w:t>
      </w:r>
    </w:p>
    <w:p>
      <w:pPr>
        <w:spacing w:before="0" w:after="120" w:line="300" w:lineRule="auto"/>
        <w:jc w:val="both"/>
      </w:pPr>
      <w:r>
        <w:rPr>
          <w:rFonts w:ascii="Noto Sans CJK SC" w:hAnsi="Noto Sans CJK SC" w:eastAsia="Noto Sans CJK SC" w:cs="Noto Sans CJK SC"/>
          <w:i w:val="0"/>
          <w:sz w:val="21"/>
        </w:rPr>
        <w:t>目标是证明推理阶段梯度有能力显著改变并改善解码后的 label 9 几何。该阶段使用 oracle 概率体，属于机制上限实验。若阶段1失败，应暂停密度体和 smooth 研究，优先修复 soft decode、梯度注入、时间调度或条件投影。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SC" w:hAnsi="Noto Sans CJK SC" w:eastAsia="Noto Sans CJK SC" w:cs="Noto Sans CJK SC"/>
          <w:sz w:val="21"/>
        </w:rPr>
        <w:t>从真值构造 label 9 二值体，支持 all、largest-component 和 selected-component 三种目标模式。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SC" w:hAnsi="Noto Sans CJK SC" w:eastAsia="Noto Sans CJK SC" w:cs="Noto Sans CJK SC"/>
          <w:sz w:val="21"/>
        </w:rPr>
        <w:t>对目标构造单尺度或多尺度平滑概率体，并记录算子、核宽、归一化、ROI 和实际文件 SHA-256。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SC" w:hAnsi="Noto Sans CJK SC" w:eastAsia="Noto Sans CJK SC" w:cs="Noto Sans CJK SC"/>
          <w:sz w:val="21"/>
        </w:rPr>
        <w:t>把 3D probability loss 接入 fixed-Euler 每步更新；每步重投影地表与钻井。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SC" w:hAnsi="Noto Sans CJK SC" w:eastAsia="Noto Sans CJK SC" w:cs="Noto Sans CJK SC"/>
          <w:sz w:val="21"/>
        </w:rPr>
        <w:t>记录 loss、raw/used grad norm、velocity norm、relative scale、clip ratio、soft margin、hard change 和条件违背。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SC" w:hAnsi="Noto Sans CJK SC" w:eastAsia="Noto Sans CJK SC" w:cs="Noto Sans CJK SC"/>
          <w:sz w:val="21"/>
        </w:rPr>
        <w:t>与同 seed baseline 严格配对，先完成 guidance=0 回归，再进行少量强度和尺度筛选。</w:t>
      </w:r>
    </w:p>
    <w:p>
      <w:pPr>
        <w:shd w:fill="E8F3EE" w:val="clear"/>
        <w:keepNext w:val="0"/>
        <w:keepLines/>
        <w:pBdr>
          <w:left w:val="single" w:sz="16" w:space="8" w:color="2E7D5B"/>
        </w:pBdr>
        <w:spacing w:before="100" w:after="160" w:line="288" w:lineRule="auto"/>
        <w:ind w:left="202" w:right="115"/>
      </w:pPr>
      <w:r>
        <w:rPr>
          <w:rFonts w:ascii="Noto Sans CJK SC" w:hAnsi="Noto Sans CJK SC" w:eastAsia="Noto Sans CJK SC" w:cs="Noto Sans CJK SC"/>
          <w:b/>
          <w:color w:val="2E7D5B"/>
          <w:sz w:val="21"/>
        </w:rPr>
        <w:t xml:space="preserve">阶段1成功门槛  </w:t>
      </w:r>
      <w:r>
        <w:rPr>
          <w:rFonts w:ascii="Noto Sans CJK SC" w:hAnsi="Noto Sans CJK SC" w:eastAsia="Noto Sans CJK SC" w:cs="Noto Sans CJK SC"/>
          <w:color w:val="17324D"/>
          <w:sz w:val="21"/>
        </w:rPr>
        <w:t>hard-label 结构发生实质性变化，并且 label 9 的 IoU、Recall 或几何指标在多个严格配对 seed 上一致改善，同时地表和钻井条件违背保持 0。仅连续 loss 下降不算成功。</w:t>
      </w:r>
    </w:p>
    <w:p>
      <w:pPr>
        <w:pStyle w:val="Heading2"/>
        <w:keepNext/>
        <w:keepLines w:val="0"/>
      </w:pPr>
      <w:r>
        <w:rPr>
          <w:rFonts w:ascii="Noto Sans CJK SC" w:hAnsi="Noto Sans CJK SC" w:eastAsia="Noto Sans CJK SC" w:cs="Noto Sans CJK SC"/>
        </w:rPr>
        <w:t>6.2 阶段2：完整三维物性体</w:t>
      </w:r>
    </w:p>
    <w:p>
      <w:pPr>
        <w:spacing w:before="0" w:after="120" w:line="300" w:lineRule="auto"/>
        <w:jc w:val="both"/>
      </w:pPr>
      <w:r>
        <w:rPr>
          <w:rFonts w:ascii="Noto Sans CJK SC" w:hAnsi="Noto Sans CJK SC" w:eastAsia="Noto Sans CJK SC" w:cs="Noto Sans CJK SC"/>
          <w:i w:val="0"/>
          <w:sz w:val="21"/>
        </w:rPr>
        <w:t>不再只比较 label 9，而是把全部类别映射为完整密度、磁化率或速度体，通过多尺度全局属性损失引导。此阶段应回答：三维属性信息能否改善整体模型，同时重点改善目标侵入体；不同类别物性重叠时，生成先验能否用结构知识消除局部歧义。</w:t>
      </w:r>
    </w:p>
    <w:p>
      <w:pPr>
        <w:pStyle w:val="Heading2"/>
        <w:keepNext/>
        <w:keepLines w:val="0"/>
      </w:pPr>
      <w:r>
        <w:rPr>
          <w:rFonts w:ascii="Noto Sans CJK SC" w:hAnsi="Noto Sans CJK SC" w:eastAsia="Noto Sans CJK SC" w:cs="Noto Sans CJK SC"/>
        </w:rPr>
        <w:t>6.3 阶段3：反演式 smooth 属性体</w:t>
      </w:r>
    </w:p>
    <w:p>
      <w:pPr>
        <w:spacing w:before="0" w:after="120" w:line="300" w:lineRule="auto"/>
        <w:jc w:val="both"/>
      </w:pPr>
      <w:r>
        <w:rPr>
          <w:rFonts w:ascii="Noto Sans CJK SC" w:hAnsi="Noto Sans CJK SC" w:eastAsia="Noto Sans CJK SC" w:cs="Noto Sans CJK SC"/>
          <w:i w:val="0"/>
          <w:sz w:val="21"/>
        </w:rPr>
        <w:t>逐步增加模糊、低分辨率、深部衰减、噪声、物性不确定性和缺失区域。核心产出不应只是一个最佳参数，而应是一条“输入分辨率/SNR/可信度与结构改善幅度”的响应曲线，用于明确方法的有效区间和失败边界。</w:t>
      </w:r>
    </w:p>
    <w:p>
      <w:pPr>
        <w:pStyle w:val="Heading2"/>
        <w:keepNext/>
        <w:keepLines w:val="0"/>
      </w:pPr>
      <w:r>
        <w:rPr>
          <w:rFonts w:ascii="Noto Sans CJK SC" w:hAnsi="Noto Sans CJK SC" w:eastAsia="Noto Sans CJK SC" w:cs="Noto Sans CJK SC"/>
        </w:rPr>
        <w:t>6.4 阶段4：二维与三维联合</w:t>
      </w:r>
    </w:p>
    <w:p>
      <w:pPr>
        <w:spacing w:before="0" w:after="120" w:line="300" w:lineRule="auto"/>
        <w:jc w:val="both"/>
      </w:pPr>
      <w:r>
        <w:rPr>
          <w:rFonts w:ascii="Noto Sans CJK SC" w:hAnsi="Noto Sans CJK SC" w:eastAsia="Noto Sans CJK SC" w:cs="Noto Sans CJK SC"/>
          <w:i w:val="0"/>
          <w:sz w:val="21"/>
        </w:rPr>
        <w:t>在 standalone 3D 引导通过后，再联合当前二维重力或磁法正演残差。3D smooth 负责全局体积、位置和低频形态，2D 场负责观测域物理一致性；两者权重必须做消融，防止二维非唯一性抵消三维结构信息。</w:t>
      </w:r>
    </w:p>
    <w:p>
      <w:pPr>
        <w:pStyle w:val="Heading2"/>
        <w:keepNext/>
        <w:keepLines w:val="0"/>
      </w:pPr>
      <w:r>
        <w:rPr>
          <w:rFonts w:ascii="Noto Sans CJK SC" w:hAnsi="Noto Sans CJK SC" w:eastAsia="Noto Sans CJK SC" w:cs="Noto Sans CJK SC"/>
        </w:rPr>
        <w:t>6.5 阶段5：迁移、真实数据与不确定性</w:t>
      </w:r>
    </w:p>
    <w:p>
      <w:pPr>
        <w:spacing w:before="0" w:after="120" w:line="300" w:lineRule="auto"/>
        <w:jc w:val="both"/>
      </w:pPr>
      <w:r>
        <w:rPr>
          <w:rFonts w:ascii="Noto Sans CJK SC" w:hAnsi="Noto Sans CJK SC" w:eastAsia="Noto Sans CJK SC" w:cs="Noto Sans CJK SC"/>
          <w:i w:val="0"/>
          <w:sz w:val="21"/>
        </w:rPr>
        <w:t>远期才进入域外合成、区域微调或真实数据。需要明确 synthetic-to-real 偏差、物性统计、网格尺度、地形和观测误差模型。此阶段应以校准过的集合概率、覆盖率和决策相关风险为目标，而不是展示单个“看起来合理”的最佳实现。</w:t>
      </w:r>
    </w:p>
    <w:p>
      <w:pPr>
        <w:pStyle w:val="Heading1"/>
        <w:keepNext/>
        <w:keepLines w:val="0"/>
      </w:pPr>
      <w:r>
        <w:rPr>
          <w:rFonts w:ascii="Noto Sans CJK SC" w:hAnsi="Noto Sans CJK SC" w:eastAsia="Noto Sans CJK SC" w:cs="Noto Sans CJK SC"/>
        </w:rPr>
        <w:t>7. 实验协议与评价体系</w:t>
      </w:r>
    </w:p>
    <w:p>
      <w:pPr>
        <w:pStyle w:val="Heading2"/>
        <w:keepNext/>
        <w:keepLines w:val="0"/>
      </w:pPr>
      <w:r>
        <w:rPr>
          <w:rFonts w:ascii="Noto Sans CJK SC" w:hAnsi="Noto Sans CJK SC" w:eastAsia="Noto Sans CJK SC" w:cs="Noto Sans CJK SC"/>
        </w:rPr>
        <w:t>7.1 不可变的配对规则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SC" w:hAnsi="Noto Sans CJK SC" w:eastAsia="Noto Sans CJK SC" w:cs="Noto Sans CJK SC"/>
          <w:sz w:val="21"/>
        </w:rPr>
        <w:t>相同 checkpoint 文件及哈希；相同 EMA 加载策略。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SC" w:hAnsi="Noto Sans CJK SC" w:eastAsia="Noto Sans CJK SC" w:cs="Noto Sans CJK SC"/>
          <w:sz w:val="21"/>
        </w:rPr>
        <w:t>相同 true_model、boreholes、物性配置、目标体和观测文件哈希。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SC" w:hAnsi="Noto Sans CJK SC" w:eastAsia="Noto Sans CJK SC" w:cs="Noto Sans CJK SC"/>
          <w:sz w:val="21"/>
        </w:rPr>
        <w:t>相同 seed、初始噪声、时间网格、fixed-Euler 步数和初始条件。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SC" w:hAnsi="Noto Sans CJK SC" w:eastAsia="Noto Sans CJK SC" w:cs="Noto Sans CJK SC"/>
          <w:sz w:val="21"/>
        </w:rPr>
        <w:t>baseline/guided 除引导参数和输出路径外，其余关键字段一致。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SC" w:hAnsi="Noto Sans CJK SC" w:eastAsia="Noto Sans CJK SC" w:cs="Noto Sans CJK SC"/>
          <w:sz w:val="21"/>
        </w:rPr>
        <w:t>条件投影逻辑一致；每次运行均输出 pairing_validation 和 condition_violation。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SC" w:hAnsi="Noto Sans CJK SC" w:eastAsia="Noto Sans CJK SC" w:cs="Noto Sans CJK SC"/>
          <w:sz w:val="21"/>
        </w:rPr>
        <w:t>adaptive-Dopri5 只作历史参考，不进入引导归因对比。</w:t>
      </w:r>
    </w:p>
    <w:p>
      <w:pPr>
        <w:pStyle w:val="Heading2"/>
        <w:keepNext/>
        <w:keepLines w:val="0"/>
      </w:pPr>
      <w:r>
        <w:rPr>
          <w:rFonts w:ascii="Noto Sans CJK SC" w:hAnsi="Noto Sans CJK SC" w:eastAsia="Noto Sans CJK SC" w:cs="Noto Sans CJK SC"/>
        </w:rPr>
        <w:t>7.2 必需指标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5060"/>
        <w:gridCol w:w="2800"/>
      </w:tblGrid>
      <w:tr>
        <w:trPr>
          <w:tblHeader w:val="true"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4D9E0"/>
              <w:left w:val="single" w:sz="4" w:space="0" w:color="D4D9E0"/>
              <w:bottom w:val="single" w:sz="4" w:space="0" w:color="D4D9E0"/>
              <w:right w:val="single" w:sz="4" w:space="0" w:color="D4D9E0"/>
              <w:insideH w:val="single" w:sz="4" w:space="0" w:color="D4D9E0"/>
              <w:insideV w:val="single" w:sz="4" w:space="0" w:color="D4D9E0"/>
            </w:tcBorders>
            <w:shd w:fill="E8EEF5" w:val="clear"/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17324D"/>
                <w:sz w:val="17"/>
              </w:rPr>
              <w:t>层级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4D9E0"/>
              <w:left w:val="single" w:sz="4" w:space="0" w:color="D4D9E0"/>
              <w:bottom w:val="single" w:sz="4" w:space="0" w:color="D4D9E0"/>
              <w:right w:val="single" w:sz="4" w:space="0" w:color="D4D9E0"/>
              <w:insideH w:val="single" w:sz="4" w:space="0" w:color="D4D9E0"/>
              <w:insideV w:val="single" w:sz="4" w:space="0" w:color="D4D9E0"/>
            </w:tcBorders>
            <w:shd w:fill="E8EEF5" w:val="clear"/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17324D"/>
                <w:sz w:val="17"/>
              </w:rPr>
              <w:t>主要指标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4D9E0"/>
              <w:left w:val="single" w:sz="4" w:space="0" w:color="D4D9E0"/>
              <w:bottom w:val="single" w:sz="4" w:space="0" w:color="D4D9E0"/>
              <w:right w:val="single" w:sz="4" w:space="0" w:color="D4D9E0"/>
              <w:insideH w:val="single" w:sz="4" w:space="0" w:color="D4D9E0"/>
              <w:insideV w:val="single" w:sz="4" w:space="0" w:color="D4D9E0"/>
            </w:tcBorders>
            <w:shd w:fill="E8EEF5" w:val="clear"/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17324D"/>
                <w:sz w:val="17"/>
              </w:rPr>
              <w:t>用途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引导机制</w:t>
            </w:r>
          </w:p>
        </w:tc>
        <w:tc>
          <w:tcPr>
            <w:tcW w:type="dxa" w:w="506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loss、梯度范数、velocity ratio、clip ratio、soft margin、熵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判断梯度是否进入采样器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离散变化</w:t>
            </w:r>
          </w:p>
        </w:tc>
        <w:tc>
          <w:tcPr>
            <w:tcW w:type="dxa" w:w="506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changed voxels/ratio；变化位置与类别转移矩阵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判断 soft 改变是否进入 hard decode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目标结构</w:t>
            </w:r>
          </w:p>
        </w:tc>
        <w:tc>
          <w:tcPr>
            <w:tcW w:type="dxa" w:w="506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label 9 IoU、Precision、Recall、体积误差、质心距离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判断是否朝真值改善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几何连通</w:t>
            </w:r>
          </w:p>
        </w:tc>
        <w:tc>
          <w:tcPr>
            <w:tcW w:type="dxa" w:w="506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连通体数量、最大体积、走向、倾向、厚度、延伸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判断侵入体形态是否合理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全局质量</w:t>
            </w:r>
          </w:p>
        </w:tc>
        <w:tc>
          <w:tcPr>
            <w:tcW w:type="dxa" w:w="506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voxel accuracy、mean IoU、各类别 IoU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防止只改善目标却破坏整体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条件与集合</w:t>
            </w:r>
          </w:p>
        </w:tc>
        <w:tc>
          <w:tcPr>
            <w:tcW w:type="dxa" w:w="506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钻井/地表违背；概率体、方差、覆盖率、多样性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保证硬条件并量化不确定性</w:t>
            </w:r>
          </w:p>
        </w:tc>
      </w:tr>
    </w:tbl>
    <w:p>
      <w:pPr>
        <w:spacing w:before="0" w:after="60"/>
      </w:pPr>
    </w:p>
    <w:p>
      <w:pPr>
        <w:spacing w:before="0" w:after="120" w:line="300" w:lineRule="auto"/>
        <w:jc w:val="both"/>
      </w:pPr>
      <w:r>
        <w:rPr>
          <w:rFonts w:ascii="Noto Sans CJK SC" w:hAnsi="Noto Sans CJK SC" w:eastAsia="Noto Sans CJK SC" w:cs="Noto Sans CJK SC"/>
          <w:i w:val="0"/>
          <w:sz w:val="21"/>
        </w:rPr>
        <w:t>所有主结论应基于 baseline-guided 的配对差值，而不是独立样本均值。正式验证至少报告均值、中位数、置信区间或 bootstrap 区间，并保留每个 seed 的个体结果，避免平均值掩盖少数失败样本。</w:t>
      </w:r>
    </w:p>
    <w:p>
      <w:pPr>
        <w:pStyle w:val="Heading2"/>
        <w:keepNext/>
        <w:keepLines w:val="0"/>
      </w:pPr>
      <w:r>
        <w:rPr>
          <w:rFonts w:ascii="Noto Sans CJK SC" w:hAnsi="Noto Sans CJK SC" w:eastAsia="Noto Sans CJK SC" w:cs="Noto Sans CJK SC"/>
        </w:rPr>
        <w:t>7.3 正式消融矩阵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3600"/>
        <w:gridCol w:w="506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4D9E0"/>
              <w:left w:val="single" w:sz="4" w:space="0" w:color="D4D9E0"/>
              <w:bottom w:val="single" w:sz="4" w:space="0" w:color="D4D9E0"/>
              <w:right w:val="single" w:sz="4" w:space="0" w:color="D4D9E0"/>
              <w:insideH w:val="single" w:sz="4" w:space="0" w:color="D4D9E0"/>
              <w:insideV w:val="single" w:sz="4" w:space="0" w:color="D4D9E0"/>
            </w:tcBorders>
            <w:shd w:fill="E8EEF5" w:val="clear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7324D"/>
                <w:sz w:val="18"/>
              </w:rPr>
              <w:t>编号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4D9E0"/>
              <w:left w:val="single" w:sz="4" w:space="0" w:color="D4D9E0"/>
              <w:bottom w:val="single" w:sz="4" w:space="0" w:color="D4D9E0"/>
              <w:right w:val="single" w:sz="4" w:space="0" w:color="D4D9E0"/>
              <w:insideH w:val="single" w:sz="4" w:space="0" w:color="D4D9E0"/>
              <w:insideV w:val="single" w:sz="4" w:space="0" w:color="D4D9E0"/>
            </w:tcBorders>
            <w:shd w:fill="E8EEF5" w:val="clear"/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17324D"/>
                <w:sz w:val="18"/>
              </w:rPr>
              <w:t>方案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4D9E0"/>
              <w:left w:val="single" w:sz="4" w:space="0" w:color="D4D9E0"/>
              <w:bottom w:val="single" w:sz="4" w:space="0" w:color="D4D9E0"/>
              <w:right w:val="single" w:sz="4" w:space="0" w:color="D4D9E0"/>
              <w:insideH w:val="single" w:sz="4" w:space="0" w:color="D4D9E0"/>
              <w:insideV w:val="single" w:sz="4" w:space="0" w:color="D4D9E0"/>
            </w:tcBorders>
            <w:shd w:fill="E8EEF5" w:val="clear"/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17324D"/>
                <w:sz w:val="18"/>
              </w:rPr>
              <w:t>回答的问题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A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surface + borehole baseline</w:t>
            </w:r>
          </w:p>
        </w:tc>
        <w:tc>
          <w:tcPr>
            <w:tcW w:type="dxa" w:w="506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生成先验和局部硬条件的基础能力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B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当前 2D gravity guidance</w:t>
            </w:r>
          </w:p>
        </w:tc>
        <w:tc>
          <w:tcPr>
            <w:tcW w:type="dxa" w:w="506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二维场单独能控制多少 hard structure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C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3D probability guidance</w:t>
            </w:r>
          </w:p>
        </w:tc>
        <w:tc>
          <w:tcPr>
            <w:tcW w:type="dxa" w:w="506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推理引导机制的理论上限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D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3D property/smooth guidance</w:t>
            </w:r>
          </w:p>
        </w:tc>
        <w:tc>
          <w:tcPr>
            <w:tcW w:type="dxa" w:w="506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三维物性和反演式属性的实际价值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E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3D smooth + 2D forward guidance</w:t>
            </w:r>
          </w:p>
        </w:tc>
        <w:tc>
          <w:tcPr>
            <w:tcW w:type="dxa" w:w="506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全局属性与观测域物理一致性是否互补</w:t>
            </w:r>
          </w:p>
        </w:tc>
      </w:tr>
    </w:tbl>
    <w:p>
      <w:pPr>
        <w:spacing w:before="0" w:after="60"/>
      </w:pPr>
    </w:p>
    <w:p>
      <w:pPr>
        <w:pStyle w:val="Heading2"/>
        <w:keepNext/>
        <w:keepLines w:val="0"/>
      </w:pPr>
      <w:r>
        <w:rPr>
          <w:rFonts w:ascii="Noto Sans CJK SC" w:hAnsi="Noto Sans CJK SC" w:eastAsia="Noto Sans CJK SC" w:cs="Noto Sans CJK SC"/>
        </w:rPr>
        <w:t>7.4 计算规模建议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SC" w:hAnsi="Noto Sans CJK SC" w:eastAsia="Noto Sans CJK SC" w:cs="Noto Sans CJK SC"/>
          <w:sz w:val="21"/>
        </w:rPr>
        <w:t>冒烟测试：1 个真值、4 个严格配对 seed、16 或 32 步。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SC" w:hAnsi="Noto Sans CJK SC" w:eastAsia="Noto Sans CJK SC" w:cs="Noto Sans CJK SC"/>
          <w:sz w:val="21"/>
        </w:rPr>
        <w:t>参数筛选：1 个真值、8 个 seed，仅筛少量强度、尺度、温度和 trust ratio 组合。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SC" w:hAnsi="Noto Sans CJK SC" w:eastAsia="Noto Sans CJK SC" w:cs="Noto Sans CJK SC"/>
          <w:sz w:val="21"/>
        </w:rPr>
        <w:t>最终验证：至少 3 个真值，每个 16 至 32 个严格配对 seed。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SC" w:hAnsi="Noto Sans CJK SC" w:eastAsia="Noto Sans CJK SC" w:cs="Noto Sans CJK SC"/>
          <w:sz w:val="21"/>
        </w:rPr>
        <w:t>单张 RTX 4090 足以完成 64³ 验证；采用逐样本或小 batch，记录峰值显存、单步时间和总时长。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SC" w:hAnsi="Noto Sans CJK SC" w:eastAsia="Noto Sans CJK SC" w:cs="Noto Sans CJK SC"/>
          <w:sz w:val="21"/>
        </w:rPr>
        <w:t>不进行大规模无目的网格搜索；每一轮参数变化必须对应明确的机制假设。</w:t>
      </w:r>
    </w:p>
    <w:p>
      <w:r>
        <w:br w:type="page"/>
      </w:r>
    </w:p>
    <w:p>
      <w:pPr>
        <w:pStyle w:val="Heading1"/>
        <w:keepNext/>
        <w:keepLines w:val="0"/>
      </w:pPr>
      <w:r>
        <w:rPr>
          <w:rFonts w:ascii="Noto Sans CJK SC" w:hAnsi="Noto Sans CJK SC" w:eastAsia="Noto Sans CJK SC" w:cs="Noto Sans CJK SC"/>
        </w:rPr>
        <w:t>8. 研究贡献的候选定位</w:t>
      </w:r>
    </w:p>
    <w:p>
      <w:pPr>
        <w:shd w:fill="FFF6D8" w:val="clear"/>
        <w:keepNext w:val="0"/>
        <w:keepLines/>
        <w:pBdr>
          <w:left w:val="single" w:sz="16" w:space="8" w:color="7A5A00"/>
        </w:pBdr>
        <w:spacing w:before="100" w:after="160" w:line="288" w:lineRule="auto"/>
        <w:ind w:left="202" w:right="115"/>
      </w:pPr>
      <w:r>
        <w:rPr>
          <w:rFonts w:ascii="Noto Sans CJK SC" w:hAnsi="Noto Sans CJK SC" w:eastAsia="Noto Sans CJK SC" w:cs="Noto Sans CJK SC"/>
          <w:b/>
          <w:color w:val="7A5A00"/>
          <w:sz w:val="21"/>
        </w:rPr>
        <w:t xml:space="preserve">谨慎表述  </w:t>
      </w:r>
      <w:r>
        <w:rPr>
          <w:rFonts w:ascii="Noto Sans CJK SC" w:hAnsi="Noto Sans CJK SC" w:eastAsia="Noto Sans CJK SC" w:cs="Noto Sans CJK SC"/>
          <w:color w:val="17324D"/>
          <w:sz w:val="21"/>
        </w:rPr>
        <w:t>以下是实验完成后可能形成的论文贡献，不是当前已经证实的结论。阶段1至阶段4必须提供足够证据后才能正式主张。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SC" w:hAnsi="Noto Sans CJK SC" w:eastAsia="Noto Sans CJK SC" w:cs="Noto Sans CJK SC"/>
          <w:sz w:val="21"/>
        </w:rPr>
        <w:t>提出一种面向已训练 3D conditional flow-matching 地质生成器的 inference-time differentiable guidance 框架，无需重训练即可接入新的三维全局信息。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SC" w:hAnsi="Noto Sans CJK SC" w:eastAsia="Noto Sans CJK SC" w:cs="Noto Sans CJK SC"/>
          <w:sz w:val="21"/>
        </w:rPr>
        <w:t>建立从 oracle 概率体、完整物性体、反演式 smooth 属性体到二维观测场的分阶段证据链，把机制可行性与数据现实性分开验证。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SC" w:hAnsi="Noto Sans CJK SC" w:eastAsia="Noto Sans CJK SC" w:cs="Noto Sans CJK SC"/>
          <w:sz w:val="21"/>
        </w:rPr>
        <w:t>提出与离散地质结构相匹配的诊断体系：同时记录 soft 动力学、hard 类别越界、目标几何、条件一致性和配对变化。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SC" w:hAnsi="Noto Sans CJK SC" w:eastAsia="Noto Sans CJK SC" w:cs="Noto Sans CJK SC"/>
          <w:sz w:val="21"/>
        </w:rPr>
        <w:t>通过多 seed 集合评估全局信息对地质不确定性的压缩方式，并检查是否出现过度先验、模式坍缩或虚假置信。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SC" w:hAnsi="Noto Sans CJK SC" w:eastAsia="Noto Sans CJK SC" w:cs="Noto Sans CJK SC"/>
          <w:sz w:val="21"/>
        </w:rPr>
        <w:t>给出 2D potential-field guidance 的适用边界：数据 residual 改善不等于深部形态可辨识，3D 属性信息应承担主要结构约束。</w:t>
      </w:r>
    </w:p>
    <w:p>
      <w:pPr>
        <w:pStyle w:val="Heading1"/>
        <w:keepNext/>
        <w:keepLines w:val="0"/>
      </w:pPr>
      <w:r>
        <w:rPr>
          <w:rFonts w:ascii="Noto Sans CJK SC" w:hAnsi="Noto Sans CJK SC" w:eastAsia="Noto Sans CJK SC" w:cs="Noto Sans CJK SC"/>
        </w:rPr>
        <w:t>9. 文献依据与本项目的差异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0"/>
        <w:gridCol w:w="3420"/>
        <w:gridCol w:w="3860"/>
      </w:tblGrid>
      <w:tr>
        <w:trPr>
          <w:tblHeader w:val="true"/>
        </w:trPr>
        <w:tc>
          <w:tcPr>
            <w:tcW w:type="dxa" w:w="208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4D9E0"/>
              <w:left w:val="single" w:sz="4" w:space="0" w:color="D4D9E0"/>
              <w:bottom w:val="single" w:sz="4" w:space="0" w:color="D4D9E0"/>
              <w:right w:val="single" w:sz="4" w:space="0" w:color="D4D9E0"/>
              <w:insideH w:val="single" w:sz="4" w:space="0" w:color="D4D9E0"/>
              <w:insideV w:val="single" w:sz="4" w:space="0" w:color="D4D9E0"/>
            </w:tcBorders>
            <w:shd w:fill="E8EEF5" w:val="clear"/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17324D"/>
                <w:sz w:val="16"/>
              </w:rPr>
              <w:t>文献</w:t>
            </w:r>
          </w:p>
        </w:tc>
        <w:tc>
          <w:tcPr>
            <w:tcW w:type="dxa" w:w="342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4D9E0"/>
              <w:left w:val="single" w:sz="4" w:space="0" w:color="D4D9E0"/>
              <w:bottom w:val="single" w:sz="4" w:space="0" w:color="D4D9E0"/>
              <w:right w:val="single" w:sz="4" w:space="0" w:color="D4D9E0"/>
              <w:insideH w:val="single" w:sz="4" w:space="0" w:color="D4D9E0"/>
              <w:insideV w:val="single" w:sz="4" w:space="0" w:color="D4D9E0"/>
            </w:tcBorders>
            <w:shd w:fill="E8EEF5" w:val="clear"/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17324D"/>
                <w:sz w:val="16"/>
              </w:rPr>
              <w:t>可迁移启示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4D9E0"/>
              <w:left w:val="single" w:sz="4" w:space="0" w:color="D4D9E0"/>
              <w:bottom w:val="single" w:sz="4" w:space="0" w:color="D4D9E0"/>
              <w:right w:val="single" w:sz="4" w:space="0" w:color="D4D9E0"/>
              <w:insideH w:val="single" w:sz="4" w:space="0" w:color="D4D9E0"/>
              <w:insideV w:val="single" w:sz="4" w:space="0" w:color="D4D9E0"/>
            </w:tcBorders>
            <w:shd w:fill="E8EEF5" w:val="clear"/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17324D"/>
                <w:sz w:val="16"/>
              </w:rPr>
              <w:t>与本项目的关键差异</w:t>
            </w:r>
          </w:p>
        </w:tc>
      </w:tr>
      <w:tr>
        <w:tc>
          <w:tcPr>
            <w:tcW w:type="dxa" w:w="208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R1 Ghyselincks et al. (2026)</w:t>
            </w:r>
          </w:p>
        </w:tc>
        <w:tc>
          <w:tcPr>
            <w:tcW w:type="dxa" w:w="342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flow matching 可从地表和稀疏钻井生成多组 3D 地质实现；生成器可作为地球物理反演先验</w:t>
            </w:r>
          </w:p>
        </w:tc>
        <w:tc>
          <w:tcPr>
            <w:tcW w:type="dxa" w:w="386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本文工作的直接起点；原文尚未验证推理阶段 3D smooth 引导</w:t>
            </w:r>
          </w:p>
        </w:tc>
      </w:tr>
      <w:tr>
        <w:tc>
          <w:tcPr>
            <w:tcW w:type="dxa" w:w="208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R2 Fang et al. (2020)</w:t>
            </w:r>
          </w:p>
        </w:tc>
        <w:tc>
          <w:tcPr>
            <w:tcW w:type="dxa" w:w="342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深生成器可编码复杂先验并在低维空间做贝叶斯反演；训练集决定先验范围</w:t>
            </w:r>
          </w:p>
        </w:tc>
        <w:tc>
          <w:tcPr>
            <w:tcW w:type="dxa" w:w="386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使用 DGAN + pCN；本项目在 flow 采样轨迹中注入梯度</w:t>
            </w:r>
          </w:p>
        </w:tc>
      </w:tr>
      <w:tr>
        <w:tc>
          <w:tcPr>
            <w:tcW w:type="dxa" w:w="208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R3 Mosser et al. (2020)</w:t>
            </w:r>
          </w:p>
        </w:tc>
        <w:tc>
          <w:tcPr>
            <w:tcW w:type="dxa" w:w="342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可微生成器可与 PDE/伴随梯度结合；后验应保留多实现</w:t>
            </w:r>
          </w:p>
        </w:tc>
        <w:tc>
          <w:tcPr>
            <w:tcW w:type="dxa" w:w="386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使用 GAN + approximate MALA；其 mode collapse 警告同样适用于本项目</w:t>
            </w:r>
          </w:p>
        </w:tc>
      </w:tr>
      <w:tr>
        <w:tc>
          <w:tcPr>
            <w:tcW w:type="dxa" w:w="208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R4 Song et al. (2022)</w:t>
            </w:r>
          </w:p>
        </w:tc>
        <w:tc>
          <w:tcPr>
            <w:tcW w:type="dxa" w:w="342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稀疏井、低分辨率 3D 概率图和可信度可联合条件化，并能生成多组实现</w:t>
            </w:r>
          </w:p>
        </w:tc>
        <w:tc>
          <w:tcPr>
            <w:tcW w:type="dxa" w:w="386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条件关系在训练中学习；本项目目标是无重训练的 inference-time guidance</w:t>
            </w:r>
          </w:p>
        </w:tc>
      </w:tr>
    </w:tbl>
    <w:p>
      <w:pPr>
        <w:spacing w:before="0" w:after="60"/>
      </w:pPr>
    </w:p>
    <w:p>
      <w:pPr>
        <w:spacing w:before="0" w:after="120" w:line="300" w:lineRule="auto"/>
        <w:jc w:val="both"/>
      </w:pPr>
      <w:r>
        <w:rPr>
          <w:rFonts w:ascii="Noto Sans CJK SC" w:hAnsi="Noto Sans CJK SC" w:eastAsia="Noto Sans CJK SC" w:cs="Noto Sans CJK SC"/>
          <w:i w:val="0"/>
          <w:sz w:val="21"/>
        </w:rPr>
        <w:t>文献共同支持“生成模型作为复杂地质先验、物理或概率信息作为观测约束、多个实现用于不确定性”的总体范式，也共同提示两类风险：生成先验受训练分布限制，后验多样性可能被模式坍缩或过强条件压缩。我们的阶段化方案正是为了区分“采样机制失败”“信息分辨率不足”和“先验域外偏差”。</w:t>
      </w:r>
    </w:p>
    <w:p>
      <w:pPr>
        <w:pStyle w:val="Heading1"/>
        <w:keepNext/>
        <w:keepLines w:val="0"/>
      </w:pPr>
      <w:r>
        <w:rPr>
          <w:rFonts w:ascii="Noto Sans CJK SC" w:hAnsi="Noto Sans CJK SC" w:eastAsia="Noto Sans CJK SC" w:cs="Noto Sans CJK SC"/>
        </w:rPr>
        <w:t>10. 当前冻结决策与立即下一步</w:t>
      </w:r>
    </w:p>
    <w:p>
      <w:pPr>
        <w:pStyle w:val="Heading2"/>
        <w:keepNext/>
        <w:keepLines w:val="0"/>
      </w:pPr>
      <w:r>
        <w:rPr>
          <w:rFonts w:ascii="Noto Sans CJK SC" w:hAnsi="Noto Sans CJK SC" w:eastAsia="Noto Sans CJK SC" w:cs="Noto Sans CJK SC"/>
        </w:rPr>
        <w:t>10.1 当前可冻结的项目事实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SC" w:hAnsi="Noto Sans CJK SC" w:eastAsia="Noto Sans CJK SC" w:cs="Noto Sans CJK SC"/>
          <w:sz w:val="21"/>
        </w:rPr>
        <w:t>唯一开发代码为 flow2；阶段0已完成，阶段1尚未开始。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SC" w:hAnsi="Noto Sans CJK SC" w:eastAsia="Noto Sans CJK SC" w:cs="Noto Sans CJK SC"/>
          <w:sz w:val="21"/>
        </w:rPr>
        <w:t>EMA 策略、fixed-Euler 配对 baseline、输入校验和求解器审计已确定。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SC" w:hAnsi="Noto Sans CJK SC" w:eastAsia="Noto Sans CJK SC" w:cs="Noto Sans CJK SC"/>
          <w:sz w:val="21"/>
        </w:rPr>
        <w:t>当前二维重力引导链路生效但 hard-label 影响极弱，不能宣称结构改善。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SC" w:hAnsi="Noto Sans CJK SC" w:eastAsia="Noto Sans CJK SC" w:cs="Noto Sans CJK SC"/>
          <w:sz w:val="21"/>
        </w:rPr>
        <w:t>下一步是 label 9 三维概率体上限引导，不继续扩大二维 alpha/mu 搜索。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SC" w:hAnsi="Noto Sans CJK SC" w:eastAsia="Noto Sans CJK SC" w:cs="Noto Sans CJK SC"/>
          <w:sz w:val="21"/>
        </w:rPr>
        <w:t>smooth 三维属性体属于阶段3；它必须建立在阶段1和完整物性体阶段成功之上。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SC" w:hAnsi="Noto Sans CJK SC" w:eastAsia="Noto Sans CJK SC" w:cs="Noto Sans CJK SC"/>
          <w:sz w:val="21"/>
        </w:rPr>
        <w:t>最终评价围绕硬结构、几何、条件一致性和集合不确定性展开。</w:t>
      </w:r>
    </w:p>
    <w:p>
      <w:pPr>
        <w:pStyle w:val="Heading2"/>
        <w:keepNext/>
        <w:keepLines w:val="0"/>
      </w:pPr>
      <w:r>
        <w:rPr>
          <w:rFonts w:ascii="Noto Sans CJK SC" w:hAnsi="Noto Sans CJK SC" w:eastAsia="Noto Sans CJK SC" w:cs="Noto Sans CJK SC"/>
        </w:rPr>
        <w:t>10.2 阶段1开发顺序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Noto Sans CJK SC" w:hAnsi="Noto Sans CJK SC" w:eastAsia="Noto Sans CJK SC" w:cs="Noto Sans CJK SC"/>
          <w:sz w:val="21"/>
        </w:rPr>
        <w:t>审查现有采样、soft decode、embedding、条件投影、评价和严格配对代码。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Noto Sans CJK SC" w:hAnsi="Noto Sans CJK SC" w:eastAsia="Noto Sans CJK SC" w:cs="Noto Sans CJK SC"/>
          <w:sz w:val="21"/>
        </w:rPr>
        <w:t>实现目标 mask/连通体选择与多尺度概率体构造，并补充目标文件哈希。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Noto Sans CJK SC" w:hAnsi="Noto Sans CJK SC" w:eastAsia="Noto Sans CJK SC" w:cs="Noto Sans CJK SC"/>
          <w:sz w:val="21"/>
        </w:rPr>
        <w:t>实现独立 3D probability loss 和 fixed-Euler 梯度注入，不与二维重力先混合。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Noto Sans CJK SC" w:hAnsi="Noto Sans CJK SC" w:eastAsia="Noto Sans CJK SC" w:cs="Noto Sans CJK SC"/>
          <w:sz w:val="21"/>
        </w:rPr>
        <w:t>加入每步条件重投影、trust ratio、grad clip、温度/熵和完整 trace。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Noto Sans CJK SC" w:hAnsi="Noto Sans CJK SC" w:eastAsia="Noto Sans CJK SC" w:cs="Noto Sans CJK SC"/>
          <w:sz w:val="21"/>
        </w:rPr>
        <w:t>扩展 hard-label 与 label 9 几何指标，增加 guidance=0 和条件违背回归测试。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Noto Sans CJK SC" w:hAnsi="Noto Sans CJK SC" w:eastAsia="Noto Sans CJK SC" w:cs="Noto Sans CJK SC"/>
          <w:sz w:val="21"/>
        </w:rPr>
        <w:t>先运行 1 样本/4 seed 冒烟测试，再根据机制 trace 做小规模筛选。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Noto Sans CJK SC" w:hAnsi="Noto Sans CJK SC" w:eastAsia="Noto Sans CJK SC" w:cs="Noto Sans CJK SC"/>
          <w:sz w:val="21"/>
        </w:rPr>
        <w:t>按成功门槛作阶段判断；若失败，依据失败模式表定位，不直接进入 smooth。</w:t>
      </w:r>
    </w:p>
    <w:p>
      <w:pPr>
        <w:pStyle w:val="Heading2"/>
        <w:keepNext/>
        <w:keepLines w:val="0"/>
      </w:pPr>
      <w:r>
        <w:rPr>
          <w:rFonts w:ascii="Noto Sans CJK SC" w:hAnsi="Noto Sans CJK SC" w:eastAsia="Noto Sans CJK SC" w:cs="Noto Sans CJK SC"/>
        </w:rPr>
        <w:t>10.3 工程交接规范</w:t>
      </w:r>
    </w:p>
    <w:p>
      <w:pPr>
        <w:spacing w:before="0" w:after="120" w:line="300" w:lineRule="auto"/>
        <w:jc w:val="left"/>
      </w:pPr>
      <w:r>
        <w:rPr>
          <w:rFonts w:ascii="Noto Sans CJK SC" w:hAnsi="Noto Sans CJK SC" w:eastAsia="Noto Sans CJK SC" w:cs="Noto Sans CJK SC"/>
          <w:i w:val="0"/>
          <w:sz w:val="21"/>
        </w:rPr>
        <w:t>为了在 Codex CLI 或新的 ChatGPT Work 中持续开发，仓库应把长期事实与会话状态外置到文档，而不是依赖聊天记忆。建议维护根目录 AGENTS.md，并持续更新 docs/PROJECT_BASELINE.md、docs/EXPERIMENT_PROTOCOL.md、docs/DEVELOPMENT_HANDOFF.md 和 docs/STAGE1_SPEC.md。每个阶段结束时记录真实 branch、commit、working-tree 状态、运行命令、输出哈希、测试结果、已证明内容和下一任务。</w:t>
      </w:r>
    </w:p>
    <w:p>
      <w:pPr>
        <w:pStyle w:val="Heading1"/>
        <w:keepNext/>
        <w:keepLines w:val="0"/>
      </w:pPr>
      <w:r>
        <w:rPr>
          <w:rFonts w:ascii="Noto Sans CJK SC" w:hAnsi="Noto Sans CJK SC" w:eastAsia="Noto Sans CJK SC" w:cs="Noto Sans CJK SC"/>
        </w:rPr>
        <w:t>附录A. 术语与符号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4D9E0"/>
              <w:left w:val="single" w:sz="4" w:space="0" w:color="D4D9E0"/>
              <w:bottom w:val="single" w:sz="4" w:space="0" w:color="D4D9E0"/>
              <w:right w:val="single" w:sz="4" w:space="0" w:color="D4D9E0"/>
              <w:insideH w:val="single" w:sz="4" w:space="0" w:color="D4D9E0"/>
              <w:insideV w:val="single" w:sz="4" w:space="0" w:color="D4D9E0"/>
            </w:tcBorders>
            <w:shd w:fill="E8EEF5" w:val="clear"/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17324D"/>
                <w:sz w:val="17"/>
              </w:rPr>
              <w:t>术语/符号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4D9E0"/>
              <w:left w:val="single" w:sz="4" w:space="0" w:color="D4D9E0"/>
              <w:bottom w:val="single" w:sz="4" w:space="0" w:color="D4D9E0"/>
              <w:right w:val="single" w:sz="4" w:space="0" w:color="D4D9E0"/>
              <w:insideH w:val="single" w:sz="4" w:space="0" w:color="D4D9E0"/>
              <w:insideV w:val="single" w:sz="4" w:space="0" w:color="D4D9E0"/>
            </w:tcBorders>
            <w:shd w:fill="E8EEF5" w:val="clear"/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17324D"/>
                <w:sz w:val="17"/>
              </w:rPr>
              <w:t>本项目中的含义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hard label</w:t>
            </w:r>
          </w:p>
        </w:tc>
        <w:tc>
          <w:tcPr>
            <w:tcW w:type="dxa" w:w="726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连续 embedding 经最近类别或最大概率解码后的离散岩性标签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soft probability</w:t>
            </w:r>
          </w:p>
        </w:tc>
        <w:tc>
          <w:tcPr>
            <w:tcW w:type="dxa" w:w="726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连续状态对各类别的可微概率，用于引导梯度传播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oracle</w:t>
            </w:r>
          </w:p>
        </w:tc>
        <w:tc>
          <w:tcPr>
            <w:tcW w:type="dxa" w:w="726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使用真值直接构造的上限信息，只用于机制验证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inversion-surrogate</w:t>
            </w:r>
          </w:p>
        </w:tc>
        <w:tc>
          <w:tcPr>
            <w:tcW w:type="dxa" w:w="726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由真值物性经可控退化构造的模拟反演属性体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smooth 属性体</w:t>
            </w:r>
          </w:p>
        </w:tc>
        <w:tc>
          <w:tcPr>
            <w:tcW w:type="dxa" w:w="726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模糊、低分辨率、含噪或带可信度的三维连续物性体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strict pairing</w:t>
            </w:r>
          </w:p>
        </w:tc>
        <w:tc>
          <w:tcPr>
            <w:tcW w:type="dxa" w:w="726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baseline 与 guided 只在引导参数上不同，其余随机和数值条件相同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trust region/ratio</w:t>
            </w:r>
          </w:p>
        </w:tc>
        <w:tc>
          <w:tcPr>
            <w:tcW w:type="dxa" w:w="726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限制引导更新相对生成速度的幅度，保护生成先验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condition projection</w:t>
            </w:r>
          </w:p>
        </w:tc>
        <w:tc>
          <w:tcPr>
            <w:tcW w:type="dxa" w:w="7260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每步把地表与钻井位置重新设为已知条件，保证硬一致性</w:t>
            </w:r>
          </w:p>
        </w:tc>
      </w:tr>
    </w:tbl>
    <w:p>
      <w:pPr>
        <w:spacing w:before="0" w:after="60"/>
      </w:pPr>
    </w:p>
    <w:p>
      <w:pPr>
        <w:pStyle w:val="Heading1"/>
        <w:keepNext/>
        <w:keepLines w:val="0"/>
      </w:pPr>
      <w:r>
        <w:rPr>
          <w:rFonts w:ascii="Noto Sans CJK SC" w:hAnsi="Noto Sans CJK SC" w:eastAsia="Noto Sans CJK SC" w:cs="Noto Sans CJK SC"/>
        </w:rPr>
        <w:t>附录B. 参考文献与附件定位</w:t>
      </w:r>
    </w:p>
    <w:p>
      <w:pPr>
        <w:spacing w:after="140" w:line="288" w:lineRule="auto"/>
        <w:ind w:left="360" w:hanging="360"/>
      </w:pPr>
      <w:r>
        <w:rPr>
          <w:rFonts w:ascii="Noto Sans CJK SC" w:hAnsi="Noto Sans CJK SC" w:eastAsia="Noto Sans CJK SC" w:cs="Noto Sans CJK SC"/>
          <w:sz w:val="18"/>
        </w:rPr>
        <w:t>R1. Ghyselincks, S., et al. (2026). Synthetic Geology: Structural Geology Meets Deep Learning. Journal of Geophysical Research: Machine Learning and Computation, 3, e2025JH000986. 关键位置：附件 PDF 第1页摘要与要点；第14页讨论、未来方向和结论。</w:t>
      </w:r>
    </w:p>
    <w:p>
      <w:pPr>
        <w:spacing w:after="140" w:line="288" w:lineRule="auto"/>
        <w:ind w:left="360" w:hanging="360"/>
      </w:pPr>
      <w:r>
        <w:rPr>
          <w:rFonts w:ascii="Noto Sans CJK SC" w:hAnsi="Noto Sans CJK SC" w:eastAsia="Noto Sans CJK SC" w:cs="Noto Sans CJK SC"/>
          <w:sz w:val="18"/>
        </w:rPr>
        <w:t>R2. Fang, Z., Fang, H., &amp; Demanet, L. (2020). Deep generator priors for Bayesian seismic inversion. Advances in Geophysics, 61, 179-216. 关键位置：附件 PDF 第1-5页问题与方法；第34-35页结论、训练分布和先验偏差讨论。</w:t>
      </w:r>
    </w:p>
    <w:p>
      <w:pPr>
        <w:spacing w:after="140" w:line="288" w:lineRule="auto"/>
        <w:ind w:left="360" w:hanging="360"/>
      </w:pPr>
      <w:r>
        <w:rPr>
          <w:rFonts w:ascii="Noto Sans CJK SC" w:hAnsi="Noto Sans CJK SC" w:eastAsia="Noto Sans CJK SC" w:cs="Noto Sans CJK SC"/>
          <w:sz w:val="18"/>
        </w:rPr>
        <w:t>R3. Mosser, L., Dubrule, O., &amp; Blunt, M. J. (2020). Stochastic Seismic Waveform Inversion Using Generative Adversarial Networks as a Geological Prior. Mathematical Geosciences, 52, 53-79. 关键位置：附件 PDF 第1页摘要；第17-18页 mode collapse、结论和伴随梯度框架。</w:t>
      </w:r>
    </w:p>
    <w:p>
      <w:pPr>
        <w:spacing w:after="140" w:line="288" w:lineRule="auto"/>
        <w:ind w:left="360" w:hanging="360"/>
      </w:pPr>
      <w:r>
        <w:rPr>
          <w:rFonts w:ascii="Noto Sans CJK SC" w:hAnsi="Noto Sans CJK SC" w:eastAsia="Noto Sans CJK SC" w:cs="Noto Sans CJK SC"/>
          <w:sz w:val="18"/>
        </w:rPr>
        <w:t>R4. Song, S., Mukerji, T., Hou, J., Zhang, D., &amp; Lyu, X. (2022). GANSim-3D for Conditional Geomodeling: Theory and Field Application. Water Resources Research, 58, e2021WR031865. 关键位置：附件 PDF 第1-2页概率图与条件框架；第28-31页井、概率图可信度、噪声鲁棒性和结论。</w:t>
      </w:r>
    </w:p>
    <w:p>
      <w:pPr>
        <w:shd w:fill="E8F3EE" w:val="clear"/>
        <w:keepNext w:val="0"/>
        <w:keepLines/>
        <w:pBdr>
          <w:left w:val="single" w:sz="16" w:space="8" w:color="2E7D5B"/>
        </w:pBdr>
        <w:spacing w:before="100" w:after="160" w:line="288" w:lineRule="auto"/>
        <w:ind w:left="202" w:right="115"/>
      </w:pPr>
      <w:r>
        <w:rPr>
          <w:rFonts w:ascii="Noto Sans CJK SC" w:hAnsi="Noto Sans CJK SC" w:eastAsia="Noto Sans CJK SC" w:cs="Noto Sans CJK SC"/>
          <w:b/>
          <w:color w:val="2E7D5B"/>
          <w:sz w:val="21"/>
        </w:rPr>
        <w:t xml:space="preserve">最终判断  </w:t>
      </w:r>
      <w:r>
        <w:rPr>
          <w:rFonts w:ascii="Noto Sans CJK SC" w:hAnsi="Noto Sans CJK SC" w:eastAsia="Noto Sans CJK SC" w:cs="Noto Sans CJK SC"/>
          <w:color w:val="17324D"/>
          <w:sz w:val="21"/>
        </w:rPr>
        <w:t>研究路线已经足够清晰，可以停止继续扩展需求讨论。当前最有信息增益的动作是完成阶段1的三维概率体实现与严格配对 GPU 验证；只有证明 hard structure 可以被正确改变后，才进入完整物性和 smooth 三维属性体。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Calibri" w:cs="Calibri"/>
        <w:color w:val="5B6573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Noto Sans CJK SC" w:hAnsi="Noto Sans CJK SC" w:eastAsia="Noto Sans CJK SC" w:cs="Noto Sans CJK SC"/>
        <w:color w:val="5B6573"/>
        <w:sz w:val="17"/>
      </w:rPr>
      <w:t>MCY | flow2 生成式三维地质建模研究总结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Noto Sans CJK SC" w:hAnsi="Noto Sans CJK SC" w:eastAsia="Noto Sans CJK SC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1F4D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quation">
    <w:name w:val="Equation"/>
    <w:pPr>
      <w:jc w:val="center"/>
    </w:pPr>
    <w:rPr>
      <w:rFonts w:ascii="Cambria Math" w:hAnsi="Cambria Math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生成式三维地质建模与地球物理引导研究总结</dc:title>
  <dc:subject>flow2 条件生成模型的推理阶段三维地球物理引导路线</dc:subject>
  <dc:creator>MCY 项目研究记录</dc:creator>
  <cp:keywords>3D geological modeling, flow matching, geophysical guidance, smooth property volume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