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" w:after="100" w:line="360" w:lineRule="auto"/>
      </w:pPr>
      <w:r>
        <w:rPr>
          <w:rFonts w:ascii="Times New Roman" w:hAnsi="Times New Roman" w:eastAsia="黑体"/>
          <w:color w:val="000000"/>
          <w:sz w:val="32"/>
          <w:szCs w:val="32"/>
          <w:b/>
          <w:bCs/>
        </w:rPr>
        <w:t>面向地质—地球物理联合约束的三维条件流匹配推理</w:t>
      </w:r>
    </w:p>
    <w:p>
      <w:pPr>
        <w:jc w:val="center"/>
        <w:spacing w:before="0" w:after="220" w:line="300" w:lineRule="auto"/>
      </w:pPr>
      <w:r>
        <w:rPr>
          <w:rFonts w:ascii="Times New Roman" w:hAnsi="Times New Roman" w:eastAsia="宋体"/>
          <w:color w:val="000000"/>
          <w:sz w:val="23"/>
          <w:szCs w:val="23"/>
          <w:b/>
          <w:bCs/>
        </w:rPr>
        <w:t>3D Conditional Flow-Matching Inference with Geological and Geophysical Constraints</w:t>
      </w:r>
    </w:p>
    <w:p>
      <w:pPr>
        <w:keepNext/>
        <w:jc w:val="left"/>
        <w:spacing w:before="220" w:after="80" w:line="300" w:lineRule="auto"/>
      </w:pPr>
      <w:r>
        <w:rPr>
          <w:rFonts w:ascii="Times New Roman" w:hAnsi="Times New Roman" w:eastAsia="黑体"/>
          <w:color w:val="000000"/>
          <w:sz w:val="24"/>
          <w:szCs w:val="24"/>
          <w:b/>
          <w:bCs/>
        </w:rPr>
        <w:t>摘  要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地质先验与地球物理观测在联合推理中承担不同作用：前者限定结构可行域，后者在其中更新地下目标的位置与几何。本文以类别9异常体为对象，在冻结条件流匹配模型上构造由真值概率体、理想物性体至二值地震反演分数的递进证据链。Phase1检验生成模型对三维空间提示的响应，Phase2建立物性约束与类别结构之间的接口，Stage15将无噪声二值褶积地震转化为连续异常分数并用于推理期更新。五岩体对照中，三体由钻孔揭露、两体完全隐藏；地震制导使隐藏体召回率由0.138提高至0.902，但生成结果仍沿先验偏好的连续形态扩展。实验表明，地球物理空间证据能够补充先验遗漏的目标位置；边界和拓扑的校正则受证据表征与生成先验之间匹配程度的制约。</w:t>
      </w:r>
    </w:p>
    <w:p>
      <w:pPr>
        <w:jc w:val="both"/>
        <w:spacing w:before="0" w:after="120" w:line="310" w:lineRule="auto"/>
      </w:pPr>
      <w:r>
        <w:rPr>
          <w:rFonts w:ascii="Times New Roman" w:hAnsi="Times New Roman" w:eastAsia="黑体"/>
          <w:color w:val="000000"/>
          <w:sz w:val="21"/>
          <w:szCs w:val="21"/>
          <w:b/>
          <w:bCs/>
        </w:rPr>
        <w:t>关键词：</w:t>
      </w:r>
      <w:r>
        <w:rPr>
          <w:rFonts w:ascii="Times New Roman" w:hAnsi="Times New Roman" w:eastAsia="宋体"/>
          <w:color w:val="000000"/>
          <w:sz w:val="21"/>
          <w:szCs w:val="21"/>
        </w:rPr>
        <w:t>条件流匹配；三维地质建模；地震反演；空间证据；生成先验</w:t>
      </w:r>
    </w:p>
    <w:p>
      <w:pPr>
        <w:keepNext/>
        <w:jc w:val="left"/>
        <w:spacing w:before="220" w:after="80" w:line="300" w:lineRule="auto"/>
      </w:pPr>
      <w:r>
        <w:rPr>
          <w:rFonts w:ascii="Times New Roman" w:hAnsi="Times New Roman" w:eastAsia="黑体"/>
          <w:color w:val="000000"/>
          <w:sz w:val="24"/>
          <w:szCs w:val="24"/>
          <w:b/>
          <w:bCs/>
        </w:rPr>
        <w:t>1  引言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三维地质建模在有限观测条件下具有显著多解性。地表资料和钻孔对局部地层的约束准确，却很难确定未揭露地质体的地下展布。生成模型可由地层序列、接触关系和界面几何学习结构先验，为多解问题提供可行模型空间[1-3]；地震观测则覆盖地下区域，可通过数据响应更新异常体的位置和边界[4-5]。两类信息并非彼此替代：先验用于排除结构上不合理的解，地球物理观测用于在先验允许的模型之间进行区分。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实现这一联合关系的难点，在于地震记录和反演物性并不等同于岩性类别。若将不可靠的物性异常直接解释为类别概率，生成结果可能被推向错误位置；若完全依赖生成先验，钻孔以外的异常体又容易遗漏。本文从推理期接口入手，按“空间可控性—物性传递—地震证据”组织实验，并以五个分离目标检验位置更新与拓扑保持。由此考察两个相互衔接的问题：地球物理证据能否改善先验对地下目标的恢复，以及这种更新在多大程度上受生成先验和证据分辨率制约。</w:t>
      </w:r>
    </w:p>
    <w:p>
      <w:pPr>
        <w:keepNext/>
        <w:jc w:val="left"/>
        <w:spacing w:before="220" w:after="80" w:line="300" w:lineRule="auto"/>
      </w:pPr>
      <w:r>
        <w:rPr>
          <w:rFonts w:ascii="Times New Roman" w:hAnsi="Times New Roman" w:eastAsia="黑体"/>
          <w:color w:val="000000"/>
          <w:sz w:val="24"/>
          <w:szCs w:val="24"/>
          <w:b/>
          <w:bCs/>
        </w:rPr>
        <w:t>2  方法</w:t>
      </w:r>
    </w:p>
    <w:p>
      <w:pPr>
        <w:keepNext/>
        <w:jc w:val="left"/>
        <w:spacing w:before="120" w:after="80" w:line="300" w:lineRule="auto"/>
      </w:pPr>
      <w:r>
        <w:rPr>
          <w:rFonts w:ascii="Times New Roman" w:hAnsi="Times New Roman" w:eastAsia="黑体"/>
          <w:color w:val="000000"/>
          <w:sz w:val="22"/>
          <w:szCs w:val="22"/>
          <w:b/>
          <w:bCs/>
        </w:rPr>
        <w:t>2.1  冻结条件流匹配及推理期制导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研究对象为64×64×64离散地质体。条件流匹配学习由高斯噪声到类别嵌入的速度场vθ(xt,t)，其训练分布构成本文采用的地质可行域。推理时冻结网络及指数滑动平均权重，在ODE积分中叠加外部证据损失L的状态梯度：dx/dt=vθ(xt,t)−α(t)clip(∇xL)。式中，xt为时刻t的生成状态，vθ为冻结速度场，α(t)为制导强度，clip用于限制梯度幅值。地表和钻孔类别在每个积分步后重新投影；配对实验采用相同初始噪声、步数和求解器。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概率制导采用类别9的交叉熵 Lp=−Σx c(x)[p9(x)log p̂9(x)+(1−p9(x))log(1−p̂9(x))]。其中p9(x)为外部概率体，p̂9(x)为当前生成状态的类别9概率，c(x)为地下有效区域掩膜。物性制导先计算期望物性 ŷ(x)=Σk p̂k(x)yk，再采用 Lm=Σs ws||c⊙(Gs*ŷ−Gs*y)||²2；p̂k和yk分别表示第k类的软概率和物性值，Gs为尺度s的高斯算子，ws为尺度权重，y为目标物性体。两种接口共享冻结Flow和硬条件投影。</w:t>
      </w:r>
    </w:p>
    <w:p>
      <w:pPr>
        <w:keepNext/>
        <w:jc w:val="left"/>
        <w:spacing w:before="120" w:after="80" w:line="300" w:lineRule="auto"/>
      </w:pPr>
      <w:r>
        <w:rPr>
          <w:rFonts w:ascii="Times New Roman" w:hAnsi="Times New Roman" w:eastAsia="黑体"/>
          <w:color w:val="000000"/>
          <w:sz w:val="22"/>
          <w:szCs w:val="22"/>
          <w:b/>
          <w:bCs/>
        </w:rPr>
        <w:t>2.2  三维空间证据的递进构造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证据构造分为三个层次。Phase1由类别9真值构造三维概率体p9(x)，给出空间提示作用于冻结Flow的上限；Phase2将同一目标转写为理想密度—磁化率体，以物性残差替代类别概率残差；Stage15-H再从地震观测获得空间证据。前两阶段采用12组严格配对样本。Stage15-H保留原始15类地质模型，仅在声学映射时将类别9设为高阻抗端元、其余地下类别统一为背景端元，空气保持独立。这样，实验逐步减少证据中直接可用的类别信息，同时保持目标和生成先验不变。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地震正演采用法向入射叠后褶积模型。相邻界面反射系数为ri=(Zi+1−Zi)/(Zi+1+Zi)，Zi表示第i层声阻抗；反射序列经背景慢度时深映射后，与25 Hz零相位Ricker子波卷积。逐道反演求解线性化对数阻抗增量 δm=(GTG+λpI+λsDTD)−1GTr，其中r为地震残差，G=W(1/2D)为子波矩阵W与垂向差分算子D构成的线性算子，λp和λs分别控制阻尼和平滑。两次更新后，将阻抗Z投影到背景端元Zb与类别9端元Z9之间，得到连续异常分数q(x)=clip[(ln Z−ln Zb)/(ln Z9−ln Zb),0,1]，并以q加权类别9物性制导。</w:t>
      </w:r>
    </w:p>
    <w:p>
      <w:pPr>
        <w:keepNext/>
        <w:jc w:val="left"/>
        <w:spacing w:before="120" w:after="80" w:line="300" w:lineRule="auto"/>
      </w:pPr>
      <w:r>
        <w:rPr>
          <w:rFonts w:ascii="Times New Roman" w:hAnsi="Times New Roman" w:eastAsia="黑体"/>
          <w:color w:val="000000"/>
          <w:sz w:val="22"/>
          <w:szCs w:val="22"/>
          <w:b/>
          <w:bCs/>
        </w:rPr>
        <w:t>2.3  五岩体先验—证据对照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五岩体实验采用与当前checkpoint一致的背景，嵌入五个等体积、互不相交的类别9立方体，每体包含640个体素。九口钻井保持原有布局，其中三口分别穿过三个目标体，另两个目标体与全部硬条件无交集。Flow-only表示地质先验与钻井共同限定的结果，地震制导在此基础上加入二值地震空间证据。两组共享初始噪声、32步积分及seed 42、142、242。评价包括总体与隐藏体的IoU、precision、recall、预测体积及目标间连通关系。</w:t>
      </w:r>
    </w:p>
    <w:p>
      <w:pPr>
        <w:keepNext/>
        <w:jc w:val="left"/>
        <w:spacing w:before="220" w:after="80" w:line="300" w:lineRule="auto"/>
      </w:pPr>
      <w:r>
        <w:rPr>
          <w:rFonts w:ascii="Times New Roman" w:hAnsi="Times New Roman" w:eastAsia="黑体"/>
          <w:color w:val="000000"/>
          <w:sz w:val="24"/>
          <w:szCs w:val="24"/>
          <w:b/>
          <w:bCs/>
        </w:rPr>
        <w:t>3  实验结果</w:t>
      </w:r>
    </w:p>
    <w:p>
      <w:pPr>
        <w:keepNext/>
        <w:jc w:val="left"/>
        <w:spacing w:before="120" w:after="80" w:line="300" w:lineRule="auto"/>
      </w:pPr>
      <w:r>
        <w:rPr>
          <w:rFonts w:ascii="Times New Roman" w:hAnsi="Times New Roman" w:eastAsia="黑体"/>
          <w:color w:val="000000"/>
          <w:sz w:val="22"/>
          <w:szCs w:val="22"/>
          <w:b/>
          <w:bCs/>
        </w:rPr>
        <w:t>3.1  空间证据对异常体恢复的作用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Phase1、Phase2与Stage15-H构成从直接空间提示到观测派生证据的递进关系。Phase1中，类别9交并比由0.031提高至0.810，说明冻结Flow能够在既有结构可行域内响应三维目标位置。将提示改写为理想物性约束后，Phase2达到0.481，表明类别—物性接口能够传递主要空间信息。Stage15-H使用地震反演分数，在3个固定种子上将交并比由0.038提高至0.267，平均召回率由0.056提高至0.463，质心距离由18.40降至9.05个体素；全部结果均精确满足地表和钻井条件。</w:t>
      </w:r>
    </w:p>
    <w:p>
      <w:pPr>
        <w:keepNext/>
        <w:jc w:val="center"/>
        <w:spacing w:before="60" w:after="40"/>
      </w:pPr>
      <w:r>
        <w:drawing>
          <wp:inline distT="0" distB="0" distL="0" distR="0">
            <wp:extent cx="5230368" cy="2127734"/>
            <wp:effectExtent l="0" t="0" r="0" b="0"/>
            <wp:docPr id="1" name="figure1_progressive_guidanc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progressive_guidanc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212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center"/>
        <w:spacing w:before="20" w:after="120" w:line="280" w:lineRule="auto"/>
      </w:pPr>
      <w:r>
        <w:rPr>
          <w:rFonts w:ascii="Times New Roman" w:hAnsi="Times New Roman" w:eastAsia="宋体"/>
          <w:color w:val="000000"/>
          <w:sz w:val="19"/>
          <w:szCs w:val="19"/>
        </w:rPr>
        <w:t>图1  三维空间证据的递进制导结果。第一行为同一cond_generation_0及seed42下的完整地质模型：(a)真值；(b)Flow-only；(c)Phase1概率制导；(d)Phase2理想物性制导；(e)二值地震反演证据制导。第二行为统一观测与类别9对照：(f)地表—钻井条件；(g)—(j)分别对应(b)—(e)的类别9结果。橙色为生成的类别9，浅灰蓝阴影为真实类别9，青色竖线为钻孔。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图1显示，Flow-only给出了符合先验与稀疏条件的地质结构，但遗漏了钻孔未充分揭露的主要侵入体。概率证据恢复最完整，理想物性证据保留主要走向而出现局部缺口；由地震获得的异常分数仍能把生成结果推向真实目标区域，只是边界明显增厚。随着证据由类别概率转为物性和地震反演分数，异常体恢复精度逐级降低，但空间更新作用仍然保留。</w:t>
      </w:r>
    </w:p>
    <w:p>
      <w:pPr>
        <w:keepNext/>
        <w:jc w:val="left"/>
        <w:spacing w:before="120" w:after="80" w:line="300" w:lineRule="auto"/>
      </w:pPr>
      <w:r>
        <w:rPr>
          <w:rFonts w:ascii="Times New Roman" w:hAnsi="Times New Roman" w:eastAsia="黑体"/>
          <w:color w:val="000000"/>
          <w:sz w:val="22"/>
          <w:szCs w:val="22"/>
          <w:b/>
          <w:bCs/>
        </w:rPr>
        <w:t>3.2  隐藏目标恢复与拓扑约束</w:t>
      </w:r>
    </w:p>
    <w:p>
      <w:pPr>
        <w:keepNext/>
        <w:jc w:val="center"/>
        <w:spacing w:before="60" w:after="40"/>
      </w:pPr>
      <w:r>
        <w:drawing>
          <wp:inline distT="0" distB="0" distL="0" distR="0">
            <wp:extent cx="5230368" cy="1763691"/>
            <wp:effectExtent l="0" t="0" r="0" b="0"/>
            <wp:docPr id="2" name="figure2_five_body_geophysical_guidanc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five_body_geophysical_guidanc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176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center"/>
        <w:spacing w:before="20" w:after="120" w:line="280" w:lineRule="auto"/>
      </w:pPr>
      <w:r>
        <w:rPr>
          <w:rFonts w:ascii="Times New Roman" w:hAnsi="Times New Roman" w:eastAsia="宋体"/>
          <w:color w:val="000000"/>
          <w:sz w:val="19"/>
          <w:szCs w:val="19"/>
        </w:rPr>
        <w:t>图2  五岩体案例的seed142结果。(a)五个相互分离的类别9真值；(b)Flow-only；(c)二值地震空间证据制导。洋红色粗线为穿过三个目标体的钻井，青色细线为其余钻井；橙色为类别9，灰色为真值参考。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Flow-only优先响应三口命中类别9的钻井，两个完全隐藏目标的总体召回率中位数仅为0.138，且生成体在目标之间形成连续结构。加入地震证据后，隐藏体召回率提高到0.902，总体召回率达到0.947。地球物理观测由此补足了钻孔约束在地下空间覆盖上的不足。不过，预测类别9体素达到18 675，而真值为3 200；五个目标的10种两两组合均落入同一连通系统，总体IoU仅由0.115提高到0.161。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地震异常分数提供了目标所在区域，却没有充分给出背景排除和界面几何，生成轨迹因而保留了先验偏好的连续形态。地震信息已能更新目标在哪里，尚不足以稳定更新目标到哪里结束，以及目标之间是否连通。</w:t>
      </w:r>
    </w:p>
    <w:p>
      <w:pPr>
        <w:keepNext/>
        <w:jc w:val="left"/>
        <w:spacing w:before="220" w:after="80" w:line="300" w:lineRule="auto"/>
      </w:pPr>
      <w:r>
        <w:rPr>
          <w:rFonts w:ascii="Times New Roman" w:hAnsi="Times New Roman" w:eastAsia="黑体"/>
          <w:color w:val="000000"/>
          <w:sz w:val="24"/>
          <w:szCs w:val="24"/>
          <w:b/>
          <w:bCs/>
        </w:rPr>
        <w:t>4  结论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实验得到两点认识。其一，冻结条件流匹配能够接收与目标位置一致的空间证据；地震反演形成的异常分数进入推理后，可补充先验和钻孔遗漏的类别9体，并改善召回率与空间定位。这验证了联合推理中由地球物理观测更新地下目标位置的作用。</w:t>
      </w:r>
    </w:p>
    <w:p>
      <w:pPr>
        <w:jc w:val="both"/>
        <w:ind w:firstLine="420"/>
        <w:spacing w:before="0" w:after="60" w:line="31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>其二，地球物理证据对先验误差的纠正具有选择性。五岩体实验中，地震制导恢复了两个隐藏目标，却未能消除目标过度连接。当地震异常分数缺少可靠的背景排除和界面信息时，生成先验仍主导形态补全。因此，当前方法能够纠正位置遗漏，尚难稳定校正错误连接和边界扩张。地质先验限定结构可行性、地球物理证据更新目标位置，构成了推理期的单向联合约束；要达到双向联合推理，还需使地质先验参与反演模型空间限定，并以包含正异常、负背景和界面几何的地球物理后验更新地质模型。</w:t>
      </w:r>
    </w:p>
    <w:p>
      <w:pPr>
        <w:keepNext/>
        <w:jc w:val="left"/>
        <w:spacing w:before="220" w:after="80" w:line="300" w:lineRule="auto"/>
      </w:pPr>
      <w:r>
        <w:rPr>
          <w:rFonts w:ascii="Times New Roman" w:hAnsi="Times New Roman" w:eastAsia="黑体"/>
          <w:color w:val="000000"/>
          <w:sz w:val="24"/>
          <w:szCs w:val="24"/>
          <w:b/>
          <w:bCs/>
        </w:rPr>
        <w:t>参考文献</w:t>
      </w:r>
    </w:p>
    <w:p>
      <w:pPr>
        <w:jc w:val="both"/>
        <w:spacing w:before="0" w:after="20" w:line="225" w:lineRule="auto"/>
      </w:pPr>
      <w:r>
        <w:rPr>
          <w:rFonts w:ascii="Times New Roman" w:hAnsi="Times New Roman" w:eastAsia="宋体"/>
          <w:color w:val="000000"/>
          <w:sz w:val="16"/>
          <w:szCs w:val="16"/>
        </w:rPr>
        <w:t>[1] Song S, Mukerji T, Hou J, et al. GANSIM-3D for conditional geomodeling: theory and field application[J]. Water Resources Research, 2022, 58: e2021WR031865.</w:t>
      </w:r>
    </w:p>
    <w:p>
      <w:pPr>
        <w:jc w:val="both"/>
        <w:spacing w:before="0" w:after="20" w:line="225" w:lineRule="auto"/>
      </w:pPr>
      <w:r>
        <w:rPr>
          <w:rFonts w:ascii="Times New Roman" w:hAnsi="Times New Roman" w:eastAsia="宋体"/>
          <w:color w:val="000000"/>
          <w:sz w:val="16"/>
          <w:szCs w:val="16"/>
        </w:rPr>
        <w:t>[2] Mosser L, Dubrule O, Blunt M J. Stochastic seismic waveform inversion using generative adversarial networks as a geological prior[J]. Mathematical Geosciences, 2020, 52: 53-79.</w:t>
      </w:r>
    </w:p>
    <w:p>
      <w:pPr>
        <w:jc w:val="both"/>
        <w:spacing w:before="0" w:after="20" w:line="225" w:lineRule="auto"/>
      </w:pPr>
      <w:r>
        <w:rPr>
          <w:rFonts w:ascii="Times New Roman" w:hAnsi="Times New Roman" w:eastAsia="宋体"/>
          <w:color w:val="000000"/>
          <w:sz w:val="16"/>
          <w:szCs w:val="16"/>
        </w:rPr>
        <w:t>[3] Lipman Y, Chen R T Q, Ben-Hamu H, et al. Flow matching for generative modeling[C]//International Conference on Learning Representations. 2023.</w:t>
      </w:r>
    </w:p>
    <w:p>
      <w:pPr>
        <w:jc w:val="both"/>
        <w:spacing w:before="0" w:after="20" w:line="225" w:lineRule="auto"/>
      </w:pPr>
      <w:r>
        <w:rPr>
          <w:rFonts w:ascii="Times New Roman" w:hAnsi="Times New Roman" w:eastAsia="宋体"/>
          <w:color w:val="000000"/>
          <w:sz w:val="16"/>
          <w:szCs w:val="16"/>
        </w:rPr>
        <w:t>[4] Tarantola A. Inverse Problem Theory and Methods for Model Parameter Estimation[M]. Philadelphia: SIAM, 2005.</w:t>
      </w:r>
    </w:p>
    <w:p>
      <w:pPr>
        <w:jc w:val="both"/>
        <w:spacing w:before="0" w:after="20" w:line="225" w:lineRule="auto"/>
      </w:pPr>
      <w:r>
        <w:rPr>
          <w:rFonts w:ascii="Times New Roman" w:hAnsi="Times New Roman" w:eastAsia="宋体"/>
          <w:color w:val="000000"/>
          <w:sz w:val="16"/>
          <w:szCs w:val="16"/>
        </w:rPr>
        <w:t>[5] Simm R, Bacon M. Seismic Amplitude: An Interpreter's Handbook[M]. Cambridge: Cambridge University Press, 2014.</w:t>
      </w:r>
    </w:p>
    <w:p>
      <w:pPr>
        <w:jc w:val="both"/>
        <w:spacing w:before="0" w:after="20" w:line="225" w:lineRule="auto"/>
      </w:pPr>
      <w:r>
        <w:rPr>
          <w:rFonts w:ascii="Times New Roman" w:hAnsi="Times New Roman" w:eastAsia="宋体"/>
          <w:color w:val="000000"/>
          <w:sz w:val="16"/>
          <w:szCs w:val="16"/>
        </w:rPr>
        <w:t>[6] Ghyselincks S, Okhmak V, Zampini S, et al. Synthetic Geology: structural geology meets deep learning[J]. Journal of Geophysical Research: Machine Learning and Computation, 2026, 3: e2025JH000986.</w:t>
      </w:r>
    </w:p>
    <w:sectPr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652"/>
    <w:rsid w:val="00070551"/>
    <w:rsid w:val="000D219C"/>
    <w:rsid w:val="000D53C9"/>
    <w:rsid w:val="000E37EF"/>
    <w:rsid w:val="001A7561"/>
    <w:rsid w:val="001E1239"/>
    <w:rsid w:val="001E672B"/>
    <w:rsid w:val="002250BE"/>
    <w:rsid w:val="002751A5"/>
    <w:rsid w:val="002876CD"/>
    <w:rsid w:val="002B497A"/>
    <w:rsid w:val="00310D08"/>
    <w:rsid w:val="00372DC8"/>
    <w:rsid w:val="003805B0"/>
    <w:rsid w:val="00381E4F"/>
    <w:rsid w:val="003823FD"/>
    <w:rsid w:val="00430942"/>
    <w:rsid w:val="004654D8"/>
    <w:rsid w:val="004753B2"/>
    <w:rsid w:val="004903F8"/>
    <w:rsid w:val="004A2371"/>
    <w:rsid w:val="004B4DD9"/>
    <w:rsid w:val="004C6266"/>
    <w:rsid w:val="004D6899"/>
    <w:rsid w:val="00526713"/>
    <w:rsid w:val="005440CD"/>
    <w:rsid w:val="005768C9"/>
    <w:rsid w:val="00592A85"/>
    <w:rsid w:val="005A7886"/>
    <w:rsid w:val="0060644C"/>
    <w:rsid w:val="00607D02"/>
    <w:rsid w:val="00615BF3"/>
    <w:rsid w:val="006407C0"/>
    <w:rsid w:val="00682652"/>
    <w:rsid w:val="006918D0"/>
    <w:rsid w:val="00722C23"/>
    <w:rsid w:val="00793DAA"/>
    <w:rsid w:val="007C0DA4"/>
    <w:rsid w:val="007C64AF"/>
    <w:rsid w:val="007F4846"/>
    <w:rsid w:val="00810A2F"/>
    <w:rsid w:val="0086072A"/>
    <w:rsid w:val="008A20A8"/>
    <w:rsid w:val="008A5FC2"/>
    <w:rsid w:val="008C437A"/>
    <w:rsid w:val="009302C7"/>
    <w:rsid w:val="00934704"/>
    <w:rsid w:val="009459BF"/>
    <w:rsid w:val="009531D6"/>
    <w:rsid w:val="00973962"/>
    <w:rsid w:val="0099469E"/>
    <w:rsid w:val="00A008D9"/>
    <w:rsid w:val="00A55C36"/>
    <w:rsid w:val="00A97504"/>
    <w:rsid w:val="00AA6770"/>
    <w:rsid w:val="00B02B27"/>
    <w:rsid w:val="00C2496E"/>
    <w:rsid w:val="00CD2024"/>
    <w:rsid w:val="00D17F0A"/>
    <w:rsid w:val="00D44545"/>
    <w:rsid w:val="00D9254D"/>
    <w:rsid w:val="00D968A8"/>
    <w:rsid w:val="00DB2721"/>
    <w:rsid w:val="00DD3E44"/>
    <w:rsid w:val="00E5010F"/>
    <w:rsid w:val="00E67F8E"/>
    <w:rsid w:val="00E84190"/>
    <w:rsid w:val="00EC07C5"/>
    <w:rsid w:val="00EC18F4"/>
    <w:rsid w:val="00EC49C7"/>
    <w:rsid w:val="00EC4F48"/>
    <w:rsid w:val="00EF78C0"/>
    <w:rsid w:val="00F06C5B"/>
    <w:rsid w:val="00F71518"/>
    <w:rsid w:val="00FA279B"/>
    <w:rsid w:val="00FB4910"/>
    <w:rsid w:val="00FF7B12"/>
    <w:rsid w:val="02B7624C"/>
    <w:rsid w:val="0D951880"/>
    <w:rsid w:val="10A45550"/>
    <w:rsid w:val="11390459"/>
    <w:rsid w:val="1C5E5533"/>
    <w:rsid w:val="1E601A36"/>
    <w:rsid w:val="21F4496F"/>
    <w:rsid w:val="252C2672"/>
    <w:rsid w:val="2A111E36"/>
    <w:rsid w:val="2C504E98"/>
    <w:rsid w:val="326A47D9"/>
    <w:rsid w:val="36486BE0"/>
    <w:rsid w:val="3A4A73CA"/>
    <w:rsid w:val="4464552C"/>
    <w:rsid w:val="44FF5D5B"/>
    <w:rsid w:val="52053EBB"/>
    <w:rsid w:val="52432C25"/>
    <w:rsid w:val="53A019B1"/>
    <w:rsid w:val="639F57E1"/>
    <w:rsid w:val="659F4BC3"/>
    <w:rsid w:val="66372649"/>
    <w:rsid w:val="6AEB68E7"/>
    <w:rsid w:val="6E386F5E"/>
    <w:rsid w:val="6F547DC8"/>
    <w:rsid w:val="72F07E08"/>
    <w:rsid w:val="7A4D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文章正文"/>
    <w:basedOn w:val="1"/>
    <w:qFormat/>
    <w:uiPriority w:val="0"/>
    <w:pPr>
      <w:snapToGrid w:val="0"/>
      <w:spacing w:line="400" w:lineRule="exact"/>
      <w:ind w:firstLine="480" w:firstLineChars="200"/>
    </w:pPr>
    <w:rPr>
      <w:rFonts w:ascii="Times New Roman" w:hAnsi="Times New Roman" w:eastAsia="宋体"/>
      <w:sz w:val="24"/>
    </w:rPr>
  </w:style>
  <w:style w:type="paragraph" w:styleId="7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Relationship Id="rId4" Type="http://schemas.openxmlformats.org/officeDocument/2006/relationships/image" Target="media/image1.png"/>
<Relationship Id="rId5" Type="http://schemas.openxmlformats.org/officeDocument/2006/relationships/image" Target="media/image2.png"/>
<Relationship Id="rId7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5401</Words>
  <Characters>7460</Characters>
  <Lines>32</Lines>
  <Paragraphs>9</Paragraphs>
  <TotalTime>52</TotalTime>
  <ScaleCrop>false</ScaleCrop>
  <LinksUpToDate>false</LinksUpToDate>
  <CharactersWithSpaces>7679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2026-08-04T08:20:00Z</dcterms:created>
  <dc:creator>Admin</dc:creator>
  <cp:lastModifiedBy>谟奕</cp:lastModifiedBy>
  <dcterms:modified xsi:type="dcterms:W3CDTF">2026-08-12T07:34:38Z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eyJoZGlkIjoiOTc3M2Y5NzIzMDFlZjAyY2Q4Njk5ODkyYjFjNzBiNTQiLCJ1c2VySWQiOiIxMjc3MDU1NzIxIn0=</vt:lpwstr>
  </property>
  <property fmtid="{D5CDD505-2E9C-101B-9397-08002B2CF9AE}" pid="4" name="ICV">
    <vt:lpwstr>5E41FDBA81CA46D9904E1EBEE985F891_12</vt:lpwstr>
  </property>
</Properties>
</file>