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200"/>
        <w:jc w:val="center"/>
      </w:pPr>
      <w:r>
        <w:rPr>
          <w:b/>
          <w:bCs/>
          <w:color w:val="B8860B"/>
          <w:sz w:val="52"/>
          <w:szCs w:val="52"/>
        </w:rPr>
        <w:t xml:space="preserve">MMM COMPANY OPERATING SYSTEM</w:t>
      </w:r>
    </w:p>
    <w:p>
      <w:pPr>
        <w:spacing w:after="100"/>
        <w:jc w:val="center"/>
      </w:pPr>
      <w:r>
        <w:rPr>
          <w:color w:val="1A1A1A"/>
          <w:sz w:val="30"/>
          <w:szCs w:val="30"/>
        </w:rPr>
        <w:t xml:space="preserve">Phase 1 Architecture — Revision 2</w:t>
      </w:r>
    </w:p>
    <w:p>
      <w:pPr>
        <w:spacing w:after="600"/>
        <w:jc w:val="center"/>
      </w:pPr>
      <w:r>
        <w:rPr>
          <w:i/>
          <w:iCs/>
          <w:color w:val="666666"/>
          <w:sz w:val="22"/>
          <w:szCs w:val="22"/>
        </w:rPr>
        <w:t xml:space="preserve">Departments, not pages. The Brain as the parent operating layer. A real management hierarchy from CEO to task.</w:t>
      </w:r>
    </w:p>
    <w:p>
      <w:pPr>
        <w:spacing w:after="60"/>
        <w:jc w:val="center"/>
      </w:pPr>
      <w:r>
        <w:rPr>
          <w:sz w:val="20"/>
          <w:szCs w:val="20"/>
        </w:rPr>
        <w:t xml:space="preserve">Prepared for: Mansoor Ahmady, CEO</w:t>
      </w:r>
    </w:p>
    <w:p>
      <w:pPr>
        <w:spacing w:after="60"/>
        <w:jc w:val="center"/>
      </w:pPr>
      <w:r>
        <w:rPr>
          <w:sz w:val="20"/>
          <w:szCs w:val="20"/>
        </w:rPr>
        <w:t xml:space="preserve">Prepared by: Claude — Systems Architect &amp; Operations Agent</w:t>
      </w:r>
    </w:p>
    <w:p>
      <w:pPr>
        <w:spacing w:after="800"/>
        <w:jc w:val="center"/>
      </w:pPr>
      <w:r>
        <w:rPr>
          <w:color w:val="666666"/>
          <w:sz w:val="18"/>
          <w:szCs w:val="18"/>
        </w:rPr>
        <w:t xml:space="preserve">August 2, 2026 — supersedes Revision 1 in structure, not in underlying audit data</w:t>
      </w:r>
    </w:p>
    <w:p>
      <w:pPr>
        <w:pageBreakBefore/>
      </w:pPr>
      <w:r>
        <w:br/>
        <w:t xml:space="preserve"/>
      </w:r>
    </w:p>
    <w:p>
      <w:pPr>
        <w:pStyle w:val="Heading1"/>
        <w:spacing w:after="200" w:before="400"/>
      </w:pPr>
      <w:r>
        <w:t xml:space="preserve">Revision Summary</w:t>
      </w:r>
    </w:p>
    <w:p>
      <w:pPr>
        <w:spacing w:after="160"/>
      </w:pPr>
      <w:r>
        <w:t xml:space="preserve">This revision changes the architecture, not the facts. Every audit finding from Revision 1 (application shape, engine registry, Supabase schema, Brain inventory, RLS risk) still holds and is reused below rather than re-verified. What changes is the org design built on top of those facts, per your ten directives: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700"/>
        <w:gridCol w:w="6400"/>
      </w:tblGrid>
      <w:tr>
        <w:trPr>
          <w:tblHeader/>
        </w:trPr>
        <w:tc>
          <w:tcPr>
            <w:tcW w:type="dxa" w:w="2700"/>
            <w:shd w:fill="1A1A1A" w:val="clear"/>
            <w:tcMar>
              <w:top w:type="dxa" w:w="80"/>
              <w:left w:type="dxa" w:w="100"/>
              <w:bottom w:type="dxa" w:w="80"/>
              <w:right w:type="dxa" w:w="100"/>
            </w:tcMar>
          </w:tcPr>
          <w:p>
            <w:pPr>
              <w:jc w:val="left"/>
            </w:pPr>
            <w:r>
              <w:rPr>
                <w:b/>
                <w:bCs/>
                <w:i w:val="false"/>
                <w:iCs w:val="false"/>
                <w:color w:val="FFFFFF"/>
                <w:sz w:val="19"/>
                <w:szCs w:val="19"/>
              </w:rPr>
              <w:t xml:space="preserve">Your directive</w:t>
            </w:r>
          </w:p>
        </w:tc>
        <w:tc>
          <w:tcPr>
            <w:tcW w:type="dxa" w:w="6400"/>
            <w:shd w:fill="1A1A1A" w:val="clear"/>
            <w:tcMar>
              <w:top w:type="dxa" w:w="80"/>
              <w:left w:type="dxa" w:w="100"/>
              <w:bottom w:type="dxa" w:w="80"/>
              <w:right w:type="dxa" w:w="100"/>
            </w:tcMar>
          </w:tcPr>
          <w:p>
            <w:pPr>
              <w:jc w:val="left"/>
            </w:pPr>
            <w:r>
              <w:rPr>
                <w:b/>
                <w:bCs/>
                <w:i w:val="false"/>
                <w:iCs w:val="false"/>
                <w:color w:val="FFFFFF"/>
                <w:sz w:val="19"/>
                <w:szCs w:val="19"/>
              </w:rPr>
              <w:t xml:space="preserve">What changed in this revision</w:t>
            </w:r>
          </w:p>
        </w:tc>
      </w:tr>
      <w:tr>
        <w:tc>
          <w:tcPr>
            <w:tcW w:type="dxa" w:w="2700"/>
            <w:shd w:fill="F2F2F2" w:val="clear"/>
            <w:tcMar>
              <w:top w:type="dxa" w:w="80"/>
              <w:left w:type="dxa" w:w="100"/>
              <w:bottom w:type="dxa" w:w="80"/>
              <w:right w:type="dxa" w:w="100"/>
            </w:tcMar>
          </w:tcPr>
          <w:p>
            <w:pPr>
              <w:jc w:val="left"/>
            </w:pPr>
            <w:r>
              <w:rPr>
                <w:b w:val="false"/>
                <w:bCs w:val="false"/>
                <w:i w:val="false"/>
                <w:iCs w:val="false"/>
                <w:sz w:val="19"/>
                <w:szCs w:val="19"/>
              </w:rPr>
              <w:t xml:space="preserve">1. Departments, not pages</w:t>
            </w:r>
          </w:p>
        </w:tc>
        <w:tc>
          <w:tcPr>
            <w:tcW w:type="dxa" w:w="6400"/>
            <w:shd w:fill="F2F2F2" w:val="clear"/>
            <w:tcMar>
              <w:top w:type="dxa" w:w="80"/>
              <w:left w:type="dxa" w:w="100"/>
              <w:bottom w:type="dxa" w:w="80"/>
              <w:right w:type="dxa" w:w="100"/>
            </w:tcMar>
          </w:tcPr>
          <w:p>
            <w:pPr>
              <w:jc w:val="left"/>
            </w:pPr>
            <w:r>
              <w:rPr>
                <w:b w:val="false"/>
                <w:bCs w:val="false"/>
                <w:i w:val="false"/>
                <w:iCs w:val="false"/>
                <w:sz w:val="19"/>
                <w:szCs w:val="19"/>
              </w:rPr>
              <w:t xml:space="preserve">Reframed the whole document around operating departments and how a company actually runs, not a page-by-page UI spec.</w:t>
            </w:r>
          </w:p>
        </w:tc>
      </w:tr>
      <w:tr>
        <w:tc>
          <w:tcPr>
            <w:tcW w:type="dxa" w:w="2700"/>
            <w:tcMar>
              <w:top w:type="dxa" w:w="80"/>
              <w:left w:type="dxa" w:w="100"/>
              <w:bottom w:type="dxa" w:w="80"/>
              <w:right w:type="dxa" w:w="100"/>
            </w:tcMar>
          </w:tcPr>
          <w:p>
            <w:pPr>
              <w:jc w:val="left"/>
            </w:pPr>
            <w:r>
              <w:rPr>
                <w:b w:val="false"/>
                <w:bCs w:val="false"/>
                <w:i w:val="false"/>
                <w:iCs w:val="false"/>
                <w:sz w:val="19"/>
                <w:szCs w:val="19"/>
              </w:rPr>
              <w:t xml:space="preserve">2. Brain becomes parent, not peer</w:t>
            </w:r>
          </w:p>
        </w:tc>
        <w:tc>
          <w:tcPr>
            <w:tcW w:type="dxa" w:w="6400"/>
            <w:tcMar>
              <w:top w:type="dxa" w:w="80"/>
              <w:left w:type="dxa" w:w="100"/>
              <w:bottom w:type="dxa" w:w="80"/>
              <w:right w:type="dxa" w:w="100"/>
            </w:tcMar>
          </w:tcPr>
          <w:p>
            <w:pPr>
              <w:jc w:val="left"/>
            </w:pPr>
            <w:r>
              <w:rPr>
                <w:b w:val="false"/>
                <w:bCs w:val="false"/>
                <w:i w:val="false"/>
                <w:iCs w:val="false"/>
                <w:sz w:val="19"/>
                <w:szCs w:val="19"/>
              </w:rPr>
              <w:t xml:space="preserve">Brain is no longer department 8 of 8. It is now the operating layer every department reports into (Section 3), removed from the department-ownership list in Section 6.</w:t>
            </w:r>
          </w:p>
        </w:tc>
      </w:tr>
      <w:tr>
        <w:tc>
          <w:tcPr>
            <w:tcW w:type="dxa" w:w="2700"/>
            <w:shd w:fill="F2F2F2" w:val="clear"/>
            <w:tcMar>
              <w:top w:type="dxa" w:w="80"/>
              <w:left w:type="dxa" w:w="100"/>
              <w:bottom w:type="dxa" w:w="80"/>
              <w:right w:type="dxa" w:w="100"/>
            </w:tcMar>
          </w:tcPr>
          <w:p>
            <w:pPr>
              <w:jc w:val="left"/>
            </w:pPr>
            <w:r>
              <w:rPr>
                <w:b w:val="false"/>
                <w:bCs w:val="false"/>
                <w:i w:val="false"/>
                <w:iCs w:val="false"/>
                <w:sz w:val="19"/>
                <w:szCs w:val="19"/>
              </w:rPr>
              <w:t xml:space="preserve">3. Real management hierarchy</w:t>
            </w:r>
          </w:p>
        </w:tc>
        <w:tc>
          <w:tcPr>
            <w:tcW w:type="dxa" w:w="6400"/>
            <w:shd w:fill="F2F2F2" w:val="clear"/>
            <w:tcMar>
              <w:top w:type="dxa" w:w="80"/>
              <w:left w:type="dxa" w:w="100"/>
              <w:bottom w:type="dxa" w:w="80"/>
              <w:right w:type="dxa" w:w="100"/>
            </w:tcMar>
          </w:tcPr>
          <w:p>
            <w:pPr>
              <w:jc w:val="left"/>
            </w:pPr>
            <w:r>
              <w:rPr>
                <w:b w:val="false"/>
                <w:bCs w:val="false"/>
                <w:i w:val="false"/>
                <w:iCs w:val="false"/>
                <w:sz w:val="19"/>
                <w:szCs w:val="19"/>
              </w:rPr>
              <w:t xml:space="preserve">Added an explicit CEO → Executive Office → Department Managers → Employees/Contractors/AI Agents → Processes → Tasks → Reports chain (Section 2).</w:t>
            </w:r>
          </w:p>
        </w:tc>
      </w:tr>
      <w:tr>
        <w:tc>
          <w:tcPr>
            <w:tcW w:type="dxa" w:w="2700"/>
            <w:tcMar>
              <w:top w:type="dxa" w:w="80"/>
              <w:left w:type="dxa" w:w="100"/>
              <w:bottom w:type="dxa" w:w="80"/>
              <w:right w:type="dxa" w:w="100"/>
            </w:tcMar>
          </w:tcPr>
          <w:p>
            <w:pPr>
              <w:jc w:val="left"/>
            </w:pPr>
            <w:r>
              <w:rPr>
                <w:b w:val="false"/>
                <w:bCs w:val="false"/>
                <w:i w:val="false"/>
                <w:iCs w:val="false"/>
                <w:sz w:val="19"/>
                <w:szCs w:val="19"/>
              </w:rPr>
              <w:t xml:space="preserve">4. Full department structure, no exceptions</w:t>
            </w:r>
          </w:p>
        </w:tc>
        <w:tc>
          <w:tcPr>
            <w:tcW w:type="dxa" w:w="6400"/>
            <w:tcMar>
              <w:top w:type="dxa" w:w="80"/>
              <w:left w:type="dxa" w:w="100"/>
              <w:bottom w:type="dxa" w:w="80"/>
              <w:right w:type="dxa" w:w="100"/>
            </w:tcMar>
          </w:tcPr>
          <w:p>
            <w:pPr>
              <w:jc w:val="left"/>
            </w:pPr>
            <w:r>
              <w:rPr>
                <w:b w:val="false"/>
                <w:bCs w:val="false"/>
                <w:i w:val="false"/>
                <w:iCs w:val="false"/>
                <w:sz w:val="19"/>
                <w:szCs w:val="19"/>
              </w:rPr>
              <w:t xml:space="preserve">Every operating department now has all 13 required fields (Section 5 defines the template; Section 6 applies it to all six departments as a fact sheet).</w:t>
            </w:r>
          </w:p>
        </w:tc>
      </w:tr>
      <w:tr>
        <w:tc>
          <w:tcPr>
            <w:tcW w:type="dxa" w:w="2700"/>
            <w:shd w:fill="F2F2F2" w:val="clear"/>
            <w:tcMar>
              <w:top w:type="dxa" w:w="80"/>
              <w:left w:type="dxa" w:w="100"/>
              <w:bottom w:type="dxa" w:w="80"/>
              <w:right w:type="dxa" w:w="100"/>
            </w:tcMar>
          </w:tcPr>
          <w:p>
            <w:pPr>
              <w:jc w:val="left"/>
            </w:pPr>
            <w:r>
              <w:rPr>
                <w:b w:val="false"/>
                <w:bCs w:val="false"/>
                <w:i w:val="false"/>
                <w:iCs w:val="false"/>
                <w:sz w:val="19"/>
                <w:szCs w:val="19"/>
              </w:rPr>
              <w:t xml:space="preserve">5. Executive Office → CEO Headquarters</w:t>
            </w:r>
          </w:p>
        </w:tc>
        <w:tc>
          <w:tcPr>
            <w:tcW w:type="dxa" w:w="6400"/>
            <w:shd w:fill="F2F2F2" w:val="clear"/>
            <w:tcMar>
              <w:top w:type="dxa" w:w="80"/>
              <w:left w:type="dxa" w:w="100"/>
              <w:bottom w:type="dxa" w:w="80"/>
              <w:right w:type="dxa" w:w="100"/>
            </w:tcMar>
          </w:tcPr>
          <w:p>
            <w:pPr>
              <w:jc w:val="left"/>
            </w:pPr>
            <w:r>
              <w:rPr>
                <w:b w:val="false"/>
                <w:bCs w:val="false"/>
                <w:i w:val="false"/>
                <w:iCs w:val="false"/>
                <w:sz w:val="19"/>
                <w:szCs w:val="19"/>
              </w:rPr>
              <w:t xml:space="preserve">Rebuilt to your exact 8-item list, replacing Revision 1’s looser "company health / net worth" framing (Section 4).</w:t>
            </w:r>
          </w:p>
        </w:tc>
      </w:tr>
      <w:tr>
        <w:tc>
          <w:tcPr>
            <w:tcW w:type="dxa" w:w="2700"/>
            <w:tcMar>
              <w:top w:type="dxa" w:w="80"/>
              <w:left w:type="dxa" w:w="100"/>
              <w:bottom w:type="dxa" w:w="80"/>
              <w:right w:type="dxa" w:w="100"/>
            </w:tcMar>
          </w:tcPr>
          <w:p>
            <w:pPr>
              <w:jc w:val="left"/>
            </w:pPr>
            <w:r>
              <w:rPr>
                <w:b w:val="false"/>
                <w:bCs w:val="false"/>
                <w:i w:val="false"/>
                <w:iCs w:val="false"/>
                <w:sz w:val="19"/>
                <w:szCs w:val="19"/>
              </w:rPr>
              <w:t xml:space="preserve">6. Department ownership</w:t>
            </w:r>
          </w:p>
        </w:tc>
        <w:tc>
          <w:tcPr>
            <w:tcW w:type="dxa" w:w="6400"/>
            <w:tcMar>
              <w:top w:type="dxa" w:w="80"/>
              <w:left w:type="dxa" w:w="100"/>
              <w:bottom w:type="dxa" w:w="80"/>
              <w:right w:type="dxa" w:w="100"/>
            </w:tcMar>
          </w:tcPr>
          <w:p>
            <w:pPr>
              <w:jc w:val="left"/>
            </w:pPr>
            <w:r>
              <w:rPr>
                <w:b w:val="false"/>
                <w:bCs w:val="false"/>
                <w:i w:val="false"/>
                <w:iCs w:val="false"/>
                <w:sz w:val="19"/>
                <w:szCs w:val="19"/>
              </w:rPr>
              <w:t xml:space="preserve">Carried forward from Revision 1 with tighter one-line mandates per your wording; Brain removed from the ownership list per point 2.</w:t>
            </w:r>
          </w:p>
        </w:tc>
      </w:tr>
      <w:tr>
        <w:tc>
          <w:tcPr>
            <w:tcW w:type="dxa" w:w="2700"/>
            <w:shd w:fill="F2F2F2" w:val="clear"/>
            <w:tcMar>
              <w:top w:type="dxa" w:w="80"/>
              <w:left w:type="dxa" w:w="100"/>
              <w:bottom w:type="dxa" w:w="80"/>
              <w:right w:type="dxa" w:w="100"/>
            </w:tcMar>
          </w:tcPr>
          <w:p>
            <w:pPr>
              <w:jc w:val="left"/>
            </w:pPr>
            <w:r>
              <w:rPr>
                <w:b w:val="false"/>
                <w:bCs w:val="false"/>
                <w:i w:val="false"/>
                <w:iCs w:val="false"/>
                <w:sz w:val="19"/>
                <w:szCs w:val="19"/>
              </w:rPr>
              <w:t xml:space="preserve">7. Factory becomes internal</w:t>
            </w:r>
          </w:p>
        </w:tc>
        <w:tc>
          <w:tcPr>
            <w:tcW w:type="dxa" w:w="6400"/>
            <w:shd w:fill="F2F2F2" w:val="clear"/>
            <w:tcMar>
              <w:top w:type="dxa" w:w="80"/>
              <w:left w:type="dxa" w:w="100"/>
              <w:bottom w:type="dxa" w:w="80"/>
              <w:right w:type="dxa" w:w="100"/>
            </w:tcMar>
          </w:tcPr>
          <w:p>
            <w:pPr>
              <w:jc w:val="left"/>
            </w:pPr>
            <w:r>
              <w:rPr>
                <w:b w:val="false"/>
                <w:bCs w:val="false"/>
                <w:i w:val="false"/>
                <w:iCs w:val="false"/>
                <w:sz w:val="19"/>
                <w:szCs w:val="19"/>
              </w:rPr>
              <w:t xml:space="preserve">Made explicit: the CEO never creates operational tasks or opens the Factory directly (Section 10).</w:t>
            </w:r>
          </w:p>
        </w:tc>
      </w:tr>
      <w:tr>
        <w:tc>
          <w:tcPr>
            <w:tcW w:type="dxa" w:w="2700"/>
            <w:tcMar>
              <w:top w:type="dxa" w:w="80"/>
              <w:left w:type="dxa" w:w="100"/>
              <w:bottom w:type="dxa" w:w="80"/>
              <w:right w:type="dxa" w:w="100"/>
            </w:tcMar>
          </w:tcPr>
          <w:p>
            <w:pPr>
              <w:jc w:val="left"/>
            </w:pPr>
            <w:r>
              <w:rPr>
                <w:b w:val="false"/>
                <w:bCs w:val="false"/>
                <w:i w:val="false"/>
                <w:iCs w:val="false"/>
                <w:sz w:val="19"/>
                <w:szCs w:val="19"/>
              </w:rPr>
              <w:t xml:space="preserve">8. Notification system</w:t>
            </w:r>
          </w:p>
        </w:tc>
        <w:tc>
          <w:tcPr>
            <w:tcW w:type="dxa" w:w="6400"/>
            <w:tcMar>
              <w:top w:type="dxa" w:w="80"/>
              <w:left w:type="dxa" w:w="100"/>
              <w:bottom w:type="dxa" w:w="80"/>
              <w:right w:type="dxa" w:w="100"/>
            </w:tcMar>
          </w:tcPr>
          <w:p>
            <w:pPr>
              <w:jc w:val="left"/>
            </w:pPr>
            <w:r>
              <w:rPr>
                <w:b w:val="false"/>
                <w:bCs w:val="false"/>
                <w:i w:val="false"/>
                <w:iCs w:val="false"/>
                <w:sz w:val="19"/>
                <w:szCs w:val="19"/>
              </w:rPr>
              <w:t xml:space="preserve">Unchanged in design from Revision 1 — already matched this directive; reinforced with department-inbox linkage (Section 9).</w:t>
            </w:r>
          </w:p>
        </w:tc>
      </w:tr>
      <w:tr>
        <w:tc>
          <w:tcPr>
            <w:tcW w:type="dxa" w:w="2700"/>
            <w:shd w:fill="F2F2F2" w:val="clear"/>
            <w:tcMar>
              <w:top w:type="dxa" w:w="80"/>
              <w:left w:type="dxa" w:w="100"/>
              <w:bottom w:type="dxa" w:w="80"/>
              <w:right w:type="dxa" w:w="100"/>
            </w:tcMar>
          </w:tcPr>
          <w:p>
            <w:pPr>
              <w:jc w:val="left"/>
            </w:pPr>
            <w:r>
              <w:rPr>
                <w:b w:val="false"/>
                <w:bCs w:val="false"/>
                <w:i w:val="false"/>
                <w:iCs w:val="false"/>
                <w:sz w:val="19"/>
                <w:szCs w:val="19"/>
              </w:rPr>
              <w:t xml:space="preserve">9. Reuse, don’t rebuild</w:t>
            </w:r>
          </w:p>
        </w:tc>
        <w:tc>
          <w:tcPr>
            <w:tcW w:type="dxa" w:w="6400"/>
            <w:shd w:fill="F2F2F2" w:val="clear"/>
            <w:tcMar>
              <w:top w:type="dxa" w:w="80"/>
              <w:left w:type="dxa" w:w="100"/>
              <w:bottom w:type="dxa" w:w="80"/>
              <w:right w:type="dxa" w:w="100"/>
            </w:tcMar>
          </w:tcPr>
          <w:p>
            <w:pPr>
              <w:jc w:val="left"/>
            </w:pPr>
            <w:r>
              <w:rPr>
                <w:b w:val="false"/>
                <w:bCs w:val="false"/>
                <w:i w:val="false"/>
                <w:iCs w:val="false"/>
                <w:sz w:val="19"/>
                <w:szCs w:val="19"/>
              </w:rPr>
              <w:t xml:space="preserve">Unchanged principle; still the basis for the entire migration plan (Section 11).</w:t>
            </w:r>
          </w:p>
        </w:tc>
      </w:tr>
      <w:tr>
        <w:tc>
          <w:tcPr>
            <w:tcW w:type="dxa" w:w="2700"/>
            <w:tcMar>
              <w:top w:type="dxa" w:w="80"/>
              <w:left w:type="dxa" w:w="100"/>
              <w:bottom w:type="dxa" w:w="80"/>
              <w:right w:type="dxa" w:w="100"/>
            </w:tcMar>
          </w:tcPr>
          <w:p>
            <w:pPr>
              <w:jc w:val="left"/>
            </w:pPr>
            <w:r>
              <w:rPr>
                <w:b w:val="false"/>
                <w:bCs w:val="false"/>
                <w:i w:val="false"/>
                <w:iCs w:val="false"/>
                <w:sz w:val="19"/>
                <w:szCs w:val="19"/>
              </w:rPr>
              <w:t xml:space="preserve">10. Standing architecture standard</w:t>
            </w:r>
          </w:p>
        </w:tc>
        <w:tc>
          <w:tcPr>
            <w:tcW w:type="dxa" w:w="6400"/>
            <w:tcMar>
              <w:top w:type="dxa" w:w="80"/>
              <w:left w:type="dxa" w:w="100"/>
              <w:bottom w:type="dxa" w:w="80"/>
              <w:right w:type="dxa" w:w="100"/>
            </w:tcMar>
          </w:tcPr>
          <w:p>
            <w:pPr>
              <w:jc w:val="left"/>
            </w:pPr>
            <w:r>
              <w:rPr>
                <w:b w:val="false"/>
                <w:bCs w:val="false"/>
                <w:i w:val="false"/>
                <w:iCs w:val="false"/>
                <w:sz w:val="19"/>
                <w:szCs w:val="19"/>
              </w:rPr>
              <w:t xml:space="preserve">Section 14 records this explicitly as the standard for all future MMM development, not just this phase.</w:t>
            </w:r>
          </w:p>
        </w:tc>
      </w:tr>
    </w:tbl>
    <w:p>
      <w:pPr>
        <w:pStyle w:val="Heading1"/>
        <w:spacing w:after="200" w:before="400"/>
      </w:pPr>
      <w:r>
        <w:t xml:space="preserve">1. Operating Philosophy: Departments, Not Pages</w:t>
      </w:r>
    </w:p>
    <w:p>
      <w:pPr>
        <w:spacing w:after="160"/>
      </w:pPr>
      <w:r>
        <w:t xml:space="preserve">The question for every screen in MMM OS stops being "what does this page show" and becomes "what does this department do, and who in a real company would be looking at this." A page is a UI artifact. A department is a standing part of the business with a mission, a manager, people (human or AI), a body of knowledge, and its own backlog. Everything in this document is designed department-first — the UI is simply how each department’s reality is exposed, not the other way around.</w:t>
      </w:r>
    </w:p>
    <w:p>
      <w:pPr>
        <w:spacing w:after="160"/>
      </w:pPr>
      <w:r>
        <w:t xml:space="preserve">Concretely: Revision 1 organized this project around 8 roughly equal "tabs." This revision organizes it around one parent operating layer (the Brain), one executive layer (CEO Headquarters), and six operating departments beneath it — a structure, not a tab bar.</w:t>
      </w:r>
    </w:p>
    <w:p>
      <w:pPr>
        <w:pStyle w:val="Heading1"/>
        <w:spacing w:after="200" w:before="400"/>
      </w:pPr>
      <w:r>
        <w:t xml:space="preserve">2. Management Hierarchy</w:t>
      </w:r>
    </w:p>
    <w:p>
      <w:pPr>
        <w:spacing w:after="160"/>
      </w:pPr>
      <w:r>
        <w:t xml:space="preserve">The chain of command, exactly as directed. Nothing skips a level: the CEO does not manage employees, processes, tasks, or reports directly — that is what departments and their managers are for.</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1F3A5F" w:val="clear"/>
            <w:tcMar>
              <w:top w:type="dxa" w:w="120"/>
              <w:left w:type="dxa" w:w="200"/>
              <w:bottom w:type="dxa" w:w="120"/>
              <w:right w:type="dxa" w:w="200"/>
            </w:tcMar>
          </w:tcPr>
          <w:p>
            <w:pPr>
              <w:jc w:val="center"/>
            </w:pPr>
            <w:r>
              <w:rPr>
                <w:b/>
                <w:bCs/>
                <w:color w:val="FFFFFF"/>
                <w:sz w:val="22"/>
                <w:szCs w:val="22"/>
              </w:rPr>
              <w:t xml:space="preserve">CEO — Mansoor Ahmady</w:t>
            </w:r>
          </w:p>
        </w:tc>
      </w:tr>
    </w:tbl>
    <w:p>
      <w:pPr>
        <w:spacing w:after="40" w:before="40"/>
        <w:jc w:val="center"/>
      </w:pPr>
      <w:r>
        <w:rPr>
          <w:b/>
          <w:bCs/>
          <w:color w:val="666666"/>
          <w:sz w:val="28"/>
          <w:szCs w:val="28"/>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444444" w:val="clear"/>
            <w:tcMar>
              <w:top w:type="dxa" w:w="120"/>
              <w:left w:type="dxa" w:w="200"/>
              <w:bottom w:type="dxa" w:w="120"/>
              <w:right w:type="dxa" w:w="200"/>
            </w:tcMar>
          </w:tcPr>
          <w:p>
            <w:pPr>
              <w:jc w:val="center"/>
            </w:pPr>
            <w:r>
              <w:rPr>
                <w:b/>
                <w:bCs/>
                <w:color w:val="FFFFFF"/>
                <w:sz w:val="22"/>
                <w:szCs w:val="22"/>
              </w:rPr>
              <w:t xml:space="preserve">Executive Office (CEO Headquarters)</w:t>
            </w:r>
          </w:p>
        </w:tc>
      </w:tr>
    </w:tbl>
    <w:p>
      <w:pPr>
        <w:spacing w:after="40" w:before="40"/>
        <w:jc w:val="center"/>
      </w:pPr>
      <w:r>
        <w:rPr>
          <w:b/>
          <w:bCs/>
          <w:color w:val="666666"/>
          <w:sz w:val="28"/>
          <w:szCs w:val="28"/>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555555" w:val="clear"/>
            <w:tcMar>
              <w:top w:type="dxa" w:w="120"/>
              <w:left w:type="dxa" w:w="200"/>
              <w:bottom w:type="dxa" w:w="120"/>
              <w:right w:type="dxa" w:w="200"/>
            </w:tcMar>
          </w:tcPr>
          <w:p>
            <w:pPr>
              <w:jc w:val="center"/>
            </w:pPr>
            <w:r>
              <w:rPr>
                <w:b/>
                <w:bCs/>
                <w:color w:val="FFFFFF"/>
                <w:sz w:val="22"/>
                <w:szCs w:val="22"/>
              </w:rPr>
              <w:t xml:space="preserve">Department Managers</w:t>
            </w:r>
          </w:p>
        </w:tc>
      </w:tr>
    </w:tbl>
    <w:p>
      <w:pPr>
        <w:spacing w:after="40" w:before="40"/>
        <w:jc w:val="center"/>
      </w:pPr>
      <w:r>
        <w:rPr>
          <w:b/>
          <w:bCs/>
          <w:color w:val="666666"/>
          <w:sz w:val="28"/>
          <w:szCs w:val="28"/>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666666" w:val="clear"/>
            <w:tcMar>
              <w:top w:type="dxa" w:w="120"/>
              <w:left w:type="dxa" w:w="200"/>
              <w:bottom w:type="dxa" w:w="120"/>
              <w:right w:type="dxa" w:w="200"/>
            </w:tcMar>
          </w:tcPr>
          <w:p>
            <w:pPr>
              <w:jc w:val="center"/>
            </w:pPr>
            <w:r>
              <w:rPr>
                <w:b/>
                <w:bCs/>
                <w:color w:val="FFFFFF"/>
                <w:sz w:val="22"/>
                <w:szCs w:val="22"/>
              </w:rPr>
              <w:t xml:space="preserve">Employees / Contractors / AI Agents</w:t>
            </w:r>
          </w:p>
        </w:tc>
      </w:tr>
    </w:tbl>
    <w:p>
      <w:pPr>
        <w:spacing w:after="40" w:before="40"/>
        <w:jc w:val="center"/>
      </w:pPr>
      <w:r>
        <w:rPr>
          <w:b/>
          <w:bCs/>
          <w:color w:val="666666"/>
          <w:sz w:val="28"/>
          <w:szCs w:val="28"/>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777777" w:val="clear"/>
            <w:tcMar>
              <w:top w:type="dxa" w:w="120"/>
              <w:left w:type="dxa" w:w="200"/>
              <w:bottom w:type="dxa" w:w="120"/>
              <w:right w:type="dxa" w:w="200"/>
            </w:tcMar>
          </w:tcPr>
          <w:p>
            <w:pPr>
              <w:jc w:val="center"/>
            </w:pPr>
            <w:r>
              <w:rPr>
                <w:b/>
                <w:bCs/>
                <w:color w:val="FFFFFF"/>
                <w:sz w:val="22"/>
                <w:szCs w:val="22"/>
              </w:rPr>
              <w:t xml:space="preserve">Processes (SOPs)</w:t>
            </w:r>
          </w:p>
        </w:tc>
      </w:tr>
    </w:tbl>
    <w:p>
      <w:pPr>
        <w:spacing w:after="40" w:before="40"/>
        <w:jc w:val="center"/>
      </w:pPr>
      <w:r>
        <w:rPr>
          <w:b/>
          <w:bCs/>
          <w:color w:val="666666"/>
          <w:sz w:val="28"/>
          <w:szCs w:val="28"/>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888888" w:val="clear"/>
            <w:tcMar>
              <w:top w:type="dxa" w:w="120"/>
              <w:left w:type="dxa" w:w="200"/>
              <w:bottom w:type="dxa" w:w="120"/>
              <w:right w:type="dxa" w:w="200"/>
            </w:tcMar>
          </w:tcPr>
          <w:p>
            <w:pPr>
              <w:jc w:val="center"/>
            </w:pPr>
            <w:r>
              <w:rPr>
                <w:b/>
                <w:bCs/>
                <w:color w:val="FFFFFF"/>
                <w:sz w:val="22"/>
                <w:szCs w:val="22"/>
              </w:rPr>
              <w:t xml:space="preserve">Tasks (shared execution engine)</w:t>
            </w:r>
          </w:p>
        </w:tc>
      </w:tr>
    </w:tbl>
    <w:p>
      <w:pPr>
        <w:spacing w:after="40" w:before="40"/>
        <w:jc w:val="center"/>
      </w:pPr>
      <w:r>
        <w:rPr>
          <w:b/>
          <w:bCs/>
          <w:color w:val="666666"/>
          <w:sz w:val="28"/>
          <w:szCs w:val="28"/>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999999" w:val="clear"/>
            <w:tcMar>
              <w:top w:type="dxa" w:w="120"/>
              <w:left w:type="dxa" w:w="200"/>
              <w:bottom w:type="dxa" w:w="120"/>
              <w:right w:type="dxa" w:w="200"/>
            </w:tcMar>
          </w:tcPr>
          <w:p>
            <w:pPr>
              <w:jc w:val="center"/>
            </w:pPr>
            <w:r>
              <w:rPr>
                <w:b/>
                <w:bCs/>
                <w:color w:val="FFFFFF"/>
                <w:sz w:val="22"/>
                <w:szCs w:val="22"/>
              </w:rPr>
              <w:t xml:space="preserve">Reports (back up to Department Manager → Executive Office → CEO)</w:t>
            </w:r>
          </w:p>
        </w:tc>
      </w:tr>
    </w:tbl>
    <w:p>
      <w:pPr>
        <w:spacing w:before="200"/>
      </w:pPr>
    </w:p>
    <w:p>
      <w:pPr>
        <w:spacing w:after="160"/>
      </w:pPr>
      <w:r>
        <w:t xml:space="preserve">Today, one person (Mansoor) and one AI agent (Cowork/Claude) occupy nearly every box in this chain at once — that is stated plainly in each department’s fact sheet in Section 6 rather than hidden behind aspirational titles. The hierarchy is the target shape; the fact sheets show how much of it is real today versus placeholder.</w:t>
      </w:r>
    </w:p>
    <w:p>
      <w:pPr>
        <w:pStyle w:val="Heading1"/>
        <w:spacing w:after="200" w:before="400"/>
      </w:pPr>
      <w:r>
        <w:t xml:space="preserve">3. MMM Brain — The Parent Operating Layer</w:t>
      </w:r>
    </w:p>
    <w:p>
      <w:pPr>
        <w:spacing w:after="160"/>
      </w:pPr>
      <w:r>
        <w:t xml:space="preserve">The Brain sits above the department structure, not inside it. Every department consumes knowledge, rules, and coordination from the Brain; no department maintains its own separate constitution, decision log, or SOP store. This is a genuine architectural elevation from Revision 1, where the Brain was department 8 of 8.</w:t>
      </w:r>
    </w:p>
    <w:p>
      <w:pPr>
        <w:spacing w:after="160"/>
      </w:pPr>
      <w:r>
        <w:rPr>
          <w:b/>
          <w:bCs/>
        </w:rPr>
        <w:t xml:space="preserve">The Brain owns:</w:t>
      </w:r>
    </w:p>
    <w:p>
      <w:pPr>
        <w:pStyle w:val="ListParagraph"/>
        <w:numPr>
          <w:ilvl w:val="0"/>
          <w:numId w:val="1"/>
        </w:numPr>
        <w:spacing w:after="60"/>
      </w:pPr>
      <w:r>
        <w:t xml:space="preserve">Company Constitution — the 14-rule engineering constitution already live today, extended in meaning to cover the whole company, not just engineering.</w:t>
      </w:r>
    </w:p>
    <w:p>
      <w:pPr>
        <w:pStyle w:val="ListParagraph"/>
        <w:numPr>
          <w:ilvl w:val="0"/>
          <w:numId w:val="1"/>
        </w:numPr>
        <w:spacing w:after="60"/>
      </w:pPr>
      <w:r>
        <w:t xml:space="preserve">Company Knowledge — brain_knowledge (56 rows today).</w:t>
      </w:r>
    </w:p>
    <w:p>
      <w:pPr>
        <w:pStyle w:val="ListParagraph"/>
        <w:numPr>
          <w:ilvl w:val="0"/>
          <w:numId w:val="1"/>
        </w:numPr>
        <w:spacing w:after="60"/>
      </w:pPr>
      <w:r>
        <w:t xml:space="preserve">Company Memory — brain_learning_memory (26 rows today).</w:t>
      </w:r>
    </w:p>
    <w:p>
      <w:pPr>
        <w:pStyle w:val="ListParagraph"/>
        <w:numPr>
          <w:ilvl w:val="0"/>
          <w:numId w:val="1"/>
        </w:numPr>
        <w:spacing w:after="60"/>
      </w:pPr>
      <w:r>
        <w:t xml:space="preserve">SOP Library — currently the per-engine registry (workflow, freeze status, testing steps); becomes the canonical SOP source every department’s "SOP Library" field (Section 5) points into.</w:t>
      </w:r>
    </w:p>
    <w:p>
      <w:pPr>
        <w:pStyle w:val="ListParagraph"/>
        <w:numPr>
          <w:ilvl w:val="0"/>
          <w:numId w:val="1"/>
        </w:numPr>
        <w:spacing w:after="60"/>
      </w:pPr>
      <w:r>
        <w:t xml:space="preserve">Company Decisions — brain_decisions + ceo_decision_protocol (12 rows) — the same mechanism that will power the Executive Inbox in Section 4.</w:t>
      </w:r>
    </w:p>
    <w:p>
      <w:pPr>
        <w:pStyle w:val="ListParagraph"/>
        <w:numPr>
          <w:ilvl w:val="0"/>
          <w:numId w:val="1"/>
        </w:numPr>
        <w:spacing w:after="60"/>
      </w:pPr>
      <w:r>
        <w:t xml:space="preserve">Company Rules — constitution + protected_registry + regression_rules.</w:t>
      </w:r>
    </w:p>
    <w:p>
      <w:pPr>
        <w:pStyle w:val="ListParagraph"/>
        <w:numPr>
          <w:ilvl w:val="0"/>
          <w:numId w:val="1"/>
        </w:numPr>
        <w:spacing w:after="60"/>
      </w:pPr>
      <w:r>
        <w:t xml:space="preserve">Company Roadmap — engineering_roadmap (13 rows) + brain_roadmap_links; this document becomes an entry in that roadmap once approved.</w:t>
      </w:r>
    </w:p>
    <w:p>
      <w:pPr>
        <w:pStyle w:val="ListParagraph"/>
        <w:numPr>
          <w:ilvl w:val="0"/>
          <w:numId w:val="1"/>
        </w:numPr>
        <w:spacing w:after="60"/>
      </w:pPr>
      <w:r>
        <w:t xml:space="preserve">Cross-department coordination — new responsibility, not present in Revision 1: the Brain is where a decision or rule that affects more than one department gets recorded once and referenced everywhere, instead of duplicated per department.</w:t>
      </w:r>
    </w:p>
    <w:p>
      <w:pPr>
        <w:spacing w:after="160"/>
      </w:pPr>
      <w:r>
        <w:t xml:space="preserve">Practically, this means every department’s "Knowledge" and "SOP Library" fields in Section 6 are not separate content — they are filtered views into the Brain’s tables, tagged by department. Nothing is duplicated per department; the Brain is queried, not copied.</w:t>
      </w:r>
    </w:p>
    <w:p>
      <w:pPr>
        <w:spacing w:after="160"/>
      </w:pPr>
      <w:r>
        <w:t xml:space="preserve">The Brain remains engineering-facing today via the mmm-engineering-brain MCP tools. This revision adds a CEO-and-department-facing surface on top of the same tables (Phase 2 in Section 12) — the underlying data model does not change.</w:t>
      </w:r>
    </w:p>
    <w:p>
      <w:pPr>
        <w:pStyle w:val="Heading1"/>
        <w:spacing w:after="200" w:before="400"/>
      </w:pPr>
      <w:r>
        <w:t xml:space="preserve">4. Executive Office → CEO Headquarters</w:t>
      </w:r>
    </w:p>
    <w:p>
      <w:pPr>
        <w:spacing w:after="160"/>
      </w:pPr>
      <w:r>
        <w:t xml:space="preserve">Rebuilt to your exact list. Nothing on this page is engineering, integration, or raw-analytics content — that discipline from Revision 1 carries forward unchanged, only the specific content list is now precise: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rPr>
          <w:tblHeader/>
        </w:trPr>
        <w:tc>
          <w:tcPr>
            <w:tcW w:type="dxa" w:w="2600"/>
            <w:shd w:fill="1A1A1A" w:val="clear"/>
            <w:tcMar>
              <w:top w:type="dxa" w:w="80"/>
              <w:left w:type="dxa" w:w="100"/>
              <w:bottom w:type="dxa" w:w="80"/>
              <w:right w:type="dxa" w:w="100"/>
            </w:tcMar>
          </w:tcPr>
          <w:p>
            <w:pPr>
              <w:jc w:val="left"/>
            </w:pPr>
            <w:r>
              <w:rPr>
                <w:b/>
                <w:bCs/>
                <w:i w:val="false"/>
                <w:iCs w:val="false"/>
                <w:color w:val="FFFFFF"/>
                <w:sz w:val="19"/>
                <w:szCs w:val="19"/>
              </w:rPr>
              <w:t xml:space="preserve">CEO Headquarters shows</w:t>
            </w:r>
          </w:p>
        </w:tc>
        <w:tc>
          <w:tcPr>
            <w:tcW w:type="dxa" w:w="6500"/>
            <w:shd w:fill="1A1A1A" w:val="clear"/>
            <w:tcMar>
              <w:top w:type="dxa" w:w="80"/>
              <w:left w:type="dxa" w:w="100"/>
              <w:bottom w:type="dxa" w:w="80"/>
              <w:right w:type="dxa" w:w="100"/>
            </w:tcMar>
          </w:tcPr>
          <w:p>
            <w:pPr>
              <w:jc w:val="left"/>
            </w:pPr>
            <w:r>
              <w:rPr>
                <w:b/>
                <w:bCs/>
                <w:i w:val="false"/>
                <w:iCs w:val="false"/>
                <w:color w:val="FFFFFF"/>
                <w:sz w:val="19"/>
                <w:szCs w:val="19"/>
              </w:rPr>
              <w:t xml:space="preserve">Sourced from</w:t>
            </w:r>
          </w:p>
        </w:tc>
      </w:tr>
      <w:tr>
        <w:tc>
          <w:tcPr>
            <w:tcW w:type="dxa" w:w="2600"/>
            <w:shd w:fill="F2F2F2" w:val="clear"/>
            <w:tcMar>
              <w:top w:type="dxa" w:w="80"/>
              <w:left w:type="dxa" w:w="100"/>
              <w:bottom w:type="dxa" w:w="80"/>
              <w:right w:type="dxa" w:w="100"/>
            </w:tcMar>
          </w:tcPr>
          <w:p>
            <w:pPr>
              <w:jc w:val="left"/>
            </w:pPr>
            <w:r>
              <w:rPr>
                <w:b w:val="false"/>
                <w:bCs w:val="false"/>
                <w:i w:val="false"/>
                <w:iCs w:val="false"/>
                <w:sz w:val="19"/>
                <w:szCs w:val="19"/>
              </w:rPr>
              <w:t xml:space="preserve">Company Health</w:t>
            </w:r>
          </w:p>
        </w:tc>
        <w:tc>
          <w:tcPr>
            <w:tcW w:type="dxa" w:w="6500"/>
            <w:shd w:fill="F2F2F2" w:val="clear"/>
            <w:tcMar>
              <w:top w:type="dxa" w:w="80"/>
              <w:left w:type="dxa" w:w="100"/>
              <w:bottom w:type="dxa" w:w="80"/>
              <w:right w:type="dxa" w:w="100"/>
            </w:tcMar>
          </w:tcPr>
          <w:p>
            <w:pPr>
              <w:jc w:val="left"/>
            </w:pPr>
            <w:r>
              <w:rPr>
                <w:b w:val="false"/>
                <w:bCs w:val="false"/>
                <w:i w:val="false"/>
                <w:iCs w:val="false"/>
                <w:sz w:val="19"/>
                <w:szCs w:val="19"/>
              </w:rPr>
              <w:t xml:space="preserve">New rollup indicator — one signal per department (green/yellow/red), sourced from each department’s own status, not engineering diagnostics.</w:t>
            </w:r>
          </w:p>
        </w:tc>
      </w:tr>
      <w:tr>
        <w:tc>
          <w:tcPr>
            <w:tcW w:type="dxa" w:w="2600"/>
            <w:tcMar>
              <w:top w:type="dxa" w:w="80"/>
              <w:left w:type="dxa" w:w="100"/>
              <w:bottom w:type="dxa" w:w="80"/>
              <w:right w:type="dxa" w:w="100"/>
            </w:tcMar>
          </w:tcPr>
          <w:p>
            <w:pPr>
              <w:jc w:val="left"/>
            </w:pPr>
            <w:r>
              <w:rPr>
                <w:b w:val="false"/>
                <w:bCs w:val="false"/>
                <w:i w:val="false"/>
                <w:iCs w:val="false"/>
                <w:sz w:val="19"/>
                <w:szCs w:val="19"/>
              </w:rPr>
              <w:t xml:space="preserve">Executive Inbox</w:t>
            </w:r>
          </w:p>
        </w:tc>
        <w:tc>
          <w:tcPr>
            <w:tcW w:type="dxa" w:w="6500"/>
            <w:tcMar>
              <w:top w:type="dxa" w:w="80"/>
              <w:left w:type="dxa" w:w="100"/>
              <w:bottom w:type="dxa" w:w="80"/>
              <w:right w:type="dxa" w:w="100"/>
            </w:tcMar>
          </w:tcPr>
          <w:p>
            <w:pPr>
              <w:jc w:val="left"/>
            </w:pPr>
            <w:r>
              <w:rPr>
                <w:b w:val="false"/>
                <w:bCs w:val="false"/>
                <w:i w:val="false"/>
                <w:iCs w:val="false"/>
                <w:sz w:val="19"/>
                <w:szCs w:val="19"/>
              </w:rPr>
              <w:t xml:space="preserve">ceo_decision_protocol — already exists as a backend state machine (12 rows today); this is its first UI.</w:t>
            </w:r>
          </w:p>
        </w:tc>
      </w:tr>
      <w:tr>
        <w:tc>
          <w:tcPr>
            <w:tcW w:type="dxa" w:w="2600"/>
            <w:shd w:fill="F2F2F2" w:val="clear"/>
            <w:tcMar>
              <w:top w:type="dxa" w:w="80"/>
              <w:left w:type="dxa" w:w="100"/>
              <w:bottom w:type="dxa" w:w="80"/>
              <w:right w:type="dxa" w:w="100"/>
            </w:tcMar>
          </w:tcPr>
          <w:p>
            <w:pPr>
              <w:jc w:val="left"/>
            </w:pPr>
            <w:r>
              <w:rPr>
                <w:b w:val="false"/>
                <w:bCs w:val="false"/>
                <w:i w:val="false"/>
                <w:iCs w:val="false"/>
                <w:sz w:val="19"/>
                <w:szCs w:val="19"/>
              </w:rPr>
              <w:t xml:space="preserve">Balance Sheet Summary</w:t>
            </w:r>
          </w:p>
        </w:tc>
        <w:tc>
          <w:tcPr>
            <w:tcW w:type="dxa" w:w="6500"/>
            <w:shd w:fill="F2F2F2" w:val="clear"/>
            <w:tcMar>
              <w:top w:type="dxa" w:w="80"/>
              <w:left w:type="dxa" w:w="100"/>
              <w:bottom w:type="dxa" w:w="80"/>
              <w:right w:type="dxa" w:w="100"/>
            </w:tcMar>
          </w:tcPr>
          <w:p>
            <w:pPr>
              <w:jc w:val="left"/>
            </w:pPr>
            <w:r>
              <w:rPr>
                <w:b w:val="false"/>
                <w:bCs w:val="false"/>
                <w:i w:val="false"/>
                <w:iCs w:val="false"/>
                <w:sz w:val="19"/>
                <w:szCs w:val="19"/>
              </w:rPr>
              <w:t xml:space="preserve">Finance department (Section 6) — rollup only, not the full statement.</w:t>
            </w:r>
          </w:p>
        </w:tc>
      </w:tr>
      <w:tr>
        <w:tc>
          <w:tcPr>
            <w:tcW w:type="dxa" w:w="2600"/>
            <w:tcMar>
              <w:top w:type="dxa" w:w="80"/>
              <w:left w:type="dxa" w:w="100"/>
              <w:bottom w:type="dxa" w:w="80"/>
              <w:right w:type="dxa" w:w="100"/>
            </w:tcMar>
          </w:tcPr>
          <w:p>
            <w:pPr>
              <w:jc w:val="left"/>
            </w:pPr>
            <w:r>
              <w:rPr>
                <w:b w:val="false"/>
                <w:bCs w:val="false"/>
                <w:i w:val="false"/>
                <w:iCs w:val="false"/>
                <w:sz w:val="19"/>
                <w:szCs w:val="19"/>
              </w:rPr>
              <w:t xml:space="preserve">Monthly Profit &amp; Loss</w:t>
            </w:r>
          </w:p>
        </w:tc>
        <w:tc>
          <w:tcPr>
            <w:tcW w:type="dxa" w:w="6500"/>
            <w:tcMar>
              <w:top w:type="dxa" w:w="80"/>
              <w:left w:type="dxa" w:w="100"/>
              <w:bottom w:type="dxa" w:w="80"/>
              <w:right w:type="dxa" w:w="100"/>
            </w:tcMar>
          </w:tcPr>
          <w:p>
            <w:pPr>
              <w:jc w:val="left"/>
            </w:pPr>
            <w:r>
              <w:rPr>
                <w:b w:val="false"/>
                <w:bCs w:val="false"/>
                <w:i w:val="false"/>
                <w:iCs w:val="false"/>
                <w:sz w:val="19"/>
                <w:szCs w:val="19"/>
              </w:rPr>
              <w:t xml:space="preserve">Finance department rollup.</w:t>
            </w:r>
          </w:p>
        </w:tc>
      </w:tr>
      <w:tr>
        <w:tc>
          <w:tcPr>
            <w:tcW w:type="dxa" w:w="2600"/>
            <w:shd w:fill="F2F2F2" w:val="clear"/>
            <w:tcMar>
              <w:top w:type="dxa" w:w="80"/>
              <w:left w:type="dxa" w:w="100"/>
              <w:bottom w:type="dxa" w:w="80"/>
              <w:right w:type="dxa" w:w="100"/>
            </w:tcMar>
          </w:tcPr>
          <w:p>
            <w:pPr>
              <w:jc w:val="left"/>
            </w:pPr>
            <w:r>
              <w:rPr>
                <w:b w:val="false"/>
                <w:bCs w:val="false"/>
                <w:i w:val="false"/>
                <w:iCs w:val="false"/>
                <w:sz w:val="19"/>
                <w:szCs w:val="19"/>
              </w:rPr>
              <w:t xml:space="preserve">Cash Position</w:t>
            </w:r>
          </w:p>
        </w:tc>
        <w:tc>
          <w:tcPr>
            <w:tcW w:type="dxa" w:w="6500"/>
            <w:shd w:fill="F2F2F2" w:val="clear"/>
            <w:tcMar>
              <w:top w:type="dxa" w:w="80"/>
              <w:left w:type="dxa" w:w="100"/>
              <w:bottom w:type="dxa" w:w="80"/>
              <w:right w:type="dxa" w:w="100"/>
            </w:tcMar>
          </w:tcPr>
          <w:p>
            <w:pPr>
              <w:jc w:val="left"/>
            </w:pPr>
            <w:r>
              <w:rPr>
                <w:b w:val="false"/>
                <w:bCs w:val="false"/>
                <w:i w:val="false"/>
                <w:iCs w:val="false"/>
                <w:sz w:val="19"/>
                <w:szCs w:val="19"/>
              </w:rPr>
              <w:t xml:space="preserve">Finance department rollup (Plaid-derived, same read-only mirror as today).</w:t>
            </w:r>
          </w:p>
        </w:tc>
      </w:tr>
      <w:tr>
        <w:tc>
          <w:tcPr>
            <w:tcW w:type="dxa" w:w="2600"/>
            <w:tcMar>
              <w:top w:type="dxa" w:w="80"/>
              <w:left w:type="dxa" w:w="100"/>
              <w:bottom w:type="dxa" w:w="80"/>
              <w:right w:type="dxa" w:w="100"/>
            </w:tcMar>
          </w:tcPr>
          <w:p>
            <w:pPr>
              <w:jc w:val="left"/>
            </w:pPr>
            <w:r>
              <w:rPr>
                <w:b w:val="false"/>
                <w:bCs w:val="false"/>
                <w:i w:val="false"/>
                <w:iCs w:val="false"/>
                <w:sz w:val="19"/>
                <w:szCs w:val="19"/>
              </w:rPr>
              <w:t xml:space="preserve">Strategic Goals</w:t>
            </w:r>
          </w:p>
        </w:tc>
        <w:tc>
          <w:tcPr>
            <w:tcW w:type="dxa" w:w="6500"/>
            <w:tcMar>
              <w:top w:type="dxa" w:w="80"/>
              <w:left w:type="dxa" w:w="100"/>
              <w:bottom w:type="dxa" w:w="80"/>
              <w:right w:type="dxa" w:w="100"/>
            </w:tcMar>
          </w:tcPr>
          <w:p>
            <w:pPr>
              <w:jc w:val="left"/>
            </w:pPr>
            <w:r>
              <w:rPr>
                <w:b w:val="false"/>
                <w:bCs w:val="false"/>
                <w:i w:val="false"/>
                <w:iCs w:val="false"/>
                <w:sz w:val="19"/>
                <w:szCs w:val="19"/>
              </w:rPr>
              <w:t xml:space="preserve">New — currently informal (e.g. Investment Engine’s $4k/mo target); formalized as a company-level goal list, not per-engine only.</w:t>
            </w:r>
          </w:p>
        </w:tc>
      </w:tr>
      <w:tr>
        <w:tc>
          <w:tcPr>
            <w:tcW w:type="dxa" w:w="2600"/>
            <w:shd w:fill="F2F2F2" w:val="clear"/>
            <w:tcMar>
              <w:top w:type="dxa" w:w="80"/>
              <w:left w:type="dxa" w:w="100"/>
              <w:bottom w:type="dxa" w:w="80"/>
              <w:right w:type="dxa" w:w="100"/>
            </w:tcMar>
          </w:tcPr>
          <w:p>
            <w:pPr>
              <w:jc w:val="left"/>
            </w:pPr>
            <w:r>
              <w:rPr>
                <w:b w:val="false"/>
                <w:bCs w:val="false"/>
                <w:i w:val="false"/>
                <w:iCs w:val="false"/>
                <w:sz w:val="19"/>
                <w:szCs w:val="19"/>
              </w:rPr>
              <w:t xml:space="preserve">Major Risks</w:t>
            </w:r>
          </w:p>
        </w:tc>
        <w:tc>
          <w:tcPr>
            <w:tcW w:type="dxa" w:w="6500"/>
            <w:shd w:fill="F2F2F2" w:val="clear"/>
            <w:tcMar>
              <w:top w:type="dxa" w:w="80"/>
              <w:left w:type="dxa" w:w="100"/>
              <w:bottom w:type="dxa" w:w="80"/>
              <w:right w:type="dxa" w:w="100"/>
            </w:tcMar>
          </w:tcPr>
          <w:p>
            <w:pPr>
              <w:jc w:val="left"/>
            </w:pPr>
            <w:r>
              <w:rPr>
                <w:b w:val="false"/>
                <w:bCs w:val="false"/>
                <w:i w:val="false"/>
                <w:iCs w:val="false"/>
                <w:sz w:val="19"/>
                <w:szCs w:val="19"/>
              </w:rPr>
              <w:t xml:space="preserve">Aggregated from each department’s Risks field (Section 6) — executive severity only, not the full risk register.</w:t>
            </w:r>
          </w:p>
        </w:tc>
      </w:tr>
      <w:tr>
        <w:tc>
          <w:tcPr>
            <w:tcW w:type="dxa" w:w="2600"/>
            <w:tcMar>
              <w:top w:type="dxa" w:w="80"/>
              <w:left w:type="dxa" w:w="100"/>
              <w:bottom w:type="dxa" w:w="80"/>
              <w:right w:type="dxa" w:w="100"/>
            </w:tcMar>
          </w:tcPr>
          <w:p>
            <w:pPr>
              <w:jc w:val="left"/>
            </w:pPr>
            <w:r>
              <w:rPr>
                <w:b w:val="false"/>
                <w:bCs w:val="false"/>
                <w:i w:val="false"/>
                <w:iCs w:val="false"/>
                <w:sz w:val="19"/>
                <w:szCs w:val="19"/>
              </w:rPr>
              <w:t xml:space="preserve">Department Status</w:t>
            </w:r>
          </w:p>
        </w:tc>
        <w:tc>
          <w:tcPr>
            <w:tcW w:type="dxa" w:w="6500"/>
            <w:tcMar>
              <w:top w:type="dxa" w:w="80"/>
              <w:left w:type="dxa" w:w="100"/>
              <w:bottom w:type="dxa" w:w="80"/>
              <w:right w:type="dxa" w:w="100"/>
            </w:tcMar>
          </w:tcPr>
          <w:p>
            <w:pPr>
              <w:jc w:val="left"/>
            </w:pPr>
            <w:r>
              <w:rPr>
                <w:b w:val="false"/>
                <w:bCs w:val="false"/>
                <w:i w:val="false"/>
                <w:iCs w:val="false"/>
                <w:sz w:val="19"/>
                <w:szCs w:val="19"/>
              </w:rPr>
              <w:t xml:space="preserve">One line per department: manager, health, and any item in that department’s Inbox awaiting executive attention.</w:t>
            </w:r>
          </w:p>
        </w:tc>
      </w:tr>
      <w:tr>
        <w:tc>
          <w:tcPr>
            <w:tcW w:type="dxa" w:w="2600"/>
            <w:shd w:fill="F2F2F2" w:val="clear"/>
            <w:tcMar>
              <w:top w:type="dxa" w:w="80"/>
              <w:left w:type="dxa" w:w="100"/>
              <w:bottom w:type="dxa" w:w="80"/>
              <w:right w:type="dxa" w:w="100"/>
            </w:tcMar>
          </w:tcPr>
          <w:p>
            <w:pPr>
              <w:jc w:val="left"/>
            </w:pPr>
            <w:r>
              <w:rPr>
                <w:b w:val="false"/>
                <w:bCs w:val="false"/>
                <w:i w:val="false"/>
                <w:iCs w:val="false"/>
                <w:sz w:val="19"/>
                <w:szCs w:val="19"/>
              </w:rPr>
              <w:t xml:space="preserve">Executive Calendar</w:t>
            </w:r>
          </w:p>
        </w:tc>
        <w:tc>
          <w:tcPr>
            <w:tcW w:type="dxa" w:w="6500"/>
            <w:shd w:fill="F2F2F2" w:val="clear"/>
            <w:tcMar>
              <w:top w:type="dxa" w:w="80"/>
              <w:left w:type="dxa" w:w="100"/>
              <w:bottom w:type="dxa" w:w="80"/>
              <w:right w:type="dxa" w:w="100"/>
            </w:tcMar>
          </w:tcPr>
          <w:p>
            <w:pPr>
              <w:jc w:val="left"/>
            </w:pPr>
            <w:r>
              <w:rPr>
                <w:b w:val="false"/>
                <w:bCs w:val="false"/>
                <w:i w:val="false"/>
                <w:iCs w:val="false"/>
                <w:sz w:val="19"/>
                <w:szCs w:val="19"/>
              </w:rPr>
              <w:t xml:space="preserve">New — first populated by Legal &amp; Compliance’s compliance calendar (Section 6) once that department has real data; currently empty.</w:t>
            </w:r>
          </w:p>
        </w:tc>
      </w:tr>
    </w:tbl>
    <w:p>
      <w:pPr>
        <w:spacing w:after="160"/>
      </w:pPr>
      <w:r>
        <w:t xml:space="preserve">Explicitly removed and relocated to Technology: API/OAuth diagnostics, raw sync logs, Automation Status card, per-account integration detail. This was already the Revision 1 rule; it is unchanged and reconfirmed here.</w:t>
      </w:r>
    </w:p>
    <w:p>
      <w:pPr>
        <w:pStyle w:val="Heading1"/>
        <w:spacing w:after="200" w:before="400"/>
      </w:pPr>
      <w:r>
        <w:t xml:space="preserve">5. Department Standard — The 13-Field Template</w:t>
      </w:r>
    </w:p>
    <w:p>
      <w:pPr>
        <w:spacing w:after="160"/>
      </w:pPr>
      <w:r>
        <w:t xml:space="preserve">Every operating department (the six listed in Section 6) implements all 13 fields below. No department is allowed to skip a field — where real data doesn’t exist yet, the field says so honestly rather than being omitted.</w:t>
      </w:r>
    </w:p>
    <w:p>
      <w:pPr>
        <w:spacing w:after="100"/>
      </w:pPr>
      <w:r>
        <w:rPr>
          <w:b/>
          <w:bCs/>
        </w:rPr>
        <w:t xml:space="preserve">Mission: </w:t>
      </w:r>
      <w:r>
        <w:t xml:space="preserve">One sentence: why this department exists.</w:t>
      </w:r>
    </w:p>
    <w:p>
      <w:pPr>
        <w:spacing w:after="100"/>
      </w:pPr>
      <w:r>
        <w:rPr>
          <w:b/>
          <w:bCs/>
        </w:rPr>
        <w:t xml:space="preserve">Department Manager: </w:t>
      </w:r>
      <w:r>
        <w:t xml:space="preserve">Who runs it today — a real name, even if that name is Mansoor or Cowork/Claude for now.</w:t>
      </w:r>
    </w:p>
    <w:p>
      <w:pPr>
        <w:spacing w:after="100"/>
      </w:pPr>
      <w:r>
        <w:rPr>
          <w:b/>
          <w:bCs/>
        </w:rPr>
        <w:t xml:space="preserve">Employees: </w:t>
      </w:r>
      <w:r>
        <w:t xml:space="preserve">Human headcount assigned to this department, if any.</w:t>
      </w:r>
    </w:p>
    <w:p>
      <w:pPr>
        <w:spacing w:after="100"/>
      </w:pPr>
      <w:r>
        <w:rPr>
          <w:b/>
          <w:bCs/>
        </w:rPr>
        <w:t xml:space="preserve">AI Agents: </w:t>
      </w:r>
      <w:r>
        <w:t xml:space="preserve">Which AI agent(s) do this department’s work today.</w:t>
      </w:r>
    </w:p>
    <w:p>
      <w:pPr>
        <w:spacing w:after="100"/>
      </w:pPr>
      <w:r>
        <w:rPr>
          <w:b/>
          <w:bCs/>
        </w:rPr>
        <w:t xml:space="preserve">Responsibilities: </w:t>
      </w:r>
      <w:r>
        <w:t xml:space="preserve">The specific functions this department owns, and only this department.</w:t>
      </w:r>
    </w:p>
    <w:p>
      <w:pPr>
        <w:spacing w:after="100"/>
      </w:pPr>
      <w:r>
        <w:rPr>
          <w:b/>
          <w:bCs/>
        </w:rPr>
        <w:t xml:space="preserve">SOP Library: </w:t>
      </w:r>
      <w:r>
        <w:t xml:space="preserve">Which Brain-held SOPs (Section 3) apply to this department.</w:t>
      </w:r>
    </w:p>
    <w:p>
      <w:pPr>
        <w:spacing w:after="100"/>
      </w:pPr>
      <w:r>
        <w:rPr>
          <w:b/>
          <w:bCs/>
        </w:rPr>
        <w:t xml:space="preserve">Knowledge: </w:t>
      </w:r>
      <w:r>
        <w:t xml:space="preserve">Which Brain-held knowledge entries are tagged to this department.</w:t>
      </w:r>
    </w:p>
    <w:p>
      <w:pPr>
        <w:spacing w:after="100"/>
      </w:pPr>
      <w:r>
        <w:rPr>
          <w:b/>
          <w:bCs/>
        </w:rPr>
        <w:t xml:space="preserve">Reports: </w:t>
      </w:r>
      <w:r>
        <w:t xml:space="preserve">What this department reports, and to whom (always: up to Executive Office).</w:t>
      </w:r>
    </w:p>
    <w:p>
      <w:pPr>
        <w:spacing w:after="100"/>
      </w:pPr>
      <w:r>
        <w:rPr>
          <w:b/>
          <w:bCs/>
        </w:rPr>
        <w:t xml:space="preserve">KPIs: </w:t>
      </w:r>
      <w:r>
        <w:t xml:space="preserve">The numbers this department is measured on.</w:t>
      </w:r>
    </w:p>
    <w:p>
      <w:pPr>
        <w:spacing w:after="100"/>
      </w:pPr>
      <w:r>
        <w:rPr>
          <w:b/>
          <w:bCs/>
        </w:rPr>
        <w:t xml:space="preserve">Department Inbox: </w:t>
      </w:r>
      <w:r>
        <w:t xml:space="preserve">This department’s own filtered slice of the Notification Center (Section 9) — items needing a decision inside the department, distinct from the Executive Inbox.</w:t>
      </w:r>
    </w:p>
    <w:p>
      <w:pPr>
        <w:spacing w:after="100"/>
      </w:pPr>
      <w:r>
        <w:rPr>
          <w:b/>
          <w:bCs/>
        </w:rPr>
        <w:t xml:space="preserve">Backlog: </w:t>
      </w:r>
      <w:r>
        <w:t xml:space="preserve">This department’s slice of the shared Task platform (Section 10).</w:t>
      </w:r>
    </w:p>
    <w:p>
      <w:pPr>
        <w:spacing w:after="100"/>
      </w:pPr>
      <w:r>
        <w:rPr>
          <w:b/>
          <w:bCs/>
        </w:rPr>
        <w:t xml:space="preserve">Risks: </w:t>
      </w:r>
      <w:r>
        <w:t xml:space="preserve">Known open risks specific to this department.</w:t>
      </w:r>
    </w:p>
    <w:p>
      <w:pPr>
        <w:spacing w:after="100"/>
      </w:pPr>
      <w:r>
        <w:rPr>
          <w:b/>
          <w:bCs/>
        </w:rPr>
        <w:t xml:space="preserve">Future Roadmap: </w:t>
      </w:r>
      <w:r>
        <w:t xml:space="preserve">What this department plans to add next, logged in the Brain’s Company Roadmap (Section 3).</w:t>
      </w:r>
    </w:p>
    <w:p>
      <w:pPr>
        <w:pStyle w:val="Heading1"/>
        <w:spacing w:after="200" w:before="400"/>
      </w:pPr>
      <w:r>
        <w:t xml:space="preserve">6. The Six Operating Departments</w:t>
      </w:r>
    </w:p>
    <w:p>
      <w:pPr>
        <w:spacing w:after="160"/>
      </w:pPr>
      <w:r>
        <w:t xml:space="preserve">Applying the Section 5 template to each department, as it stands today. Where a field is genuinely empty or placeholder, that is stated directly rather than dressed up — consistent with how Revision 1 treated Human Resources and Legal &amp; Compliance.</w:t>
      </w:r>
    </w:p>
    <w:p>
      <w:pPr>
        <w:pStyle w:val="Heading2"/>
        <w:spacing w:after="150" w:before="300"/>
      </w:pPr>
      <w:r>
        <w:t xml:space="preserve">6.1 Technology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shd w:fill="1A1A1A" w:val="clear"/>
            <w:tcMar>
              <w:top w:type="dxa" w:w="80"/>
              <w:left w:type="dxa" w:w="100"/>
              <w:bottom w:type="dxa" w:w="80"/>
              <w:right w:type="dxa" w:w="100"/>
            </w:tcMar>
          </w:tcPr>
          <w:p>
            <w:pPr>
              <w:jc w:val="left"/>
            </w:pPr>
            <w:r>
              <w:rPr>
                <w:b/>
                <w:bCs/>
                <w:i w:val="false"/>
                <w:iCs w:val="false"/>
                <w:color w:val="FFFFFF"/>
                <w:sz w:val="19"/>
                <w:szCs w:val="19"/>
              </w:rPr>
              <w:t xml:space="preserve">Field</w:t>
            </w:r>
          </w:p>
        </w:tc>
        <w:tc>
          <w:tcPr>
            <w:tcW w:type="dxa" w:w="6900"/>
            <w:shd w:fill="1A1A1A" w:val="clear"/>
            <w:tcMar>
              <w:top w:type="dxa" w:w="80"/>
              <w:left w:type="dxa" w:w="100"/>
              <w:bottom w:type="dxa" w:w="80"/>
              <w:right w:type="dxa" w:w="100"/>
            </w:tcMar>
          </w:tcPr>
          <w:p>
            <w:pPr>
              <w:jc w:val="left"/>
            </w:pPr>
            <w:r>
              <w:rPr>
                <w:b/>
                <w:bCs/>
                <w:i w:val="false"/>
                <w:iCs w:val="false"/>
                <w:color w:val="FFFFFF"/>
                <w:sz w:val="19"/>
                <w:szCs w:val="19"/>
              </w:rPr>
              <w:t xml:space="preserve">Content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Mission</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Keep the machine running — infrastructure, integrations, deploys, diagnostics — invisible to the CEO unless a decision is needed.</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Department Manager</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Cowork / Claude (Systems Architect &amp; Operations Agent).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Employees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None — no human headcount dedicated to this department today.</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AI Agents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Cowork/Claude — same shared agent used by every other department, not a dedicated instance.</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Responsibilities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Infrastructure only, per your directive: Vercel + Supabase infra, integrations/API connections (YouTube, TikTok, Instagram, Plaid, HeyGen, Submagic, OpenAI/Claude), cloud storage, automation/cron, engineering + regression discipline, monitoring, the publishing/upload pipeline, and diagnostics. Owns the shared Task/Pipeline platform mechanism (not its content — see Section 10).</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SOP Library</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Engineering constitution rules 6–14 (read-before-changing, test-before-deploy, regression discipline, 12-function ceiling, deploy ritual) — Brain-held, tagged Technology.</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Knowledge</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Architecture reference (frontend/backend/database/HeyGen/Submagic/YouTube/Plaid/rendering/uploads/auto-deploy/storage keys) — Brain-held, tagged Technology.</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Reports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Deploy status and version history, reported to Executive Office only when a deploy fails or a risk needs a decision.</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KPIs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Deploy success rate, integration uptime, function count vs. the 12-file ceiling.</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Department Inbox</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Failed integrations, expired tokens, deploy errors — filtered to items that actually need a decision, not every sync event.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Backlog</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Open engineering tasks (engineering_tasks — 42 rows today).</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Risks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29 tables with Row Level Security disabled, including instagram_connections’ access_token column — flagged in Revision 1, still open, no remediation applied without your sign-off. Vercel 12-function ceiling already at maximum.</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Future Roadmap</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RLS remediation (pending your decision), Brain-consumption API (Phase 2, Section 12).</w:t>
            </w:r>
          </w:p>
        </w:tc>
      </w:tr>
    </w:tbl>
    <w:p>
      <w:pPr>
        <w:pStyle w:val="Heading2"/>
        <w:spacing w:after="150" w:before="300"/>
      </w:pPr>
      <w:r>
        <w:t xml:space="preserve">6.2 Finance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shd w:fill="1A1A1A" w:val="clear"/>
            <w:tcMar>
              <w:top w:type="dxa" w:w="80"/>
              <w:left w:type="dxa" w:w="100"/>
              <w:bottom w:type="dxa" w:w="80"/>
              <w:right w:type="dxa" w:w="100"/>
            </w:tcMar>
          </w:tcPr>
          <w:p>
            <w:pPr>
              <w:jc w:val="left"/>
            </w:pPr>
            <w:r>
              <w:rPr>
                <w:b/>
                <w:bCs/>
                <w:i w:val="false"/>
                <w:iCs w:val="false"/>
                <w:color w:val="FFFFFF"/>
                <w:sz w:val="19"/>
                <w:szCs w:val="19"/>
              </w:rPr>
              <w:t xml:space="preserve">Field</w:t>
            </w:r>
          </w:p>
        </w:tc>
        <w:tc>
          <w:tcPr>
            <w:tcW w:type="dxa" w:w="6900"/>
            <w:shd w:fill="1A1A1A" w:val="clear"/>
            <w:tcMar>
              <w:top w:type="dxa" w:w="80"/>
              <w:left w:type="dxa" w:w="100"/>
              <w:bottom w:type="dxa" w:w="80"/>
              <w:right w:type="dxa" w:w="100"/>
            </w:tcMar>
          </w:tcPr>
          <w:p>
            <w:pPr>
              <w:jc w:val="left"/>
            </w:pPr>
            <w:r>
              <w:rPr>
                <w:b/>
                <w:bCs/>
                <w:i w:val="false"/>
                <w:iCs w:val="false"/>
                <w:color w:val="FFFFFF"/>
                <w:sz w:val="19"/>
                <w:szCs w:val="19"/>
              </w:rPr>
              <w:t xml:space="preserve">Content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Mission</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Be the single source of truth for money: what came in, what went out, what’s owed, what’s owned, and whether the company can make payroll and pay its taxes.</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Department Manager</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Mansoor Ahmady (CEO) — owns Finance Rule 2 approval; Cowork implements only under that rule.</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Employees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None dedicated — Mansoor is the sole reviewer of all Finance data today.</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AI Agents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Cowork/Claude, strictly under Finance Rule 2 (no logic change without explicit CEO approval in the current chat).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Responsibilities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Accounting, Balance Sheet, Income Statement, Cash Flow, Payroll, Taxes, Assets, Liabilities, Budget, Banking (Plaid, read-only mirror, no money movement, ever), Investments (Investment Engine).</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SOP Library</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Finance Rule 2 and its carve-outs (display-only / diagnostic-only / unambiguous bug fixes don’t need approval) — Brain-held, tagged Finance.</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Knowledge</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Plaid architecture reference (Ally + Capital One, Production not Sandbox) — Brain-held, tagged Finance.</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Reports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Net worth, cash flow, and P&amp;L rollups, reported to Executive Office (CEO Headquarters, Section 4).</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KPIs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Net worth trend, monthly cash flow, Investment Engine progress toward $4k/mo machine income.</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Department Inbox</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Reconciliation-ready alerts, unusual balance changes — not routine Plaid syncs.</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Backlog</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Balance Sheet, Income Statement, Budget, and Taxes views — none of these exist yet; today’s Finance tab is flat (net worth/income/expenses/debt/goals/Investment Engine/banking only).</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Risks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Plaid is Production, not Sandbox — real banking data; any change requires explicit CEO approval per the existing hard rule.</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Future Roadmap</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Build the missing Balance Sheet / Income Statement / Cash Flow / Budget / Tax sub-views (Section 12, Phase 5). Payroll stays informal until Human Resources produces real headcount.</w:t>
            </w:r>
          </w:p>
        </w:tc>
      </w:tr>
    </w:tbl>
    <w:p>
      <w:pPr>
        <w:pStyle w:val="Heading2"/>
        <w:spacing w:after="150" w:before="300"/>
      </w:pPr>
      <w:r>
        <w:t xml:space="preserve">6.3 Operations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shd w:fill="1A1A1A" w:val="clear"/>
            <w:tcMar>
              <w:top w:type="dxa" w:w="80"/>
              <w:left w:type="dxa" w:w="100"/>
              <w:bottom w:type="dxa" w:w="80"/>
              <w:right w:type="dxa" w:w="100"/>
            </w:tcMar>
          </w:tcPr>
          <w:p>
            <w:pPr>
              <w:jc w:val="left"/>
            </w:pPr>
            <w:r>
              <w:rPr>
                <w:b/>
                <w:bCs/>
                <w:i w:val="false"/>
                <w:iCs w:val="false"/>
                <w:color w:val="FFFFFF"/>
                <w:sz w:val="19"/>
                <w:szCs w:val="19"/>
              </w:rPr>
              <w:t xml:space="preserve">Field</w:t>
            </w:r>
          </w:p>
        </w:tc>
        <w:tc>
          <w:tcPr>
            <w:tcW w:type="dxa" w:w="6900"/>
            <w:shd w:fill="1A1A1A" w:val="clear"/>
            <w:tcMar>
              <w:top w:type="dxa" w:w="80"/>
              <w:left w:type="dxa" w:w="100"/>
              <w:bottom w:type="dxa" w:w="80"/>
              <w:right w:type="dxa" w:w="100"/>
            </w:tcMar>
          </w:tcPr>
          <w:p>
            <w:pPr>
              <w:jc w:val="left"/>
            </w:pPr>
            <w:r>
              <w:rPr>
                <w:b/>
                <w:bCs/>
                <w:i w:val="false"/>
                <w:iCs w:val="false"/>
                <w:color w:val="FFFFFF"/>
                <w:sz w:val="19"/>
                <w:szCs w:val="19"/>
              </w:rPr>
              <w:t xml:space="preserve">Content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Mission</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Run the business units. Every engine produces on schedule, on brand, and within its own SOP.</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Department Manager</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Mansoor Ahmady (CEO) — day-to-day execution via VA + Cowork.</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Employees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1 VA account exists in the current PIN system (Settings); real identity/assignment to be formalized once Human Resources is built out.</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AI Agents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Cowork/Claude — production-pipeline execution (HeyGen, Submagic, canvas rendering, YouTube upload).</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Responsibilities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Every business engine and its production workflow: AI Creation Studio, NextWave, SRV Farsi, SRV English, Investment Engine, Uber (until retired). Per-engine manager, SOP, KPIs, production, reports, backlog. Asset libraries (avatars, templates, song catalog). Production task execution (generate → review → build → approve → publish → done).</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SOP Library</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Full engine registry — SRV Farsi, SRV English, AI Creation Studio, NextWave workflows, freeze status, testing steps — Brain-held, tagged Operations.</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Knowledge</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Shared production-pipeline components (canvas renderers, upload engine, lifecycle framework) — Brain-held protected-systems registry, tagged Operations.</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Reports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Per-engine production status and publish cadence, reported to Executive Office as part of Department Status.</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KPIs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Publish cadence per engine vs. its weekly capacity, days since last publish, backlog age.</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Department Inbox</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Stalled production tasks, failed renders needing a human decision.</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Backlog</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Production tasks (operator_tasks, production_pipeline, approvals) — today’s Factory/pipeline system, reframed as this department’s own queue (Section 10).</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Risks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SRV Farsi, SRV English, and AI Creation Studio are all FROZEN in the Brain’s engine registry — changes require explicit regression testing across all engines that share the canvas renderer, upload engine, or lifecycle framework.</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Future Roadmap</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Per-engine KPI dashboard (does not exist today); real engine "manager" assignment once Human Resources exists.</w:t>
            </w:r>
          </w:p>
        </w:tc>
      </w:tr>
    </w:tbl>
    <w:p>
      <w:pPr>
        <w:pStyle w:val="Heading2"/>
        <w:spacing w:after="150" w:before="300"/>
      </w:pPr>
      <w:r>
        <w:t xml:space="preserve">6.4 Marketing &amp; Sales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shd w:fill="1A1A1A" w:val="clear"/>
            <w:tcMar>
              <w:top w:type="dxa" w:w="80"/>
              <w:left w:type="dxa" w:w="100"/>
              <w:bottom w:type="dxa" w:w="80"/>
              <w:right w:type="dxa" w:w="100"/>
            </w:tcMar>
          </w:tcPr>
          <w:p>
            <w:pPr>
              <w:jc w:val="left"/>
            </w:pPr>
            <w:r>
              <w:rPr>
                <w:b/>
                <w:bCs/>
                <w:i w:val="false"/>
                <w:iCs w:val="false"/>
                <w:color w:val="FFFFFF"/>
                <w:sz w:val="19"/>
                <w:szCs w:val="19"/>
              </w:rPr>
              <w:t xml:space="preserve">Field</w:t>
            </w:r>
          </w:p>
        </w:tc>
        <w:tc>
          <w:tcPr>
            <w:tcW w:type="dxa" w:w="6900"/>
            <w:shd w:fill="1A1A1A" w:val="clear"/>
            <w:tcMar>
              <w:top w:type="dxa" w:w="80"/>
              <w:left w:type="dxa" w:w="100"/>
              <w:bottom w:type="dxa" w:w="80"/>
              <w:right w:type="dxa" w:w="100"/>
            </w:tcMar>
          </w:tcPr>
          <w:p>
            <w:pPr>
              <w:jc w:val="left"/>
            </w:pPr>
            <w:r>
              <w:rPr>
                <w:b/>
                <w:bCs/>
                <w:i w:val="false"/>
                <w:iCs w:val="false"/>
                <w:color w:val="FFFFFF"/>
                <w:sz w:val="19"/>
                <w:szCs w:val="19"/>
              </w:rPr>
              <w:t xml:space="preserve">Content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Mission</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Grow audience and reach across every channel, and know why it did or didn’t work.</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Department Manager</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Mansoor Ahmady (CEO) — no dedicated marketing hire yet.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Employees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None.</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AI Agents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Cowork/Claude — analytics sync and reporting.</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Responsibilities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Audience growth, analytics, channels (YouTube 4 channels, TikTok 2 accounts, Instagram 0 connected), SEO, campaigns, and future client acquisition.</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SOP Library</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Channel strategy and optimization rules (channel_strategy, optimization_rules) — Brain-held, tagged Marketing &amp; Sales.</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Knowledge</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Brand-account map (e.g. Silk Road Voices = SRV Farsi, InsideObjects AI = AI Creation Studio) — Brain-held, tagged Marketing &amp; Sales.</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Reports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Cross-platform view/follower/growth summary, reported to Executive Office as part of Department Status.</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KPIs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Views, watch hours, subscriber/follower growth, upload cadence, sync health.</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Department Inbox</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Campaign-completion notices, growth anomalies needing a decision — not routine sync confirmations.</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Backlog</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Analytics and growth tasks, separate from Operations’ production backlog.</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Risks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Instagram integration exists only as an empty shell (connections/accounts/sync-log tables provisioned, zero rows) — not a real channel yet. Analytics engineering is currently paused company-wide per your standing decision until expired YouTube/TikTok accounts are reconnected.</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Future Roadmap</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Website and Clients modules — explicitly future, out of scope for this phase.</w:t>
            </w:r>
          </w:p>
        </w:tc>
      </w:tr>
    </w:tbl>
    <w:p>
      <w:pPr>
        <w:pStyle w:val="Heading2"/>
        <w:spacing w:after="150" w:before="300"/>
      </w:pPr>
      <w:r>
        <w:t xml:space="preserve">6.5 Human Resources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shd w:fill="1A1A1A" w:val="clear"/>
            <w:tcMar>
              <w:top w:type="dxa" w:w="80"/>
              <w:left w:type="dxa" w:w="100"/>
              <w:bottom w:type="dxa" w:w="80"/>
              <w:right w:type="dxa" w:w="100"/>
            </w:tcMar>
          </w:tcPr>
          <w:p>
            <w:pPr>
              <w:jc w:val="left"/>
            </w:pPr>
            <w:r>
              <w:rPr>
                <w:b/>
                <w:bCs/>
                <w:i w:val="false"/>
                <w:iCs w:val="false"/>
                <w:color w:val="FFFFFF"/>
                <w:sz w:val="19"/>
                <w:szCs w:val="19"/>
              </w:rPr>
              <w:t xml:space="preserve">Field</w:t>
            </w:r>
          </w:p>
        </w:tc>
        <w:tc>
          <w:tcPr>
            <w:tcW w:type="dxa" w:w="6900"/>
            <w:shd w:fill="1A1A1A" w:val="clear"/>
            <w:tcMar>
              <w:top w:type="dxa" w:w="80"/>
              <w:left w:type="dxa" w:w="100"/>
              <w:bottom w:type="dxa" w:w="80"/>
              <w:right w:type="dxa" w:w="100"/>
            </w:tcMar>
          </w:tcPr>
          <w:p>
            <w:pPr>
              <w:jc w:val="left"/>
            </w:pPr>
            <w:r>
              <w:rPr>
                <w:b/>
                <w:bCs/>
                <w:i w:val="false"/>
                <w:iCs w:val="false"/>
                <w:color w:val="FFFFFF"/>
                <w:sz w:val="19"/>
                <w:szCs w:val="19"/>
              </w:rPr>
              <w:t xml:space="preserve">Content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Mission</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Own every person and every AI agent working for MMM: who they are, what they can access, and how they’re doing.</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Department Manager</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Unassigned — net-new department.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Employees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Zero formal records today. Mansoor operates every department directly; this is the department that will eventually stop that from being necessary.</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AI Agents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Cowork/Claude — this department itself is what will eventually formalize "AI Agent" as a labor category with its own permission scope.</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Responsibilities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Employees, Contractors, Virtual Assistants, AI Agents, Permissions, Hiring, Performance, and organizational structure.</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SOP Library</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None exists yet.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Knowledge</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The 3-user PIN system (Mansoor / Family / VA) in Settings is the only real artifact today — an authentication mechanism, not an HR record.</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Reports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None yet.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KPIs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None yet.</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Department Inbox</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Empty until real hiring/contractor activity exists.</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Backlog</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Empty.</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Risks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Cannot be filled in beyond an empty shell without your input: who are the actual contractors/VAs today, and what roles/permissions should exist.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Future Roadmap</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Phase 7 (Section 12) — schema and shell UI once you provide real roster data.</w:t>
            </w:r>
          </w:p>
        </w:tc>
      </w:tr>
    </w:tbl>
    <w:p>
      <w:pPr>
        <w:pStyle w:val="Heading2"/>
        <w:spacing w:after="150" w:before="300"/>
      </w:pPr>
      <w:r>
        <w:t xml:space="preserve">6.6 Legal &amp; Compliance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shd w:fill="1A1A1A" w:val="clear"/>
            <w:tcMar>
              <w:top w:type="dxa" w:w="80"/>
              <w:left w:type="dxa" w:w="100"/>
              <w:bottom w:type="dxa" w:w="80"/>
              <w:right w:type="dxa" w:w="100"/>
            </w:tcMar>
          </w:tcPr>
          <w:p>
            <w:pPr>
              <w:jc w:val="left"/>
            </w:pPr>
            <w:r>
              <w:rPr>
                <w:b/>
                <w:bCs/>
                <w:i w:val="false"/>
                <w:iCs w:val="false"/>
                <w:color w:val="FFFFFF"/>
                <w:sz w:val="19"/>
                <w:szCs w:val="19"/>
              </w:rPr>
              <w:t xml:space="preserve">Field</w:t>
            </w:r>
          </w:p>
        </w:tc>
        <w:tc>
          <w:tcPr>
            <w:tcW w:type="dxa" w:w="6900"/>
            <w:shd w:fill="1A1A1A" w:val="clear"/>
            <w:tcMar>
              <w:top w:type="dxa" w:w="80"/>
              <w:left w:type="dxa" w:w="100"/>
              <w:bottom w:type="dxa" w:w="80"/>
              <w:right w:type="dxa" w:w="100"/>
            </w:tcMar>
          </w:tcPr>
          <w:p>
            <w:pPr>
              <w:jc w:val="left"/>
            </w:pPr>
            <w:r>
              <w:rPr>
                <w:b/>
                <w:bCs/>
                <w:i w:val="false"/>
                <w:iCs w:val="false"/>
                <w:color w:val="FFFFFF"/>
                <w:sz w:val="19"/>
                <w:szCs w:val="19"/>
              </w:rPr>
              <w:t xml:space="preserve">Content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Mission</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Keep MMM’s legal structure, obligations, and deadlines visible and current.</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Department Manager</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Unassigned — net-new department.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Employees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None.</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AI Agents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None assigned — general legal/tax content is outside what an engineering agent should generate; this department stores facts you provide, it does not produce legal advice.</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Responsibilities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LLC, Contracts, Insurance, Licenses, Trademarks, Compliance, Filing deadlines, Company policies.</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SOP Library</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None exists yet.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Knowledge</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None exists yet.</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Reports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None yet.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KPIs</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None yet.</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Department Inbox</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Empty until real filings/deadlines exist.</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Backlog</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Empty.</w:t>
            </w:r>
          </w:p>
        </w:tc>
      </w:tr>
      <w:tr>
        <w:tc>
          <w:tcPr>
            <w:tcW w:type="dxa" w:w="2200"/>
            <w:tcMar>
              <w:top w:type="dxa" w:w="80"/>
              <w:left w:type="dxa" w:w="100"/>
              <w:bottom w:type="dxa" w:w="80"/>
              <w:right w:type="dxa" w:w="100"/>
            </w:tcMar>
          </w:tcPr>
          <w:p>
            <w:pPr>
              <w:jc w:val="left"/>
            </w:pPr>
            <w:r>
              <w:rPr>
                <w:b w:val="false"/>
                <w:bCs w:val="false"/>
                <w:i w:val="false"/>
                <w:iCs w:val="false"/>
                <w:sz w:val="19"/>
                <w:szCs w:val="19"/>
              </w:rPr>
              <w:t xml:space="preserve">Risks</w:t>
            </w:r>
          </w:p>
        </w:tc>
        <w:tc>
          <w:tcPr>
            <w:tcW w:type="dxa" w:w="6900"/>
            <w:tcMar>
              <w:top w:type="dxa" w:w="80"/>
              <w:left w:type="dxa" w:w="100"/>
              <w:bottom w:type="dxa" w:w="80"/>
              <w:right w:type="dxa" w:w="100"/>
            </w:tcMar>
          </w:tcPr>
          <w:p>
            <w:pPr>
              <w:jc w:val="left"/>
            </w:pPr>
            <w:r>
              <w:rPr>
                <w:b w:val="false"/>
                <w:bCs w:val="false"/>
                <w:i w:val="false"/>
                <w:iCs w:val="false"/>
                <w:sz w:val="19"/>
                <w:szCs w:val="19"/>
              </w:rPr>
              <w:t xml:space="preserve">Same as Human Resources: no real data exists. This document does not attempt to fill in actual legal content — that requires real documents and facts from you.</w:t>
            </w:r>
          </w:p>
        </w:tc>
      </w:tr>
      <w:tr>
        <w:tc>
          <w:tcPr>
            <w:tcW w:type="dxa" w:w="2200"/>
            <w:shd w:fill="F2F2F2" w:val="clear"/>
            <w:tcMar>
              <w:top w:type="dxa" w:w="80"/>
              <w:left w:type="dxa" w:w="100"/>
              <w:bottom w:type="dxa" w:w="80"/>
              <w:right w:type="dxa" w:w="100"/>
            </w:tcMar>
          </w:tcPr>
          <w:p>
            <w:pPr>
              <w:jc w:val="left"/>
            </w:pPr>
            <w:r>
              <w:rPr>
                <w:b w:val="false"/>
                <w:bCs w:val="false"/>
                <w:i w:val="false"/>
                <w:iCs w:val="false"/>
                <w:sz w:val="19"/>
                <w:szCs w:val="19"/>
              </w:rPr>
              <w:t xml:space="preserve">Future Roadmap</w:t>
            </w:r>
          </w:p>
        </w:tc>
        <w:tc>
          <w:tcPr>
            <w:tcW w:type="dxa" w:w="6900"/>
            <w:shd w:fill="F2F2F2" w:val="clear"/>
            <w:tcMar>
              <w:top w:type="dxa" w:w="80"/>
              <w:left w:type="dxa" w:w="100"/>
              <w:bottom w:type="dxa" w:w="80"/>
              <w:right w:type="dxa" w:w="100"/>
            </w:tcMar>
          </w:tcPr>
          <w:p>
            <w:pPr>
              <w:jc w:val="left"/>
            </w:pPr>
            <w:r>
              <w:rPr>
                <w:b w:val="false"/>
                <w:bCs w:val="false"/>
                <w:i w:val="false"/>
                <w:iCs w:val="false"/>
                <w:sz w:val="19"/>
                <w:szCs w:val="19"/>
              </w:rPr>
              <w:t xml:space="preserve">Phase 7 (Section 12) — structured, empty filing cabinet first; populated once you provide LLC/contract/insurance facts.</w:t>
            </w:r>
          </w:p>
        </w:tc>
      </w:tr>
    </w:tbl>
    <w:p>
      <w:pPr>
        <w:pStyle w:val="Heading1"/>
        <w:spacing w:after="200" w:before="400"/>
      </w:pPr>
      <w:r>
        <w:t xml:space="preserve">7. Responsibility Matrix</w:t>
      </w:r>
    </w:p>
    <w:p>
      <w:pPr>
        <w:spacing w:after="160"/>
      </w:pPr>
      <w:r>
        <w:t xml:space="preserve">Carried forward from Revision 1 — every existing page and Supabase table still maps to exactly one owner. The only structural change: the Brain is no longer a ninth row in this table. It is the layer every row below draws its Knowledge and SOP Library fields from (Section 3), not an owner competing with the six operating departments.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900"/>
        <w:gridCol w:w="2900"/>
      </w:tblGrid>
      <w:tr>
        <w:trPr>
          <w:tblHeader/>
        </w:trPr>
        <w:tc>
          <w:tcPr>
            <w:tcW w:type="dxa" w:w="2500"/>
            <w:shd w:fill="1A1A1A" w:val="clear"/>
            <w:tcMar>
              <w:top w:type="dxa" w:w="80"/>
              <w:left w:type="dxa" w:w="100"/>
              <w:bottom w:type="dxa" w:w="80"/>
              <w:right w:type="dxa" w:w="100"/>
            </w:tcMar>
          </w:tcPr>
          <w:p>
            <w:pPr>
              <w:jc w:val="left"/>
            </w:pPr>
            <w:r>
              <w:rPr>
                <w:b/>
                <w:bCs/>
                <w:i w:val="false"/>
                <w:iCs w:val="false"/>
                <w:color w:val="FFFFFF"/>
                <w:sz w:val="19"/>
                <w:szCs w:val="19"/>
              </w:rPr>
              <w:t xml:space="preserve">Existing feature</w:t>
            </w:r>
          </w:p>
        </w:tc>
        <w:tc>
          <w:tcPr>
            <w:tcW w:type="dxa" w:w="1600"/>
            <w:shd w:fill="1A1A1A" w:val="clear"/>
            <w:tcMar>
              <w:top w:type="dxa" w:w="80"/>
              <w:left w:type="dxa" w:w="100"/>
              <w:bottom w:type="dxa" w:w="80"/>
              <w:right w:type="dxa" w:w="100"/>
            </w:tcMar>
          </w:tcPr>
          <w:p>
            <w:pPr>
              <w:jc w:val="left"/>
            </w:pPr>
            <w:r>
              <w:rPr>
                <w:b/>
                <w:bCs/>
                <w:i w:val="false"/>
                <w:iCs w:val="false"/>
                <w:color w:val="FFFFFF"/>
                <w:sz w:val="19"/>
                <w:szCs w:val="19"/>
              </w:rPr>
              <w:t xml:space="preserve">Currently lives in</w:t>
            </w:r>
          </w:p>
        </w:tc>
        <w:tc>
          <w:tcPr>
            <w:tcW w:type="dxa" w:w="1900"/>
            <w:shd w:fill="1A1A1A" w:val="clear"/>
            <w:tcMar>
              <w:top w:type="dxa" w:w="80"/>
              <w:left w:type="dxa" w:w="100"/>
              <w:bottom w:type="dxa" w:w="80"/>
              <w:right w:type="dxa" w:w="100"/>
            </w:tcMar>
          </w:tcPr>
          <w:p>
            <w:pPr>
              <w:jc w:val="left"/>
            </w:pPr>
            <w:r>
              <w:rPr>
                <w:b/>
                <w:bCs/>
                <w:i w:val="false"/>
                <w:iCs w:val="false"/>
                <w:color w:val="FFFFFF"/>
                <w:sz w:val="19"/>
                <w:szCs w:val="19"/>
              </w:rPr>
              <w:t xml:space="preserve">Owning department</w:t>
            </w:r>
          </w:p>
        </w:tc>
        <w:tc>
          <w:tcPr>
            <w:tcW w:type="dxa" w:w="2900"/>
            <w:shd w:fill="1A1A1A" w:val="clear"/>
            <w:tcMar>
              <w:top w:type="dxa" w:w="80"/>
              <w:left w:type="dxa" w:w="100"/>
              <w:bottom w:type="dxa" w:w="80"/>
              <w:right w:type="dxa" w:w="100"/>
            </w:tcMar>
          </w:tcPr>
          <w:p>
            <w:pPr>
              <w:jc w:val="left"/>
            </w:pPr>
            <w:r>
              <w:rPr>
                <w:b/>
                <w:bCs/>
                <w:i w:val="false"/>
                <w:iCs w:val="false"/>
                <w:color w:val="FFFFFF"/>
                <w:sz w:val="19"/>
                <w:szCs w:val="19"/>
              </w:rPr>
              <w:t xml:space="preserve">Notes</w:t>
            </w:r>
          </w:p>
        </w:tc>
      </w:tr>
      <w:tr>
        <w:tc>
          <w:tcPr>
            <w:tcW w:type="dxa" w:w="2500"/>
            <w:shd w:fill="F2F2F2" w:val="clear"/>
            <w:tcMar>
              <w:top w:type="dxa" w:w="80"/>
              <w:left w:type="dxa" w:w="100"/>
              <w:bottom w:type="dxa" w:w="80"/>
              <w:right w:type="dxa" w:w="100"/>
            </w:tcMar>
          </w:tcPr>
          <w:p>
            <w:pPr>
              <w:jc w:val="left"/>
            </w:pPr>
            <w:r>
              <w:rPr>
                <w:b w:val="false"/>
                <w:bCs w:val="false"/>
                <w:i w:val="false"/>
                <w:iCs w:val="false"/>
                <w:sz w:val="19"/>
                <w:szCs w:val="19"/>
              </w:rPr>
              <w:t xml:space="preserve">Home dashboard (renderHome)</w:t>
            </w:r>
          </w:p>
        </w:tc>
        <w:tc>
          <w:tcPr>
            <w:tcW w:type="dxa" w:w="1600"/>
            <w:shd w:fill="F2F2F2" w:val="clear"/>
            <w:tcMar>
              <w:top w:type="dxa" w:w="80"/>
              <w:left w:type="dxa" w:w="100"/>
              <w:bottom w:type="dxa" w:w="80"/>
              <w:right w:type="dxa" w:w="100"/>
            </w:tcMar>
          </w:tcPr>
          <w:p>
            <w:pPr>
              <w:jc w:val="left"/>
            </w:pPr>
            <w:r>
              <w:rPr>
                <w:b w:val="false"/>
                <w:bCs w:val="false"/>
                <w:i w:val="false"/>
                <w:iCs w:val="false"/>
                <w:sz w:val="19"/>
                <w:szCs w:val="19"/>
              </w:rPr>
              <w:t xml:space="preserve">Home tab</w:t>
            </w:r>
          </w:p>
        </w:tc>
        <w:tc>
          <w:tcPr>
            <w:tcW w:type="dxa" w:w="1900"/>
            <w:shd w:fill="F2F2F2" w:val="clear"/>
            <w:tcMar>
              <w:top w:type="dxa" w:w="80"/>
              <w:left w:type="dxa" w:w="100"/>
              <w:bottom w:type="dxa" w:w="80"/>
              <w:right w:type="dxa" w:w="100"/>
            </w:tcMar>
          </w:tcPr>
          <w:p>
            <w:pPr>
              <w:jc w:val="left"/>
            </w:pPr>
            <w:r>
              <w:rPr>
                <w:b w:val="false"/>
                <w:bCs w:val="false"/>
                <w:i w:val="false"/>
                <w:iCs w:val="false"/>
                <w:sz w:val="19"/>
                <w:szCs w:val="19"/>
              </w:rPr>
              <w:t xml:space="preserve">Executive Office</w:t>
            </w:r>
          </w:p>
        </w:tc>
        <w:tc>
          <w:tcPr>
            <w:tcW w:type="dxa" w:w="2900"/>
            <w:shd w:fill="F2F2F2" w:val="clear"/>
            <w:tcMar>
              <w:top w:type="dxa" w:w="80"/>
              <w:left w:type="dxa" w:w="100"/>
              <w:bottom w:type="dxa" w:w="80"/>
              <w:right w:type="dxa" w:w="100"/>
            </w:tcMar>
          </w:tcPr>
          <w:p>
            <w:pPr>
              <w:jc w:val="left"/>
            </w:pPr>
            <w:r>
              <w:rPr>
                <w:b w:val="false"/>
                <w:bCs w:val="false"/>
                <w:i w:val="false"/>
                <w:iCs w:val="false"/>
                <w:sz w:val="19"/>
                <w:szCs w:val="19"/>
              </w:rPr>
              <w:t xml:space="preserve">Rebuilt per Section 4 (CEO Headquarters, exact 8-item spec).</w:t>
            </w:r>
          </w:p>
        </w:tc>
      </w:tr>
      <w:tr>
        <w:tc>
          <w:tcPr>
            <w:tcW w:type="dxa" w:w="2500"/>
            <w:tcMar>
              <w:top w:type="dxa" w:w="80"/>
              <w:left w:type="dxa" w:w="100"/>
              <w:bottom w:type="dxa" w:w="80"/>
              <w:right w:type="dxa" w:w="100"/>
            </w:tcMar>
          </w:tcPr>
          <w:p>
            <w:pPr>
              <w:jc w:val="left"/>
            </w:pPr>
            <w:r>
              <w:rPr>
                <w:b w:val="false"/>
                <w:bCs w:val="false"/>
                <w:i w:val="false"/>
                <w:iCs w:val="false"/>
                <w:sz w:val="19"/>
                <w:szCs w:val="19"/>
              </w:rPr>
              <w:t xml:space="preserve">Finance tab (renderFinance)</w:t>
            </w:r>
          </w:p>
        </w:tc>
        <w:tc>
          <w:tcPr>
            <w:tcW w:type="dxa" w:w="1600"/>
            <w:tcMar>
              <w:top w:type="dxa" w:w="80"/>
              <w:left w:type="dxa" w:w="100"/>
              <w:bottom w:type="dxa" w:w="80"/>
              <w:right w:type="dxa" w:w="100"/>
            </w:tcMar>
          </w:tcPr>
          <w:p>
            <w:pPr>
              <w:jc w:val="left"/>
            </w:pPr>
            <w:r>
              <w:rPr>
                <w:b w:val="false"/>
                <w:bCs w:val="false"/>
                <w:i w:val="false"/>
                <w:iCs w:val="false"/>
                <w:sz w:val="19"/>
                <w:szCs w:val="19"/>
              </w:rPr>
              <w:t xml:space="preserve">Finance tab</w:t>
            </w:r>
          </w:p>
        </w:tc>
        <w:tc>
          <w:tcPr>
            <w:tcW w:type="dxa" w:w="1900"/>
            <w:tcMar>
              <w:top w:type="dxa" w:w="80"/>
              <w:left w:type="dxa" w:w="100"/>
              <w:bottom w:type="dxa" w:w="80"/>
              <w:right w:type="dxa" w:w="100"/>
            </w:tcMar>
          </w:tcPr>
          <w:p>
            <w:pPr>
              <w:jc w:val="left"/>
            </w:pPr>
            <w:r>
              <w:rPr>
                <w:b w:val="false"/>
                <w:bCs w:val="false"/>
                <w:i w:val="false"/>
                <w:iCs w:val="false"/>
                <w:sz w:val="19"/>
                <w:szCs w:val="19"/>
              </w:rPr>
              <w:t xml:space="preserve">Finance</w:t>
            </w:r>
          </w:p>
        </w:tc>
        <w:tc>
          <w:tcPr>
            <w:tcW w:type="dxa" w:w="2900"/>
            <w:tcMar>
              <w:top w:type="dxa" w:w="80"/>
              <w:left w:type="dxa" w:w="100"/>
              <w:bottom w:type="dxa" w:w="80"/>
              <w:right w:type="dxa" w:w="100"/>
            </w:tcMar>
          </w:tcPr>
          <w:p>
            <w:pPr>
              <w:jc w:val="left"/>
            </w:pPr>
            <w:r>
              <w:rPr>
                <w:b w:val="false"/>
                <w:bCs w:val="false"/>
                <w:i w:val="false"/>
                <w:iCs w:val="false"/>
                <w:sz w:val="19"/>
                <w:szCs w:val="19"/>
              </w:rPr>
              <w:t xml:space="preserve">Restructured into Balance Sheet / Income Statement / Cash Flow / Budget / Taxes sub-views (Section 6.2).</w:t>
            </w:r>
          </w:p>
        </w:tc>
      </w:tr>
      <w:tr>
        <w:tc>
          <w:tcPr>
            <w:tcW w:type="dxa" w:w="2500"/>
            <w:shd w:fill="F2F2F2" w:val="clear"/>
            <w:tcMar>
              <w:top w:type="dxa" w:w="80"/>
              <w:left w:type="dxa" w:w="100"/>
              <w:bottom w:type="dxa" w:w="80"/>
              <w:right w:type="dxa" w:w="100"/>
            </w:tcMar>
          </w:tcPr>
          <w:p>
            <w:pPr>
              <w:jc w:val="left"/>
            </w:pPr>
            <w:r>
              <w:rPr>
                <w:b w:val="false"/>
                <w:bCs w:val="false"/>
                <w:i w:val="false"/>
                <w:iCs w:val="false"/>
                <w:sz w:val="19"/>
                <w:szCs w:val="19"/>
              </w:rPr>
              <w:t xml:space="preserve">Engine production, asset libraries, packages</w:t>
            </w:r>
          </w:p>
        </w:tc>
        <w:tc>
          <w:tcPr>
            <w:tcW w:type="dxa" w:w="1600"/>
            <w:shd w:fill="F2F2F2" w:val="clear"/>
            <w:tcMar>
              <w:top w:type="dxa" w:w="80"/>
              <w:left w:type="dxa" w:w="100"/>
              <w:bottom w:type="dxa" w:w="80"/>
              <w:right w:type="dxa" w:w="100"/>
            </w:tcMar>
          </w:tcPr>
          <w:p>
            <w:pPr>
              <w:jc w:val="left"/>
            </w:pPr>
            <w:r>
              <w:rPr>
                <w:b w:val="false"/>
                <w:bCs w:val="false"/>
                <w:i w:val="false"/>
                <w:iCs w:val="false"/>
                <w:sz w:val="19"/>
                <w:szCs w:val="19"/>
              </w:rPr>
              <w:t xml:space="preserve">Engines tab</w:t>
            </w:r>
          </w:p>
        </w:tc>
        <w:tc>
          <w:tcPr>
            <w:tcW w:type="dxa" w:w="1900"/>
            <w:shd w:fill="F2F2F2" w:val="clear"/>
            <w:tcMar>
              <w:top w:type="dxa" w:w="80"/>
              <w:left w:type="dxa" w:w="100"/>
              <w:bottom w:type="dxa" w:w="80"/>
              <w:right w:type="dxa" w:w="100"/>
            </w:tcMar>
          </w:tcPr>
          <w:p>
            <w:pPr>
              <w:jc w:val="left"/>
            </w:pPr>
            <w:r>
              <w:rPr>
                <w:b w:val="false"/>
                <w:bCs w:val="false"/>
                <w:i w:val="false"/>
                <w:iCs w:val="false"/>
                <w:sz w:val="19"/>
                <w:szCs w:val="19"/>
              </w:rPr>
              <w:t xml:space="preserve">Operations</w:t>
            </w:r>
          </w:p>
        </w:tc>
        <w:tc>
          <w:tcPr>
            <w:tcW w:type="dxa" w:w="2900"/>
            <w:shd w:fill="F2F2F2" w:val="clear"/>
            <w:tcMar>
              <w:top w:type="dxa" w:w="80"/>
              <w:left w:type="dxa" w:w="100"/>
              <w:bottom w:type="dxa" w:w="80"/>
              <w:right w:type="dxa" w:w="100"/>
            </w:tcMar>
          </w:tcPr>
          <w:p>
            <w:pPr>
              <w:jc w:val="left"/>
            </w:pPr>
            <w:r>
              <w:rPr>
                <w:b w:val="false"/>
                <w:bCs w:val="false"/>
                <w:i w:val="false"/>
                <w:iCs w:val="false"/>
                <w:sz w:val="19"/>
                <w:szCs w:val="19"/>
              </w:rPr>
              <w:t xml:space="preserve">Per-engine SOP, KPIs, production, backlog (Section 6.3).</w:t>
            </w:r>
          </w:p>
        </w:tc>
      </w:tr>
      <w:tr>
        <w:tc>
          <w:tcPr>
            <w:tcW w:type="dxa" w:w="2500"/>
            <w:tcMar>
              <w:top w:type="dxa" w:w="80"/>
              <w:left w:type="dxa" w:w="100"/>
              <w:bottom w:type="dxa" w:w="80"/>
              <w:right w:type="dxa" w:w="100"/>
            </w:tcMar>
          </w:tcPr>
          <w:p>
            <w:pPr>
              <w:jc w:val="left"/>
            </w:pPr>
            <w:r>
              <w:rPr>
                <w:b w:val="false"/>
                <w:bCs w:val="false"/>
                <w:i w:val="false"/>
                <w:iCs w:val="false"/>
                <w:sz w:val="19"/>
                <w:szCs w:val="19"/>
              </w:rPr>
              <w:t xml:space="preserve">Channel/platform performance analytics (renderEngineAnalytics)</w:t>
            </w:r>
          </w:p>
        </w:tc>
        <w:tc>
          <w:tcPr>
            <w:tcW w:type="dxa" w:w="1600"/>
            <w:tcMar>
              <w:top w:type="dxa" w:w="80"/>
              <w:left w:type="dxa" w:w="100"/>
              <w:bottom w:type="dxa" w:w="80"/>
              <w:right w:type="dxa" w:w="100"/>
            </w:tcMar>
          </w:tcPr>
          <w:p>
            <w:pPr>
              <w:jc w:val="left"/>
            </w:pPr>
            <w:r>
              <w:rPr>
                <w:b w:val="false"/>
                <w:bCs w:val="false"/>
                <w:i w:val="false"/>
                <w:iCs w:val="false"/>
                <w:sz w:val="19"/>
                <w:szCs w:val="19"/>
              </w:rPr>
              <w:t xml:space="preserve">Engines → Analytics sub-tab</w:t>
            </w:r>
          </w:p>
        </w:tc>
        <w:tc>
          <w:tcPr>
            <w:tcW w:type="dxa" w:w="1900"/>
            <w:tcMar>
              <w:top w:type="dxa" w:w="80"/>
              <w:left w:type="dxa" w:w="100"/>
              <w:bottom w:type="dxa" w:w="80"/>
              <w:right w:type="dxa" w:w="100"/>
            </w:tcMar>
          </w:tcPr>
          <w:p>
            <w:pPr>
              <w:jc w:val="left"/>
            </w:pPr>
            <w:r>
              <w:rPr>
                <w:b w:val="false"/>
                <w:bCs w:val="false"/>
                <w:i w:val="false"/>
                <w:iCs w:val="false"/>
                <w:sz w:val="19"/>
                <w:szCs w:val="19"/>
              </w:rPr>
              <w:t xml:space="preserve">Marketing &amp; Sales</w:t>
            </w:r>
          </w:p>
        </w:tc>
        <w:tc>
          <w:tcPr>
            <w:tcW w:type="dxa" w:w="2900"/>
            <w:tcMar>
              <w:top w:type="dxa" w:w="80"/>
              <w:left w:type="dxa" w:w="100"/>
              <w:bottom w:type="dxa" w:w="80"/>
              <w:right w:type="dxa" w:w="100"/>
            </w:tcMar>
          </w:tcPr>
          <w:p>
            <w:pPr>
              <w:jc w:val="left"/>
            </w:pPr>
            <w:r>
              <w:rPr>
                <w:b w:val="false"/>
                <w:bCs w:val="false"/>
                <w:i w:val="false"/>
                <w:iCs w:val="false"/>
                <w:sz w:val="19"/>
                <w:szCs w:val="19"/>
              </w:rPr>
              <w:t xml:space="preserve">Production stays Operations; performance numbers are Marketing &amp; Sales (Section 6.4).</w:t>
            </w:r>
          </w:p>
        </w:tc>
      </w:tr>
      <w:tr>
        <w:tc>
          <w:tcPr>
            <w:tcW w:type="dxa" w:w="2500"/>
            <w:shd w:fill="F2F2F2" w:val="clear"/>
            <w:tcMar>
              <w:top w:type="dxa" w:w="80"/>
              <w:left w:type="dxa" w:w="100"/>
              <w:bottom w:type="dxa" w:w="80"/>
              <w:right w:type="dxa" w:w="100"/>
            </w:tcMar>
          </w:tcPr>
          <w:p>
            <w:pPr>
              <w:jc w:val="left"/>
            </w:pPr>
            <w:r>
              <w:rPr>
                <w:b w:val="false"/>
                <w:bCs w:val="false"/>
                <w:i w:val="false"/>
                <w:iCs w:val="false"/>
                <w:sz w:val="19"/>
                <w:szCs w:val="19"/>
              </w:rPr>
              <w:t xml:space="preserve">Task/pipeline/approval system (renderTasks and related)</w:t>
            </w:r>
          </w:p>
        </w:tc>
        <w:tc>
          <w:tcPr>
            <w:tcW w:type="dxa" w:w="1600"/>
            <w:shd w:fill="F2F2F2" w:val="clear"/>
            <w:tcMar>
              <w:top w:type="dxa" w:w="80"/>
              <w:left w:type="dxa" w:w="100"/>
              <w:bottom w:type="dxa" w:w="80"/>
              <w:right w:type="dxa" w:w="100"/>
            </w:tcMar>
          </w:tcPr>
          <w:p>
            <w:pPr>
              <w:jc w:val="left"/>
            </w:pPr>
            <w:r>
              <w:rPr>
                <w:b w:val="false"/>
                <w:bCs w:val="false"/>
                <w:i w:val="false"/>
                <w:iCs w:val="false"/>
                <w:sz w:val="19"/>
                <w:szCs w:val="19"/>
              </w:rPr>
              <w:t xml:space="preserve">Factory tab (id "tasks")</w:t>
            </w:r>
          </w:p>
        </w:tc>
        <w:tc>
          <w:tcPr>
            <w:tcW w:type="dxa" w:w="1900"/>
            <w:shd w:fill="F2F2F2" w:val="clear"/>
            <w:tcMar>
              <w:top w:type="dxa" w:w="80"/>
              <w:left w:type="dxa" w:w="100"/>
              <w:bottom w:type="dxa" w:w="80"/>
              <w:right w:type="dxa" w:w="100"/>
            </w:tcMar>
          </w:tcPr>
          <w:p>
            <w:pPr>
              <w:jc w:val="left"/>
            </w:pPr>
            <w:r>
              <w:rPr>
                <w:b w:val="false"/>
                <w:bCs w:val="false"/>
                <w:i w:val="false"/>
                <w:iCs w:val="false"/>
                <w:sz w:val="19"/>
                <w:szCs w:val="19"/>
              </w:rPr>
              <w:t xml:space="preserve">Technology (mechanism) / each department (content)</w:t>
            </w:r>
          </w:p>
        </w:tc>
        <w:tc>
          <w:tcPr>
            <w:tcW w:type="dxa" w:w="2900"/>
            <w:shd w:fill="F2F2F2" w:val="clear"/>
            <w:tcMar>
              <w:top w:type="dxa" w:w="80"/>
              <w:left w:type="dxa" w:w="100"/>
              <w:bottom w:type="dxa" w:w="80"/>
              <w:right w:type="dxa" w:w="100"/>
            </w:tcMar>
          </w:tcPr>
          <w:p>
            <w:pPr>
              <w:jc w:val="left"/>
            </w:pPr>
            <w:r>
              <w:rPr>
                <w:b w:val="false"/>
                <w:bCs w:val="false"/>
                <w:i w:val="false"/>
                <w:iCs w:val="false"/>
                <w:sz w:val="19"/>
                <w:szCs w:val="19"/>
              </w:rPr>
              <w:t xml:space="preserve">Reframed as the shared internal execution engine — Section 10.</w:t>
            </w:r>
          </w:p>
        </w:tc>
      </w:tr>
      <w:tr>
        <w:tc>
          <w:tcPr>
            <w:tcW w:type="dxa" w:w="2500"/>
            <w:tcMar>
              <w:top w:type="dxa" w:w="80"/>
              <w:left w:type="dxa" w:w="100"/>
              <w:bottom w:type="dxa" w:w="80"/>
              <w:right w:type="dxa" w:w="100"/>
            </w:tcMar>
          </w:tcPr>
          <w:p>
            <w:pPr>
              <w:jc w:val="left"/>
            </w:pPr>
            <w:r>
              <w:rPr>
                <w:b w:val="false"/>
                <w:bCs w:val="false"/>
                <w:i w:val="false"/>
                <w:iCs w:val="false"/>
                <w:sz w:val="19"/>
                <w:szCs w:val="19"/>
              </w:rPr>
              <w:t xml:space="preserve">YouTube/TikTok/Instagram connections, OAuth, diagnostics (renderIntegrations)</w:t>
            </w:r>
          </w:p>
        </w:tc>
        <w:tc>
          <w:tcPr>
            <w:tcW w:type="dxa" w:w="1600"/>
            <w:tcMar>
              <w:top w:type="dxa" w:w="80"/>
              <w:left w:type="dxa" w:w="100"/>
              <w:bottom w:type="dxa" w:w="80"/>
              <w:right w:type="dxa" w:w="100"/>
            </w:tcMar>
          </w:tcPr>
          <w:p>
            <w:pPr>
              <w:jc w:val="left"/>
            </w:pPr>
            <w:r>
              <w:rPr>
                <w:b w:val="false"/>
                <w:bCs w:val="false"/>
                <w:i w:val="false"/>
                <w:iCs w:val="false"/>
                <w:sz w:val="19"/>
                <w:szCs w:val="19"/>
              </w:rPr>
              <w:t xml:space="preserve">System → Integrations</w:t>
            </w:r>
          </w:p>
        </w:tc>
        <w:tc>
          <w:tcPr>
            <w:tcW w:type="dxa" w:w="1900"/>
            <w:tcMar>
              <w:top w:type="dxa" w:w="80"/>
              <w:left w:type="dxa" w:w="100"/>
              <w:bottom w:type="dxa" w:w="80"/>
              <w:right w:type="dxa" w:w="100"/>
            </w:tcMar>
          </w:tcPr>
          <w:p>
            <w:pPr>
              <w:jc w:val="left"/>
            </w:pPr>
            <w:r>
              <w:rPr>
                <w:b w:val="false"/>
                <w:bCs w:val="false"/>
                <w:i w:val="false"/>
                <w:iCs w:val="false"/>
                <w:sz w:val="19"/>
                <w:szCs w:val="19"/>
              </w:rPr>
              <w:t xml:space="preserve">Technology</w:t>
            </w:r>
          </w:p>
        </w:tc>
        <w:tc>
          <w:tcPr>
            <w:tcW w:type="dxa" w:w="2900"/>
            <w:tcMar>
              <w:top w:type="dxa" w:w="80"/>
              <w:left w:type="dxa" w:w="100"/>
              <w:bottom w:type="dxa" w:w="80"/>
              <w:right w:type="dxa" w:w="100"/>
            </w:tcMar>
          </w:tcPr>
          <w:p>
            <w:pPr>
              <w:jc w:val="left"/>
            </w:pPr>
            <w:r>
              <w:rPr>
                <w:b w:val="false"/>
                <w:bCs w:val="false"/>
                <w:i w:val="false"/>
                <w:iCs w:val="false"/>
                <w:sz w:val="19"/>
                <w:szCs w:val="19"/>
              </w:rPr>
              <w:t xml:space="preserve">Connection health/tokens/diagnostics only — growth numbers are Marketing &amp; Sales.</w:t>
            </w:r>
          </w:p>
        </w:tc>
      </w:tr>
      <w:tr>
        <w:tc>
          <w:tcPr>
            <w:tcW w:type="dxa" w:w="2500"/>
            <w:shd w:fill="F2F2F2" w:val="clear"/>
            <w:tcMar>
              <w:top w:type="dxa" w:w="80"/>
              <w:left w:type="dxa" w:w="100"/>
              <w:bottom w:type="dxa" w:w="80"/>
              <w:right w:type="dxa" w:w="100"/>
            </w:tcMar>
          </w:tcPr>
          <w:p>
            <w:pPr>
              <w:jc w:val="left"/>
            </w:pPr>
            <w:r>
              <w:rPr>
                <w:b w:val="false"/>
                <w:bCs w:val="false"/>
                <w:i w:val="false"/>
                <w:iCs w:val="false"/>
                <w:sz w:val="19"/>
                <w:szCs w:val="19"/>
              </w:rPr>
              <w:t xml:space="preserve">User PIN management (renderUsers)</w:t>
            </w:r>
          </w:p>
        </w:tc>
        <w:tc>
          <w:tcPr>
            <w:tcW w:type="dxa" w:w="1600"/>
            <w:shd w:fill="F2F2F2" w:val="clear"/>
            <w:tcMar>
              <w:top w:type="dxa" w:w="80"/>
              <w:left w:type="dxa" w:w="100"/>
              <w:bottom w:type="dxa" w:w="80"/>
              <w:right w:type="dxa" w:w="100"/>
            </w:tcMar>
          </w:tcPr>
          <w:p>
            <w:pPr>
              <w:jc w:val="left"/>
            </w:pPr>
            <w:r>
              <w:rPr>
                <w:b w:val="false"/>
                <w:bCs w:val="false"/>
                <w:i w:val="false"/>
                <w:iCs w:val="false"/>
                <w:sz w:val="19"/>
                <w:szCs w:val="19"/>
              </w:rPr>
              <w:t xml:space="preserve">System → Settings</w:t>
            </w:r>
          </w:p>
        </w:tc>
        <w:tc>
          <w:tcPr>
            <w:tcW w:type="dxa" w:w="1900"/>
            <w:shd w:fill="F2F2F2" w:val="clear"/>
            <w:tcMar>
              <w:top w:type="dxa" w:w="80"/>
              <w:left w:type="dxa" w:w="100"/>
              <w:bottom w:type="dxa" w:w="80"/>
              <w:right w:type="dxa" w:w="100"/>
            </w:tcMar>
          </w:tcPr>
          <w:p>
            <w:pPr>
              <w:jc w:val="left"/>
            </w:pPr>
            <w:r>
              <w:rPr>
                <w:b w:val="false"/>
                <w:bCs w:val="false"/>
                <w:i w:val="false"/>
                <w:iCs w:val="false"/>
                <w:sz w:val="19"/>
                <w:szCs w:val="19"/>
              </w:rPr>
              <w:t xml:space="preserve">Human Resources (meaning) / Technology (mechanism)</w:t>
            </w:r>
          </w:p>
        </w:tc>
        <w:tc>
          <w:tcPr>
            <w:tcW w:type="dxa" w:w="2900"/>
            <w:shd w:fill="F2F2F2" w:val="clear"/>
            <w:tcMar>
              <w:top w:type="dxa" w:w="80"/>
              <w:left w:type="dxa" w:w="100"/>
              <w:bottom w:type="dxa" w:w="80"/>
              <w:right w:type="dxa" w:w="100"/>
            </w:tcMar>
          </w:tcPr>
          <w:p>
            <w:pPr>
              <w:jc w:val="left"/>
            </w:pPr>
            <w:r>
              <w:rPr>
                <w:b w:val="false"/>
                <w:bCs w:val="false"/>
                <w:i w:val="false"/>
                <w:iCs w:val="false"/>
                <w:sz w:val="19"/>
                <w:szCs w:val="19"/>
              </w:rPr>
              <w:t xml:space="preserve">Same split as Revision 1.</w:t>
            </w:r>
          </w:p>
        </w:tc>
      </w:tr>
      <w:tr>
        <w:tc>
          <w:tcPr>
            <w:tcW w:type="dxa" w:w="2500"/>
            <w:tcMar>
              <w:top w:type="dxa" w:w="80"/>
              <w:left w:type="dxa" w:w="100"/>
              <w:bottom w:type="dxa" w:w="80"/>
              <w:right w:type="dxa" w:w="100"/>
            </w:tcMar>
          </w:tcPr>
          <w:p>
            <w:pPr>
              <w:jc w:val="left"/>
            </w:pPr>
            <w:r>
              <w:rPr>
                <w:b w:val="false"/>
                <w:bCs w:val="false"/>
                <w:i w:val="false"/>
                <w:iCs w:val="false"/>
                <w:sz w:val="19"/>
                <w:szCs w:val="19"/>
              </w:rPr>
              <w:t xml:space="preserve">Engineering Brain UI, Constitution, Continuity</w:t>
            </w:r>
          </w:p>
        </w:tc>
        <w:tc>
          <w:tcPr>
            <w:tcW w:type="dxa" w:w="1600"/>
            <w:tcMar>
              <w:top w:type="dxa" w:w="80"/>
              <w:left w:type="dxa" w:w="100"/>
              <w:bottom w:type="dxa" w:w="80"/>
              <w:right w:type="dxa" w:w="100"/>
            </w:tcMar>
          </w:tcPr>
          <w:p>
            <w:pPr>
              <w:jc w:val="left"/>
            </w:pPr>
            <w:r>
              <w:rPr>
                <w:b w:val="false"/>
                <w:bCs w:val="false"/>
                <w:i w:val="false"/>
                <w:iCs w:val="false"/>
                <w:sz w:val="19"/>
                <w:szCs w:val="19"/>
              </w:rPr>
              <w:t xml:space="preserve">System → Engineering / hidden</w:t>
            </w:r>
          </w:p>
        </w:tc>
        <w:tc>
          <w:tcPr>
            <w:tcW w:type="dxa" w:w="1900"/>
            <w:tcMar>
              <w:top w:type="dxa" w:w="80"/>
              <w:left w:type="dxa" w:w="100"/>
              <w:bottom w:type="dxa" w:w="80"/>
              <w:right w:type="dxa" w:w="100"/>
            </w:tcMar>
          </w:tcPr>
          <w:p>
            <w:pPr>
              <w:jc w:val="left"/>
            </w:pPr>
            <w:r>
              <w:rPr>
                <w:b w:val="false"/>
                <w:bCs w:val="false"/>
                <w:i w:val="false"/>
                <w:iCs w:val="false"/>
                <w:sz w:val="19"/>
                <w:szCs w:val="19"/>
              </w:rPr>
              <w:t xml:space="preserve">MMM Brain (parent layer)</w:t>
            </w:r>
          </w:p>
        </w:tc>
        <w:tc>
          <w:tcPr>
            <w:tcW w:type="dxa" w:w="2900"/>
            <w:tcMar>
              <w:top w:type="dxa" w:w="80"/>
              <w:left w:type="dxa" w:w="100"/>
              <w:bottom w:type="dxa" w:w="80"/>
              <w:right w:type="dxa" w:w="100"/>
            </w:tcMar>
          </w:tcPr>
          <w:p>
            <w:pPr>
              <w:jc w:val="left"/>
            </w:pPr>
            <w:r>
              <w:rPr>
                <w:b w:val="false"/>
                <w:bCs w:val="false"/>
                <w:i w:val="false"/>
                <w:iCs w:val="false"/>
                <w:sz w:val="19"/>
                <w:szCs w:val="19"/>
              </w:rPr>
              <w:t xml:space="preserve">No longer listed as "Intelligence department" — it is the layer Section 3 describes, surfaced to every department, not owned by one row of this table.</w:t>
            </w:r>
          </w:p>
        </w:tc>
      </w:tr>
      <w:tr>
        <w:tc>
          <w:tcPr>
            <w:tcW w:type="dxa" w:w="2500"/>
            <w:shd w:fill="F2F2F2" w:val="clear"/>
            <w:tcMar>
              <w:top w:type="dxa" w:w="80"/>
              <w:left w:type="dxa" w:w="100"/>
              <w:bottom w:type="dxa" w:w="80"/>
              <w:right w:type="dxa" w:w="100"/>
            </w:tcMar>
          </w:tcPr>
          <w:p>
            <w:pPr>
              <w:jc w:val="left"/>
            </w:pPr>
            <w:r>
              <w:rPr>
                <w:b w:val="false"/>
                <w:bCs w:val="false"/>
                <w:i w:val="false"/>
                <w:iCs w:val="false"/>
                <w:sz w:val="19"/>
                <w:szCs w:val="19"/>
              </w:rPr>
              <w:t xml:space="preserve">VA operator console (renderFactory) — hidden, VA-only</w:t>
            </w:r>
          </w:p>
        </w:tc>
        <w:tc>
          <w:tcPr>
            <w:tcW w:type="dxa" w:w="1600"/>
            <w:shd w:fill="F2F2F2" w:val="clear"/>
            <w:tcMar>
              <w:top w:type="dxa" w:w="80"/>
              <w:left w:type="dxa" w:w="100"/>
              <w:bottom w:type="dxa" w:w="80"/>
              <w:right w:type="dxa" w:w="100"/>
            </w:tcMar>
          </w:tcPr>
          <w:p>
            <w:pPr>
              <w:jc w:val="left"/>
            </w:pPr>
            <w:r>
              <w:rPr>
                <w:b w:val="false"/>
                <w:bCs w:val="false"/>
                <w:i w:val="false"/>
                <w:iCs w:val="false"/>
                <w:sz w:val="19"/>
                <w:szCs w:val="19"/>
              </w:rPr>
              <w:t xml:space="preserve">System (hidden)</w:t>
            </w:r>
          </w:p>
        </w:tc>
        <w:tc>
          <w:tcPr>
            <w:tcW w:type="dxa" w:w="1900"/>
            <w:shd w:fill="F2F2F2" w:val="clear"/>
            <w:tcMar>
              <w:top w:type="dxa" w:w="80"/>
              <w:left w:type="dxa" w:w="100"/>
              <w:bottom w:type="dxa" w:w="80"/>
              <w:right w:type="dxa" w:w="100"/>
            </w:tcMar>
          </w:tcPr>
          <w:p>
            <w:pPr>
              <w:jc w:val="left"/>
            </w:pPr>
            <w:r>
              <w:rPr>
                <w:b w:val="false"/>
                <w:bCs w:val="false"/>
                <w:i w:val="false"/>
                <w:iCs w:val="false"/>
                <w:sz w:val="19"/>
                <w:szCs w:val="19"/>
              </w:rPr>
              <w:t xml:space="preserve">Operations</w:t>
            </w:r>
          </w:p>
        </w:tc>
        <w:tc>
          <w:tcPr>
            <w:tcW w:type="dxa" w:w="2900"/>
            <w:shd w:fill="F2F2F2" w:val="clear"/>
            <w:tcMar>
              <w:top w:type="dxa" w:w="80"/>
              <w:left w:type="dxa" w:w="100"/>
              <w:bottom w:type="dxa" w:w="80"/>
              <w:right w:type="dxa" w:w="100"/>
            </w:tcMar>
          </w:tcPr>
          <w:p>
            <w:pPr>
              <w:jc w:val="left"/>
            </w:pPr>
            <w:r>
              <w:rPr>
                <w:b w:val="false"/>
                <w:bCs w:val="false"/>
                <w:i w:val="false"/>
                <w:iCs w:val="false"/>
                <w:sz w:val="19"/>
                <w:szCs w:val="19"/>
              </w:rPr>
              <w:t xml:space="preserve">Console content is Operations; VA’s permission definition is Human Resources.</w:t>
            </w:r>
          </w:p>
        </w:tc>
      </w:tr>
    </w:tbl>
    <w:p>
      <w:pPr>
        <w:spacing w:after="160"/>
      </w:pPr>
      <w:r>
        <w:t xml:space="preserve">The full 69-table Supabase inventory from Revision 1 is unchanged and not reproduced here in full — see Revision 1, Section 3.2, for the complete list. The only reclassification: all brain_*, engineering_*, and ceo_decision_protocol tables are now understood as the Brain’s parent-layer data, not one department’s property among equals.</w:t>
      </w:r>
    </w:p>
    <w:p>
      <w:pPr>
        <w:pStyle w:val="Heading1"/>
        <w:spacing w:after="200" w:before="400"/>
      </w:pPr>
      <w:r>
        <w:t xml:space="preserve">8. Navigation Redesign</w:t>
      </w:r>
    </w:p>
    <w:p>
      <w:pPr>
        <w:spacing w:after="160"/>
      </w:pPr>
      <w:r>
        <w:t xml:space="preserve">Seven items in the primary navigation — CEO Headquarters plus six operating departments — not eight equal tabs. The Brain is reachable from every screen as a persistent layer (a company knowledge/search access point in the header, available regardless of which department you’re in), reflecting that it sits above the department structure rather than beside it.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600"/>
        <w:gridCol w:w="4500"/>
      </w:tblGrid>
      <w:tr>
        <w:trPr>
          <w:tblHeader/>
        </w:trPr>
        <w:tc>
          <w:tcPr>
            <w:tcW w:type="dxa" w:w="4600"/>
            <w:shd w:fill="1A1A1A" w:val="clear"/>
            <w:tcMar>
              <w:top w:type="dxa" w:w="80"/>
              <w:left w:type="dxa" w:w="100"/>
              <w:bottom w:type="dxa" w:w="80"/>
              <w:right w:type="dxa" w:w="100"/>
            </w:tcMar>
          </w:tcPr>
          <w:p>
            <w:pPr>
              <w:jc w:val="left"/>
            </w:pPr>
            <w:r>
              <w:rPr>
                <w:b/>
                <w:bCs/>
                <w:i w:val="false"/>
                <w:iCs w:val="false"/>
                <w:color w:val="FFFFFF"/>
                <w:sz w:val="19"/>
                <w:szCs w:val="19"/>
              </w:rPr>
              <w:t xml:space="preserve">Primary navigation (7)</w:t>
            </w:r>
          </w:p>
        </w:tc>
        <w:tc>
          <w:tcPr>
            <w:tcW w:type="dxa" w:w="4500"/>
            <w:shd w:fill="1A1A1A" w:val="clear"/>
            <w:tcMar>
              <w:top w:type="dxa" w:w="80"/>
              <w:left w:type="dxa" w:w="100"/>
              <w:bottom w:type="dxa" w:w="80"/>
              <w:right w:type="dxa" w:w="100"/>
            </w:tcMar>
          </w:tcPr>
          <w:p>
            <w:pPr>
              <w:jc w:val="left"/>
            </w:pPr>
            <w:r>
              <w:rPr>
                <w:b/>
                <w:bCs/>
                <w:i w:val="false"/>
                <w:iCs w:val="false"/>
                <w:color w:val="FFFFFF"/>
                <w:sz w:val="19"/>
                <w:szCs w:val="19"/>
              </w:rPr>
              <w:t xml:space="preserve">Always-available layer</w:t>
            </w:r>
          </w:p>
        </w:tc>
      </w:tr>
      <w:tr>
        <w:tc>
          <w:tcPr>
            <w:tcW w:type="dxa" w:w="4600"/>
            <w:shd w:fill="F2F2F2" w:val="clear"/>
            <w:tcMar>
              <w:top w:type="dxa" w:w="80"/>
              <w:left w:type="dxa" w:w="100"/>
              <w:bottom w:type="dxa" w:w="80"/>
              <w:right w:type="dxa" w:w="100"/>
            </w:tcMar>
          </w:tcPr>
          <w:p>
            <w:pPr>
              <w:jc w:val="left"/>
            </w:pPr>
            <w:r>
              <w:rPr>
                <w:b w:val="false"/>
                <w:bCs w:val="false"/>
                <w:i w:val="false"/>
                <w:iCs w:val="false"/>
                <w:sz w:val="19"/>
                <w:szCs w:val="19"/>
              </w:rPr>
              <w:t xml:space="preserve">🏛️ CEO Headquarters</w:t>
            </w:r>
          </w:p>
        </w:tc>
        <w:tc>
          <w:tcPr>
            <w:tcW w:type="dxa" w:w="4500"/>
            <w:shd w:fill="F2F2F2" w:val="clear"/>
            <w:tcMar>
              <w:top w:type="dxa" w:w="80"/>
              <w:left w:type="dxa" w:w="100"/>
              <w:bottom w:type="dxa" w:w="80"/>
              <w:right w:type="dxa" w:w="100"/>
            </w:tcMar>
          </w:tcPr>
          <w:p>
            <w:pPr>
              <w:jc w:val="left"/>
            </w:pPr>
            <w:r>
              <w:rPr>
                <w:b w:val="false"/>
                <w:bCs w:val="false"/>
                <w:i w:val="false"/>
                <w:iCs w:val="false"/>
                <w:sz w:val="19"/>
                <w:szCs w:val="19"/>
              </w:rPr>
              <w:t xml:space="preserve">🧠 MMM Brain — accessible from any screen (Constitution, Knowledge, Decisions, SOPs, Roadmap)</w:t>
            </w:r>
          </w:p>
        </w:tc>
      </w:tr>
      <w:tr>
        <w:tc>
          <w:tcPr>
            <w:tcW w:type="dxa" w:w="4600"/>
            <w:tcMar>
              <w:top w:type="dxa" w:w="80"/>
              <w:left w:type="dxa" w:w="100"/>
              <w:bottom w:type="dxa" w:w="80"/>
              <w:right w:type="dxa" w:w="100"/>
            </w:tcMar>
          </w:tcPr>
          <w:p>
            <w:pPr>
              <w:jc w:val="left"/>
            </w:pPr>
            <w:r>
              <w:rPr>
                <w:b w:val="false"/>
                <w:bCs w:val="false"/>
                <w:i w:val="false"/>
                <w:iCs w:val="false"/>
                <w:sz w:val="19"/>
                <w:szCs w:val="19"/>
              </w:rPr>
              <w:t xml:space="preserve">💰 Finance</w:t>
            </w:r>
          </w:p>
        </w:tc>
        <w:tc>
          <w:tcPr>
            <w:tcW w:type="dxa" w:w="4500"/>
            <w:tcMar>
              <w:top w:type="dxa" w:w="80"/>
              <w:left w:type="dxa" w:w="100"/>
              <w:bottom w:type="dxa" w:w="80"/>
              <w:right w:type="dxa" w:w="100"/>
            </w:tcMar>
          </w:tcPr>
          <w:p>
            <w:pPr>
              <w:jc w:val="left"/>
            </w:pPr>
            <w:r>
              <w:rPr>
                <w:b w:val="false"/>
                <w:bCs w:val="false"/>
                <w:i w:val="false"/>
                <w:iCs w:val="false"/>
                <w:sz w:val="19"/>
                <w:szCs w:val="19"/>
              </w:rPr>
              <w:t xml:space="preserve"/>
            </w:r>
          </w:p>
        </w:tc>
      </w:tr>
      <w:tr>
        <w:tc>
          <w:tcPr>
            <w:tcW w:type="dxa" w:w="4600"/>
            <w:shd w:fill="F2F2F2" w:val="clear"/>
            <w:tcMar>
              <w:top w:type="dxa" w:w="80"/>
              <w:left w:type="dxa" w:w="100"/>
              <w:bottom w:type="dxa" w:w="80"/>
              <w:right w:type="dxa" w:w="100"/>
            </w:tcMar>
          </w:tcPr>
          <w:p>
            <w:pPr>
              <w:jc w:val="left"/>
            </w:pPr>
            <w:r>
              <w:rPr>
                <w:b w:val="false"/>
                <w:bCs w:val="false"/>
                <w:i w:val="false"/>
                <w:iCs w:val="false"/>
                <w:sz w:val="19"/>
                <w:szCs w:val="19"/>
              </w:rPr>
              <w:t xml:space="preserve">🏭 Operations</w:t>
            </w:r>
          </w:p>
        </w:tc>
        <w:tc>
          <w:tcPr>
            <w:tcW w:type="dxa" w:w="4500"/>
            <w:shd w:fill="F2F2F2" w:val="clear"/>
            <w:tcMar>
              <w:top w:type="dxa" w:w="80"/>
              <w:left w:type="dxa" w:w="100"/>
              <w:bottom w:type="dxa" w:w="80"/>
              <w:right w:type="dxa" w:w="100"/>
            </w:tcMar>
          </w:tcPr>
          <w:p>
            <w:pPr>
              <w:jc w:val="left"/>
            </w:pPr>
            <w:r>
              <w:rPr>
                <w:b w:val="false"/>
                <w:bCs w:val="false"/>
                <w:i w:val="false"/>
                <w:iCs w:val="false"/>
                <w:sz w:val="19"/>
                <w:szCs w:val="19"/>
              </w:rPr>
              <w:t xml:space="preserve"/>
            </w:r>
          </w:p>
        </w:tc>
      </w:tr>
      <w:tr>
        <w:tc>
          <w:tcPr>
            <w:tcW w:type="dxa" w:w="4600"/>
            <w:tcMar>
              <w:top w:type="dxa" w:w="80"/>
              <w:left w:type="dxa" w:w="100"/>
              <w:bottom w:type="dxa" w:w="80"/>
              <w:right w:type="dxa" w:w="100"/>
            </w:tcMar>
          </w:tcPr>
          <w:p>
            <w:pPr>
              <w:jc w:val="left"/>
            </w:pPr>
            <w:r>
              <w:rPr>
                <w:b w:val="false"/>
                <w:bCs w:val="false"/>
                <w:i w:val="false"/>
                <w:iCs w:val="false"/>
                <w:sz w:val="19"/>
                <w:szCs w:val="19"/>
              </w:rPr>
              <w:t xml:space="preserve">📣 Marketing &amp; Sales</w:t>
            </w:r>
          </w:p>
        </w:tc>
        <w:tc>
          <w:tcPr>
            <w:tcW w:type="dxa" w:w="4500"/>
            <w:tcMar>
              <w:top w:type="dxa" w:w="80"/>
              <w:left w:type="dxa" w:w="100"/>
              <w:bottom w:type="dxa" w:w="80"/>
              <w:right w:type="dxa" w:w="100"/>
            </w:tcMar>
          </w:tcPr>
          <w:p>
            <w:pPr>
              <w:jc w:val="left"/>
            </w:pPr>
            <w:r>
              <w:rPr>
                <w:b w:val="false"/>
                <w:bCs w:val="false"/>
                <w:i w:val="false"/>
                <w:iCs w:val="false"/>
                <w:sz w:val="19"/>
                <w:szCs w:val="19"/>
              </w:rPr>
              <w:t xml:space="preserve"/>
            </w:r>
          </w:p>
        </w:tc>
      </w:tr>
      <w:tr>
        <w:tc>
          <w:tcPr>
            <w:tcW w:type="dxa" w:w="4600"/>
            <w:shd w:fill="F2F2F2" w:val="clear"/>
            <w:tcMar>
              <w:top w:type="dxa" w:w="80"/>
              <w:left w:type="dxa" w:w="100"/>
              <w:bottom w:type="dxa" w:w="80"/>
              <w:right w:type="dxa" w:w="100"/>
            </w:tcMar>
          </w:tcPr>
          <w:p>
            <w:pPr>
              <w:jc w:val="left"/>
            </w:pPr>
            <w:r>
              <w:rPr>
                <w:b w:val="false"/>
                <w:bCs w:val="false"/>
                <w:i w:val="false"/>
                <w:iCs w:val="false"/>
                <w:sz w:val="19"/>
                <w:szCs w:val="19"/>
              </w:rPr>
              <w:t xml:space="preserve">👥 Human Resources</w:t>
            </w:r>
          </w:p>
        </w:tc>
        <w:tc>
          <w:tcPr>
            <w:tcW w:type="dxa" w:w="4500"/>
            <w:shd w:fill="F2F2F2" w:val="clear"/>
            <w:tcMar>
              <w:top w:type="dxa" w:w="80"/>
              <w:left w:type="dxa" w:w="100"/>
              <w:bottom w:type="dxa" w:w="80"/>
              <w:right w:type="dxa" w:w="100"/>
            </w:tcMar>
          </w:tcPr>
          <w:p>
            <w:pPr>
              <w:jc w:val="left"/>
            </w:pPr>
            <w:r>
              <w:rPr>
                <w:b w:val="false"/>
                <w:bCs w:val="false"/>
                <w:i w:val="false"/>
                <w:iCs w:val="false"/>
                <w:sz w:val="19"/>
                <w:szCs w:val="19"/>
              </w:rPr>
              <w:t xml:space="preserve"/>
            </w:r>
          </w:p>
        </w:tc>
      </w:tr>
      <w:tr>
        <w:tc>
          <w:tcPr>
            <w:tcW w:type="dxa" w:w="4600"/>
            <w:tcMar>
              <w:top w:type="dxa" w:w="80"/>
              <w:left w:type="dxa" w:w="100"/>
              <w:bottom w:type="dxa" w:w="80"/>
              <w:right w:type="dxa" w:w="100"/>
            </w:tcMar>
          </w:tcPr>
          <w:p>
            <w:pPr>
              <w:jc w:val="left"/>
            </w:pPr>
            <w:r>
              <w:rPr>
                <w:b w:val="false"/>
                <w:bCs w:val="false"/>
                <w:i w:val="false"/>
                <w:iCs w:val="false"/>
                <w:sz w:val="19"/>
                <w:szCs w:val="19"/>
              </w:rPr>
              <w:t xml:space="preserve">⚖️ Legal &amp; Compliance</w:t>
            </w:r>
          </w:p>
        </w:tc>
        <w:tc>
          <w:tcPr>
            <w:tcW w:type="dxa" w:w="4500"/>
            <w:tcMar>
              <w:top w:type="dxa" w:w="80"/>
              <w:left w:type="dxa" w:w="100"/>
              <w:bottom w:type="dxa" w:w="80"/>
              <w:right w:type="dxa" w:w="100"/>
            </w:tcMar>
          </w:tcPr>
          <w:p>
            <w:pPr>
              <w:jc w:val="left"/>
            </w:pPr>
            <w:r>
              <w:rPr>
                <w:b w:val="false"/>
                <w:bCs w:val="false"/>
                <w:i w:val="false"/>
                <w:iCs w:val="false"/>
                <w:sz w:val="19"/>
                <w:szCs w:val="19"/>
              </w:rPr>
              <w:t xml:space="preserve"/>
            </w:r>
          </w:p>
        </w:tc>
      </w:tr>
      <w:tr>
        <w:tc>
          <w:tcPr>
            <w:tcW w:type="dxa" w:w="4600"/>
            <w:shd w:fill="F2F2F2" w:val="clear"/>
            <w:tcMar>
              <w:top w:type="dxa" w:w="80"/>
              <w:left w:type="dxa" w:w="100"/>
              <w:bottom w:type="dxa" w:w="80"/>
              <w:right w:type="dxa" w:w="100"/>
            </w:tcMar>
          </w:tcPr>
          <w:p>
            <w:pPr>
              <w:jc w:val="left"/>
            </w:pPr>
            <w:r>
              <w:rPr>
                <w:b w:val="false"/>
                <w:bCs w:val="false"/>
                <w:i w:val="false"/>
                <w:iCs w:val="false"/>
                <w:sz w:val="19"/>
                <w:szCs w:val="19"/>
              </w:rPr>
              <w:t xml:space="preserve">🖥️ Technology</w:t>
            </w:r>
          </w:p>
        </w:tc>
        <w:tc>
          <w:tcPr>
            <w:tcW w:type="dxa" w:w="4500"/>
            <w:shd w:fill="F2F2F2" w:val="clear"/>
            <w:tcMar>
              <w:top w:type="dxa" w:w="80"/>
              <w:left w:type="dxa" w:w="100"/>
              <w:bottom w:type="dxa" w:w="80"/>
              <w:right w:type="dxa" w:w="100"/>
            </w:tcMar>
          </w:tcPr>
          <w:p>
            <w:pPr>
              <w:jc w:val="left"/>
            </w:pPr>
            <w:r>
              <w:rPr>
                <w:b w:val="false"/>
                <w:bCs w:val="false"/>
                <w:i w:val="false"/>
                <w:iCs w:val="false"/>
                <w:sz w:val="19"/>
                <w:szCs w:val="19"/>
              </w:rPr>
              <w:t xml:space="preserve"/>
            </w:r>
          </w:p>
        </w:tc>
      </w:tr>
    </w:tbl>
    <w:p>
      <w:pPr>
        <w:spacing w:after="160"/>
      </w:pPr>
      <w:r>
        <w:t xml:space="preserve">There is no standalone "Factory" tab and no standalone "Brain" tab competing with the six departments — both are reframed as infrastructure the departments run on, per points 2 and 7 of your directive.</w:t>
      </w:r>
    </w:p>
    <w:p>
      <w:pPr>
        <w:pStyle w:val="Heading1"/>
        <w:spacing w:after="200" w:before="400"/>
      </w:pPr>
      <w:r>
        <w:t xml:space="preserve">9. Notification System</w:t>
      </w:r>
    </w:p>
    <w:p>
      <w:pPr>
        <w:spacing w:after="160"/>
      </w:pPr>
      <w:r>
        <w:t xml:space="preserve">Unchanged in design from Revision 1 — this was already built to your specification. Reinforced here with the Department Inbox concept from Section 5: every notification lands in exactly one department’s Inbox first; it only escalates to the Executive Inbox (Section 4) if it genuinely requires a CEO decision. Built on the existing (currently unused) notifications table, extended with department and requires_ceo_approval columns — additive, non-breaking.</w:t>
      </w:r>
    </w:p>
    <w:p>
      <w:pPr>
        <w:pStyle w:val="ListParagraph"/>
        <w:numPr>
          <w:ilvl w:val="0"/>
          <w:numId w:val="1"/>
        </w:numPr>
        <w:spacing w:after="60"/>
      </w:pPr>
      <w:r>
        <w:t xml:space="preserve">Technology → CEO: "Technology has failed integration" — only if unresolved after department-level handling.</w:t>
      </w:r>
    </w:p>
    <w:p>
      <w:pPr>
        <w:pStyle w:val="ListParagraph"/>
        <w:numPr>
          <w:ilvl w:val="0"/>
          <w:numId w:val="1"/>
        </w:numPr>
        <w:spacing w:after="60"/>
      </w:pPr>
      <w:r>
        <w:t xml:space="preserve">Finance → CEO: "Finance requires review" — only for items above a materiality threshold, not every reconciliation.</w:t>
      </w:r>
    </w:p>
    <w:p>
      <w:pPr>
        <w:pStyle w:val="ListParagraph"/>
        <w:numPr>
          <w:ilvl w:val="0"/>
          <w:numId w:val="1"/>
        </w:numPr>
        <w:spacing w:after="60"/>
      </w:pPr>
      <w:r>
        <w:t xml:space="preserve">Marketing &amp; Sales → CEO: "Marketing campaign completed" — milestone-level only.</w:t>
      </w:r>
    </w:p>
    <w:p>
      <w:pPr>
        <w:pStyle w:val="ListParagraph"/>
        <w:numPr>
          <w:ilvl w:val="0"/>
          <w:numId w:val="1"/>
        </w:numPr>
        <w:spacing w:after="60"/>
      </w:pPr>
      <w:r>
        <w:t xml:space="preserve">Legal &amp; Compliance → CEO: "Legal filing due in 14 days" — deadline-driven only.</w:t>
      </w:r>
    </w:p>
    <w:p>
      <w:pPr>
        <w:spacing w:after="160"/>
      </w:pPr>
      <w:r>
        <w:t xml:space="preserve">No engineering noise, no sync logs, no OAuth messages reach the CEO directly — those stay inside Technology’s own Department Inbox.</w:t>
      </w:r>
    </w:p>
    <w:p>
      <w:pPr>
        <w:pStyle w:val="Heading1"/>
        <w:spacing w:after="200" w:before="400"/>
      </w:pPr>
      <w:r>
        <w:t xml:space="preserve">10. Factory → Shared Execution Engine</w:t>
      </w:r>
    </w:p>
    <w:p>
      <w:pPr>
        <w:spacing w:after="160"/>
      </w:pPr>
      <w:r>
        <w:t xml:space="preserve">The Factory is infrastructure, not a CEO feature. It is the shared task platform every department’s backlog runs on (Section 5, "Backlog" field) — owned mechanically by Technology, populated with content by whichever department the task belongs to. The CEO does not open the Factory and does not create operational tasks inside it. The CEO makes decisions (via the Executive Inbox, Section 4); department managers translate those decisions into tasks; Cowork executes; the department verifies and closes; the CEO is notified only if the outcome needs executive attention (Section 9). This is the same reuse of renderTasks/renderOpTaskList/renderPipelineList/renderApprovalList and related functions identified in Revision 1 — no rebuild, only a reframing of who’s allowed to open it directly.</w:t>
      </w:r>
    </w:p>
    <w:p>
      <w:pPr>
        <w:pStyle w:val="Heading1"/>
        <w:spacing w:after="200" w:before="400"/>
      </w:pPr>
      <w:r>
        <w:t xml:space="preserve">11. Data Migration Plan</w:t>
      </w:r>
    </w:p>
    <w:p>
      <w:pPr>
        <w:spacing w:after="160"/>
      </w:pPr>
      <w:r>
        <w:t xml:space="preserve">Unchanged from Revision 1 in substance — no destructive migrations, nothing renamed or dropped. Restated here because the Brain’s elevation (Section 3) is a conceptual and UI change, not a schema change: brain_*, engineering_*, and ceo_decision_protocol tables already exist exactly as needed.</w:t>
      </w:r>
    </w:p>
    <w:p>
      <w:pPr>
        <w:pStyle w:val="ListParagraph"/>
        <w:numPr>
          <w:ilvl w:val="0"/>
          <w:numId w:val="1"/>
        </w:numPr>
        <w:spacing w:after="60"/>
      </w:pPr>
      <w:r>
        <w:t xml:space="preserve">Zero destructive migrations. Every table stays exactly where it is.</w:t>
      </w:r>
    </w:p>
    <w:p>
      <w:pPr>
        <w:pStyle w:val="ListParagraph"/>
        <w:numPr>
          <w:ilvl w:val="0"/>
          <w:numId w:val="1"/>
        </w:numPr>
        <w:spacing w:after="60"/>
      </w:pPr>
      <w:r>
        <w:t xml:space="preserve">Additive only: department and requires_ceo_approval columns on notifications.</w:t>
      </w:r>
    </w:p>
    <w:p>
      <w:pPr>
        <w:pStyle w:val="ListParagraph"/>
        <w:numPr>
          <w:ilvl w:val="0"/>
          <w:numId w:val="1"/>
        </w:numPr>
        <w:spacing w:after="60"/>
      </w:pPr>
      <w:r>
        <w:t xml:space="preserve">No new /api/*.js files — the 12-function ceiling is already at its limit; new logic goes into the existing ops.js dispatcher.</w:t>
      </w:r>
    </w:p>
    <w:p>
      <w:pPr>
        <w:pStyle w:val="ListParagraph"/>
        <w:numPr>
          <w:ilvl w:val="0"/>
          <w:numId w:val="1"/>
        </w:numPr>
        <w:spacing w:after="60"/>
      </w:pPr>
      <w:r>
        <w:t xml:space="preserve">Navigation reorganization is routing-only at first — new department nav points to existing render functions before any visual rebuild, so nothing breaks mid-migration.</w:t>
      </w:r>
    </w:p>
    <w:p>
      <w:pPr>
        <w:pStyle w:val="ListParagraph"/>
        <w:numPr>
          <w:ilvl w:val="0"/>
          <w:numId w:val="1"/>
        </w:numPr>
        <w:spacing w:after="60"/>
      </w:pPr>
      <w:r>
        <w:t xml:space="preserve">Human Resources and Legal &amp; Compliance remain the only genuinely new schema, designed in Phase 7 once you provide real data.</w:t>
      </w:r>
    </w:p>
    <w:p>
      <w:pPr>
        <w:pStyle w:val="Heading1"/>
        <w:spacing w:after="200" w:before="400"/>
      </w:pPr>
      <w:r>
        <w:t xml:space="preserve">12. Phased Migration Sequence</w:t>
      </w:r>
    </w:p>
    <w:p>
      <w:pPr>
        <w:spacing w:after="160"/>
      </w:pPr>
      <w:r>
        <w:t xml:space="preserve">Resequenced from Revision 1 to put the Brain-consumption pattern before department dashboards — since every department’s Knowledge and SOP Library fields (Section 5) now depend on querying the Brain rather than holding their own copy, that plumbing has to exist before department dashboards are built, not after.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rPr>
          <w:tblHeader/>
        </w:trPr>
        <w:tc>
          <w:tcPr>
            <w:tcW w:type="dxa" w:w="2600"/>
            <w:shd w:fill="1A1A1A" w:val="clear"/>
            <w:tcMar>
              <w:top w:type="dxa" w:w="80"/>
              <w:left w:type="dxa" w:w="100"/>
              <w:bottom w:type="dxa" w:w="80"/>
              <w:right w:type="dxa" w:w="100"/>
            </w:tcMar>
          </w:tcPr>
          <w:p>
            <w:pPr>
              <w:jc w:val="left"/>
            </w:pPr>
            <w:r>
              <w:rPr>
                <w:b/>
                <w:bCs/>
                <w:i w:val="false"/>
                <w:iCs w:val="false"/>
                <w:color w:val="FFFFFF"/>
                <w:sz w:val="19"/>
                <w:szCs w:val="19"/>
              </w:rPr>
              <w:t xml:space="preserve">Phase</w:t>
            </w:r>
          </w:p>
        </w:tc>
        <w:tc>
          <w:tcPr>
            <w:tcW w:type="dxa" w:w="6300"/>
            <w:shd w:fill="1A1A1A" w:val="clear"/>
            <w:tcMar>
              <w:top w:type="dxa" w:w="80"/>
              <w:left w:type="dxa" w:w="100"/>
              <w:bottom w:type="dxa" w:w="80"/>
              <w:right w:type="dxa" w:w="100"/>
            </w:tcMar>
          </w:tcPr>
          <w:p>
            <w:pPr>
              <w:jc w:val="left"/>
            </w:pPr>
            <w:r>
              <w:rPr>
                <w:b/>
                <w:bCs/>
                <w:i w:val="false"/>
                <w:iCs w:val="false"/>
                <w:color w:val="FFFFFF"/>
                <w:sz w:val="19"/>
                <w:szCs w:val="19"/>
              </w:rPr>
              <w:t xml:space="preserve">Scope</w:t>
            </w:r>
          </w:p>
        </w:tc>
      </w:tr>
      <w:tr>
        <w:tc>
          <w:tcPr>
            <w:tcW w:type="dxa" w:w="2600"/>
            <w:shd w:fill="F2F2F2" w:val="clear"/>
            <w:tcMar>
              <w:top w:type="dxa" w:w="80"/>
              <w:left w:type="dxa" w:w="100"/>
              <w:bottom w:type="dxa" w:w="80"/>
              <w:right w:type="dxa" w:w="100"/>
            </w:tcMar>
          </w:tcPr>
          <w:p>
            <w:pPr>
              <w:jc w:val="left"/>
            </w:pPr>
            <w:r>
              <w:rPr>
                <w:b w:val="false"/>
                <w:bCs w:val="false"/>
                <w:i w:val="false"/>
                <w:iCs w:val="false"/>
                <w:sz w:val="19"/>
                <w:szCs w:val="19"/>
              </w:rPr>
              <w:t xml:space="preserve">Phase 1 — Approval</w:t>
            </w:r>
          </w:p>
        </w:tc>
        <w:tc>
          <w:tcPr>
            <w:tcW w:type="dxa" w:w="6300"/>
            <w:shd w:fill="F2F2F2" w:val="clear"/>
            <w:tcMar>
              <w:top w:type="dxa" w:w="80"/>
              <w:left w:type="dxa" w:w="100"/>
              <w:bottom w:type="dxa" w:w="80"/>
              <w:right w:type="dxa" w:w="100"/>
            </w:tcMar>
          </w:tcPr>
          <w:p>
            <w:pPr>
              <w:jc w:val="left"/>
            </w:pPr>
            <w:r>
              <w:rPr>
                <w:b w:val="false"/>
                <w:bCs w:val="false"/>
                <w:i w:val="false"/>
                <w:iCs w:val="false"/>
                <w:sz w:val="19"/>
                <w:szCs w:val="19"/>
              </w:rPr>
              <w:t xml:space="preserve">This document. No code changes. You approve the revised structure — Brain as parent, the 13-field department standard, and CEO Headquarters’ exact content list — before anything is touched.</w:t>
            </w:r>
          </w:p>
        </w:tc>
      </w:tr>
      <w:tr>
        <w:tc>
          <w:tcPr>
            <w:tcW w:type="dxa" w:w="2600"/>
            <w:tcMar>
              <w:top w:type="dxa" w:w="80"/>
              <w:left w:type="dxa" w:w="100"/>
              <w:bottom w:type="dxa" w:w="80"/>
              <w:right w:type="dxa" w:w="100"/>
            </w:tcMar>
          </w:tcPr>
          <w:p>
            <w:pPr>
              <w:jc w:val="left"/>
            </w:pPr>
            <w:r>
              <w:rPr>
                <w:b w:val="false"/>
                <w:bCs w:val="false"/>
                <w:i w:val="false"/>
                <w:iCs w:val="false"/>
                <w:sz w:val="19"/>
                <w:szCs w:val="19"/>
              </w:rPr>
              <w:t xml:space="preserve">Phase 2 — Brain consumption layer</w:t>
            </w:r>
          </w:p>
        </w:tc>
        <w:tc>
          <w:tcPr>
            <w:tcW w:type="dxa" w:w="6300"/>
            <w:tcMar>
              <w:top w:type="dxa" w:w="80"/>
              <w:left w:type="dxa" w:w="100"/>
              <w:bottom w:type="dxa" w:w="80"/>
              <w:right w:type="dxa" w:w="100"/>
            </w:tcMar>
          </w:tcPr>
          <w:p>
            <w:pPr>
              <w:jc w:val="left"/>
            </w:pPr>
            <w:r>
              <w:rPr>
                <w:b w:val="false"/>
                <w:bCs w:val="false"/>
                <w:i w:val="false"/>
                <w:iCs w:val="false"/>
                <w:sz w:val="19"/>
                <w:szCs w:val="19"/>
              </w:rPr>
              <w:t xml:space="preserve">Build one shared, reusable read pattern (via the same Supabase REST approach already used everywhere in index.html) that lets any department pull its tagged Knowledge/SOP/Decisions from the Brain tables. Built once centrally, per the reuse principle — not once per department.</w:t>
            </w:r>
          </w:p>
        </w:tc>
      </w:tr>
      <w:tr>
        <w:tc>
          <w:tcPr>
            <w:tcW w:type="dxa" w:w="2600"/>
            <w:shd w:fill="F2F2F2" w:val="clear"/>
            <w:tcMar>
              <w:top w:type="dxa" w:w="80"/>
              <w:left w:type="dxa" w:w="100"/>
              <w:bottom w:type="dxa" w:w="80"/>
              <w:right w:type="dxa" w:w="100"/>
            </w:tcMar>
          </w:tcPr>
          <w:p>
            <w:pPr>
              <w:jc w:val="left"/>
            </w:pPr>
            <w:r>
              <w:rPr>
                <w:b w:val="false"/>
                <w:bCs w:val="false"/>
                <w:i w:val="false"/>
                <w:iCs w:val="false"/>
                <w:sz w:val="19"/>
                <w:szCs w:val="19"/>
              </w:rPr>
              <w:t xml:space="preserve">Phase 3 — Navigation shell</w:t>
            </w:r>
          </w:p>
        </w:tc>
        <w:tc>
          <w:tcPr>
            <w:tcW w:type="dxa" w:w="6300"/>
            <w:shd w:fill="F2F2F2" w:val="clear"/>
            <w:tcMar>
              <w:top w:type="dxa" w:w="80"/>
              <w:left w:type="dxa" w:w="100"/>
              <w:bottom w:type="dxa" w:w="80"/>
              <w:right w:type="dxa" w:w="100"/>
            </w:tcMar>
          </w:tcPr>
          <w:p>
            <w:pPr>
              <w:jc w:val="left"/>
            </w:pPr>
            <w:r>
              <w:rPr>
                <w:b w:val="false"/>
                <w:bCs w:val="false"/>
                <w:i w:val="false"/>
                <w:iCs w:val="false"/>
                <w:sz w:val="19"/>
                <w:szCs w:val="19"/>
              </w:rPr>
              <w:t xml:space="preserve">Add the 7-item primary nav (Section 8) plus the persistent Brain access point. Each department initially just routes to its existing render function(s) — zero visual or data change. Lowest-risk phase, fully reversible.</w:t>
            </w:r>
          </w:p>
        </w:tc>
      </w:tr>
      <w:tr>
        <w:tc>
          <w:tcPr>
            <w:tcW w:type="dxa" w:w="2600"/>
            <w:tcMar>
              <w:top w:type="dxa" w:w="80"/>
              <w:left w:type="dxa" w:w="100"/>
              <w:bottom w:type="dxa" w:w="80"/>
              <w:right w:type="dxa" w:w="100"/>
            </w:tcMar>
          </w:tcPr>
          <w:p>
            <w:pPr>
              <w:jc w:val="left"/>
            </w:pPr>
            <w:r>
              <w:rPr>
                <w:b w:val="false"/>
                <w:bCs w:val="false"/>
                <w:i w:val="false"/>
                <w:iCs w:val="false"/>
                <w:sz w:val="19"/>
                <w:szCs w:val="19"/>
              </w:rPr>
              <w:t xml:space="preserve">Phase 4 — CEO Headquarters rebuild</w:t>
            </w:r>
          </w:p>
        </w:tc>
        <w:tc>
          <w:tcPr>
            <w:tcW w:type="dxa" w:w="6300"/>
            <w:tcMar>
              <w:top w:type="dxa" w:w="80"/>
              <w:left w:type="dxa" w:w="100"/>
              <w:bottom w:type="dxa" w:w="80"/>
              <w:right w:type="dxa" w:w="100"/>
            </w:tcMar>
          </w:tcPr>
          <w:p>
            <w:pPr>
              <w:jc w:val="left"/>
            </w:pPr>
            <w:r>
              <w:rPr>
                <w:b w:val="false"/>
                <w:bCs w:val="false"/>
                <w:i w:val="false"/>
                <w:iCs w:val="false"/>
                <w:sz w:val="19"/>
                <w:szCs w:val="19"/>
              </w:rPr>
              <w:t xml:space="preserve">Rebuild Home into the exact 8-item spec (Section 4). Verify every figure (net worth, cash) is byte-identical to today’s Home before and after.</w:t>
            </w:r>
          </w:p>
        </w:tc>
      </w:tr>
      <w:tr>
        <w:tc>
          <w:tcPr>
            <w:tcW w:type="dxa" w:w="2600"/>
            <w:shd w:fill="F2F2F2" w:val="clear"/>
            <w:tcMar>
              <w:top w:type="dxa" w:w="80"/>
              <w:left w:type="dxa" w:w="100"/>
              <w:bottom w:type="dxa" w:w="80"/>
              <w:right w:type="dxa" w:w="100"/>
            </w:tcMar>
          </w:tcPr>
          <w:p>
            <w:pPr>
              <w:jc w:val="left"/>
            </w:pPr>
            <w:r>
              <w:rPr>
                <w:b w:val="false"/>
                <w:bCs w:val="false"/>
                <w:i w:val="false"/>
                <w:iCs w:val="false"/>
                <w:sz w:val="19"/>
                <w:szCs w:val="19"/>
              </w:rPr>
              <w:t xml:space="preserve">Phase 5 — Department dashboard buildout</w:t>
            </w:r>
          </w:p>
        </w:tc>
        <w:tc>
          <w:tcPr>
            <w:tcW w:type="dxa" w:w="6300"/>
            <w:shd w:fill="F2F2F2" w:val="clear"/>
            <w:tcMar>
              <w:top w:type="dxa" w:w="80"/>
              <w:left w:type="dxa" w:w="100"/>
              <w:bottom w:type="dxa" w:w="80"/>
              <w:right w:type="dxa" w:w="100"/>
            </w:tcMar>
          </w:tcPr>
          <w:p>
            <w:pPr>
              <w:jc w:val="left"/>
            </w:pPr>
            <w:r>
              <w:rPr>
                <w:b w:val="false"/>
                <w:bCs w:val="false"/>
                <w:i w:val="false"/>
                <w:iCs w:val="false"/>
                <w:sz w:val="19"/>
                <w:szCs w:val="19"/>
              </w:rPr>
              <w:t xml:space="preserve">Build the Section 5 template for all six operating departments, consuming Knowledge/SOP content through the Phase 2 layer. Reuses existing render functions as content blocks — Finance, Operations, and Marketing &amp; Sales first (existing data); Technology follows.</w:t>
            </w:r>
          </w:p>
        </w:tc>
      </w:tr>
      <w:tr>
        <w:tc>
          <w:tcPr>
            <w:tcW w:type="dxa" w:w="2600"/>
            <w:tcMar>
              <w:top w:type="dxa" w:w="80"/>
              <w:left w:type="dxa" w:w="100"/>
              <w:bottom w:type="dxa" w:w="80"/>
              <w:right w:type="dxa" w:w="100"/>
            </w:tcMar>
          </w:tcPr>
          <w:p>
            <w:pPr>
              <w:jc w:val="left"/>
            </w:pPr>
            <w:r>
              <w:rPr>
                <w:b w:val="false"/>
                <w:bCs w:val="false"/>
                <w:i w:val="false"/>
                <w:iCs w:val="false"/>
                <w:sz w:val="19"/>
                <w:szCs w:val="19"/>
              </w:rPr>
              <w:t xml:space="preserve">Phase 6 — Notification Center + Department Inboxes</w:t>
            </w:r>
          </w:p>
        </w:tc>
        <w:tc>
          <w:tcPr>
            <w:tcW w:type="dxa" w:w="6300"/>
            <w:tcMar>
              <w:top w:type="dxa" w:w="80"/>
              <w:left w:type="dxa" w:w="100"/>
              <w:bottom w:type="dxa" w:w="80"/>
              <w:right w:type="dxa" w:w="100"/>
            </w:tcMar>
          </w:tcPr>
          <w:p>
            <w:pPr>
              <w:jc w:val="left"/>
            </w:pPr>
            <w:r>
              <w:rPr>
                <w:b w:val="false"/>
                <w:bCs w:val="false"/>
                <w:i w:val="false"/>
                <w:iCs w:val="false"/>
                <w:sz w:val="19"/>
                <w:szCs w:val="19"/>
              </w:rPr>
              <w:t xml:space="preserve">Add the two notifications columns. Wire existing failure/completion events into department-filtered signals, then into the Executive Inbox only where escalation is warranted.</w:t>
            </w:r>
          </w:p>
        </w:tc>
      </w:tr>
      <w:tr>
        <w:tc>
          <w:tcPr>
            <w:tcW w:type="dxa" w:w="2600"/>
            <w:shd w:fill="F2F2F2" w:val="clear"/>
            <w:tcMar>
              <w:top w:type="dxa" w:w="80"/>
              <w:left w:type="dxa" w:w="100"/>
              <w:bottom w:type="dxa" w:w="80"/>
              <w:right w:type="dxa" w:w="100"/>
            </w:tcMar>
          </w:tcPr>
          <w:p>
            <w:pPr>
              <w:jc w:val="left"/>
            </w:pPr>
            <w:r>
              <w:rPr>
                <w:b w:val="false"/>
                <w:bCs w:val="false"/>
                <w:i w:val="false"/>
                <w:iCs w:val="false"/>
                <w:sz w:val="19"/>
                <w:szCs w:val="19"/>
              </w:rPr>
              <w:t xml:space="preserve">Phase 7 — HR &amp; Legal scaffolding</w:t>
            </w:r>
          </w:p>
        </w:tc>
        <w:tc>
          <w:tcPr>
            <w:tcW w:type="dxa" w:w="6300"/>
            <w:shd w:fill="F2F2F2" w:val="clear"/>
            <w:tcMar>
              <w:top w:type="dxa" w:w="80"/>
              <w:left w:type="dxa" w:w="100"/>
              <w:bottom w:type="dxa" w:w="80"/>
              <w:right w:type="dxa" w:w="100"/>
            </w:tcMar>
          </w:tcPr>
          <w:p>
            <w:pPr>
              <w:jc w:val="left"/>
            </w:pPr>
            <w:r>
              <w:rPr>
                <w:b w:val="false"/>
                <w:bCs w:val="false"/>
                <w:i w:val="false"/>
                <w:iCs w:val="false"/>
                <w:sz w:val="19"/>
                <w:szCs w:val="19"/>
              </w:rPr>
              <w:t xml:space="preserve">Design minimal schema + empty-state UI for Human Resources and Legal &amp; Compliance. Blocked on your input: real roster, roles, LLC/contract/insurance facts.</w:t>
            </w:r>
          </w:p>
        </w:tc>
      </w:tr>
      <w:tr>
        <w:tc>
          <w:tcPr>
            <w:tcW w:type="dxa" w:w="2600"/>
            <w:tcMar>
              <w:top w:type="dxa" w:w="80"/>
              <w:left w:type="dxa" w:w="100"/>
              <w:bottom w:type="dxa" w:w="80"/>
              <w:right w:type="dxa" w:w="100"/>
            </w:tcMar>
          </w:tcPr>
          <w:p>
            <w:pPr>
              <w:jc w:val="left"/>
            </w:pPr>
            <w:r>
              <w:rPr>
                <w:b w:val="false"/>
                <w:bCs w:val="false"/>
                <w:i w:val="false"/>
                <w:iCs w:val="false"/>
                <w:sz w:val="19"/>
                <w:szCs w:val="19"/>
              </w:rPr>
              <w:t xml:space="preserve">Phase 8 — Regression &amp; report</w:t>
            </w:r>
          </w:p>
        </w:tc>
        <w:tc>
          <w:tcPr>
            <w:tcW w:type="dxa" w:w="6300"/>
            <w:tcMar>
              <w:top w:type="dxa" w:w="80"/>
              <w:left w:type="dxa" w:w="100"/>
              <w:bottom w:type="dxa" w:w="80"/>
              <w:right w:type="dxa" w:w="100"/>
            </w:tcMar>
          </w:tcPr>
          <w:p>
            <w:pPr>
              <w:jc w:val="left"/>
            </w:pPr>
            <w:r>
              <w:rPr>
                <w:b w:val="false"/>
                <w:bCs w:val="false"/>
                <w:i w:val="false"/>
                <w:iCs w:val="false"/>
                <w:sz w:val="19"/>
                <w:szCs w:val="19"/>
              </w:rPr>
              <w:t xml:space="preserve">Full regression pass across all 6 engines per the Brain’s existing regression rules. Verify no broken links, no data loss, no changed numbers. Final before/after report in the standard CEO report format.</w:t>
            </w:r>
          </w:p>
        </w:tc>
      </w:tr>
    </w:tbl>
    <w:p>
      <w:pPr>
        <w:pStyle w:val="Heading1"/>
        <w:spacing w:after="200" w:before="400"/>
      </w:pPr>
      <w:r>
        <w:t xml:space="preserve">13. Risks, Dependencies &amp; Open Items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400"/>
        <w:gridCol w:w="3100"/>
        <w:gridCol w:w="2400"/>
      </w:tblGrid>
      <w:tr>
        <w:trPr>
          <w:tblHeader/>
        </w:trPr>
        <w:tc>
          <w:tcPr>
            <w:tcW w:type="dxa" w:w="3400"/>
            <w:shd w:fill="1A1A1A" w:val="clear"/>
            <w:tcMar>
              <w:top w:type="dxa" w:w="80"/>
              <w:left w:type="dxa" w:w="100"/>
              <w:bottom w:type="dxa" w:w="80"/>
              <w:right w:type="dxa" w:w="100"/>
            </w:tcMar>
          </w:tcPr>
          <w:p>
            <w:pPr>
              <w:jc w:val="left"/>
            </w:pPr>
            <w:r>
              <w:rPr>
                <w:b/>
                <w:bCs/>
                <w:i w:val="false"/>
                <w:iCs w:val="false"/>
                <w:color w:val="FFFFFF"/>
                <w:sz w:val="19"/>
                <w:szCs w:val="19"/>
              </w:rPr>
              <w:t xml:space="preserve">Item</w:t>
            </w:r>
          </w:p>
        </w:tc>
        <w:tc>
          <w:tcPr>
            <w:tcW w:type="dxa" w:w="3100"/>
            <w:shd w:fill="1A1A1A" w:val="clear"/>
            <w:tcMar>
              <w:top w:type="dxa" w:w="80"/>
              <w:left w:type="dxa" w:w="100"/>
              <w:bottom w:type="dxa" w:w="80"/>
              <w:right w:type="dxa" w:w="100"/>
            </w:tcMar>
          </w:tcPr>
          <w:p>
            <w:pPr>
              <w:jc w:val="left"/>
            </w:pPr>
            <w:r>
              <w:rPr>
                <w:b/>
                <w:bCs/>
                <w:i w:val="false"/>
                <w:iCs w:val="false"/>
                <w:color w:val="FFFFFF"/>
                <w:sz w:val="19"/>
                <w:szCs w:val="19"/>
              </w:rPr>
              <w:t xml:space="preserve">Type</w:t>
            </w:r>
          </w:p>
        </w:tc>
        <w:tc>
          <w:tcPr>
            <w:tcW w:type="dxa" w:w="2400"/>
            <w:shd w:fill="1A1A1A" w:val="clear"/>
            <w:tcMar>
              <w:top w:type="dxa" w:w="80"/>
              <w:left w:type="dxa" w:w="100"/>
              <w:bottom w:type="dxa" w:w="80"/>
              <w:right w:type="dxa" w:w="100"/>
            </w:tcMar>
          </w:tcPr>
          <w:p>
            <w:pPr>
              <w:jc w:val="left"/>
            </w:pPr>
            <w:r>
              <w:rPr>
                <w:b/>
                <w:bCs/>
                <w:i w:val="false"/>
                <w:iCs w:val="false"/>
                <w:color w:val="FFFFFF"/>
                <w:sz w:val="19"/>
                <w:szCs w:val="19"/>
              </w:rPr>
              <w:t xml:space="preserve">Owner</w:t>
            </w:r>
          </w:p>
        </w:tc>
      </w:tr>
      <w:tr>
        <w:tc>
          <w:tcPr>
            <w:tcW w:type="dxa" w:w="3400"/>
            <w:shd w:fill="F2F2F2" w:val="clear"/>
            <w:tcMar>
              <w:top w:type="dxa" w:w="80"/>
              <w:left w:type="dxa" w:w="100"/>
              <w:bottom w:type="dxa" w:w="80"/>
              <w:right w:type="dxa" w:w="100"/>
            </w:tcMar>
          </w:tcPr>
          <w:p>
            <w:pPr>
              <w:jc w:val="left"/>
            </w:pPr>
            <w:r>
              <w:rPr>
                <w:b w:val="false"/>
                <w:bCs w:val="false"/>
                <w:i w:val="false"/>
                <w:iCs w:val="false"/>
                <w:sz w:val="19"/>
                <w:szCs w:val="19"/>
              </w:rPr>
              <w:t xml:space="preserve">29 tables with RLS disabled, incl. instagram_connections access_token</w:t>
            </w:r>
          </w:p>
        </w:tc>
        <w:tc>
          <w:tcPr>
            <w:tcW w:type="dxa" w:w="3100"/>
            <w:shd w:fill="F2F2F2" w:val="clear"/>
            <w:tcMar>
              <w:top w:type="dxa" w:w="80"/>
              <w:left w:type="dxa" w:w="100"/>
              <w:bottom w:type="dxa" w:w="80"/>
              <w:right w:type="dxa" w:w="100"/>
            </w:tcMar>
          </w:tcPr>
          <w:p>
            <w:pPr>
              <w:jc w:val="left"/>
            </w:pPr>
            <w:r>
              <w:rPr>
                <w:b w:val="false"/>
                <w:bCs w:val="false"/>
                <w:i w:val="false"/>
                <w:iCs w:val="false"/>
                <w:sz w:val="19"/>
                <w:szCs w:val="19"/>
              </w:rPr>
              <w:t xml:space="preserve">Security — pre-existing</w:t>
            </w:r>
          </w:p>
        </w:tc>
        <w:tc>
          <w:tcPr>
            <w:tcW w:type="dxa" w:w="2400"/>
            <w:shd w:fill="F2F2F2" w:val="clear"/>
            <w:tcMar>
              <w:top w:type="dxa" w:w="80"/>
              <w:left w:type="dxa" w:w="100"/>
              <w:bottom w:type="dxa" w:w="80"/>
              <w:right w:type="dxa" w:w="100"/>
            </w:tcMar>
          </w:tcPr>
          <w:p>
            <w:pPr>
              <w:jc w:val="left"/>
            </w:pPr>
            <w:r>
              <w:rPr>
                <w:b w:val="false"/>
                <w:bCs w:val="false"/>
                <w:i w:val="false"/>
                <w:iCs w:val="false"/>
                <w:sz w:val="19"/>
                <w:szCs w:val="19"/>
              </w:rPr>
              <w:t xml:space="preserve">Technology</w:t>
            </w:r>
          </w:p>
        </w:tc>
      </w:tr>
      <w:tr>
        <w:tc>
          <w:tcPr>
            <w:tcW w:type="dxa" w:w="3400"/>
            <w:tcMar>
              <w:top w:type="dxa" w:w="80"/>
              <w:left w:type="dxa" w:w="100"/>
              <w:bottom w:type="dxa" w:w="80"/>
              <w:right w:type="dxa" w:w="100"/>
            </w:tcMar>
          </w:tcPr>
          <w:p>
            <w:pPr>
              <w:jc w:val="left"/>
            </w:pPr>
            <w:r>
              <w:rPr>
                <w:b w:val="false"/>
                <w:bCs w:val="false"/>
                <w:i w:val="false"/>
                <w:iCs w:val="false"/>
                <w:sz w:val="19"/>
                <w:szCs w:val="19"/>
              </w:rPr>
              <w:t xml:space="preserve">Human Resources has zero real data</w:t>
            </w:r>
          </w:p>
        </w:tc>
        <w:tc>
          <w:tcPr>
            <w:tcW w:type="dxa" w:w="3100"/>
            <w:tcMar>
              <w:top w:type="dxa" w:w="80"/>
              <w:left w:type="dxa" w:w="100"/>
              <w:bottom w:type="dxa" w:w="80"/>
              <w:right w:type="dxa" w:w="100"/>
            </w:tcMar>
          </w:tcPr>
          <w:p>
            <w:pPr>
              <w:jc w:val="left"/>
            </w:pPr>
            <w:r>
              <w:rPr>
                <w:b w:val="false"/>
                <w:bCs w:val="false"/>
                <w:i w:val="false"/>
                <w:iCs w:val="false"/>
                <w:sz w:val="19"/>
                <w:szCs w:val="19"/>
              </w:rPr>
              <w:t xml:space="preserve">Blocking dependency for Phase 7</w:t>
            </w:r>
          </w:p>
        </w:tc>
        <w:tc>
          <w:tcPr>
            <w:tcW w:type="dxa" w:w="2400"/>
            <w:tcMar>
              <w:top w:type="dxa" w:w="80"/>
              <w:left w:type="dxa" w:w="100"/>
              <w:bottom w:type="dxa" w:w="80"/>
              <w:right w:type="dxa" w:w="100"/>
            </w:tcMar>
          </w:tcPr>
          <w:p>
            <w:pPr>
              <w:jc w:val="left"/>
            </w:pPr>
            <w:r>
              <w:rPr>
                <w:b w:val="false"/>
                <w:bCs w:val="false"/>
                <w:i w:val="false"/>
                <w:iCs w:val="false"/>
                <w:sz w:val="19"/>
                <w:szCs w:val="19"/>
              </w:rPr>
              <w:t xml:space="preserve">Human Resources</w:t>
            </w:r>
          </w:p>
        </w:tc>
      </w:tr>
      <w:tr>
        <w:tc>
          <w:tcPr>
            <w:tcW w:type="dxa" w:w="3400"/>
            <w:shd w:fill="F2F2F2" w:val="clear"/>
            <w:tcMar>
              <w:top w:type="dxa" w:w="80"/>
              <w:left w:type="dxa" w:w="100"/>
              <w:bottom w:type="dxa" w:w="80"/>
              <w:right w:type="dxa" w:w="100"/>
            </w:tcMar>
          </w:tcPr>
          <w:p>
            <w:pPr>
              <w:jc w:val="left"/>
            </w:pPr>
            <w:r>
              <w:rPr>
                <w:b w:val="false"/>
                <w:bCs w:val="false"/>
                <w:i w:val="false"/>
                <w:iCs w:val="false"/>
                <w:sz w:val="19"/>
                <w:szCs w:val="19"/>
              </w:rPr>
              <w:t xml:space="preserve">Legal &amp; Compliance has zero real data</w:t>
            </w:r>
          </w:p>
        </w:tc>
        <w:tc>
          <w:tcPr>
            <w:tcW w:type="dxa" w:w="3100"/>
            <w:shd w:fill="F2F2F2" w:val="clear"/>
            <w:tcMar>
              <w:top w:type="dxa" w:w="80"/>
              <w:left w:type="dxa" w:w="100"/>
              <w:bottom w:type="dxa" w:w="80"/>
              <w:right w:type="dxa" w:w="100"/>
            </w:tcMar>
          </w:tcPr>
          <w:p>
            <w:pPr>
              <w:jc w:val="left"/>
            </w:pPr>
            <w:r>
              <w:rPr>
                <w:b w:val="false"/>
                <w:bCs w:val="false"/>
                <w:i w:val="false"/>
                <w:iCs w:val="false"/>
                <w:sz w:val="19"/>
                <w:szCs w:val="19"/>
              </w:rPr>
              <w:t xml:space="preserve">Blocking dependency for Phase 7</w:t>
            </w:r>
          </w:p>
        </w:tc>
        <w:tc>
          <w:tcPr>
            <w:tcW w:type="dxa" w:w="2400"/>
            <w:shd w:fill="F2F2F2" w:val="clear"/>
            <w:tcMar>
              <w:top w:type="dxa" w:w="80"/>
              <w:left w:type="dxa" w:w="100"/>
              <w:bottom w:type="dxa" w:w="80"/>
              <w:right w:type="dxa" w:w="100"/>
            </w:tcMar>
          </w:tcPr>
          <w:p>
            <w:pPr>
              <w:jc w:val="left"/>
            </w:pPr>
            <w:r>
              <w:rPr>
                <w:b w:val="false"/>
                <w:bCs w:val="false"/>
                <w:i w:val="false"/>
                <w:iCs w:val="false"/>
                <w:sz w:val="19"/>
                <w:szCs w:val="19"/>
              </w:rPr>
              <w:t xml:space="preserve">Legal &amp; Compliance</w:t>
            </w:r>
          </w:p>
        </w:tc>
      </w:tr>
      <w:tr>
        <w:tc>
          <w:tcPr>
            <w:tcW w:type="dxa" w:w="3400"/>
            <w:tcMar>
              <w:top w:type="dxa" w:w="80"/>
              <w:left w:type="dxa" w:w="100"/>
              <w:bottom w:type="dxa" w:w="80"/>
              <w:right w:type="dxa" w:w="100"/>
            </w:tcMar>
          </w:tcPr>
          <w:p>
            <w:pPr>
              <w:jc w:val="left"/>
            </w:pPr>
            <w:r>
              <w:rPr>
                <w:b w:val="false"/>
                <w:bCs w:val="false"/>
                <w:i w:val="false"/>
                <w:iCs w:val="false"/>
                <w:sz w:val="19"/>
                <w:szCs w:val="19"/>
              </w:rPr>
              <w:t xml:space="preserve">Finance Rule 2 still applies during Phase 5 dashboard work</w:t>
            </w:r>
          </w:p>
        </w:tc>
        <w:tc>
          <w:tcPr>
            <w:tcW w:type="dxa" w:w="3100"/>
            <w:tcMar>
              <w:top w:type="dxa" w:w="80"/>
              <w:left w:type="dxa" w:w="100"/>
              <w:bottom w:type="dxa" w:w="80"/>
              <w:right w:type="dxa" w:w="100"/>
            </w:tcMar>
          </w:tcPr>
          <w:p>
            <w:pPr>
              <w:jc w:val="left"/>
            </w:pPr>
            <w:r>
              <w:rPr>
                <w:b w:val="false"/>
                <w:bCs w:val="false"/>
                <w:i w:val="false"/>
                <w:iCs w:val="false"/>
                <w:sz w:val="19"/>
                <w:szCs w:val="19"/>
              </w:rPr>
              <w:t xml:space="preserve">Process constraint</w:t>
            </w:r>
          </w:p>
        </w:tc>
        <w:tc>
          <w:tcPr>
            <w:tcW w:type="dxa" w:w="2400"/>
            <w:tcMar>
              <w:top w:type="dxa" w:w="80"/>
              <w:left w:type="dxa" w:w="100"/>
              <w:bottom w:type="dxa" w:w="80"/>
              <w:right w:type="dxa" w:w="100"/>
            </w:tcMar>
          </w:tcPr>
          <w:p>
            <w:pPr>
              <w:jc w:val="left"/>
            </w:pPr>
            <w:r>
              <w:rPr>
                <w:b w:val="false"/>
                <w:bCs w:val="false"/>
                <w:i w:val="false"/>
                <w:iCs w:val="false"/>
                <w:sz w:val="19"/>
                <w:szCs w:val="19"/>
              </w:rPr>
              <w:t xml:space="preserve">Finance</w:t>
            </w:r>
          </w:p>
        </w:tc>
      </w:tr>
      <w:tr>
        <w:tc>
          <w:tcPr>
            <w:tcW w:type="dxa" w:w="3400"/>
            <w:shd w:fill="F2F2F2" w:val="clear"/>
            <w:tcMar>
              <w:top w:type="dxa" w:w="80"/>
              <w:left w:type="dxa" w:w="100"/>
              <w:bottom w:type="dxa" w:w="80"/>
              <w:right w:type="dxa" w:w="100"/>
            </w:tcMar>
          </w:tcPr>
          <w:p>
            <w:pPr>
              <w:jc w:val="left"/>
            </w:pPr>
            <w:r>
              <w:rPr>
                <w:b w:val="false"/>
                <w:bCs w:val="false"/>
                <w:i w:val="false"/>
                <w:iCs w:val="false"/>
                <w:sz w:val="19"/>
                <w:szCs w:val="19"/>
              </w:rPr>
              <w:t xml:space="preserve">Vercel 12-function ceiling already at maximum</w:t>
            </w:r>
          </w:p>
        </w:tc>
        <w:tc>
          <w:tcPr>
            <w:tcW w:type="dxa" w:w="3100"/>
            <w:shd w:fill="F2F2F2" w:val="clear"/>
            <w:tcMar>
              <w:top w:type="dxa" w:w="80"/>
              <w:left w:type="dxa" w:w="100"/>
              <w:bottom w:type="dxa" w:w="80"/>
              <w:right w:type="dxa" w:w="100"/>
            </w:tcMar>
          </w:tcPr>
          <w:p>
            <w:pPr>
              <w:jc w:val="left"/>
            </w:pPr>
            <w:r>
              <w:rPr>
                <w:b w:val="false"/>
                <w:bCs w:val="false"/>
                <w:i w:val="false"/>
                <w:iCs w:val="false"/>
                <w:sz w:val="19"/>
                <w:szCs w:val="19"/>
              </w:rPr>
              <w:t xml:space="preserve">Constrains future backend additions</w:t>
            </w:r>
          </w:p>
        </w:tc>
        <w:tc>
          <w:tcPr>
            <w:tcW w:type="dxa" w:w="2400"/>
            <w:shd w:fill="F2F2F2" w:val="clear"/>
            <w:tcMar>
              <w:top w:type="dxa" w:w="80"/>
              <w:left w:type="dxa" w:w="100"/>
              <w:bottom w:type="dxa" w:w="80"/>
              <w:right w:type="dxa" w:w="100"/>
            </w:tcMar>
          </w:tcPr>
          <w:p>
            <w:pPr>
              <w:jc w:val="left"/>
            </w:pPr>
            <w:r>
              <w:rPr>
                <w:b w:val="false"/>
                <w:bCs w:val="false"/>
                <w:i w:val="false"/>
                <w:iCs w:val="false"/>
                <w:sz w:val="19"/>
                <w:szCs w:val="19"/>
              </w:rPr>
              <w:t xml:space="preserve">Technology</w:t>
            </w:r>
          </w:p>
        </w:tc>
      </w:tr>
      <w:tr>
        <w:tc>
          <w:tcPr>
            <w:tcW w:type="dxa" w:w="3400"/>
            <w:tcMar>
              <w:top w:type="dxa" w:w="80"/>
              <w:left w:type="dxa" w:w="100"/>
              <w:bottom w:type="dxa" w:w="80"/>
              <w:right w:type="dxa" w:w="100"/>
            </w:tcMar>
          </w:tcPr>
          <w:p>
            <w:pPr>
              <w:jc w:val="left"/>
            </w:pPr>
            <w:r>
              <w:rPr>
                <w:b w:val="false"/>
                <w:bCs w:val="false"/>
                <w:i w:val="false"/>
                <w:iCs w:val="false"/>
                <w:sz w:val="19"/>
                <w:szCs w:val="19"/>
              </w:rPr>
              <w:t xml:space="preserve">Brain consumption layer (Phase 2) is new plumbing, even though the underlying tables are not</w:t>
            </w:r>
          </w:p>
        </w:tc>
        <w:tc>
          <w:tcPr>
            <w:tcW w:type="dxa" w:w="3100"/>
            <w:tcMar>
              <w:top w:type="dxa" w:w="80"/>
              <w:left w:type="dxa" w:w="100"/>
              <w:bottom w:type="dxa" w:w="80"/>
              <w:right w:type="dxa" w:w="100"/>
            </w:tcMar>
          </w:tcPr>
          <w:p>
            <w:pPr>
              <w:jc w:val="left"/>
            </w:pPr>
            <w:r>
              <w:rPr>
                <w:b w:val="false"/>
                <w:bCs w:val="false"/>
                <w:i w:val="false"/>
                <w:iCs w:val="false"/>
                <w:sz w:val="19"/>
                <w:szCs w:val="19"/>
              </w:rPr>
              <w:t xml:space="preserve">Build risk — new code path, needs its own regression check before Phase 5 depends on it</w:t>
            </w:r>
          </w:p>
        </w:tc>
        <w:tc>
          <w:tcPr>
            <w:tcW w:type="dxa" w:w="2400"/>
            <w:tcMar>
              <w:top w:type="dxa" w:w="80"/>
              <w:left w:type="dxa" w:w="100"/>
              <w:bottom w:type="dxa" w:w="80"/>
              <w:right w:type="dxa" w:w="100"/>
            </w:tcMar>
          </w:tcPr>
          <w:p>
            <w:pPr>
              <w:jc w:val="left"/>
            </w:pPr>
            <w:r>
              <w:rPr>
                <w:b w:val="false"/>
                <w:bCs w:val="false"/>
                <w:i w:val="false"/>
                <w:iCs w:val="false"/>
                <w:sz w:val="19"/>
                <w:szCs w:val="19"/>
              </w:rPr>
              <w:t xml:space="preserve">Technology / MMM Brain</w:t>
            </w:r>
          </w:p>
        </w:tc>
      </w:tr>
    </w:tbl>
    <w:p>
      <w:pPr>
        <w:pStyle w:val="Heading1"/>
        <w:spacing w:after="200" w:before="400"/>
      </w:pPr>
      <w:r>
        <w:t xml:space="preserve">14. Standing Architecture Confirmation</w:t>
      </w:r>
    </w:p>
    <w:p>
      <w:pPr>
        <w:spacing w:after="160"/>
      </w:pPr>
      <w:r>
        <w:t xml:space="preserve">Per your tenth directive, this is now the architecture standard for all future MMM development, not a one-time reorganization: departments first, Brain as the parent knowledge/coordination layer, the 13-field template for every operating department, CEO Headquarters restricted to executive-altitude information, and the Factory as internal-only infrastructure. Every future feature request gets placed into this structure rather than added as a new page.</w:t>
      </w:r>
    </w:p>
    <w:p>
      <w:pPr>
        <w:spacing w:after="160"/>
      </w:pPr>
      <w:r>
        <w:rPr>
          <w:b/>
          <w:bCs/>
        </w:rPr>
        <w:t xml:space="preserve">No new business features are proposed or built in this document. Nothing beyond this revision has been built. Awaiting your review and approval before Phase 2 begins.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MMM Company Operating System — Phase 1, Revision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2026-08-02T14:45:14.599Z</dcterms:created>
  <dcterms:modified xsi:type="dcterms:W3CDTF">2026-08-02T14:45:14.602Z</dcterms:modified>
</cp:coreProperties>
</file>

<file path=docProps/custom.xml><?xml version="1.0" encoding="utf-8"?>
<Properties xmlns="http://schemas.openxmlformats.org/officeDocument/2006/custom-properties" xmlns:vt="http://schemas.openxmlformats.org/officeDocument/2006/docPropsVTypes"/>
</file>