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F2C59"/>
          <w:sz w:val="44"/>
        </w:rPr>
        <w:t>RELATÓRIO TÉCNICO DE BENCHMARK &amp; PERFORMANCE</w:t>
      </w:r>
    </w:p>
    <w:p>
      <w:pPr>
        <w:spacing w:after="400"/>
        <w:jc w:val="center"/>
      </w:pPr>
      <w:r>
        <w:rPr>
          <w:rFonts w:ascii="Calibri" w:hAnsi="Calibri"/>
          <w:color w:val="0066CC"/>
          <w:sz w:val="26"/>
        </w:rPr>
        <w:t>Gêmeo Digital de Sistemas de Compressão Offshore — Comparativo Python (CPython) vs. Rust 2.0 (Axum Native)</w:t>
      </w:r>
    </w:p>
    <w:p>
      <w:pPr>
        <w:spacing w:after="300"/>
      </w:pPr>
      <w:r>
        <w:rPr>
          <w:i/>
          <w:color w:val="64748B"/>
          <w:sz w:val="19"/>
        </w:rPr>
        <w:t>📅 Data da Avaliação: 27/08/2026  |  Engenharia &amp; Gêmeo Digital  |  Ambiente: Linux x86_64 / Release Build</w:t>
      </w:r>
    </w:p>
    <w:p>
      <w:pPr>
        <w:spacing w:after="300"/>
      </w:pPr>
      <w:r>
        <w:rPr>
          <w:color w:val="CBD5E1"/>
        </w:rPr>
        <w:t>―――――――――――――――――――――――――――――――――――――――――――――――――――――――――――――――――</w:t>
      </w:r>
    </w:p>
    <w:p>
      <w:pPr>
        <w:pStyle w:val="Heading1"/>
        <w:spacing w:before="240" w:after="120"/>
      </w:pPr>
      <w:r>
        <w:rPr>
          <w:rFonts w:ascii="Calibri" w:hAnsi="Calibri"/>
          <w:color w:val="0F2C59"/>
          <w:sz w:val="30"/>
        </w:rPr>
        <w:t>1. Resumo Executivo</w:t>
      </w:r>
    </w:p>
    <w:p>
      <w:pPr>
        <w:spacing w:line="276" w:lineRule="auto" w:after="200"/>
      </w:pPr>
      <w:r>
        <w:t>Este documento apresenta os resultados formais de auditoria e benchmarking computacional comparando a implementação em Python (CPython 3.10+ com NumPy e SciPy) e a reescrita industrial em Rust 2.0 (compilada com LLVM nativo e servidor assíncrono Axum/Tokio). Ambas as versões executam as mesmas equações termodinâmicas (ISO 1217, API 619), dinâmicas transientes em vasos de pressão (ASME VIII Div. 1), algoritmos de inteligência artificial industrial (Filtro de Kalman Estendido EKF, Otimização Global PSO) e rotinas de supervisão de frota offshore com telemetria OSIsoft PI System.</w:t>
      </w:r>
    </w:p>
    <w:p>
      <w:pPr>
        <w:spacing w:after="240"/>
      </w:pPr>
      <w:r>
        <w:rPr>
          <w:b/>
          <w:color w:val="1E293B"/>
          <w:sz w:val="20"/>
        </w:rPr>
        <w:t>🏆 Principais Conclusões:</w:t>
        <w:br/>
        <w:t>• Aceleração Global: Rust demonstrou ganhos de velocidade variando de 7.6× a 63.1× mais rápido em comparação ao Python.</w:t>
        <w:br/>
        <w:t>• Fidelidade Física &amp; Precisão: Concordância numérica absoluta com erro relativo Δ &lt; 10⁻⁷ (potências elétricas e balanços de massa idênticos).</w:t>
        <w:br/>
        <w:t>• Eficiência de Memória RAM: Redução de ~25× no uso de memória (Rust utiliza ~10 MB contra ~280 MB do Python).</w:t>
        <w:br/>
        <w:t>• Latência de Comunicação REST: Respostas sub-milissegundo (&lt; 0.5 ms), viabilizando aplicações de controle preditivo e gêmeo digital em tempo real.</w:t>
      </w:r>
    </w:p>
    <w:p>
      <w:pPr>
        <w:pStyle w:val="Heading1"/>
        <w:spacing w:before="280" w:after="120"/>
      </w:pPr>
      <w:r>
        <w:rPr>
          <w:rFonts w:ascii="Calibri" w:hAnsi="Calibri"/>
          <w:color w:val="0F2C59"/>
          <w:sz w:val="30"/>
        </w:rPr>
        <w:t>2. Tabela Comparativa de Desempenho &amp; Throughput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fill="0F2C59"/>
            <w:tcMar>
              <w:top w:w="140" w:type="dxa"/>
              <w:bottom w:w="140" w:type="dxa"/>
              <w:left w:w="120" w:type="dxa"/>
              <w:right w:w="120" w:type="dxa"/>
            </w:tcMar>
          </w:tcPr>
          <w:p>
            <w:pPr>
              <w:jc w:val="center"/>
            </w:pPr>
            <w:r>
              <w:rPr>
                <w:rFonts w:ascii="Calibri" w:hAnsi="Calibri"/>
                <w:b/>
                <w:color w:val="FFFFFF"/>
                <w:sz w:val="19"/>
              </w:rPr>
              <w:t>Módulo / Rotina de Cálculo</w:t>
            </w:r>
          </w:p>
        </w:tc>
        <w:tc>
          <w:tcPr>
            <w:tcW w:type="dxa" w:w="1728"/>
            <w:shd w:fill="0F2C59"/>
            <w:tcMar>
              <w:top w:w="140" w:type="dxa"/>
              <w:bottom w:w="140" w:type="dxa"/>
              <w:left w:w="120" w:type="dxa"/>
              <w:right w:w="120" w:type="dxa"/>
            </w:tcMar>
          </w:tcPr>
          <w:p>
            <w:pPr>
              <w:jc w:val="center"/>
            </w:pPr>
            <w:r>
              <w:rPr>
                <w:rFonts w:ascii="Calibri" w:hAnsi="Calibri"/>
                <w:b/>
                <w:color w:val="FFFFFF"/>
                <w:sz w:val="19"/>
              </w:rPr>
              <w:t>Python (CPython)</w:t>
            </w:r>
          </w:p>
        </w:tc>
        <w:tc>
          <w:tcPr>
            <w:tcW w:type="dxa" w:w="1872"/>
            <w:shd w:fill="0F2C59"/>
            <w:tcMar>
              <w:top w:w="140" w:type="dxa"/>
              <w:bottom w:w="140" w:type="dxa"/>
              <w:left w:w="120" w:type="dxa"/>
              <w:right w:w="120" w:type="dxa"/>
            </w:tcMar>
          </w:tcPr>
          <w:p>
            <w:pPr>
              <w:jc w:val="center"/>
            </w:pPr>
            <w:r>
              <w:rPr>
                <w:rFonts w:ascii="Calibri" w:hAnsi="Calibri"/>
                <w:b/>
                <w:color w:val="FFFFFF"/>
                <w:sz w:val="19"/>
              </w:rPr>
              <w:t>Rust 2.0 (Release)</w:t>
            </w:r>
          </w:p>
        </w:tc>
        <w:tc>
          <w:tcPr>
            <w:tcW w:type="dxa" w:w="1872"/>
            <w:shd w:fill="0F2C59"/>
            <w:tcMar>
              <w:top w:w="140" w:type="dxa"/>
              <w:bottom w:w="140" w:type="dxa"/>
              <w:left w:w="120" w:type="dxa"/>
              <w:right w:w="120" w:type="dxa"/>
            </w:tcMar>
          </w:tcPr>
          <w:p>
            <w:pPr>
              <w:jc w:val="center"/>
            </w:pPr>
            <w:r>
              <w:rPr>
                <w:rFonts w:ascii="Calibri" w:hAnsi="Calibri"/>
                <w:b/>
                <w:color w:val="FFFFFF"/>
                <w:sz w:val="19"/>
              </w:rPr>
              <w:t>Ganho (Speedup)</w:t>
            </w:r>
          </w:p>
        </w:tc>
        <w:tc>
          <w:tcPr>
            <w:tcW w:type="dxa" w:w="2160"/>
            <w:shd w:fill="0F2C59"/>
            <w:tcMar>
              <w:top w:w="140" w:type="dxa"/>
              <w:bottom w:w="140" w:type="dxa"/>
              <w:left w:w="120" w:type="dxa"/>
              <w:right w:w="120" w:type="dxa"/>
            </w:tcMar>
          </w:tcPr>
          <w:p>
            <w:pPr>
              <w:jc w:val="center"/>
            </w:pPr>
            <w:r>
              <w:rPr>
                <w:rFonts w:ascii="Calibri" w:hAnsi="Calibri"/>
                <w:b/>
                <w:color w:val="FFFFFF"/>
                <w:sz w:val="19"/>
              </w:rPr>
              <w:t>Throughput Rust</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1. Balanço Estático dos 7 Nós (simular)</w:t>
            </w:r>
          </w:p>
        </w:tc>
        <w:tc>
          <w:tcPr>
            <w:tcW w:type="dxa" w:w="1728"/>
            <w:shd w:fill="F8FAFC"/>
            <w:tcMar>
              <w:top w:w="100" w:type="dxa"/>
              <w:bottom w:w="100" w:type="dxa"/>
              <w:left w:w="100" w:type="dxa"/>
              <w:right w:w="100" w:type="dxa"/>
            </w:tcMar>
          </w:tcPr>
          <w:p>
            <w:pPr>
              <w:jc w:val="center"/>
            </w:pPr>
            <w:r>
              <w:rPr>
                <w:rFonts w:ascii="Calibri" w:hAnsi="Calibri"/>
                <w:color w:val="1E293B"/>
                <w:sz w:val="18"/>
              </w:rPr>
              <w:t>100.75 µs</w:t>
            </w:r>
          </w:p>
        </w:tc>
        <w:tc>
          <w:tcPr>
            <w:tcW w:type="dxa" w:w="1872"/>
            <w:shd w:fill="F8FAFC"/>
            <w:tcMar>
              <w:top w:w="100" w:type="dxa"/>
              <w:bottom w:w="100" w:type="dxa"/>
              <w:left w:w="100" w:type="dxa"/>
              <w:right w:w="100" w:type="dxa"/>
            </w:tcMar>
          </w:tcPr>
          <w:p>
            <w:pPr>
              <w:jc w:val="center"/>
            </w:pPr>
            <w:r>
              <w:rPr>
                <w:rFonts w:ascii="Calibri" w:hAnsi="Calibri"/>
                <w:b/>
                <w:color w:val="0066CC"/>
                <w:sz w:val="18"/>
              </w:rPr>
              <w:t>13.17 µs</w:t>
            </w:r>
          </w:p>
        </w:tc>
        <w:tc>
          <w:tcPr>
            <w:tcW w:type="dxa" w:w="1872"/>
            <w:shd w:fill="F8FAFC"/>
            <w:tcMar>
              <w:top w:w="100" w:type="dxa"/>
              <w:bottom w:w="100" w:type="dxa"/>
              <w:left w:w="100" w:type="dxa"/>
              <w:right w:w="100" w:type="dxa"/>
            </w:tcMar>
          </w:tcPr>
          <w:p>
            <w:pPr>
              <w:jc w:val="center"/>
            </w:pPr>
            <w:r>
              <w:rPr>
                <w:rFonts w:ascii="Calibri" w:hAnsi="Calibri"/>
                <w:b/>
                <w:color w:val="107C41"/>
                <w:sz w:val="18"/>
              </w:rPr>
              <w:t>7.6× mais rápido</w:t>
            </w:r>
          </w:p>
        </w:tc>
        <w:tc>
          <w:tcPr>
            <w:tcW w:type="dxa" w:w="2160"/>
            <w:shd w:fill="F8FAFC"/>
            <w:tcMar>
              <w:top w:w="100" w:type="dxa"/>
              <w:bottom w:w="100" w:type="dxa"/>
              <w:left w:w="100" w:type="dxa"/>
              <w:right w:w="100" w:type="dxa"/>
            </w:tcMar>
          </w:tcPr>
          <w:p>
            <w:pPr>
              <w:jc w:val="center"/>
            </w:pPr>
            <w:r>
              <w:rPr>
                <w:rFonts w:ascii="Calibri" w:hAnsi="Calibri"/>
                <w:color w:val="1E293B"/>
                <w:sz w:val="18"/>
              </w:rPr>
              <w:t>75.925 simulações/s</w:t>
            </w:r>
          </w:p>
        </w:tc>
      </w:tr>
      <w:tr>
        <w:tc>
          <w:tcPr>
            <w:tcW w:type="dxa" w:w="3600"/>
            <w:shd w:fill="FFFFFF"/>
            <w:tcMar>
              <w:top w:w="100" w:type="dxa"/>
              <w:bottom w:w="100" w:type="dxa"/>
              <w:left w:w="100" w:type="dxa"/>
              <w:right w:w="100" w:type="dxa"/>
            </w:tcMar>
          </w:tcPr>
          <w:p>
            <w:pPr>
              <w:jc w:val="left"/>
            </w:pPr>
            <w:r>
              <w:rPr>
                <w:rFonts w:ascii="Calibri" w:hAnsi="Calibri"/>
                <w:color w:val="1E293B"/>
                <w:sz w:val="18"/>
              </w:rPr>
              <w:t>2. Dinâmica Transiente (3.600 passos)</w:t>
            </w:r>
          </w:p>
        </w:tc>
        <w:tc>
          <w:tcPr>
            <w:tcW w:type="dxa" w:w="1728"/>
            <w:shd w:fill="FFFFFF"/>
            <w:tcMar>
              <w:top w:w="100" w:type="dxa"/>
              <w:bottom w:w="100" w:type="dxa"/>
              <w:left w:w="100" w:type="dxa"/>
              <w:right w:w="100" w:type="dxa"/>
            </w:tcMar>
          </w:tcPr>
          <w:p>
            <w:pPr>
              <w:jc w:val="center"/>
            </w:pPr>
            <w:r>
              <w:rPr>
                <w:rFonts w:ascii="Calibri" w:hAnsi="Calibri"/>
                <w:color w:val="1E293B"/>
                <w:sz w:val="18"/>
              </w:rPr>
              <w:t>6.72 ms</w:t>
            </w:r>
          </w:p>
        </w:tc>
        <w:tc>
          <w:tcPr>
            <w:tcW w:type="dxa" w:w="1872"/>
            <w:shd w:fill="FFFFFF"/>
            <w:tcMar>
              <w:top w:w="100" w:type="dxa"/>
              <w:bottom w:w="100" w:type="dxa"/>
              <w:left w:w="100" w:type="dxa"/>
              <w:right w:w="100" w:type="dxa"/>
            </w:tcMar>
          </w:tcPr>
          <w:p>
            <w:pPr>
              <w:jc w:val="center"/>
            </w:pPr>
            <w:r>
              <w:rPr>
                <w:rFonts w:ascii="Calibri" w:hAnsi="Calibri"/>
                <w:b/>
                <w:color w:val="0066CC"/>
                <w:sz w:val="18"/>
              </w:rPr>
              <w:t>0.22 ms</w:t>
            </w:r>
          </w:p>
        </w:tc>
        <w:tc>
          <w:tcPr>
            <w:tcW w:type="dxa" w:w="1872"/>
            <w:shd w:fill="FFFFFF"/>
            <w:tcMar>
              <w:top w:w="100" w:type="dxa"/>
              <w:bottom w:w="100" w:type="dxa"/>
              <w:left w:w="100" w:type="dxa"/>
              <w:right w:w="100" w:type="dxa"/>
            </w:tcMar>
          </w:tcPr>
          <w:p>
            <w:pPr>
              <w:jc w:val="center"/>
            </w:pPr>
            <w:r>
              <w:rPr>
                <w:rFonts w:ascii="Calibri" w:hAnsi="Calibri"/>
                <w:b/>
                <w:color w:val="107C41"/>
                <w:sz w:val="18"/>
              </w:rPr>
              <w:t>30.7× mais rápido</w:t>
            </w:r>
          </w:p>
        </w:tc>
        <w:tc>
          <w:tcPr>
            <w:tcW w:type="dxa" w:w="2160"/>
            <w:shd w:fill="FFFFFF"/>
            <w:tcMar>
              <w:top w:w="100" w:type="dxa"/>
              <w:bottom w:w="100" w:type="dxa"/>
              <w:left w:w="100" w:type="dxa"/>
              <w:right w:w="100" w:type="dxa"/>
            </w:tcMar>
          </w:tcPr>
          <w:p>
            <w:pPr>
              <w:jc w:val="center"/>
            </w:pPr>
            <w:r>
              <w:rPr>
                <w:rFonts w:ascii="Calibri" w:hAnsi="Calibri"/>
                <w:color w:val="1E293B"/>
                <w:sz w:val="18"/>
              </w:rPr>
              <w:t>4.558 transientes/s</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3. Filtro de Kalman EKF (50 passos)</w:t>
            </w:r>
          </w:p>
        </w:tc>
        <w:tc>
          <w:tcPr>
            <w:tcW w:type="dxa" w:w="1728"/>
            <w:shd w:fill="F8FAFC"/>
            <w:tcMar>
              <w:top w:w="100" w:type="dxa"/>
              <w:bottom w:w="100" w:type="dxa"/>
              <w:left w:w="100" w:type="dxa"/>
              <w:right w:w="100" w:type="dxa"/>
            </w:tcMar>
          </w:tcPr>
          <w:p>
            <w:pPr>
              <w:jc w:val="center"/>
            </w:pPr>
            <w:r>
              <w:rPr>
                <w:rFonts w:ascii="Calibri" w:hAnsi="Calibri"/>
                <w:color w:val="1E293B"/>
                <w:sz w:val="18"/>
              </w:rPr>
              <w:t>43.70 ms</w:t>
            </w:r>
          </w:p>
        </w:tc>
        <w:tc>
          <w:tcPr>
            <w:tcW w:type="dxa" w:w="1872"/>
            <w:shd w:fill="F8FAFC"/>
            <w:tcMar>
              <w:top w:w="100" w:type="dxa"/>
              <w:bottom w:w="100" w:type="dxa"/>
              <w:left w:w="100" w:type="dxa"/>
              <w:right w:w="100" w:type="dxa"/>
            </w:tcMar>
          </w:tcPr>
          <w:p>
            <w:pPr>
              <w:jc w:val="center"/>
            </w:pPr>
            <w:r>
              <w:rPr>
                <w:rFonts w:ascii="Calibri" w:hAnsi="Calibri"/>
                <w:b/>
                <w:color w:val="0066CC"/>
                <w:sz w:val="18"/>
              </w:rPr>
              <w:t>4.46 ms</w:t>
            </w:r>
          </w:p>
        </w:tc>
        <w:tc>
          <w:tcPr>
            <w:tcW w:type="dxa" w:w="1872"/>
            <w:shd w:fill="F8FAFC"/>
            <w:tcMar>
              <w:top w:w="100" w:type="dxa"/>
              <w:bottom w:w="100" w:type="dxa"/>
              <w:left w:w="100" w:type="dxa"/>
              <w:right w:w="100" w:type="dxa"/>
            </w:tcMar>
          </w:tcPr>
          <w:p>
            <w:pPr>
              <w:jc w:val="center"/>
            </w:pPr>
            <w:r>
              <w:rPr>
                <w:rFonts w:ascii="Calibri" w:hAnsi="Calibri"/>
                <w:b/>
                <w:color w:val="107C41"/>
                <w:sz w:val="18"/>
              </w:rPr>
              <w:t>9.8× mais rápido</w:t>
            </w:r>
          </w:p>
        </w:tc>
        <w:tc>
          <w:tcPr>
            <w:tcW w:type="dxa" w:w="2160"/>
            <w:shd w:fill="F8FAFC"/>
            <w:tcMar>
              <w:top w:w="100" w:type="dxa"/>
              <w:bottom w:w="100" w:type="dxa"/>
              <w:left w:w="100" w:type="dxa"/>
              <w:right w:w="100" w:type="dxa"/>
            </w:tcMar>
          </w:tcPr>
          <w:p>
            <w:pPr>
              <w:jc w:val="center"/>
            </w:pPr>
            <w:r>
              <w:rPr>
                <w:rFonts w:ascii="Calibri" w:hAnsi="Calibri"/>
                <w:color w:val="1E293B"/>
                <w:sz w:val="18"/>
              </w:rPr>
              <w:t>224 filtros/s</w:t>
            </w:r>
          </w:p>
        </w:tc>
      </w:tr>
      <w:tr>
        <w:tc>
          <w:tcPr>
            <w:tcW w:type="dxa" w:w="3600"/>
            <w:shd w:fill="FFFFFF"/>
            <w:tcMar>
              <w:top w:w="100" w:type="dxa"/>
              <w:bottom w:w="100" w:type="dxa"/>
              <w:left w:w="100" w:type="dxa"/>
              <w:right w:w="100" w:type="dxa"/>
            </w:tcMar>
          </w:tcPr>
          <w:p>
            <w:pPr>
              <w:jc w:val="left"/>
            </w:pPr>
            <w:r>
              <w:rPr>
                <w:rFonts w:ascii="Calibri" w:hAnsi="Calibri"/>
                <w:color w:val="1E293B"/>
                <w:sz w:val="18"/>
              </w:rPr>
              <w:t>4. Otimização Global PSO (600 evals)</w:t>
            </w:r>
          </w:p>
        </w:tc>
        <w:tc>
          <w:tcPr>
            <w:tcW w:type="dxa" w:w="1728"/>
            <w:shd w:fill="FFFFFF"/>
            <w:tcMar>
              <w:top w:w="100" w:type="dxa"/>
              <w:bottom w:w="100" w:type="dxa"/>
              <w:left w:w="100" w:type="dxa"/>
              <w:right w:w="100" w:type="dxa"/>
            </w:tcMar>
          </w:tcPr>
          <w:p>
            <w:pPr>
              <w:jc w:val="center"/>
            </w:pPr>
            <w:r>
              <w:rPr>
                <w:rFonts w:ascii="Calibri" w:hAnsi="Calibri"/>
                <w:color w:val="1E293B"/>
                <w:sz w:val="18"/>
              </w:rPr>
              <w:t>1.01 ms</w:t>
            </w:r>
          </w:p>
        </w:tc>
        <w:tc>
          <w:tcPr>
            <w:tcW w:type="dxa" w:w="1872"/>
            <w:shd w:fill="FFFFFF"/>
            <w:tcMar>
              <w:top w:w="100" w:type="dxa"/>
              <w:bottom w:w="100" w:type="dxa"/>
              <w:left w:w="100" w:type="dxa"/>
              <w:right w:w="100" w:type="dxa"/>
            </w:tcMar>
          </w:tcPr>
          <w:p>
            <w:pPr>
              <w:jc w:val="center"/>
            </w:pPr>
            <w:r>
              <w:rPr>
                <w:rFonts w:ascii="Calibri" w:hAnsi="Calibri"/>
                <w:b/>
                <w:color w:val="0066CC"/>
                <w:sz w:val="18"/>
              </w:rPr>
              <w:t>0.016 ms</w:t>
            </w:r>
          </w:p>
        </w:tc>
        <w:tc>
          <w:tcPr>
            <w:tcW w:type="dxa" w:w="1872"/>
            <w:shd w:fill="FFFFFF"/>
            <w:tcMar>
              <w:top w:w="100" w:type="dxa"/>
              <w:bottom w:w="100" w:type="dxa"/>
              <w:left w:w="100" w:type="dxa"/>
              <w:right w:w="100" w:type="dxa"/>
            </w:tcMar>
          </w:tcPr>
          <w:p>
            <w:pPr>
              <w:jc w:val="center"/>
            </w:pPr>
            <w:r>
              <w:rPr>
                <w:rFonts w:ascii="Calibri" w:hAnsi="Calibri"/>
                <w:b/>
                <w:color w:val="107C41"/>
                <w:sz w:val="18"/>
              </w:rPr>
              <w:t>63.1× mais rápido</w:t>
            </w:r>
          </w:p>
        </w:tc>
        <w:tc>
          <w:tcPr>
            <w:tcW w:type="dxa" w:w="2160"/>
            <w:shd w:fill="FFFFFF"/>
            <w:tcMar>
              <w:top w:w="100" w:type="dxa"/>
              <w:bottom w:w="100" w:type="dxa"/>
              <w:left w:w="100" w:type="dxa"/>
              <w:right w:w="100" w:type="dxa"/>
            </w:tcMar>
          </w:tcPr>
          <w:p>
            <w:pPr>
              <w:jc w:val="center"/>
            </w:pPr>
            <w:r>
              <w:rPr>
                <w:rFonts w:ascii="Calibri" w:hAnsi="Calibri"/>
                <w:color w:val="1E293B"/>
                <w:sz w:val="18"/>
              </w:rPr>
              <w:t>61.659 otimizações/s</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5. Supervisório de Frota (4 ativos + PI)</w:t>
            </w:r>
          </w:p>
        </w:tc>
        <w:tc>
          <w:tcPr>
            <w:tcW w:type="dxa" w:w="1728"/>
            <w:shd w:fill="F8FAFC"/>
            <w:tcMar>
              <w:top w:w="100" w:type="dxa"/>
              <w:bottom w:w="100" w:type="dxa"/>
              <w:left w:w="100" w:type="dxa"/>
              <w:right w:w="100" w:type="dxa"/>
            </w:tcMar>
          </w:tcPr>
          <w:p>
            <w:pPr>
              <w:jc w:val="center"/>
            </w:pPr>
            <w:r>
              <w:rPr>
                <w:rFonts w:ascii="Calibri" w:hAnsi="Calibri"/>
                <w:color w:val="1E293B"/>
                <w:sz w:val="18"/>
              </w:rPr>
              <w:t>1.76 ms</w:t>
            </w:r>
          </w:p>
        </w:tc>
        <w:tc>
          <w:tcPr>
            <w:tcW w:type="dxa" w:w="1872"/>
            <w:shd w:fill="F8FAFC"/>
            <w:tcMar>
              <w:top w:w="100" w:type="dxa"/>
              <w:bottom w:w="100" w:type="dxa"/>
              <w:left w:w="100" w:type="dxa"/>
              <w:right w:w="100" w:type="dxa"/>
            </w:tcMar>
          </w:tcPr>
          <w:p>
            <w:pPr>
              <w:jc w:val="center"/>
            </w:pPr>
            <w:r>
              <w:rPr>
                <w:rFonts w:ascii="Calibri" w:hAnsi="Calibri"/>
                <w:b/>
                <w:color w:val="0066CC"/>
                <w:sz w:val="18"/>
              </w:rPr>
              <w:t>0.19 ms</w:t>
            </w:r>
          </w:p>
        </w:tc>
        <w:tc>
          <w:tcPr>
            <w:tcW w:type="dxa" w:w="1872"/>
            <w:shd w:fill="F8FAFC"/>
            <w:tcMar>
              <w:top w:w="100" w:type="dxa"/>
              <w:bottom w:w="100" w:type="dxa"/>
              <w:left w:w="100" w:type="dxa"/>
              <w:right w:w="100" w:type="dxa"/>
            </w:tcMar>
          </w:tcPr>
          <w:p>
            <w:pPr>
              <w:jc w:val="center"/>
            </w:pPr>
            <w:r>
              <w:rPr>
                <w:rFonts w:ascii="Calibri" w:hAnsi="Calibri"/>
                <w:b/>
                <w:color w:val="107C41"/>
                <w:sz w:val="18"/>
              </w:rPr>
              <w:t>9.4× mais rápido</w:t>
            </w:r>
          </w:p>
        </w:tc>
        <w:tc>
          <w:tcPr>
            <w:tcW w:type="dxa" w:w="2160"/>
            <w:shd w:fill="F8FAFC"/>
            <w:tcMar>
              <w:top w:w="100" w:type="dxa"/>
              <w:bottom w:w="100" w:type="dxa"/>
              <w:left w:w="100" w:type="dxa"/>
              <w:right w:w="100" w:type="dxa"/>
            </w:tcMar>
          </w:tcPr>
          <w:p>
            <w:pPr>
              <w:jc w:val="center"/>
            </w:pPr>
            <w:r>
              <w:rPr>
                <w:rFonts w:ascii="Calibri" w:hAnsi="Calibri"/>
                <w:color w:val="1E293B"/>
                <w:sz w:val="18"/>
              </w:rPr>
              <w:t>5.318 varreduras/s</w:t>
            </w:r>
          </w:p>
        </w:tc>
      </w:tr>
    </w:tbl>
    <w:p>
      <w:pPr>
        <w:spacing w:after="200"/>
      </w:pPr>
    </w:p>
    <w:p>
      <w:pPr>
        <w:pStyle w:val="Heading1"/>
        <w:spacing w:before="280" w:after="120"/>
      </w:pPr>
      <w:r>
        <w:rPr>
          <w:rFonts w:ascii="Calibri" w:hAnsi="Calibri"/>
          <w:color w:val="0F2C59"/>
          <w:sz w:val="30"/>
        </w:rPr>
        <w:t>3. Validação de Precisão Numérica &amp; Fidelidade Física</w:t>
      </w:r>
    </w:p>
    <w:p>
      <w:pPr>
        <w:spacing w:line="276" w:lineRule="auto" w:after="160"/>
      </w:pPr>
      <w:r>
        <w:t>A reescrita em Rust não apenas manteve a precisão analítica como garantiu conformidade estrita aos padrões IEEE 754 de 64 bits. As grandezas calculadas nos pontos termodinâmicos do trem offshore foram comparadas lado a lado:</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fill="0F2C59"/>
            <w:tcMar>
              <w:top w:w="140" w:type="dxa"/>
              <w:bottom w:w="140" w:type="dxa"/>
              <w:left w:w="120" w:type="dxa"/>
              <w:right w:w="120" w:type="dxa"/>
            </w:tcMar>
          </w:tcPr>
          <w:p>
            <w:pPr>
              <w:jc w:val="center"/>
            </w:pPr>
            <w:r>
              <w:rPr>
                <w:rFonts w:ascii="Calibri" w:hAnsi="Calibri"/>
                <w:b/>
                <w:color w:val="FFFFFF"/>
                <w:sz w:val="19"/>
              </w:rPr>
              <w:t>Grandeza / KPI Monitorado</w:t>
            </w:r>
          </w:p>
        </w:tc>
        <w:tc>
          <w:tcPr>
            <w:tcW w:type="dxa" w:w="1728"/>
            <w:shd w:fill="0F2C59"/>
            <w:tcMar>
              <w:top w:w="140" w:type="dxa"/>
              <w:bottom w:w="140" w:type="dxa"/>
              <w:left w:w="120" w:type="dxa"/>
              <w:right w:w="120" w:type="dxa"/>
            </w:tcMar>
          </w:tcPr>
          <w:p>
            <w:pPr>
              <w:jc w:val="center"/>
            </w:pPr>
            <w:r>
              <w:rPr>
                <w:rFonts w:ascii="Calibri" w:hAnsi="Calibri"/>
                <w:b/>
                <w:color w:val="FFFFFF"/>
                <w:sz w:val="19"/>
              </w:rPr>
              <w:t>Valor Python</w:t>
            </w:r>
          </w:p>
        </w:tc>
        <w:tc>
          <w:tcPr>
            <w:tcW w:type="dxa" w:w="1728"/>
            <w:shd w:fill="0F2C59"/>
            <w:tcMar>
              <w:top w:w="140" w:type="dxa"/>
              <w:bottom w:w="140" w:type="dxa"/>
              <w:left w:w="120" w:type="dxa"/>
              <w:right w:w="120" w:type="dxa"/>
            </w:tcMar>
          </w:tcPr>
          <w:p>
            <w:pPr>
              <w:jc w:val="center"/>
            </w:pPr>
            <w:r>
              <w:rPr>
                <w:rFonts w:ascii="Calibri" w:hAnsi="Calibri"/>
                <w:b/>
                <w:color w:val="FFFFFF"/>
                <w:sz w:val="19"/>
              </w:rPr>
              <w:t>Valor Rust 2.0</w:t>
            </w:r>
          </w:p>
        </w:tc>
        <w:tc>
          <w:tcPr>
            <w:tcW w:type="dxa" w:w="1872"/>
            <w:shd w:fill="0F2C59"/>
            <w:tcMar>
              <w:top w:w="140" w:type="dxa"/>
              <w:bottom w:w="140" w:type="dxa"/>
              <w:left w:w="120" w:type="dxa"/>
              <w:right w:w="120" w:type="dxa"/>
            </w:tcMar>
          </w:tcPr>
          <w:p>
            <w:pPr>
              <w:jc w:val="center"/>
            </w:pPr>
            <w:r>
              <w:rPr>
                <w:rFonts w:ascii="Calibri" w:hAnsi="Calibri"/>
                <w:b/>
                <w:color w:val="FFFFFF"/>
                <w:sz w:val="19"/>
              </w:rPr>
              <w:t>Erro Relativo (Δ)</w:t>
            </w:r>
          </w:p>
        </w:tc>
        <w:tc>
          <w:tcPr>
            <w:tcW w:type="dxa" w:w="2304"/>
            <w:shd w:fill="0F2C59"/>
            <w:tcMar>
              <w:top w:w="140" w:type="dxa"/>
              <w:bottom w:w="140" w:type="dxa"/>
              <w:left w:w="120" w:type="dxa"/>
              <w:right w:w="120" w:type="dxa"/>
            </w:tcMar>
          </w:tcPr>
          <w:p>
            <w:pPr>
              <w:jc w:val="center"/>
            </w:pPr>
            <w:r>
              <w:rPr>
                <w:rFonts w:ascii="Calibri" w:hAnsi="Calibri"/>
                <w:b/>
                <w:color w:val="FFFFFF"/>
                <w:sz w:val="19"/>
              </w:rPr>
              <w:t>Conformidade Normativa</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Potência Total Consumida (W_total)</w:t>
            </w:r>
          </w:p>
        </w:tc>
        <w:tc>
          <w:tcPr>
            <w:tcW w:type="dxa" w:w="1728"/>
            <w:shd w:fill="F8FAFC"/>
            <w:tcMar>
              <w:top w:w="100" w:type="dxa"/>
              <w:bottom w:w="100" w:type="dxa"/>
              <w:left w:w="100" w:type="dxa"/>
              <w:right w:w="100" w:type="dxa"/>
            </w:tcMar>
          </w:tcPr>
          <w:p>
            <w:pPr>
              <w:jc w:val="center"/>
            </w:pPr>
            <w:r>
              <w:rPr>
                <w:rFonts w:ascii="Calibri" w:hAnsi="Calibri"/>
                <w:color w:val="1E293B"/>
                <w:sz w:val="18"/>
              </w:rPr>
              <w:t>42.51 kW</w:t>
            </w:r>
          </w:p>
        </w:tc>
        <w:tc>
          <w:tcPr>
            <w:tcW w:type="dxa" w:w="1728"/>
            <w:shd w:fill="F8FAFC"/>
            <w:tcMar>
              <w:top w:w="100" w:type="dxa"/>
              <w:bottom w:w="100" w:type="dxa"/>
              <w:left w:w="100" w:type="dxa"/>
              <w:right w:w="100" w:type="dxa"/>
            </w:tcMar>
          </w:tcPr>
          <w:p>
            <w:pPr>
              <w:jc w:val="center"/>
            </w:pPr>
            <w:r>
              <w:rPr>
                <w:rFonts w:ascii="Calibri" w:hAnsi="Calibri"/>
                <w:color w:val="1E293B"/>
                <w:sz w:val="18"/>
              </w:rPr>
              <w:t>42.51 kW</w:t>
            </w:r>
          </w:p>
        </w:tc>
        <w:tc>
          <w:tcPr>
            <w:tcW w:type="dxa" w:w="1872"/>
            <w:shd w:fill="F8FAFC"/>
            <w:tcMar>
              <w:top w:w="100" w:type="dxa"/>
              <w:bottom w:w="100" w:type="dxa"/>
              <w:left w:w="100" w:type="dxa"/>
              <w:right w:w="100" w:type="dxa"/>
            </w:tcMar>
          </w:tcPr>
          <w:p>
            <w:pPr>
              <w:jc w:val="center"/>
            </w:pPr>
            <w:r>
              <w:rPr>
                <w:rFonts w:ascii="Calibri" w:hAnsi="Calibri"/>
                <w:b/>
                <w:color w:val="107C41"/>
                <w:sz w:val="18"/>
              </w:rPr>
              <w:t>&lt; 10⁻⁷ %</w:t>
            </w:r>
          </w:p>
        </w:tc>
        <w:tc>
          <w:tcPr>
            <w:tcW w:type="dxa" w:w="2304"/>
            <w:shd w:fill="F8FAFC"/>
            <w:tcMar>
              <w:top w:w="100" w:type="dxa"/>
              <w:bottom w:w="100" w:type="dxa"/>
              <w:left w:w="100" w:type="dxa"/>
              <w:right w:w="100" w:type="dxa"/>
            </w:tcMar>
          </w:tcPr>
          <w:p>
            <w:pPr>
              <w:jc w:val="center"/>
            </w:pPr>
            <w:r>
              <w:rPr>
                <w:rFonts w:ascii="Calibri" w:hAnsi="Calibri"/>
                <w:color w:val="1E293B"/>
                <w:sz w:val="18"/>
              </w:rPr>
              <w:t>ISO 1217 Anexo C</w:t>
            </w:r>
          </w:p>
        </w:tc>
      </w:tr>
      <w:tr>
        <w:tc>
          <w:tcPr>
            <w:tcW w:type="dxa" w:w="3600"/>
            <w:shd w:fill="FFFFFF"/>
            <w:tcMar>
              <w:top w:w="100" w:type="dxa"/>
              <w:bottom w:w="100" w:type="dxa"/>
              <w:left w:w="100" w:type="dxa"/>
              <w:right w:w="100" w:type="dxa"/>
            </w:tcMar>
          </w:tcPr>
          <w:p>
            <w:pPr>
              <w:jc w:val="left"/>
            </w:pPr>
            <w:r>
              <w:rPr>
                <w:rFonts w:ascii="Calibri" w:hAnsi="Calibri"/>
                <w:color w:val="1E293B"/>
                <w:sz w:val="18"/>
              </w:rPr>
              <w:t>Consumo Específico de Energia (SPC)</w:t>
            </w:r>
          </w:p>
        </w:tc>
        <w:tc>
          <w:tcPr>
            <w:tcW w:type="dxa" w:w="1728"/>
            <w:shd w:fill="FFFFFF"/>
            <w:tcMar>
              <w:top w:w="100" w:type="dxa"/>
              <w:bottom w:w="100" w:type="dxa"/>
              <w:left w:w="100" w:type="dxa"/>
              <w:right w:w="100" w:type="dxa"/>
            </w:tcMar>
          </w:tcPr>
          <w:p>
            <w:pPr>
              <w:jc w:val="center"/>
            </w:pPr>
            <w:r>
              <w:rPr>
                <w:rFonts w:ascii="Calibri" w:hAnsi="Calibri"/>
                <w:color w:val="1E293B"/>
                <w:sz w:val="18"/>
              </w:rPr>
              <w:t>6.38 kW·min/m³</w:t>
            </w:r>
          </w:p>
        </w:tc>
        <w:tc>
          <w:tcPr>
            <w:tcW w:type="dxa" w:w="1728"/>
            <w:shd w:fill="FFFFFF"/>
            <w:tcMar>
              <w:top w:w="100" w:type="dxa"/>
              <w:bottom w:w="100" w:type="dxa"/>
              <w:left w:w="100" w:type="dxa"/>
              <w:right w:w="100" w:type="dxa"/>
            </w:tcMar>
          </w:tcPr>
          <w:p>
            <w:pPr>
              <w:jc w:val="center"/>
            </w:pPr>
            <w:r>
              <w:rPr>
                <w:rFonts w:ascii="Calibri" w:hAnsi="Calibri"/>
                <w:color w:val="1E293B"/>
                <w:sz w:val="18"/>
              </w:rPr>
              <w:t>6.38 kW·min/m³</w:t>
            </w:r>
          </w:p>
        </w:tc>
        <w:tc>
          <w:tcPr>
            <w:tcW w:type="dxa" w:w="1872"/>
            <w:shd w:fill="FFFFFF"/>
            <w:tcMar>
              <w:top w:w="100" w:type="dxa"/>
              <w:bottom w:w="100" w:type="dxa"/>
              <w:left w:w="100" w:type="dxa"/>
              <w:right w:w="100" w:type="dxa"/>
            </w:tcMar>
          </w:tcPr>
          <w:p>
            <w:pPr>
              <w:jc w:val="center"/>
            </w:pPr>
            <w:r>
              <w:rPr>
                <w:rFonts w:ascii="Calibri" w:hAnsi="Calibri"/>
                <w:b/>
                <w:color w:val="107C41"/>
                <w:sz w:val="18"/>
              </w:rPr>
              <w:t>&lt; 10⁻⁷ %</w:t>
            </w:r>
          </w:p>
        </w:tc>
        <w:tc>
          <w:tcPr>
            <w:tcW w:type="dxa" w:w="2304"/>
            <w:shd w:fill="FFFFFF"/>
            <w:tcMar>
              <w:top w:w="100" w:type="dxa"/>
              <w:bottom w:w="100" w:type="dxa"/>
              <w:left w:w="100" w:type="dxa"/>
              <w:right w:w="100" w:type="dxa"/>
            </w:tcMar>
          </w:tcPr>
          <w:p>
            <w:pPr>
              <w:jc w:val="center"/>
            </w:pPr>
            <w:r>
              <w:rPr>
                <w:rFonts w:ascii="Calibri" w:hAnsi="Calibri"/>
                <w:color w:val="1E293B"/>
                <w:sz w:val="18"/>
              </w:rPr>
              <w:t>ISO 1217 Anexo E</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Pressão Sucção LP (Ponto B sub-atm.)</w:t>
            </w:r>
          </w:p>
        </w:tc>
        <w:tc>
          <w:tcPr>
            <w:tcW w:type="dxa" w:w="1728"/>
            <w:shd w:fill="F8FAFC"/>
            <w:tcMar>
              <w:top w:w="100" w:type="dxa"/>
              <w:bottom w:w="100" w:type="dxa"/>
              <w:left w:w="100" w:type="dxa"/>
              <w:right w:w="100" w:type="dxa"/>
            </w:tcMar>
          </w:tcPr>
          <w:p>
            <w:pPr>
              <w:jc w:val="center"/>
            </w:pPr>
            <w:r>
              <w:rPr>
                <w:rFonts w:ascii="Calibri" w:hAnsi="Calibri"/>
                <w:color w:val="1E293B"/>
                <w:sz w:val="18"/>
              </w:rPr>
              <w:t>0.993 bar</w:t>
            </w:r>
          </w:p>
        </w:tc>
        <w:tc>
          <w:tcPr>
            <w:tcW w:type="dxa" w:w="1728"/>
            <w:shd w:fill="F8FAFC"/>
            <w:tcMar>
              <w:top w:w="100" w:type="dxa"/>
              <w:bottom w:w="100" w:type="dxa"/>
              <w:left w:w="100" w:type="dxa"/>
              <w:right w:w="100" w:type="dxa"/>
            </w:tcMar>
          </w:tcPr>
          <w:p>
            <w:pPr>
              <w:jc w:val="center"/>
            </w:pPr>
            <w:r>
              <w:rPr>
                <w:rFonts w:ascii="Calibri" w:hAnsi="Calibri"/>
                <w:color w:val="1E293B"/>
                <w:sz w:val="18"/>
              </w:rPr>
              <w:t>0.993 bar</w:t>
            </w:r>
          </w:p>
        </w:tc>
        <w:tc>
          <w:tcPr>
            <w:tcW w:type="dxa" w:w="1872"/>
            <w:shd w:fill="F8FAFC"/>
            <w:tcMar>
              <w:top w:w="100" w:type="dxa"/>
              <w:bottom w:w="100" w:type="dxa"/>
              <w:left w:w="100" w:type="dxa"/>
              <w:right w:w="100" w:type="dxa"/>
            </w:tcMar>
          </w:tcPr>
          <w:p>
            <w:pPr>
              <w:jc w:val="center"/>
            </w:pPr>
            <w:r>
              <w:rPr>
                <w:rFonts w:ascii="Calibri" w:hAnsi="Calibri"/>
                <w:b/>
                <w:color w:val="107C41"/>
                <w:sz w:val="18"/>
              </w:rPr>
              <w:t>0.00 %</w:t>
            </w:r>
          </w:p>
        </w:tc>
        <w:tc>
          <w:tcPr>
            <w:tcW w:type="dxa" w:w="2304"/>
            <w:shd w:fill="F8FAFC"/>
            <w:tcMar>
              <w:top w:w="100" w:type="dxa"/>
              <w:bottom w:w="100" w:type="dxa"/>
              <w:left w:w="100" w:type="dxa"/>
              <w:right w:w="100" w:type="dxa"/>
            </w:tcMar>
          </w:tcPr>
          <w:p>
            <w:pPr>
              <w:jc w:val="center"/>
            </w:pPr>
            <w:r>
              <w:rPr>
                <w:rFonts w:ascii="Calibri" w:hAnsi="Calibri"/>
                <w:color w:val="1E293B"/>
                <w:sz w:val="18"/>
              </w:rPr>
              <w:t>Perda quadrática no filtro</w:t>
            </w:r>
          </w:p>
        </w:tc>
      </w:tr>
      <w:tr>
        <w:tc>
          <w:tcPr>
            <w:tcW w:type="dxa" w:w="3600"/>
            <w:shd w:fill="FFFFFF"/>
            <w:tcMar>
              <w:top w:w="100" w:type="dxa"/>
              <w:bottom w:w="100" w:type="dxa"/>
              <w:left w:w="100" w:type="dxa"/>
              <w:right w:w="100" w:type="dxa"/>
            </w:tcMar>
          </w:tcPr>
          <w:p>
            <w:pPr>
              <w:jc w:val="left"/>
            </w:pPr>
            <w:r>
              <w:rPr>
                <w:rFonts w:ascii="Calibri" w:hAnsi="Calibri"/>
                <w:color w:val="1E293B"/>
                <w:sz w:val="18"/>
              </w:rPr>
              <w:t>Temperatura Descarga HP (Ponto E)</w:t>
            </w:r>
          </w:p>
        </w:tc>
        <w:tc>
          <w:tcPr>
            <w:tcW w:type="dxa" w:w="1728"/>
            <w:shd w:fill="FFFFFF"/>
            <w:tcMar>
              <w:top w:w="100" w:type="dxa"/>
              <w:bottom w:w="100" w:type="dxa"/>
              <w:left w:w="100" w:type="dxa"/>
              <w:right w:w="100" w:type="dxa"/>
            </w:tcMar>
          </w:tcPr>
          <w:p>
            <w:pPr>
              <w:jc w:val="center"/>
            </w:pPr>
            <w:r>
              <w:rPr>
                <w:rFonts w:ascii="Calibri" w:hAnsi="Calibri"/>
                <w:color w:val="1E293B"/>
                <w:sz w:val="18"/>
              </w:rPr>
              <w:t>158.4 °C</w:t>
            </w:r>
          </w:p>
        </w:tc>
        <w:tc>
          <w:tcPr>
            <w:tcW w:type="dxa" w:w="1728"/>
            <w:shd w:fill="FFFFFF"/>
            <w:tcMar>
              <w:top w:w="100" w:type="dxa"/>
              <w:bottom w:w="100" w:type="dxa"/>
              <w:left w:w="100" w:type="dxa"/>
              <w:right w:w="100" w:type="dxa"/>
            </w:tcMar>
          </w:tcPr>
          <w:p>
            <w:pPr>
              <w:jc w:val="center"/>
            </w:pPr>
            <w:r>
              <w:rPr>
                <w:rFonts w:ascii="Calibri" w:hAnsi="Calibri"/>
                <w:color w:val="1E293B"/>
                <w:sz w:val="18"/>
              </w:rPr>
              <w:t>158.4 °C</w:t>
            </w:r>
          </w:p>
        </w:tc>
        <w:tc>
          <w:tcPr>
            <w:tcW w:type="dxa" w:w="1872"/>
            <w:shd w:fill="FFFFFF"/>
            <w:tcMar>
              <w:top w:w="100" w:type="dxa"/>
              <w:bottom w:w="100" w:type="dxa"/>
              <w:left w:w="100" w:type="dxa"/>
              <w:right w:w="100" w:type="dxa"/>
            </w:tcMar>
          </w:tcPr>
          <w:p>
            <w:pPr>
              <w:jc w:val="center"/>
            </w:pPr>
            <w:r>
              <w:rPr>
                <w:rFonts w:ascii="Calibri" w:hAnsi="Calibri"/>
                <w:b/>
                <w:color w:val="107C41"/>
                <w:sz w:val="18"/>
              </w:rPr>
              <w:t>0.00 %</w:t>
            </w:r>
          </w:p>
        </w:tc>
        <w:tc>
          <w:tcPr>
            <w:tcW w:type="dxa" w:w="2304"/>
            <w:shd w:fill="FFFFFF"/>
            <w:tcMar>
              <w:top w:w="100" w:type="dxa"/>
              <w:bottom w:w="100" w:type="dxa"/>
              <w:left w:w="100" w:type="dxa"/>
              <w:right w:w="100" w:type="dxa"/>
            </w:tcMar>
          </w:tcPr>
          <w:p>
            <w:pPr>
              <w:jc w:val="center"/>
            </w:pPr>
            <w:r>
              <w:rPr>
                <w:rFonts w:ascii="Calibri" w:hAnsi="Calibri"/>
                <w:color w:val="1E293B"/>
                <w:sz w:val="18"/>
              </w:rPr>
              <w:t>API 619 Limite Térmico</w:t>
            </w:r>
          </w:p>
        </w:tc>
      </w:tr>
      <w:tr>
        <w:tc>
          <w:tcPr>
            <w:tcW w:type="dxa" w:w="3600"/>
            <w:shd w:fill="F8FAFC"/>
            <w:tcMar>
              <w:top w:w="100" w:type="dxa"/>
              <w:bottom w:w="100" w:type="dxa"/>
              <w:left w:w="100" w:type="dxa"/>
              <w:right w:w="100" w:type="dxa"/>
            </w:tcMar>
          </w:tcPr>
          <w:p>
            <w:pPr>
              <w:jc w:val="left"/>
            </w:pPr>
            <w:r>
              <w:rPr>
                <w:rFonts w:ascii="Calibri" w:hAnsi="Calibri"/>
                <w:color w:val="1E293B"/>
                <w:sz w:val="18"/>
              </w:rPr>
              <w:t>Ponto de Orvalho sob Pressão (PDP)</w:t>
            </w:r>
          </w:p>
        </w:tc>
        <w:tc>
          <w:tcPr>
            <w:tcW w:type="dxa" w:w="1728"/>
            <w:shd w:fill="F8FAFC"/>
            <w:tcMar>
              <w:top w:w="100" w:type="dxa"/>
              <w:bottom w:w="100" w:type="dxa"/>
              <w:left w:w="100" w:type="dxa"/>
              <w:right w:w="100" w:type="dxa"/>
            </w:tcMar>
          </w:tcPr>
          <w:p>
            <w:pPr>
              <w:jc w:val="center"/>
            </w:pPr>
            <w:r>
              <w:rPr>
                <w:rFonts w:ascii="Calibri" w:hAnsi="Calibri"/>
                <w:color w:val="1E293B"/>
                <w:sz w:val="18"/>
              </w:rPr>
              <w:t>-40.0 °C</w:t>
            </w:r>
          </w:p>
        </w:tc>
        <w:tc>
          <w:tcPr>
            <w:tcW w:type="dxa" w:w="1728"/>
            <w:shd w:fill="F8FAFC"/>
            <w:tcMar>
              <w:top w:w="100" w:type="dxa"/>
              <w:bottom w:w="100" w:type="dxa"/>
              <w:left w:w="100" w:type="dxa"/>
              <w:right w:w="100" w:type="dxa"/>
            </w:tcMar>
          </w:tcPr>
          <w:p>
            <w:pPr>
              <w:jc w:val="center"/>
            </w:pPr>
            <w:r>
              <w:rPr>
                <w:rFonts w:ascii="Calibri" w:hAnsi="Calibri"/>
                <w:color w:val="1E293B"/>
                <w:sz w:val="18"/>
              </w:rPr>
              <w:t>-40.0 °C</w:t>
            </w:r>
          </w:p>
        </w:tc>
        <w:tc>
          <w:tcPr>
            <w:tcW w:type="dxa" w:w="1872"/>
            <w:shd w:fill="F8FAFC"/>
            <w:tcMar>
              <w:top w:w="100" w:type="dxa"/>
              <w:bottom w:w="100" w:type="dxa"/>
              <w:left w:w="100" w:type="dxa"/>
              <w:right w:w="100" w:type="dxa"/>
            </w:tcMar>
          </w:tcPr>
          <w:p>
            <w:pPr>
              <w:jc w:val="center"/>
            </w:pPr>
            <w:r>
              <w:rPr>
                <w:rFonts w:ascii="Calibri" w:hAnsi="Calibri"/>
                <w:b/>
                <w:color w:val="107C41"/>
                <w:sz w:val="18"/>
              </w:rPr>
              <w:t>0.00 %</w:t>
            </w:r>
          </w:p>
        </w:tc>
        <w:tc>
          <w:tcPr>
            <w:tcW w:type="dxa" w:w="2304"/>
            <w:shd w:fill="F8FAFC"/>
            <w:tcMar>
              <w:top w:w="100" w:type="dxa"/>
              <w:bottom w:w="100" w:type="dxa"/>
              <w:left w:w="100" w:type="dxa"/>
              <w:right w:w="100" w:type="dxa"/>
            </w:tcMar>
          </w:tcPr>
          <w:p>
            <w:pPr>
              <w:jc w:val="center"/>
            </w:pPr>
            <w:r>
              <w:rPr>
                <w:rFonts w:ascii="Calibri" w:hAnsi="Calibri"/>
                <w:color w:val="1E293B"/>
                <w:sz w:val="18"/>
              </w:rPr>
              <w:t>ISO 8573-1 Classe 2</w:t>
            </w:r>
          </w:p>
        </w:tc>
      </w:tr>
      <w:tr>
        <w:tc>
          <w:tcPr>
            <w:tcW w:type="dxa" w:w="3600"/>
            <w:shd w:fill="FFFFFF"/>
            <w:tcMar>
              <w:top w:w="100" w:type="dxa"/>
              <w:bottom w:w="100" w:type="dxa"/>
              <w:left w:w="100" w:type="dxa"/>
              <w:right w:w="100" w:type="dxa"/>
            </w:tcMar>
          </w:tcPr>
          <w:p>
            <w:pPr>
              <w:jc w:val="left"/>
            </w:pPr>
            <w:r>
              <w:rPr>
                <w:rFonts w:ascii="Calibri" w:hAnsi="Calibri"/>
                <w:color w:val="1E293B"/>
                <w:sz w:val="18"/>
              </w:rPr>
              <w:t>Energia Acumulada no Transiente (30 min)</w:t>
            </w:r>
          </w:p>
        </w:tc>
        <w:tc>
          <w:tcPr>
            <w:tcW w:type="dxa" w:w="1728"/>
            <w:shd w:fill="FFFFFF"/>
            <w:tcMar>
              <w:top w:w="100" w:type="dxa"/>
              <w:bottom w:w="100" w:type="dxa"/>
              <w:left w:w="100" w:type="dxa"/>
              <w:right w:w="100" w:type="dxa"/>
            </w:tcMar>
          </w:tcPr>
          <w:p>
            <w:pPr>
              <w:jc w:val="center"/>
            </w:pPr>
            <w:r>
              <w:rPr>
                <w:rFonts w:ascii="Calibri" w:hAnsi="Calibri"/>
                <w:color w:val="1E293B"/>
                <w:sz w:val="18"/>
              </w:rPr>
              <w:t>21.71 kWh</w:t>
            </w:r>
          </w:p>
        </w:tc>
        <w:tc>
          <w:tcPr>
            <w:tcW w:type="dxa" w:w="1728"/>
            <w:shd w:fill="FFFFFF"/>
            <w:tcMar>
              <w:top w:w="100" w:type="dxa"/>
              <w:bottom w:w="100" w:type="dxa"/>
              <w:left w:w="100" w:type="dxa"/>
              <w:right w:w="100" w:type="dxa"/>
            </w:tcMar>
          </w:tcPr>
          <w:p>
            <w:pPr>
              <w:jc w:val="center"/>
            </w:pPr>
            <w:r>
              <w:rPr>
                <w:rFonts w:ascii="Calibri" w:hAnsi="Calibri"/>
                <w:color w:val="1E293B"/>
                <w:sz w:val="18"/>
              </w:rPr>
              <w:t>21.71 kWh</w:t>
            </w:r>
          </w:p>
        </w:tc>
        <w:tc>
          <w:tcPr>
            <w:tcW w:type="dxa" w:w="1872"/>
            <w:shd w:fill="FFFFFF"/>
            <w:tcMar>
              <w:top w:w="100" w:type="dxa"/>
              <w:bottom w:w="100" w:type="dxa"/>
              <w:left w:w="100" w:type="dxa"/>
              <w:right w:w="100" w:type="dxa"/>
            </w:tcMar>
          </w:tcPr>
          <w:p>
            <w:pPr>
              <w:jc w:val="center"/>
            </w:pPr>
            <w:r>
              <w:rPr>
                <w:rFonts w:ascii="Calibri" w:hAnsi="Calibri"/>
                <w:b/>
                <w:color w:val="107C41"/>
                <w:sz w:val="18"/>
              </w:rPr>
              <w:t>0.00 %</w:t>
            </w:r>
          </w:p>
        </w:tc>
        <w:tc>
          <w:tcPr>
            <w:tcW w:type="dxa" w:w="2304"/>
            <w:shd w:fill="FFFFFF"/>
            <w:tcMar>
              <w:top w:w="100" w:type="dxa"/>
              <w:bottom w:w="100" w:type="dxa"/>
              <w:left w:w="100" w:type="dxa"/>
              <w:right w:w="100" w:type="dxa"/>
            </w:tcMar>
          </w:tcPr>
          <w:p>
            <w:pPr>
              <w:jc w:val="center"/>
            </w:pPr>
            <w:r>
              <w:rPr>
                <w:rFonts w:ascii="Calibri" w:hAnsi="Calibri"/>
                <w:color w:val="1E293B"/>
                <w:sz w:val="18"/>
              </w:rPr>
              <w:t>ASME VIII Div. 1</w:t>
            </w:r>
          </w:p>
        </w:tc>
      </w:tr>
    </w:tbl>
    <w:p>
      <w:pPr>
        <w:spacing w:after="200"/>
      </w:pPr>
    </w:p>
    <w:p>
      <w:pPr>
        <w:pStyle w:val="Heading1"/>
        <w:spacing w:before="280" w:after="120"/>
      </w:pPr>
      <w:r>
        <w:rPr>
          <w:rFonts w:ascii="Calibri" w:hAnsi="Calibri"/>
          <w:color w:val="0F2C59"/>
          <w:sz w:val="30"/>
        </w:rPr>
        <w:t>4. Consumo de Recursos &amp; Arquitetura Web</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0F2C59"/>
            <w:tcMar>
              <w:top w:w="140" w:type="dxa"/>
              <w:bottom w:w="140" w:type="dxa"/>
              <w:left w:w="120" w:type="dxa"/>
              <w:right w:w="120" w:type="dxa"/>
            </w:tcMar>
          </w:tcPr>
          <w:p>
            <w:pPr>
              <w:jc w:val="center"/>
            </w:pPr>
            <w:r>
              <w:rPr>
                <w:rFonts w:ascii="Calibri" w:hAnsi="Calibri"/>
                <w:b/>
                <w:color w:val="FFFFFF"/>
                <w:sz w:val="19"/>
              </w:rPr>
              <w:t>Aspecto de Engenharia</w:t>
            </w:r>
          </w:p>
        </w:tc>
        <w:tc>
          <w:tcPr>
            <w:tcW w:type="dxa" w:w="2304"/>
            <w:shd w:fill="0F2C59"/>
            <w:tcMar>
              <w:top w:w="140" w:type="dxa"/>
              <w:bottom w:w="140" w:type="dxa"/>
              <w:left w:w="120" w:type="dxa"/>
              <w:right w:w="120" w:type="dxa"/>
            </w:tcMar>
          </w:tcPr>
          <w:p>
            <w:pPr>
              <w:jc w:val="center"/>
            </w:pPr>
            <w:r>
              <w:rPr>
                <w:rFonts w:ascii="Calibri" w:hAnsi="Calibri"/>
                <w:b/>
                <w:color w:val="FFFFFF"/>
                <w:sz w:val="19"/>
              </w:rPr>
              <w:t>Python (Streamlit)</w:t>
            </w:r>
          </w:p>
        </w:tc>
        <w:tc>
          <w:tcPr>
            <w:tcW w:type="dxa" w:w="2304"/>
            <w:shd w:fill="0F2C59"/>
            <w:tcMar>
              <w:top w:w="140" w:type="dxa"/>
              <w:bottom w:w="140" w:type="dxa"/>
              <w:left w:w="120" w:type="dxa"/>
              <w:right w:w="120" w:type="dxa"/>
            </w:tcMar>
          </w:tcPr>
          <w:p>
            <w:pPr>
              <w:jc w:val="center"/>
            </w:pPr>
            <w:r>
              <w:rPr>
                <w:rFonts w:ascii="Calibri" w:hAnsi="Calibri"/>
                <w:b/>
                <w:color w:val="FFFFFF"/>
                <w:sz w:val="19"/>
              </w:rPr>
              <w:t>Rust 2.0 (Axum + SPA)</w:t>
            </w:r>
          </w:p>
        </w:tc>
        <w:tc>
          <w:tcPr>
            <w:tcW w:type="dxa" w:w="3456"/>
            <w:shd w:fill="0F2C59"/>
            <w:tcMar>
              <w:top w:w="140" w:type="dxa"/>
              <w:bottom w:w="140" w:type="dxa"/>
              <w:left w:w="120" w:type="dxa"/>
              <w:right w:w="120" w:type="dxa"/>
            </w:tcMar>
          </w:tcPr>
          <w:p>
            <w:pPr>
              <w:jc w:val="center"/>
            </w:pPr>
            <w:r>
              <w:rPr>
                <w:rFonts w:ascii="Calibri" w:hAnsi="Calibri"/>
                <w:b/>
                <w:color w:val="FFFFFF"/>
                <w:sz w:val="19"/>
              </w:rPr>
              <w:t>Impacto Técnico no Sistema</w:t>
            </w:r>
          </w:p>
        </w:tc>
      </w:tr>
      <w:tr>
        <w:tc>
          <w:tcPr>
            <w:tcW w:type="dxa" w:w="3168"/>
            <w:shd w:fill="F8FAFC"/>
            <w:tcMar>
              <w:top w:w="100" w:type="dxa"/>
              <w:bottom w:w="100" w:type="dxa"/>
              <w:left w:w="100" w:type="dxa"/>
              <w:right w:w="100" w:type="dxa"/>
            </w:tcMar>
          </w:tcPr>
          <w:p>
            <w:pPr>
              <w:jc w:val="left"/>
            </w:pPr>
            <w:r>
              <w:rPr>
                <w:rFonts w:ascii="Calibri" w:hAnsi="Calibri"/>
                <w:color w:val="1E293B"/>
                <w:sz w:val="18"/>
              </w:rPr>
              <w:t>Uso de Memória RAM (Base)</w:t>
            </w:r>
          </w:p>
        </w:tc>
        <w:tc>
          <w:tcPr>
            <w:tcW w:type="dxa" w:w="2304"/>
            <w:shd w:fill="F8FAFC"/>
            <w:tcMar>
              <w:top w:w="100" w:type="dxa"/>
              <w:bottom w:w="100" w:type="dxa"/>
              <w:left w:w="100" w:type="dxa"/>
              <w:right w:w="100" w:type="dxa"/>
            </w:tcMar>
          </w:tcPr>
          <w:p>
            <w:pPr>
              <w:jc w:val="center"/>
            </w:pPr>
            <w:r>
              <w:rPr>
                <w:rFonts w:ascii="Calibri" w:hAnsi="Calibri"/>
                <w:color w:val="1E293B"/>
                <w:sz w:val="18"/>
              </w:rPr>
              <w:t>~280 MB - 450 MB</w:t>
            </w:r>
          </w:p>
        </w:tc>
        <w:tc>
          <w:tcPr>
            <w:tcW w:type="dxa" w:w="2304"/>
            <w:shd w:fill="F8FAFC"/>
            <w:tcMar>
              <w:top w:w="100" w:type="dxa"/>
              <w:bottom w:w="100" w:type="dxa"/>
              <w:left w:w="100" w:type="dxa"/>
              <w:right w:w="100" w:type="dxa"/>
            </w:tcMar>
          </w:tcPr>
          <w:p>
            <w:pPr>
              <w:jc w:val="center"/>
            </w:pPr>
            <w:r>
              <w:rPr>
                <w:rFonts w:ascii="Calibri" w:hAnsi="Calibri"/>
                <w:color w:val="1E293B"/>
                <w:sz w:val="18"/>
              </w:rPr>
              <w:t>~8 MB - 15 MB</w:t>
            </w:r>
          </w:p>
        </w:tc>
        <w:tc>
          <w:tcPr>
            <w:tcW w:type="dxa" w:w="3456"/>
            <w:shd w:fill="F8FAFC"/>
            <w:tcMar>
              <w:top w:w="100" w:type="dxa"/>
              <w:bottom w:w="100" w:type="dxa"/>
              <w:left w:w="100" w:type="dxa"/>
              <w:right w:w="100" w:type="dxa"/>
            </w:tcMar>
          </w:tcPr>
          <w:p>
            <w:pPr>
              <w:jc w:val="center"/>
            </w:pPr>
            <w:r>
              <w:rPr>
                <w:rFonts w:ascii="Calibri" w:hAnsi="Calibri"/>
                <w:color w:val="1E293B"/>
                <w:sz w:val="18"/>
              </w:rPr>
              <w:t>Rust consome ~25× menos memória RAM.</w:t>
            </w:r>
          </w:p>
        </w:tc>
      </w:tr>
      <w:tr>
        <w:tc>
          <w:tcPr>
            <w:tcW w:type="dxa" w:w="3168"/>
            <w:shd w:fill="FFFFFF"/>
            <w:tcMar>
              <w:top w:w="100" w:type="dxa"/>
              <w:bottom w:w="100" w:type="dxa"/>
              <w:left w:w="100" w:type="dxa"/>
              <w:right w:w="100" w:type="dxa"/>
            </w:tcMar>
          </w:tcPr>
          <w:p>
            <w:pPr>
              <w:jc w:val="left"/>
            </w:pPr>
            <w:r>
              <w:rPr>
                <w:rFonts w:ascii="Calibri" w:hAnsi="Calibri"/>
                <w:color w:val="1E293B"/>
                <w:sz w:val="18"/>
              </w:rPr>
              <w:t>Tempo de Inicialização (Cold Start)</w:t>
            </w:r>
          </w:p>
        </w:tc>
        <w:tc>
          <w:tcPr>
            <w:tcW w:type="dxa" w:w="2304"/>
            <w:shd w:fill="FFFFFF"/>
            <w:tcMar>
              <w:top w:w="100" w:type="dxa"/>
              <w:bottom w:w="100" w:type="dxa"/>
              <w:left w:w="100" w:type="dxa"/>
              <w:right w:w="100" w:type="dxa"/>
            </w:tcMar>
          </w:tcPr>
          <w:p>
            <w:pPr>
              <w:jc w:val="center"/>
            </w:pPr>
            <w:r>
              <w:rPr>
                <w:rFonts w:ascii="Calibri" w:hAnsi="Calibri"/>
                <w:color w:val="1E293B"/>
                <w:sz w:val="18"/>
              </w:rPr>
              <w:t>2.80 segundos</w:t>
            </w:r>
          </w:p>
        </w:tc>
        <w:tc>
          <w:tcPr>
            <w:tcW w:type="dxa" w:w="2304"/>
            <w:shd w:fill="FFFFFF"/>
            <w:tcMar>
              <w:top w:w="100" w:type="dxa"/>
              <w:bottom w:w="100" w:type="dxa"/>
              <w:left w:w="100" w:type="dxa"/>
              <w:right w:w="100" w:type="dxa"/>
            </w:tcMar>
          </w:tcPr>
          <w:p>
            <w:pPr>
              <w:jc w:val="center"/>
            </w:pPr>
            <w:r>
              <w:rPr>
                <w:rFonts w:ascii="Calibri" w:hAnsi="Calibri"/>
                <w:color w:val="1E293B"/>
                <w:sz w:val="18"/>
              </w:rPr>
              <w:t>0.02 segundos (20 ms)</w:t>
            </w:r>
          </w:p>
        </w:tc>
        <w:tc>
          <w:tcPr>
            <w:tcW w:type="dxa" w:w="3456"/>
            <w:shd w:fill="FFFFFF"/>
            <w:tcMar>
              <w:top w:w="100" w:type="dxa"/>
              <w:bottom w:w="100" w:type="dxa"/>
              <w:left w:w="100" w:type="dxa"/>
              <w:right w:w="100" w:type="dxa"/>
            </w:tcMar>
          </w:tcPr>
          <w:p>
            <w:pPr>
              <w:jc w:val="center"/>
            </w:pPr>
            <w:r>
              <w:rPr>
                <w:rFonts w:ascii="Calibri" w:hAnsi="Calibri"/>
                <w:color w:val="1E293B"/>
                <w:sz w:val="18"/>
              </w:rPr>
              <w:t>Inicialização instantânea sem carregamento de runtime.</w:t>
            </w:r>
          </w:p>
        </w:tc>
      </w:tr>
      <w:tr>
        <w:tc>
          <w:tcPr>
            <w:tcW w:type="dxa" w:w="3168"/>
            <w:shd w:fill="F8FAFC"/>
            <w:tcMar>
              <w:top w:w="100" w:type="dxa"/>
              <w:bottom w:w="100" w:type="dxa"/>
              <w:left w:w="100" w:type="dxa"/>
              <w:right w:w="100" w:type="dxa"/>
            </w:tcMar>
          </w:tcPr>
          <w:p>
            <w:pPr>
              <w:jc w:val="left"/>
            </w:pPr>
            <w:r>
              <w:rPr>
                <w:rFonts w:ascii="Calibri" w:hAnsi="Calibri"/>
                <w:color w:val="1E293B"/>
                <w:sz w:val="18"/>
              </w:rPr>
              <w:t>Latência de Requisição REST</w:t>
            </w:r>
          </w:p>
        </w:tc>
        <w:tc>
          <w:tcPr>
            <w:tcW w:type="dxa" w:w="2304"/>
            <w:shd w:fill="F8FAFC"/>
            <w:tcMar>
              <w:top w:w="100" w:type="dxa"/>
              <w:bottom w:w="100" w:type="dxa"/>
              <w:left w:w="100" w:type="dxa"/>
              <w:right w:w="100" w:type="dxa"/>
            </w:tcMar>
          </w:tcPr>
          <w:p>
            <w:pPr>
              <w:jc w:val="center"/>
            </w:pPr>
            <w:r>
              <w:rPr>
                <w:rFonts w:ascii="Calibri" w:hAnsi="Calibri"/>
                <w:color w:val="1E293B"/>
                <w:sz w:val="18"/>
              </w:rPr>
              <w:t>120 ms - 300 ms (Rerun)</w:t>
            </w:r>
          </w:p>
        </w:tc>
        <w:tc>
          <w:tcPr>
            <w:tcW w:type="dxa" w:w="2304"/>
            <w:shd w:fill="F8FAFC"/>
            <w:tcMar>
              <w:top w:w="100" w:type="dxa"/>
              <w:bottom w:w="100" w:type="dxa"/>
              <w:left w:w="100" w:type="dxa"/>
              <w:right w:w="100" w:type="dxa"/>
            </w:tcMar>
          </w:tcPr>
          <w:p>
            <w:pPr>
              <w:jc w:val="center"/>
            </w:pPr>
            <w:r>
              <w:rPr>
                <w:rFonts w:ascii="Calibri" w:hAnsi="Calibri"/>
                <w:color w:val="1E293B"/>
                <w:sz w:val="18"/>
              </w:rPr>
              <w:t>0.4 ms - 0.8 ms</w:t>
            </w:r>
          </w:p>
        </w:tc>
        <w:tc>
          <w:tcPr>
            <w:tcW w:type="dxa" w:w="3456"/>
            <w:shd w:fill="F8FAFC"/>
            <w:tcMar>
              <w:top w:w="100" w:type="dxa"/>
              <w:bottom w:w="100" w:type="dxa"/>
              <w:left w:w="100" w:type="dxa"/>
              <w:right w:w="100" w:type="dxa"/>
            </w:tcMar>
          </w:tcPr>
          <w:p>
            <w:pPr>
              <w:jc w:val="center"/>
            </w:pPr>
            <w:r>
              <w:rPr>
                <w:rFonts w:ascii="Calibri" w:hAnsi="Calibri"/>
                <w:color w:val="1E293B"/>
                <w:sz w:val="18"/>
              </w:rPr>
              <w:t>Comunicação sub-milissegundo para controle MPC em tempo real.</w:t>
            </w:r>
          </w:p>
        </w:tc>
      </w:tr>
      <w:tr>
        <w:tc>
          <w:tcPr>
            <w:tcW w:type="dxa" w:w="3168"/>
            <w:shd w:fill="FFFFFF"/>
            <w:tcMar>
              <w:top w:w="100" w:type="dxa"/>
              <w:bottom w:w="100" w:type="dxa"/>
              <w:left w:w="100" w:type="dxa"/>
              <w:right w:w="100" w:type="dxa"/>
            </w:tcMar>
          </w:tcPr>
          <w:p>
            <w:pPr>
              <w:jc w:val="left"/>
            </w:pPr>
            <w:r>
              <w:rPr>
                <w:rFonts w:ascii="Calibri" w:hAnsi="Calibri"/>
                <w:color w:val="1E293B"/>
                <w:sz w:val="18"/>
              </w:rPr>
              <w:t>Tamanho do Pacote de Deploy</w:t>
            </w:r>
          </w:p>
        </w:tc>
        <w:tc>
          <w:tcPr>
            <w:tcW w:type="dxa" w:w="2304"/>
            <w:shd w:fill="FFFFFF"/>
            <w:tcMar>
              <w:top w:w="100" w:type="dxa"/>
              <w:bottom w:w="100" w:type="dxa"/>
              <w:left w:w="100" w:type="dxa"/>
              <w:right w:w="100" w:type="dxa"/>
            </w:tcMar>
          </w:tcPr>
          <w:p>
            <w:pPr>
              <w:jc w:val="center"/>
            </w:pPr>
            <w:r>
              <w:rPr>
                <w:rFonts w:ascii="Calibri" w:hAnsi="Calibri"/>
                <w:color w:val="1E293B"/>
                <w:sz w:val="18"/>
              </w:rPr>
              <w:t>~1.2 GB (Venv + PyTorch)</w:t>
            </w:r>
          </w:p>
        </w:tc>
        <w:tc>
          <w:tcPr>
            <w:tcW w:type="dxa" w:w="2304"/>
            <w:shd w:fill="FFFFFF"/>
            <w:tcMar>
              <w:top w:w="100" w:type="dxa"/>
              <w:bottom w:w="100" w:type="dxa"/>
              <w:left w:w="100" w:type="dxa"/>
              <w:right w:w="100" w:type="dxa"/>
            </w:tcMar>
          </w:tcPr>
          <w:p>
            <w:pPr>
              <w:jc w:val="center"/>
            </w:pPr>
            <w:r>
              <w:rPr>
                <w:rFonts w:ascii="Calibri" w:hAnsi="Calibri"/>
                <w:color w:val="1E293B"/>
                <w:sz w:val="18"/>
              </w:rPr>
              <w:t>~8.5 MB (Binário único)</w:t>
            </w:r>
          </w:p>
        </w:tc>
        <w:tc>
          <w:tcPr>
            <w:tcW w:type="dxa" w:w="3456"/>
            <w:shd w:fill="FFFFFF"/>
            <w:tcMar>
              <w:top w:w="100" w:type="dxa"/>
              <w:bottom w:w="100" w:type="dxa"/>
              <w:left w:w="100" w:type="dxa"/>
              <w:right w:w="100" w:type="dxa"/>
            </w:tcMar>
          </w:tcPr>
          <w:p>
            <w:pPr>
              <w:jc w:val="center"/>
            </w:pPr>
            <w:r>
              <w:rPr>
                <w:rFonts w:ascii="Calibri" w:hAnsi="Calibri"/>
                <w:color w:val="1E293B"/>
                <w:sz w:val="18"/>
              </w:rPr>
              <w:t>Facilidade de distribuição e execução em contêineres e Edge.</w:t>
            </w:r>
          </w:p>
        </w:tc>
      </w:tr>
      <w:tr>
        <w:tc>
          <w:tcPr>
            <w:tcW w:type="dxa" w:w="3168"/>
            <w:shd w:fill="F8FAFC"/>
            <w:tcMar>
              <w:top w:w="100" w:type="dxa"/>
              <w:bottom w:w="100" w:type="dxa"/>
              <w:left w:w="100" w:type="dxa"/>
              <w:right w:w="100" w:type="dxa"/>
            </w:tcMar>
          </w:tcPr>
          <w:p>
            <w:pPr>
              <w:jc w:val="left"/>
            </w:pPr>
            <w:r>
              <w:rPr>
                <w:rFonts w:ascii="Calibri" w:hAnsi="Calibri"/>
                <w:color w:val="1E293B"/>
                <w:sz w:val="18"/>
              </w:rPr>
              <w:t>Concorrência e Multithreading</w:t>
            </w:r>
          </w:p>
        </w:tc>
        <w:tc>
          <w:tcPr>
            <w:tcW w:type="dxa" w:w="2304"/>
            <w:shd w:fill="F8FAFC"/>
            <w:tcMar>
              <w:top w:w="100" w:type="dxa"/>
              <w:bottom w:w="100" w:type="dxa"/>
              <w:left w:w="100" w:type="dxa"/>
              <w:right w:w="100" w:type="dxa"/>
            </w:tcMar>
          </w:tcPr>
          <w:p>
            <w:pPr>
              <w:jc w:val="center"/>
            </w:pPr>
            <w:r>
              <w:rPr>
                <w:rFonts w:ascii="Calibri" w:hAnsi="Calibri"/>
                <w:color w:val="1E293B"/>
                <w:sz w:val="18"/>
              </w:rPr>
              <w:t>Bloqueio GIL (Global Lock)</w:t>
            </w:r>
          </w:p>
        </w:tc>
        <w:tc>
          <w:tcPr>
            <w:tcW w:type="dxa" w:w="2304"/>
            <w:shd w:fill="F8FAFC"/>
            <w:tcMar>
              <w:top w:w="100" w:type="dxa"/>
              <w:bottom w:w="100" w:type="dxa"/>
              <w:left w:w="100" w:type="dxa"/>
              <w:right w:w="100" w:type="dxa"/>
            </w:tcMar>
          </w:tcPr>
          <w:p>
            <w:pPr>
              <w:jc w:val="center"/>
            </w:pPr>
            <w:r>
              <w:rPr>
                <w:rFonts w:ascii="Calibri" w:hAnsi="Calibri"/>
                <w:color w:val="1E293B"/>
                <w:sz w:val="18"/>
              </w:rPr>
              <w:t>Assíncrono Nativo (Tokio)</w:t>
            </w:r>
          </w:p>
        </w:tc>
        <w:tc>
          <w:tcPr>
            <w:tcW w:type="dxa" w:w="3456"/>
            <w:shd w:fill="F8FAFC"/>
            <w:tcMar>
              <w:top w:w="100" w:type="dxa"/>
              <w:bottom w:w="100" w:type="dxa"/>
              <w:left w:w="100" w:type="dxa"/>
              <w:right w:w="100" w:type="dxa"/>
            </w:tcMar>
          </w:tcPr>
          <w:p>
            <w:pPr>
              <w:jc w:val="center"/>
            </w:pPr>
            <w:r>
              <w:rPr>
                <w:rFonts w:ascii="Calibri" w:hAnsi="Calibri"/>
                <w:color w:val="1E293B"/>
                <w:sz w:val="18"/>
              </w:rPr>
              <w:t>Suporta milhares de requisições simultâneas sem degradação.</w:t>
            </w:r>
          </w:p>
        </w:tc>
      </w:tr>
    </w:tbl>
    <w:p>
      <w:pPr>
        <w:spacing w:after="240"/>
      </w:pPr>
    </w:p>
    <w:p>
      <w:pPr>
        <w:pStyle w:val="Heading1"/>
        <w:spacing w:before="280" w:after="120"/>
      </w:pPr>
      <w:r>
        <w:rPr>
          <w:rFonts w:ascii="Calibri" w:hAnsi="Calibri"/>
          <w:color w:val="0F2C59"/>
          <w:sz w:val="30"/>
        </w:rPr>
        <w:t>5. Recomendações e Diretrizes de Implantação</w:t>
      </w:r>
    </w:p>
    <w:p>
      <w:pPr>
        <w:spacing w:line="276" w:lineRule="auto"/>
      </w:pPr>
      <w:r>
        <w:t>1. Ambientes de Produção &amp; Borda (Edge Computing / FPSO): A versão em Rust 2.0 deve ser utilizada como o padrão oficial para integração com sistemas SCADA, servidores OSIsoft PI e controladores MPC em tempo real, devido à sua altíssima vazão (75k sim/s), imunidade a concorrência via Tokio e consumo ínfimo de memória.</w:t>
        <w:br/>
        <w:br/>
        <w:t>2. Pesquisa, Treinamento &amp; Exploração Interativa: A versão em Python/Streamlit permanece como excelente ferramenta didática para prototipagem rápida e desenvolvimento de novas hipóteses de modelagem termodinâmica antes da compilação em Rust.</w:t>
        <w:br/>
        <w:br/>
        <w:t>3. Conformidade Visual WCAG 2.1 AA: A interface Web do Rust 2.0 atende aos requisitos de acessibilidade industrial e alto contraste em modo Claro e Escuro, garantindo legibilidade para operadores em salas de controle sob qualquer condição de iluminação.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