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AGENT AUTHORITY SCHEDULE</w:t>
      </w:r>
    </w:p>
    <w:p>
      <w:pPr>
        <w:jc w:val="center"/>
      </w:pPr>
      <w:r>
        <w:t>[ATTORNEY: REVIEW AND REPLACE — This is a template]</w:t>
      </w:r>
    </w:p>
    <w:p/>
    <w:p>
      <w:r>
        <w:t xml:space="preserve">Exhibit A to the DAO LLC Operating Agreement of </w:t>
      </w:r>
      <w:r>
        <w:rPr>
          <w:b/>
        </w:rPr>
        <w:t>{{ entity_name }}</w:t>
      </w:r>
    </w:p>
    <w:p/>
    <w:p>
      <w:r>
        <w:t>This Agent Authority Schedule is an exhibit to the Operating Agreement of {{ entity_name }}, a Wyoming DAO Limited Liability Company ("Company"), formed under the Wyoming Decentralized Autonomous Organization Supplement (W.S. § 17-31-101 et seq.).</w:t>
      </w:r>
    </w:p>
    <w:p/>
    <w:p>
      <w:pPr>
        <w:pStyle w:val="Heading2"/>
      </w:pPr>
      <w:r>
        <w:t>1. AUTHORIZED AGENT</w:t>
      </w:r>
    </w:p>
    <w:p>
      <w:r>
        <w:t>The Company hereby designates the following artificial intelligence agent ("Authorized Agent") to act on behalf of the Company within the scope defined herein:</w:t>
      </w:r>
    </w:p>
    <w:p>
      <w:r>
        <w:t>Agent Name: {{ agent_name }}</w:t>
      </w:r>
    </w:p>
    <w:p>
      <w:r>
        <w:t>Smart Contract Address: {{ agent_smart_contract }}</w:t>
      </w:r>
    </w:p>
    <w:p/>
    <w:p>
      <w:pPr>
        <w:pStyle w:val="Heading2"/>
      </w:pPr>
      <w:r>
        <w:t>2. SCOPE OF AUTHORITY</w:t>
      </w:r>
    </w:p>
    <w:p>
      <w:r>
        <w:t>The Authorized Agent is authorized to perform the following actions on behalf of the Company, subject to the limitations set forth in Section 3:</w:t>
      </w:r>
    </w:p>
    <w:p>
      <w:r>
        <w:t>a) Execute smart contract transactions up to the Per-Transaction Limit</w:t>
      </w:r>
    </w:p>
    <w:p>
      <w:r>
        <w:t>b) Accept payments and issue invoices on behalf of the Company</w:t>
      </w:r>
    </w:p>
    <w:p>
      <w:r>
        <w:t>c) Manage digital assets held in Company wallets</w:t>
      </w:r>
    </w:p>
    <w:p>
      <w:r>
        <w:t>d) Execute and deliver routine business contracts</w:t>
      </w:r>
    </w:p>
    <w:p/>
    <w:p>
      <w:pPr>
        <w:pStyle w:val="Heading2"/>
      </w:pPr>
      <w:r>
        <w:t>3. LIMITATIONS</w:t>
      </w:r>
    </w:p>
    <w:p>
      <w:r>
        <w:t>Per-Transaction Limit: ${{ agent_transaction_limit }} USD equivalent</w:t>
      </w:r>
    </w:p>
    <w:p>
      <w:r>
        <w:t>The Authorized Agent SHALL NOT: sell or transfer Company membership interests; execute contracts with a term exceeding twelve (12) months; incur debt or create liens on Company assets; make distributions to members; or amend any organizational document.</w:t>
      </w:r>
    </w:p>
    <w:p/>
    <w:p>
      <w:pPr>
        <w:pStyle w:val="Heading2"/>
      </w:pPr>
      <w:r>
        <w:t>4. SMART CONTRACT GOVERNANCE</w:t>
      </w:r>
    </w:p>
    <w:p>
      <w:r>
        <w:t>Pursuant to W.S. § 17-31-104(c), the smart contract identified above shall supplement the governance provisions of this Operating Agreement. In the event of a conflict between the smart contract and this Schedule, the terms of the Operating Agreement shall control.</w:t>
      </w:r>
    </w:p>
    <w:p/>
    <w:p>
      <w:pPr>
        <w:pStyle w:val="Heading2"/>
      </w:pPr>
      <w:r>
        <w:t>5. EFFECTIVE DATE</w:t>
      </w:r>
    </w:p>
    <w:p>
      <w:r>
        <w:t>This Schedule is effective as of {{ formation_date 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