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088DB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56785"/>
          <w:sz w:val="17"/>
        </w:rPr>
        <w:t>INTERNAL BRIEFING · 3-PAGE EDITION</w:t>
      </w:r>
    </w:p>
    <w:p w14:paraId="7903C575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24D"/>
          <w:sz w:val="46"/>
        </w:rPr>
        <w:t>爱化身科技公司级对外发声与</w:t>
      </w:r>
    </w:p>
    <w:p w14:paraId="39811FCC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24D"/>
          <w:sz w:val="46"/>
        </w:rPr>
        <w:t>信息使用执行规范</w:t>
      </w:r>
    </w:p>
    <w:p w14:paraId="6465F350">
      <w:pPr>
        <w:spacing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667789"/>
        </w:rPr>
        <w:t>面向业务、品牌、HR及相关职能部门的统一执行标准｜V1.0｜2026年</w:t>
      </w:r>
      <w:r>
        <w:rPr>
          <w:rFonts w:hint="eastAsia" w:cs="微软雅黑"/>
          <w:color w:val="667789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color w:val="667789"/>
        </w:rPr>
        <w:t>月</w:t>
      </w:r>
    </w:p>
    <w:tbl>
      <w:tblPr>
        <w:tblStyle w:val="32"/>
        <w:tblW w:w="986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66B0E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64" w:type="dxa"/>
            <w:tcBorders>
              <w:left w:val="single" w:color="456785" w:sz="18" w:space="0"/>
            </w:tcBorders>
            <w:shd w:val="clear" w:color="auto" w:fill="EAF0F5"/>
            <w:tcMar>
              <w:top w:w="115" w:type="dxa"/>
              <w:left w:w="165" w:type="dxa"/>
              <w:bottom w:w="115" w:type="dxa"/>
              <w:right w:w="165" w:type="dxa"/>
            </w:tcMar>
          </w:tcPr>
          <w:p w14:paraId="7D9A9513">
            <w:pPr>
              <w:spacing w:after="4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456785"/>
                <w:sz w:val="18"/>
              </w:rPr>
              <w:t>为什么要统一</w:t>
            </w:r>
          </w:p>
          <w:p w14:paraId="4FB60BA5">
            <w:pPr>
              <w:spacing w:after="0" w:line="27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对客沟通、行业活动和合作方传播中的一句话、一张图或一份材料，都可能被记录、转发并长期留存。公开后再更正成本高，因此要在发声和外发之前统一来源、身份与流程。</w:t>
            </w:r>
          </w:p>
        </w:tc>
      </w:tr>
    </w:tbl>
    <w:p w14:paraId="72CEF47F">
      <w:pPr>
        <w:spacing w:after="0" w:line="96" w:lineRule="auto"/>
        <w:rPr>
          <w:rFonts w:hint="eastAsia" w:ascii="微软雅黑" w:hAnsi="微软雅黑" w:eastAsia="微软雅黑" w:cs="微软雅黑"/>
        </w:rPr>
      </w:pPr>
    </w:p>
    <w:p w14:paraId="7D785B9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01｜先记住四条原则</w:t>
      </w:r>
    </w:p>
    <w:tbl>
      <w:tblPr>
        <w:tblStyle w:val="32"/>
        <w:tblW w:w="986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3"/>
        <w:gridCol w:w="8251"/>
      </w:tblGrid>
      <w:tr w14:paraId="3A07E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13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03B64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原则</w:t>
            </w:r>
          </w:p>
        </w:tc>
        <w:tc>
          <w:tcPr>
            <w:tcW w:w="8251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C6F4D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执行要求</w:t>
            </w:r>
          </w:p>
        </w:tc>
      </w:tr>
      <w:tr w14:paraId="69E02C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3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611AA9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有来源</w:t>
            </w:r>
          </w:p>
        </w:tc>
        <w:tc>
          <w:tcPr>
            <w:tcW w:w="8251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2822A8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业务描述使用最新对外版PPT、官网/官微已发布内容或品牌部确认口径。</w:t>
            </w:r>
          </w:p>
        </w:tc>
      </w:tr>
      <w:tr w14:paraId="7A7E57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3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F4F7F9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4C1DDB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分内外</w:t>
            </w:r>
          </w:p>
        </w:tc>
        <w:tc>
          <w:tcPr>
            <w:tcW w:w="8251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F4F7F9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D9BCBC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内部可见、内容真实或本人有权查看，不等于可以发给客户或合作方。</w:t>
            </w:r>
          </w:p>
        </w:tc>
      </w:tr>
      <w:tr w14:paraId="16548C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3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767AA8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先协同</w:t>
            </w:r>
          </w:p>
        </w:tc>
        <w:tc>
          <w:tcPr>
            <w:tcW w:w="8251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4F6603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涉及媒体、公开活动、联合传播或可公开引用时，</w:t>
            </w:r>
            <w:r>
              <w:rPr>
                <w:rFonts w:hint="eastAsia" w:cs="微软雅黑"/>
                <w:sz w:val="17"/>
                <w:lang w:val="en-US" w:eastAsia="zh-CN"/>
              </w:rPr>
              <w:t>建议</w:t>
            </w:r>
            <w:r>
              <w:rPr>
                <w:rFonts w:hint="eastAsia" w:ascii="微软雅黑" w:hAnsi="微软雅黑" w:eastAsia="微软雅黑" w:cs="微软雅黑"/>
                <w:sz w:val="17"/>
              </w:rPr>
              <w:t>将品牌PR加入沟通。</w:t>
            </w:r>
          </w:p>
        </w:tc>
      </w:tr>
      <w:tr w14:paraId="7C7D3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3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F4F7F9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3010A0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先确认</w:t>
            </w:r>
          </w:p>
        </w:tc>
        <w:tc>
          <w:tcPr>
            <w:tcW w:w="8251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F4F7F9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BE3C04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公开前核对公司名称、产品、抬头、观点、客户、数据和合作状态。</w:t>
            </w:r>
          </w:p>
        </w:tc>
      </w:tr>
    </w:tbl>
    <w:p w14:paraId="1E2F8AA9">
      <w:pPr>
        <w:spacing w:after="0" w:line="96" w:lineRule="auto"/>
        <w:rPr>
          <w:rFonts w:hint="eastAsia" w:ascii="微软雅黑" w:hAnsi="微软雅黑" w:eastAsia="微软雅黑" w:cs="微软雅黑"/>
        </w:rPr>
      </w:pPr>
    </w:p>
    <w:p w14:paraId="5392339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02｜材料分三类，先判断再发送</w:t>
      </w:r>
    </w:p>
    <w:tbl>
      <w:tblPr>
        <w:tblStyle w:val="32"/>
        <w:tblW w:w="986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4931"/>
        <w:gridCol w:w="3018"/>
      </w:tblGrid>
      <w:tr w14:paraId="40C1C0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15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5189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等级</w:t>
            </w:r>
          </w:p>
        </w:tc>
        <w:tc>
          <w:tcPr>
            <w:tcW w:w="4931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67FE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典型材料</w:t>
            </w:r>
          </w:p>
        </w:tc>
        <w:tc>
          <w:tcPr>
            <w:tcW w:w="3018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FA12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怎么处理</w:t>
            </w:r>
          </w:p>
        </w:tc>
      </w:tr>
      <w:tr w14:paraId="6CEBC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5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62BF0A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A类｜可直接使用</w:t>
            </w:r>
          </w:p>
        </w:tc>
        <w:tc>
          <w:tcPr>
            <w:tcW w:w="4931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9FCBBE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最新“对外版”公司介绍</w:t>
            </w:r>
            <w:r>
              <w:rPr>
                <w:rFonts w:hint="eastAsia" w:cs="微软雅黑"/>
                <w:sz w:val="17"/>
                <w:lang w:val="en-US" w:eastAsia="zh-CN"/>
              </w:rPr>
              <w:t>PPT</w:t>
            </w:r>
            <w:r>
              <w:rPr>
                <w:rFonts w:hint="eastAsia" w:ascii="微软雅黑" w:hAnsi="微软雅黑" w:eastAsia="微软雅黑" w:cs="微软雅黑"/>
                <w:sz w:val="17"/>
              </w:rPr>
              <w:t>、官网/官微已发布内容、正式产品手册、经确认的简介与案例。</w:t>
            </w:r>
          </w:p>
        </w:tc>
        <w:tc>
          <w:tcPr>
            <w:tcW w:w="3018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1CA939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核对版本和适用范围。</w:t>
            </w:r>
          </w:p>
        </w:tc>
      </w:tr>
      <w:tr w14:paraId="74A69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5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F4F7F9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E1A7A4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B类｜确认后使用</w:t>
            </w:r>
          </w:p>
        </w:tc>
        <w:tc>
          <w:tcPr>
            <w:tcW w:w="4931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F4F7F9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1A71C6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客户定制方案、案例数据、后台截图/录屏、演讲PPT、报价、投标及联合传播材料。</w:t>
            </w:r>
          </w:p>
        </w:tc>
        <w:tc>
          <w:tcPr>
            <w:tcW w:w="3018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F4F7F9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A76149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由业务负责人确认；涉及传播、抬头、合同或数据时同步对应职能。</w:t>
            </w:r>
          </w:p>
        </w:tc>
      </w:tr>
      <w:tr w14:paraId="2DF9A5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5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F18B42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C类｜原则上不外发</w:t>
            </w:r>
          </w:p>
        </w:tc>
        <w:tc>
          <w:tcPr>
            <w:tcW w:w="4931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03DAB3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公司/融资BP、战略经营材料、财务数据、路线图、客户清单、底价成本、内部群聊、源代码与密钥。</w:t>
            </w:r>
          </w:p>
        </w:tc>
        <w:tc>
          <w:tcPr>
            <w:tcW w:w="3018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9D527F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不得自行发送、展示、转存或上传外部工具。</w:t>
            </w:r>
          </w:p>
        </w:tc>
      </w:tr>
    </w:tbl>
    <w:p w14:paraId="74D9D0AD">
      <w:pPr>
        <w:spacing w:after="0" w:line="96" w:lineRule="auto"/>
        <w:rPr>
          <w:rFonts w:hint="eastAsia" w:ascii="微软雅黑" w:hAnsi="微软雅黑" w:eastAsia="微软雅黑" w:cs="微软雅黑"/>
        </w:rPr>
      </w:pPr>
    </w:p>
    <w:tbl>
      <w:tblPr>
        <w:tblStyle w:val="32"/>
        <w:tblW w:w="986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1248A2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64" w:type="dxa"/>
            <w:tcBorders>
              <w:left w:val="single" w:color="A36A00" w:sz="18" w:space="0"/>
            </w:tcBorders>
            <w:shd w:val="clear" w:color="auto" w:fill="F5F1E8"/>
            <w:tcMar>
              <w:top w:w="115" w:type="dxa"/>
              <w:left w:w="165" w:type="dxa"/>
              <w:bottom w:w="115" w:type="dxa"/>
              <w:right w:w="165" w:type="dxa"/>
            </w:tcMar>
          </w:tcPr>
          <w:p w14:paraId="5128595B">
            <w:pPr>
              <w:spacing w:after="4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36A00"/>
                <w:sz w:val="18"/>
              </w:rPr>
              <w:t>公司BP特别规则</w:t>
            </w:r>
          </w:p>
          <w:p w14:paraId="3194661E">
            <w:pPr>
              <w:spacing w:after="0" w:line="27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cs="微软雅黑"/>
                <w:sz w:val="18"/>
                <w:lang w:val="en-US" w:eastAsia="zh-CN"/>
              </w:rPr>
              <w:t>区分好对外业务PPT和BP，原则上</w:t>
            </w:r>
            <w:r>
              <w:rPr>
                <w:rFonts w:hint="eastAsia" w:ascii="微软雅黑" w:hAnsi="微软雅黑" w:eastAsia="微软雅黑" w:cs="微软雅黑"/>
                <w:sz w:val="18"/>
              </w:rPr>
              <w:t>公司BP不作为日常客户介绍材料。客户希望“全面了解公司”时，先问清其关注公司背景、产品、案例还是合作方式，再提供正式对外版公司介绍、产品资料或专项方案。</w:t>
            </w:r>
          </w:p>
        </w:tc>
      </w:tr>
    </w:tbl>
    <w:p w14:paraId="7845D86D">
      <w:pPr>
        <w:rPr>
          <w:rFonts w:hint="eastAsia" w:ascii="微软雅黑" w:hAnsi="微软雅黑" w:eastAsia="微软雅黑" w:cs="微软雅黑"/>
        </w:rPr>
      </w:pPr>
    </w:p>
    <w:p w14:paraId="0A56A700">
      <w:pPr>
        <w:pageBreakBefore/>
        <w:spacing w:after="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56785"/>
          <w:sz w:val="17"/>
        </w:rPr>
        <w:t>KEY SCENARIOS</w:t>
      </w:r>
    </w:p>
    <w:p w14:paraId="77A7402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03｜高频对外场景：怎么做、不要怎么做</w:t>
      </w:r>
    </w:p>
    <w:tbl>
      <w:tblPr>
        <w:tblStyle w:val="32"/>
        <w:tblW w:w="986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8"/>
        <w:gridCol w:w="4018"/>
        <w:gridCol w:w="3658"/>
      </w:tblGrid>
      <w:tr w14:paraId="7E717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89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C15A0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场景</w:t>
            </w:r>
          </w:p>
        </w:tc>
        <w:tc>
          <w:tcPr>
            <w:tcW w:w="4018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2306D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cs="微软雅黑"/>
                <w:b/>
                <w:color w:val="FFFFFF"/>
                <w:sz w:val="17"/>
                <w:lang w:val="en-US" w:eastAsia="zh-CN"/>
              </w:rPr>
              <w:t>应该</w:t>
            </w: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怎么做</w:t>
            </w:r>
          </w:p>
        </w:tc>
        <w:tc>
          <w:tcPr>
            <w:tcW w:w="3658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4A77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不要怎么做</w:t>
            </w:r>
          </w:p>
        </w:tc>
      </w:tr>
      <w:tr w14:paraId="690CDE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9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F686F4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客户要“完整公司资料”</w:t>
            </w:r>
          </w:p>
        </w:tc>
        <w:tc>
          <w:tcPr>
            <w:tcW w:w="4018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3770EB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问清真实需求，改发正式对外版公司介绍、产品资料或专项方案。</w:t>
            </w:r>
          </w:p>
        </w:tc>
        <w:tc>
          <w:tcPr>
            <w:tcW w:w="3658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66E38A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直接转发公司BP、融资材料或内部战略汇报。</w:t>
            </w:r>
          </w:p>
        </w:tc>
      </w:tr>
      <w:tr w14:paraId="3CCD3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9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F4F7F9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2216EF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客户要案例或源文件</w:t>
            </w:r>
          </w:p>
        </w:tc>
        <w:tc>
          <w:tcPr>
            <w:tcW w:w="4018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F4F7F9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BFBF4D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使用已授权/已公开/充分脱敏案例；优先提供去备注、批注和隐藏页的PDF。</w:t>
            </w:r>
          </w:p>
        </w:tc>
        <w:tc>
          <w:tcPr>
            <w:tcW w:w="3658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F4F7F9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5FAA6C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发送其他客户截图、数据、联系人、合同金额或含内部记录的源文件。</w:t>
            </w:r>
          </w:p>
        </w:tc>
      </w:tr>
      <w:tr w14:paraId="5DE809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9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F563DF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客户要截图、录屏或体验</w:t>
            </w:r>
          </w:p>
        </w:tc>
        <w:tc>
          <w:tcPr>
            <w:tcW w:w="4018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ADD8DD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使用演示环境、独立账号和模拟数据；外发前完成脱敏。</w:t>
            </w:r>
          </w:p>
        </w:tc>
        <w:tc>
          <w:tcPr>
            <w:tcW w:w="3658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5071C7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展示生产环境、真实客户后台、账号、地址、密钥或未发布功能。</w:t>
            </w:r>
          </w:p>
        </w:tc>
      </w:tr>
      <w:tr w14:paraId="6E392C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9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F4F7F9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4E916C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活动现场有媒体采访</w:t>
            </w:r>
          </w:p>
        </w:tc>
        <w:tc>
          <w:tcPr>
            <w:tcW w:w="4018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F4F7F9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18D255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基础业务可简要交流，留下记者信息</w:t>
            </w:r>
            <w:r>
              <w:rPr>
                <w:rFonts w:hint="eastAsia" w:cs="微软雅黑"/>
                <w:sz w:val="17"/>
                <w:lang w:eastAsia="zh-CN"/>
              </w:rPr>
              <w:t>，</w:t>
            </w:r>
            <w:r>
              <w:rPr>
                <w:rFonts w:hint="eastAsia" w:cs="微软雅黑"/>
                <w:sz w:val="17"/>
                <w:lang w:val="en-US" w:eastAsia="zh-CN"/>
              </w:rPr>
              <w:t>表达希望对方回复报道后链接</w:t>
            </w:r>
            <w:r>
              <w:rPr>
                <w:rFonts w:hint="eastAsia" w:ascii="微软雅黑" w:hAnsi="微软雅黑" w:eastAsia="微软雅黑" w:cs="微软雅黑"/>
                <w:sz w:val="17"/>
              </w:rPr>
              <w:t>；公司级问题转品牌PR。</w:t>
            </w:r>
          </w:p>
        </w:tc>
        <w:tc>
          <w:tcPr>
            <w:tcW w:w="3658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F4F7F9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2DF078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即兴回答经营、融资、重大客户、未发布产品或敏感政策问题。</w:t>
            </w:r>
          </w:p>
        </w:tc>
      </w:tr>
      <w:tr w14:paraId="587AB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9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21B07B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合作方要发公众号/视频</w:t>
            </w:r>
          </w:p>
        </w:tc>
        <w:tc>
          <w:tcPr>
            <w:tcW w:w="4018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D4BB73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要求发布前回传</w:t>
            </w:r>
            <w:r>
              <w:rPr>
                <w:rFonts w:hint="eastAsia" w:cs="微软雅黑"/>
                <w:sz w:val="17"/>
                <w:lang w:val="en-US" w:eastAsia="zh-CN"/>
              </w:rPr>
              <w:t>确认</w:t>
            </w:r>
            <w:r>
              <w:rPr>
                <w:rFonts w:hint="eastAsia" w:ascii="微软雅黑" w:hAnsi="微软雅黑" w:eastAsia="微软雅黑" w:cs="微软雅黑"/>
                <w:sz w:val="17"/>
              </w:rPr>
              <w:t>涉及我方的</w:t>
            </w:r>
            <w:r>
              <w:rPr>
                <w:rFonts w:hint="eastAsia" w:cs="微软雅黑"/>
                <w:sz w:val="17"/>
                <w:lang w:val="en-US" w:eastAsia="zh-CN"/>
              </w:rPr>
              <w:t>业务表述、数据，职务</w:t>
            </w:r>
            <w:r>
              <w:rPr>
                <w:rFonts w:hint="eastAsia" w:ascii="微软雅黑" w:hAnsi="微软雅黑" w:eastAsia="微软雅黑" w:cs="微软雅黑"/>
                <w:sz w:val="17"/>
              </w:rPr>
              <w:t>抬头</w:t>
            </w:r>
            <w:r>
              <w:rPr>
                <w:rFonts w:hint="eastAsia" w:cs="微软雅黑"/>
                <w:sz w:val="17"/>
                <w:lang w:eastAsia="zh-CN"/>
              </w:rPr>
              <w:t>，</w:t>
            </w:r>
            <w:r>
              <w:rPr>
                <w:rFonts w:hint="eastAsia" w:cs="微软雅黑"/>
                <w:sz w:val="17"/>
                <w:lang w:val="en-US" w:eastAsia="zh-CN"/>
              </w:rPr>
              <w:t>团队照片</w:t>
            </w:r>
            <w:r>
              <w:rPr>
                <w:rFonts w:hint="eastAsia" w:ascii="微软雅黑" w:hAnsi="微软雅黑" w:eastAsia="微软雅黑" w:cs="微软雅黑"/>
                <w:sz w:val="17"/>
              </w:rPr>
              <w:t>与</w:t>
            </w:r>
            <w:r>
              <w:rPr>
                <w:rFonts w:hint="eastAsia" w:cs="微软雅黑"/>
                <w:sz w:val="17"/>
                <w:lang w:val="en-US" w:eastAsia="zh-CN"/>
              </w:rPr>
              <w:t>完整内容</w:t>
            </w:r>
            <w:r>
              <w:rPr>
                <w:rFonts w:hint="eastAsia" w:ascii="微软雅黑" w:hAnsi="微软雅黑" w:eastAsia="微软雅黑" w:cs="微软雅黑"/>
                <w:sz w:val="17"/>
              </w:rPr>
              <w:t>。</w:t>
            </w:r>
          </w:p>
        </w:tc>
        <w:tc>
          <w:tcPr>
            <w:tcW w:w="3658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FB0E16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只口头说“没问题”，等发布后再检查。</w:t>
            </w:r>
          </w:p>
        </w:tc>
      </w:tr>
      <w:tr w14:paraId="063854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9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F4F7F9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154ACF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主办方急要嘉宾抬头</w:t>
            </w:r>
          </w:p>
        </w:tc>
        <w:tc>
          <w:tcPr>
            <w:tcW w:w="4018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F4F7F9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056B8F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优先使用HR正式抬头；确需优化，提前同步HR和品牌。</w:t>
            </w:r>
          </w:p>
        </w:tc>
        <w:tc>
          <w:tcPr>
            <w:tcW w:w="3658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F4F7F9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3C8E7A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自行使用高于实际职责或授权的头衔。</w:t>
            </w:r>
          </w:p>
        </w:tc>
      </w:tr>
    </w:tbl>
    <w:p w14:paraId="30A19717">
      <w:pPr>
        <w:spacing w:after="0" w:line="96" w:lineRule="auto"/>
        <w:rPr>
          <w:rFonts w:hint="eastAsia" w:ascii="微软雅黑" w:hAnsi="微软雅黑" w:eastAsia="微软雅黑" w:cs="微软雅黑"/>
        </w:rPr>
      </w:pPr>
    </w:p>
    <w:p w14:paraId="519A8E7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04｜对外业务口径的三条边界</w:t>
      </w:r>
    </w:p>
    <w:p w14:paraId="5FD5F1C3">
      <w:pPr>
        <w:pStyle w:val="16"/>
        <w:spacing w:after="40" w:line="26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公司定位、产品名称与层级、客户与合作状态、业务数据必须有正式来源；不同版本以品牌部确认的最新版本为准。</w:t>
      </w:r>
    </w:p>
    <w:p w14:paraId="12E08B37">
      <w:pPr>
        <w:pStyle w:val="16"/>
        <w:spacing w:after="40" w:line="26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明确区分“已上线并可稳定交付”“需结合客户环境配置”“研发或规划中”“需第三方共同完成”。</w:t>
      </w:r>
    </w:p>
    <w:p w14:paraId="257D2EA9">
      <w:pPr>
        <w:pStyle w:val="16"/>
        <w:spacing w:after="40" w:line="26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不使用“完全替代人工”“百分之百准确”“任何系统都能接入”“无需改造即可上线”等绝对化表达。</w:t>
      </w:r>
    </w:p>
    <w:tbl>
      <w:tblPr>
        <w:tblStyle w:val="32"/>
        <w:tblW w:w="986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294F3D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64" w:type="dxa"/>
            <w:tcBorders>
              <w:left w:val="single" w:color="456785" w:sz="18" w:space="0"/>
            </w:tcBorders>
            <w:shd w:val="clear" w:color="auto" w:fill="EAF0F5"/>
            <w:tcMar>
              <w:top w:w="115" w:type="dxa"/>
              <w:left w:w="165" w:type="dxa"/>
              <w:bottom w:w="115" w:type="dxa"/>
              <w:right w:w="165" w:type="dxa"/>
            </w:tcMar>
          </w:tcPr>
          <w:p w14:paraId="71602445">
            <w:pPr>
              <w:spacing w:after="4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456785"/>
                <w:sz w:val="18"/>
              </w:rPr>
              <w:t>媒体与发布前确认话术</w:t>
            </w:r>
          </w:p>
          <w:p w14:paraId="33B5EDED">
            <w:pPr>
              <w:spacing w:after="0" w:line="27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“</w:t>
            </w:r>
            <w:r>
              <w:rPr>
                <w:rFonts w:hint="eastAsia" w:cs="微软雅黑"/>
                <w:sz w:val="18"/>
                <w:lang w:val="en-US" w:eastAsia="zh-CN"/>
              </w:rPr>
              <w:t>为确保内容表述的准确性，以及公司数据的最新披露，XXX记者，</w:t>
            </w:r>
            <w:r>
              <w:rPr>
                <w:rFonts w:hint="eastAsia" w:ascii="微软雅黑" w:hAnsi="微软雅黑" w:eastAsia="微软雅黑" w:cs="微软雅黑"/>
                <w:sz w:val="18"/>
              </w:rPr>
              <w:t>烦请发布前将</w:t>
            </w:r>
            <w:r>
              <w:rPr>
                <w:rFonts w:hint="eastAsia" w:cs="微软雅黑"/>
                <w:sz w:val="18"/>
                <w:lang w:val="en-US" w:eastAsia="zh-CN"/>
              </w:rPr>
              <w:t>关于我们</w:t>
            </w:r>
            <w:r>
              <w:rPr>
                <w:rFonts w:hint="eastAsia" w:ascii="微软雅黑" w:hAnsi="微软雅黑" w:eastAsia="微软雅黑" w:cs="微软雅黑"/>
                <w:sz w:val="18"/>
              </w:rPr>
              <w:t>的内容发回，我们尽快完成核对。”</w:t>
            </w:r>
          </w:p>
        </w:tc>
      </w:tr>
    </w:tbl>
    <w:p w14:paraId="797423DA">
      <w:pPr>
        <w:spacing w:after="0" w:line="96" w:lineRule="auto"/>
        <w:rPr>
          <w:rFonts w:hint="eastAsia" w:ascii="微软雅黑" w:hAnsi="微软雅黑" w:eastAsia="微软雅黑" w:cs="微软雅黑"/>
        </w:rPr>
      </w:pPr>
    </w:p>
    <w:tbl>
      <w:tblPr>
        <w:tblStyle w:val="32"/>
        <w:tblW w:w="986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0B0D8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64" w:type="dxa"/>
            <w:tcBorders>
              <w:left w:val="single" w:color="456785" w:sz="18" w:space="0"/>
            </w:tcBorders>
            <w:shd w:val="clear" w:color="auto" w:fill="F4F7F9"/>
            <w:tcMar>
              <w:top w:w="115" w:type="dxa"/>
              <w:left w:w="165" w:type="dxa"/>
              <w:bottom w:w="115" w:type="dxa"/>
              <w:right w:w="165" w:type="dxa"/>
            </w:tcMar>
          </w:tcPr>
          <w:p w14:paraId="334A8D94">
            <w:pPr>
              <w:spacing w:after="4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456785"/>
                <w:sz w:val="18"/>
              </w:rPr>
              <w:t>不确定时的统一回答</w:t>
            </w:r>
          </w:p>
          <w:p w14:paraId="30ADD708">
            <w:pPr>
              <w:spacing w:after="0" w:line="27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“这部分信息目前以公司正式发布为准，我先</w:t>
            </w:r>
            <w:r>
              <w:rPr>
                <w:rFonts w:hint="eastAsia" w:cs="微软雅黑"/>
                <w:sz w:val="18"/>
                <w:lang w:val="en-US" w:eastAsia="zh-CN"/>
              </w:rPr>
              <w:t>了解最新内容</w:t>
            </w:r>
            <w:r>
              <w:rPr>
                <w:rFonts w:hint="eastAsia" w:ascii="微软雅黑" w:hAnsi="微软雅黑" w:eastAsia="微软雅黑" w:cs="微软雅黑"/>
                <w:sz w:val="18"/>
              </w:rPr>
              <w:t>，</w:t>
            </w:r>
            <w:r>
              <w:rPr>
                <w:rFonts w:hint="eastAsia" w:cs="微软雅黑"/>
                <w:sz w:val="18"/>
                <w:lang w:val="en-US" w:eastAsia="zh-CN"/>
              </w:rPr>
              <w:t>尽快</w:t>
            </w:r>
            <w:r>
              <w:rPr>
                <w:rFonts w:hint="eastAsia" w:ascii="微软雅黑" w:hAnsi="微软雅黑" w:eastAsia="微软雅黑" w:cs="微软雅黑"/>
                <w:sz w:val="18"/>
              </w:rPr>
              <w:t>给您准确答复。”</w:t>
            </w:r>
          </w:p>
        </w:tc>
      </w:tr>
    </w:tbl>
    <w:p w14:paraId="1FA3C8EA">
      <w:pPr>
        <w:spacing w:after="0" w:line="96" w:lineRule="auto"/>
        <w:rPr>
          <w:rFonts w:hint="eastAsia" w:ascii="微软雅黑" w:hAnsi="微软雅黑" w:eastAsia="微软雅黑" w:cs="微软雅黑"/>
        </w:rPr>
      </w:pPr>
    </w:p>
    <w:tbl>
      <w:tblPr>
        <w:tblStyle w:val="32"/>
        <w:tblW w:w="985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322F5A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59" w:type="dxa"/>
            <w:tcBorders>
              <w:left w:val="single" w:color="A36A00" w:sz="18" w:space="0"/>
            </w:tcBorders>
            <w:shd w:val="clear" w:color="auto" w:fill="F5F1E8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3E3C1146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36A00"/>
              </w:rPr>
              <w:t>AI内容责任</w:t>
            </w:r>
          </w:p>
          <w:p w14:paraId="05C8CBCC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AI只能辅助起草和整理，不能替代业务事实、品牌口径、授权边界及人工审核。</w:t>
            </w:r>
            <w:r>
              <w:rPr>
                <w:rFonts w:hint="eastAsia" w:cs="微软雅黑"/>
                <w:sz w:val="20"/>
                <w:lang w:val="en-US" w:eastAsia="zh-CN"/>
              </w:rPr>
              <w:t>即使媒体机构使用AI工具，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对外发布责任仍由内容提供和确认人员承担。</w:t>
            </w:r>
          </w:p>
        </w:tc>
      </w:tr>
    </w:tbl>
    <w:p w14:paraId="2721AF7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000933C3">
      <w:pPr>
        <w:spacing w:after="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56785"/>
          <w:sz w:val="17"/>
        </w:rPr>
        <w:t>EXECUTION</w:t>
      </w:r>
    </w:p>
    <w:p w14:paraId="515F90E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05｜对外交流前、中、后的标准动作</w:t>
      </w:r>
    </w:p>
    <w:tbl>
      <w:tblPr>
        <w:tblStyle w:val="32"/>
        <w:tblW w:w="986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8"/>
        <w:gridCol w:w="6232"/>
        <w:gridCol w:w="2534"/>
      </w:tblGrid>
      <w:tr w14:paraId="4583E1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98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767C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w="6232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8C0C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关键动作</w:t>
            </w:r>
          </w:p>
        </w:tc>
        <w:tc>
          <w:tcPr>
            <w:tcW w:w="2534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FFDE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主要协同</w:t>
            </w:r>
          </w:p>
        </w:tc>
      </w:tr>
      <w:tr w14:paraId="138BB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98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B6A20A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交流前</w:t>
            </w:r>
          </w:p>
        </w:tc>
        <w:tc>
          <w:tcPr>
            <w:tcW w:w="6232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BF54A8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cs="微软雅黑"/>
                <w:sz w:val="17"/>
                <w:lang w:eastAsia="zh-CN"/>
              </w:rPr>
              <w:t>（</w:t>
            </w:r>
            <w:r>
              <w:rPr>
                <w:rFonts w:hint="eastAsia" w:cs="微软雅黑"/>
                <w:sz w:val="17"/>
                <w:lang w:val="en-US" w:eastAsia="zh-CN"/>
              </w:rPr>
              <w:t>态度友善</w:t>
            </w:r>
            <w:r>
              <w:rPr>
                <w:rFonts w:hint="eastAsia" w:cs="微软雅黑"/>
                <w:sz w:val="17"/>
                <w:lang w:eastAsia="zh-CN"/>
              </w:rPr>
              <w:t>）</w:t>
            </w:r>
            <w:r>
              <w:rPr>
                <w:rFonts w:hint="eastAsia" w:ascii="微软雅黑" w:hAnsi="微软雅黑" w:eastAsia="微软雅黑" w:cs="微软雅黑"/>
                <w:sz w:val="17"/>
              </w:rPr>
              <w:t>确认是否有媒体、拍摄、直播或公开传播；核对材料等级、版本与抬头；检查客户、财务、融资和规划信息；明确本人授权。</w:t>
            </w:r>
          </w:p>
        </w:tc>
        <w:tc>
          <w:tcPr>
            <w:tcW w:w="2534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554BDF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品牌、HR、业务/项目负责人及相关职能</w:t>
            </w:r>
          </w:p>
        </w:tc>
      </w:tr>
      <w:tr w14:paraId="76613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98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F4F7F9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A82F7E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交流中</w:t>
            </w:r>
          </w:p>
        </w:tc>
        <w:tc>
          <w:tcPr>
            <w:tcW w:w="6232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F4F7F9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2BF904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围绕已确认口径和本人职责表达；不推测、不展示内部材料、不越权承诺；遇媒体</w:t>
            </w:r>
            <w:r>
              <w:rPr>
                <w:rFonts w:hint="eastAsia" w:cs="微软雅黑"/>
                <w:sz w:val="17"/>
                <w:lang w:val="en-US" w:eastAsia="zh-CN"/>
              </w:rPr>
              <w:t>可推对方</w:t>
            </w:r>
            <w:r>
              <w:rPr>
                <w:rFonts w:hint="eastAsia" w:ascii="微软雅黑" w:hAnsi="微软雅黑" w:eastAsia="微软雅黑" w:cs="微软雅黑"/>
                <w:sz w:val="17"/>
              </w:rPr>
              <w:t>联系方式</w:t>
            </w:r>
            <w:r>
              <w:rPr>
                <w:rFonts w:hint="eastAsia" w:cs="微软雅黑"/>
                <w:sz w:val="17"/>
                <w:lang w:val="en-US" w:eastAsia="zh-CN"/>
              </w:rPr>
              <w:t>给品牌PR，或者发起共同沟通群</w:t>
            </w:r>
            <w:r>
              <w:rPr>
                <w:rFonts w:hint="eastAsia" w:ascii="微软雅黑" w:hAnsi="微软雅黑" w:eastAsia="微软雅黑" w:cs="微软雅黑"/>
                <w:sz w:val="17"/>
              </w:rPr>
              <w:t>。</w:t>
            </w:r>
          </w:p>
        </w:tc>
        <w:tc>
          <w:tcPr>
            <w:tcW w:w="2534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F4F7F9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E84C22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必要时暂停答复，内部确认后补充</w:t>
            </w:r>
          </w:p>
        </w:tc>
      </w:tr>
      <w:tr w14:paraId="529295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98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0AF3A9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交流后</w:t>
            </w:r>
          </w:p>
        </w:tc>
        <w:tc>
          <w:tcPr>
            <w:tcW w:w="6232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BB4C4A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同步传播联系人；</w:t>
            </w:r>
            <w:r>
              <w:rPr>
                <w:rFonts w:hint="eastAsia" w:cs="微软雅黑"/>
                <w:sz w:val="17"/>
                <w:lang w:eastAsia="zh-CN"/>
              </w:rPr>
              <w:t>（</w:t>
            </w:r>
            <w:r>
              <w:rPr>
                <w:rFonts w:hint="eastAsia" w:cs="微软雅黑"/>
                <w:sz w:val="17"/>
                <w:lang w:val="en-US" w:eastAsia="zh-CN"/>
              </w:rPr>
              <w:t>态度谦逊）希望</w:t>
            </w:r>
            <w:r>
              <w:rPr>
                <w:rFonts w:hint="eastAsia" w:ascii="微软雅黑" w:hAnsi="微软雅黑" w:eastAsia="微软雅黑" w:cs="微软雅黑"/>
                <w:sz w:val="17"/>
              </w:rPr>
              <w:t>发布前回传；核对稿件、海报、视频、数据与抬头；外发文件做二次检查。</w:t>
            </w:r>
          </w:p>
        </w:tc>
        <w:tc>
          <w:tcPr>
            <w:tcW w:w="2534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40DBFD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品牌统一对外协调，业务提供事实</w:t>
            </w:r>
          </w:p>
        </w:tc>
      </w:tr>
    </w:tbl>
    <w:p w14:paraId="4644CA33">
      <w:pPr>
        <w:spacing w:after="0" w:line="96" w:lineRule="auto"/>
        <w:rPr>
          <w:rFonts w:hint="eastAsia" w:ascii="微软雅黑" w:hAnsi="微软雅黑" w:eastAsia="微软雅黑" w:cs="微软雅黑"/>
        </w:rPr>
      </w:pPr>
    </w:p>
    <w:p w14:paraId="40139BB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06｜谁负责什么</w:t>
      </w:r>
    </w:p>
    <w:tbl>
      <w:tblPr>
        <w:tblStyle w:val="32"/>
        <w:tblW w:w="986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7632"/>
      </w:tblGrid>
      <w:tr w14:paraId="27C454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32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61CEC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责任主体</w:t>
            </w:r>
          </w:p>
        </w:tc>
        <w:tc>
          <w:tcPr>
            <w:tcW w:w="7632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D13F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核心职责</w:t>
            </w:r>
          </w:p>
        </w:tc>
      </w:tr>
      <w:tr w14:paraId="06507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D58B54C">
            <w:pPr>
              <w:spacing w:after="0" w:line="264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商务/业务</w:t>
            </w:r>
            <w:r>
              <w:rPr>
                <w:rFonts w:hint="eastAsia" w:cs="微软雅黑"/>
                <w:b/>
                <w:sz w:val="17"/>
                <w:lang w:val="en-US" w:eastAsia="zh-CN"/>
              </w:rPr>
              <w:t>体系</w:t>
            </w:r>
          </w:p>
        </w:tc>
        <w:tc>
          <w:tcPr>
            <w:tcW w:w="7632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46C106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识别传播场景，使用确认口径，按必要范围提供材料，及时同步采访与发布需求。</w:t>
            </w:r>
          </w:p>
        </w:tc>
      </w:tr>
      <w:tr w14:paraId="0E700D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F4F7F9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29DFEC0">
            <w:pPr>
              <w:spacing w:after="0" w:line="264" w:lineRule="auto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品牌</w:t>
            </w:r>
            <w:r>
              <w:rPr>
                <w:rFonts w:hint="eastAsia" w:cs="微软雅黑"/>
                <w:b/>
                <w:sz w:val="17"/>
                <w:lang w:val="en-US" w:eastAsia="zh-CN"/>
              </w:rPr>
              <w:t>与公众沟通</w:t>
            </w:r>
          </w:p>
        </w:tc>
        <w:tc>
          <w:tcPr>
            <w:tcW w:w="7632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F4F7F9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13AD2E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维护</w:t>
            </w:r>
            <w:r>
              <w:rPr>
                <w:rFonts w:hint="eastAsia" w:cs="微软雅黑"/>
                <w:sz w:val="17"/>
                <w:lang w:val="en-US" w:eastAsia="zh-CN"/>
              </w:rPr>
              <w:t>更新公司</w:t>
            </w:r>
            <w:r>
              <w:rPr>
                <w:rFonts w:hint="eastAsia" w:ascii="微软雅黑" w:hAnsi="微软雅黑" w:eastAsia="微软雅黑" w:cs="微软雅黑"/>
                <w:sz w:val="17"/>
              </w:rPr>
              <w:t>对外口径和</w:t>
            </w:r>
            <w:r>
              <w:rPr>
                <w:rFonts w:hint="eastAsia" w:cs="微软雅黑"/>
                <w:sz w:val="17"/>
                <w:lang w:val="en-US" w:eastAsia="zh-CN"/>
              </w:rPr>
              <w:t>品牌材料</w:t>
            </w:r>
            <w:r>
              <w:rPr>
                <w:rFonts w:hint="eastAsia" w:ascii="微软雅黑" w:hAnsi="微软雅黑" w:eastAsia="微软雅黑" w:cs="微软雅黑"/>
                <w:sz w:val="17"/>
              </w:rPr>
              <w:t>清单，对接媒体与</w:t>
            </w:r>
            <w:r>
              <w:rPr>
                <w:rFonts w:hint="eastAsia" w:cs="微软雅黑"/>
                <w:sz w:val="17"/>
                <w:lang w:val="en-US" w:eastAsia="zh-CN"/>
              </w:rPr>
              <w:t>第三方</w:t>
            </w:r>
            <w:r>
              <w:rPr>
                <w:rFonts w:hint="eastAsia" w:ascii="微软雅黑" w:hAnsi="微软雅黑" w:eastAsia="微软雅黑" w:cs="微软雅黑"/>
                <w:sz w:val="17"/>
              </w:rPr>
              <w:t>，完成</w:t>
            </w:r>
            <w:r>
              <w:rPr>
                <w:rFonts w:hint="eastAsia" w:cs="微软雅黑"/>
                <w:sz w:val="17"/>
                <w:lang w:val="en-US" w:eastAsia="zh-CN"/>
              </w:rPr>
              <w:t>公开</w:t>
            </w:r>
            <w:r>
              <w:rPr>
                <w:rFonts w:hint="eastAsia" w:ascii="微软雅黑" w:hAnsi="微软雅黑" w:eastAsia="微软雅黑" w:cs="微软雅黑"/>
                <w:sz w:val="17"/>
              </w:rPr>
              <w:t>发布前</w:t>
            </w:r>
            <w:r>
              <w:rPr>
                <w:rFonts w:hint="eastAsia" w:cs="微软雅黑"/>
                <w:sz w:val="17"/>
                <w:lang w:val="en-US" w:eastAsia="zh-CN"/>
              </w:rPr>
              <w:t>的信息</w:t>
            </w:r>
            <w:r>
              <w:rPr>
                <w:rFonts w:hint="eastAsia" w:ascii="微软雅黑" w:hAnsi="微软雅黑" w:eastAsia="微软雅黑" w:cs="微软雅黑"/>
                <w:sz w:val="17"/>
              </w:rPr>
              <w:t>核对。</w:t>
            </w:r>
          </w:p>
        </w:tc>
      </w:tr>
      <w:tr w14:paraId="43874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899B56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HR</w:t>
            </w:r>
          </w:p>
        </w:tc>
        <w:tc>
          <w:tcPr>
            <w:tcW w:w="7632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03DFBC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确认组织、岗位、职级和对外抬头，处理特殊场景下的抬头调整。</w:t>
            </w:r>
          </w:p>
        </w:tc>
      </w:tr>
      <w:tr w14:paraId="3C0BAD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F4F7F9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B925B3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业务/项目负责人</w:t>
            </w:r>
          </w:p>
        </w:tc>
        <w:tc>
          <w:tcPr>
            <w:tcW w:w="7632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shd w:val="clear" w:color="auto" w:fill="F4F7F9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C30253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确认项目事实、产品能力、交付边界、合作状态、案例数据、解决方案与报价。</w:t>
            </w:r>
          </w:p>
        </w:tc>
      </w:tr>
      <w:tr w14:paraId="77E3B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11CFEB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cs="微软雅黑"/>
                <w:b/>
                <w:sz w:val="17"/>
                <w:lang w:val="en-US" w:eastAsia="zh-CN"/>
              </w:rPr>
              <w:t>品牌/</w:t>
            </w: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法务/财务等</w:t>
            </w:r>
          </w:p>
        </w:tc>
        <w:tc>
          <w:tcPr>
            <w:tcW w:w="7632" w:type="dxa"/>
            <w:tcBorders>
              <w:top w:val="single" w:color="CCD6DF" w:sz="4" w:space="0"/>
              <w:left w:val="single" w:color="CCD6DF" w:sz="4" w:space="0"/>
              <w:bottom w:val="single" w:color="CCD6DF" w:sz="4" w:space="0"/>
              <w:right w:val="single" w:color="CCD6DF" w:sz="4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538B42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对合同、知识产权、个人信息、数据安全、财务数据和保密义务提供专业确认。</w:t>
            </w:r>
          </w:p>
        </w:tc>
      </w:tr>
    </w:tbl>
    <w:p w14:paraId="6B635794">
      <w:pPr>
        <w:spacing w:after="0" w:line="96" w:lineRule="auto"/>
        <w:rPr>
          <w:rFonts w:hint="eastAsia" w:ascii="微软雅黑" w:hAnsi="微软雅黑" w:eastAsia="微软雅黑" w:cs="微软雅黑"/>
        </w:rPr>
      </w:pPr>
    </w:p>
    <w:p w14:paraId="36DA43A8">
      <w:pPr>
        <w:pStyle w:val="3"/>
        <w:rPr>
          <w:rFonts w:hint="eastAsia" w:ascii="微软雅黑" w:hAnsi="微软雅黑" w:eastAsia="微软雅黑" w:cs="微软雅黑"/>
        </w:rPr>
      </w:pPr>
    </w:p>
    <w:p w14:paraId="0946AC76">
      <w:pPr>
        <w:spacing w:after="0" w:line="96" w:lineRule="auto"/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907" w:right="935" w:bottom="879" w:left="935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6DB61B">
    <w:pPr>
      <w:pStyle w:val="24"/>
    </w:pPr>
  </w:p>
  <w:tbl>
    <w:tblPr>
      <w:tblStyle w:val="32"/>
      <w:tblW w:w="9576" w:type="dxa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552"/>
      <w:gridCol w:w="3024"/>
    </w:tblGrid>
    <w:tr w14:paraId="302EB028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6552" w:type="dxa"/>
          <w:tcMar>
            <w:top w:w="65" w:type="dxa"/>
            <w:left w:w="0" w:type="dxa"/>
            <w:bottom w:w="0" w:type="dxa"/>
            <w:right w:w="0" w:type="dxa"/>
          </w:tcMar>
        </w:tcPr>
        <w:p w14:paraId="350B67DA">
          <w:r>
            <w:rPr>
              <w:rFonts w:ascii="Aptos" w:hAnsi="Aptos"/>
              <w:b/>
              <w:color w:val="17324D"/>
              <w:sz w:val="16"/>
            </w:rPr>
            <w:t>严格保密｜仅限内部授权使用</w:t>
          </w:r>
        </w:p>
      </w:tc>
      <w:tc>
        <w:tcPr>
          <w:tcW w:w="3024" w:type="dxa"/>
          <w:tcMar>
            <w:top w:w="65" w:type="dxa"/>
            <w:left w:w="0" w:type="dxa"/>
            <w:bottom w:w="0" w:type="dxa"/>
            <w:right w:w="0" w:type="dxa"/>
          </w:tcMar>
        </w:tcPr>
        <w:p w14:paraId="4FAA3270">
          <w:pPr>
            <w:jc w:val="right"/>
          </w:pPr>
          <w:r>
            <w:rPr>
              <w:rFonts w:ascii="Aptos" w:hAnsi="Aptos"/>
              <w:color w:val="667789"/>
              <w:sz w:val="16"/>
            </w:rPr>
            <w:t xml:space="preserve">第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Aptos" w:hAnsi="Aptos"/>
              <w:color w:val="667789"/>
              <w:sz w:val="16"/>
            </w:rPr>
            <w:t xml:space="preserve"> 页 / 共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ptos" w:hAnsi="Aptos"/>
              <w:color w:val="667789"/>
              <w:sz w:val="16"/>
            </w:rPr>
            <w:t xml:space="preserve"> 页</w:t>
          </w:r>
        </w:p>
      </w:tc>
    </w:tr>
  </w:tbl>
  <w:p w14:paraId="0B441CC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F8834D">
    <w:pPr>
      <w:pStyle w:val="25"/>
      <w:pBdr>
        <w:bottom w:val="single" w:color="CCD6DF" w:sz="6" w:space="1"/>
      </w:pBdr>
      <w:spacing w:after="40"/>
    </w:pPr>
    <w:r>
      <w:rPr>
        <w:rFonts w:ascii="Aptos" w:hAnsi="Aptos"/>
        <w:b/>
        <w:color w:val="667789"/>
        <w:sz w:val="16"/>
      </w:rPr>
      <w:t>爱化身科技｜公司级对外发声与信息使用执行规范｜宣讲版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xZTNkYTE4MzcwZjBiNTE3ZTU5YTYxZWM3NjgzODMifQ=="/>
  </w:docVars>
  <w:rsids>
    <w:rsidRoot w:val="00B47730"/>
    <w:rsid w:val="00034616"/>
    <w:rsid w:val="0006063C"/>
    <w:rsid w:val="000928F5"/>
    <w:rsid w:val="0015074B"/>
    <w:rsid w:val="0029639D"/>
    <w:rsid w:val="00326F90"/>
    <w:rsid w:val="007A2EC5"/>
    <w:rsid w:val="00A23D97"/>
    <w:rsid w:val="00AA1D8D"/>
    <w:rsid w:val="00B47730"/>
    <w:rsid w:val="00C441A8"/>
    <w:rsid w:val="00CB0664"/>
    <w:rsid w:val="00FC693F"/>
    <w:rsid w:val="059731F4"/>
    <w:rsid w:val="0B786794"/>
    <w:rsid w:val="0DA90E87"/>
    <w:rsid w:val="252C4420"/>
    <w:rsid w:val="2CC969F8"/>
    <w:rsid w:val="35EA027C"/>
    <w:rsid w:val="40827192"/>
    <w:rsid w:val="4AA25DA3"/>
    <w:rsid w:val="5E4C4C10"/>
    <w:rsid w:val="5E5F03F0"/>
    <w:rsid w:val="654E74BF"/>
    <w:rsid w:val="667433E9"/>
    <w:rsid w:val="679B7040"/>
    <w:rsid w:val="689A28BB"/>
    <w:rsid w:val="7DA1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83" w:lineRule="auto"/>
    </w:pPr>
    <w:rPr>
      <w:rFonts w:ascii="微软雅黑" w:hAnsi="微软雅黑" w:eastAsia="微软雅黑" w:cstheme="minorBidi"/>
      <w:color w:val="243442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autoRedefine/>
    <w:qFormat/>
    <w:uiPriority w:val="9"/>
    <w:pPr>
      <w:keepNext/>
      <w:keepLines/>
      <w:spacing w:before="160" w:after="100"/>
      <w:outlineLvl w:val="0"/>
    </w:pPr>
    <w:rPr>
      <w:rFonts w:asciiTheme="majorHAnsi" w:hAnsiTheme="majorHAnsi" w:eastAsiaTheme="majorEastAsia" w:cstheme="majorBidi"/>
      <w:b/>
      <w:bCs/>
      <w:color w:val="17324D"/>
      <w:sz w:val="3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/>
      <w:outlineLvl w:val="1"/>
    </w:pPr>
    <w:rPr>
      <w:rFonts w:asciiTheme="majorHAnsi" w:hAnsiTheme="majorHAnsi" w:eastAsiaTheme="majorEastAsia" w:cstheme="majorBidi"/>
      <w:b/>
      <w:bCs/>
      <w:color w:val="456785"/>
      <w:sz w:val="23"/>
      <w:szCs w:val="26"/>
    </w:rPr>
  </w:style>
  <w:style w:type="paragraph" w:styleId="5">
    <w:name w:val="heading 3"/>
    <w:basedOn w:val="1"/>
    <w:next w:val="1"/>
    <w:link w:val="140"/>
    <w:autoRedefine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autoRedefine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autoRedefine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autoRedefine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autoRedefine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autoRedefine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autoRedefine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autoRedefine/>
    <w:semiHidden/>
    <w:unhideWhenUsed/>
    <w:qFormat/>
    <w:uiPriority w:val="1"/>
  </w:style>
  <w:style w:type="table" w:default="1" w:styleId="3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autoRedefine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autoRedefine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autoRedefine/>
    <w:unhideWhenUsed/>
    <w:qFormat/>
    <w:uiPriority w:val="99"/>
    <w:pPr>
      <w:numPr>
        <w:ilvl w:val="0"/>
        <w:numId w:val="2"/>
      </w:numPr>
      <w:contextualSpacing/>
    </w:pPr>
    <w:rPr>
      <w:sz w:val="18"/>
    </w:rPr>
  </w:style>
  <w:style w:type="paragraph" w:styleId="15">
    <w:name w:val="caption"/>
    <w:basedOn w:val="1"/>
    <w:next w:val="1"/>
    <w:autoRedefine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autoRedefine/>
    <w:unhideWhenUsed/>
    <w:qFormat/>
    <w:uiPriority w:val="99"/>
    <w:pPr>
      <w:numPr>
        <w:ilvl w:val="0"/>
        <w:numId w:val="3"/>
      </w:numPr>
      <w:contextualSpacing/>
    </w:pPr>
    <w:rPr>
      <w:sz w:val="18"/>
    </w:rPr>
  </w:style>
  <w:style w:type="paragraph" w:styleId="17">
    <w:name w:val="Body Text 3"/>
    <w:basedOn w:val="1"/>
    <w:link w:val="146"/>
    <w:autoRedefine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autoRedefine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autoRedefine/>
    <w:unhideWhenUsed/>
    <w:qFormat/>
    <w:uiPriority w:val="99"/>
    <w:pPr>
      <w:spacing w:after="120"/>
    </w:pPr>
  </w:style>
  <w:style w:type="paragraph" w:styleId="20">
    <w:name w:val="List Number 3"/>
    <w:basedOn w:val="1"/>
    <w:autoRedefine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autoRedefine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autoRedefine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autoRedefine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autoRedefine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autoRedefine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autoRedefine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autoRedefine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autoRedefine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autoRedefine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autoRedefine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autoRedefine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autoRedefine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autoRedefine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autoRedefine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autoRedefine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autoRedefine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autoRedefine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autoRedefine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autoRedefine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autoRedefine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autoRedefine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autoRedefine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autoRedefine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autoRedefine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autoRedefine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autoRedefine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autoRedefine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autoRedefine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autoRedefine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autoRedefine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autoRedefine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autoRedefine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autoRedefine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autoRedefine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autoRedefine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autoRedefine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autoRedefine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autoRedefine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autoRedefine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autoRedefine/>
    <w:qFormat/>
    <w:uiPriority w:val="22"/>
    <w:rPr>
      <w:b/>
      <w:bCs/>
    </w:rPr>
  </w:style>
  <w:style w:type="character" w:styleId="134">
    <w:name w:val="Emphasis"/>
    <w:basedOn w:val="132"/>
    <w:autoRedefine/>
    <w:qFormat/>
    <w:uiPriority w:val="20"/>
    <w:rPr>
      <w:i/>
      <w:iCs/>
    </w:rPr>
  </w:style>
  <w:style w:type="character" w:customStyle="1" w:styleId="135">
    <w:name w:val="页眉 字符"/>
    <w:basedOn w:val="132"/>
    <w:link w:val="25"/>
    <w:autoRedefine/>
    <w:qFormat/>
    <w:uiPriority w:val="99"/>
  </w:style>
  <w:style w:type="character" w:customStyle="1" w:styleId="136">
    <w:name w:val="页脚 字符"/>
    <w:basedOn w:val="132"/>
    <w:link w:val="24"/>
    <w:autoRedefine/>
    <w:qFormat/>
    <w:uiPriority w:val="99"/>
  </w:style>
  <w:style w:type="paragraph" w:styleId="137">
    <w:name w:val="No Spacing"/>
    <w:autoRedefine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autoRedefine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autoRedefine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autoRedefine/>
    <w:qFormat/>
    <w:uiPriority w:val="99"/>
  </w:style>
  <w:style w:type="character" w:customStyle="1" w:styleId="145">
    <w:name w:val="正文文本 2 字符"/>
    <w:basedOn w:val="132"/>
    <w:link w:val="28"/>
    <w:autoRedefine/>
    <w:qFormat/>
    <w:uiPriority w:val="99"/>
  </w:style>
  <w:style w:type="character" w:customStyle="1" w:styleId="146">
    <w:name w:val="正文文本 3 字符"/>
    <w:basedOn w:val="132"/>
    <w:link w:val="17"/>
    <w:autoRedefine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autoRedefine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autoRedefine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autoRedefine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autoRedefine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autoRedefine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autoRedefine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autoRedefine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autoRedefine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autoRedefine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autoRedefine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autoRedefine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autoRedefine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1861</Words>
  <Characters>1944</Characters>
  <Lines>81</Lines>
  <Paragraphs>117</Paragraphs>
  <TotalTime>22</TotalTime>
  <ScaleCrop>false</ScaleCrop>
  <LinksUpToDate>false</LinksUpToDate>
  <CharactersWithSpaces>1949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鹿</dc:creator>
  <dc:description>严格保密｜仅限内部授权使用</dc:description>
  <cp:keywords>爱化身科技, 对外发声, 信息使用, 宣讲版</cp:keywords>
  <cp:lastModifiedBy>鹿</cp:lastModifiedBy>
  <dcterms:modified xsi:type="dcterms:W3CDTF">2026-08-20T10:38:18Z</dcterms:modified>
  <dc:subject>公司级对外发声与信息使用执行规范</dc:subject>
  <dc:title>爱化身科技公司级对外发声与信息使用执行规范（3页宣讲版）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eyJoZGlkIjoiZWU2N2JiMzI1OWIwOWEwZWRmOGEyNWU3YTRkZGYwOWQiLCJ1c2VySWQiOiIzMDY1NDQ5OTAifQ==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A0949A7E3F7A461A9B6BD09DB4C60C71_12</vt:lpwstr>
  </property>
</Properties>
</file>