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1"/>
        </w:rPr>
        <w:t xml:space="preserve">خطوات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0"/>
        </w:rPr>
        <w:t xml:space="preserve">CSA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1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shd w:fill="fafafa" w:val="clear"/>
          <w:rtl w:val="0"/>
        </w:rPr>
        <w:t xml:space="preserve">Cloud Service Agreement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مقدمة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فهمه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لاختيار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المختار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للمقارنة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لنفس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تختلف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بحسب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نموذج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        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IaaS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PaaS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SaaS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مناقشة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يخص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نموذج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التقديم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SaaS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تحتوي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تحكم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العلاقة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الطالب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لشراء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يهتموا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دقيق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اللغة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المكتوبة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تفاصيل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فبعضها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مرن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يقدمه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البعض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الآخر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مرونة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يقدمه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إمكانيات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ثلاثة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مكونات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موافقة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Agreement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سياسة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المقبولة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Acceptable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الموافقة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SLA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Agreement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التقسيم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إجباري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قياسي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فبعضهم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يختار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النموذج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بعضهم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بالتعديل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موافقة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تعريف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الأدوار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الإجراءات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الموافقة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الإستخدام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المقبولة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يمنع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النشاطات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يعتبرها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قانونية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يقدمها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الموافقة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خصائص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الإتاحية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اﻷداء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…</w:t>
      </w:r>
    </w:p>
    <w:p w:rsidR="00000000" w:rsidDel="00000000" w:rsidP="00000000" w:rsidRDefault="00000000" w:rsidRPr="00000000" w14:paraId="0000001B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الموافقة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المقادير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الغرامات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المستوجبة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وضع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بأرقام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محددة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إستيعاب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الأدوار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المسؤوليات</w:t>
      </w:r>
    </w:p>
    <w:p w:rsidR="00000000" w:rsidDel="00000000" w:rsidP="00000000" w:rsidRDefault="00000000" w:rsidRPr="00000000" w14:paraId="0000001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استيعاب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النشاطات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إيضاح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العلاقة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حصول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مشاكل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الأدوار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الحوسبة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):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</w:p>
    <w:p w:rsidR="00000000" w:rsidDel="00000000" w:rsidP="00000000" w:rsidRDefault="00000000" w:rsidRPr="00000000" w14:paraId="0000002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الوسيط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الشريك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أساسي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تدخله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لدعم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صورة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اﻷدوار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أصحاب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اﻷدوار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الرئيسية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</w:rPr>
        <w:drawing>
          <wp:inline distB="114300" distT="114300" distL="114300" distR="114300">
            <wp:extent cx="5943600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اﻷدوار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الفرعية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للوسيط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مسؤولياته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إنقطاع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خلل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المراقبة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لإكتشاف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حصول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الخلل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بالمقام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مسؤوليات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المسؤول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الخلل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والخطأ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مرورا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بمرحلة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التعافي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إصلاح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تدخل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الوسيط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فغالبا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بفتح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أبوابه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للإطلاع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وسيط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موثوق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الشهادة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إتمام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عمله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جهة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مراقبة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auditor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مستمر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إعطاء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تقارير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الوضع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الحالي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الخطوات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اللاحقة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إيضاح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مسؤولية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اﻷطراف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المشتركين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وسيط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لتحقيق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صعيد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صعيد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ثانيا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تقييم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تكرارها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بعين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الإعتبار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قيام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بحفظ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نسخة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ويختار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خطط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إختيار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تناسبه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بتقديمه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بحفظ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نسخة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إحتياطية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استعادة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فحص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الجغرافي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لمعرفة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تواجد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يتطلب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ضرائب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بتغيير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إخبار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التغيير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بالمكان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؟</w:t>
      </w:r>
    </w:p>
    <w:p w:rsidR="00000000" w:rsidDel="00000000" w:rsidP="00000000" w:rsidRDefault="00000000" w:rsidRPr="00000000" w14:paraId="0000003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تلف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قادرا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يحفظ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التلف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خرجت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قادرا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إعادة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توقف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لأسباب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أمنية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اضطرارية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خصوصية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تنتقل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لأخر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تنتقل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وإنما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كيفية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ذاتها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إتاحية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مئوية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متاحة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سنويا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شهريا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تعارض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بالمخد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تتوقف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مؤقتا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عملية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التنبيهات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أراد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بتغيير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حفظه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إدارته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4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5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الضمانات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الضمانة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إتاحة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المئوية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المسموح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بإيقاف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عطل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يتوجب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تعويضه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مقدرا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بإرجاع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غيرها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الاستخدام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المسموح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AUP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):</w:t>
      </w:r>
    </w:p>
    <w:p w:rsidR="00000000" w:rsidDel="00000000" w:rsidP="00000000" w:rsidRDefault="00000000" w:rsidRPr="00000000" w14:paraId="0000005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إختراق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عادة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قابلة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للنقاش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).</w:t>
      </w:r>
    </w:p>
    <w:p w:rsidR="00000000" w:rsidDel="00000000" w:rsidP="00000000" w:rsidRDefault="00000000" w:rsidRPr="00000000" w14:paraId="0000005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الظروف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تندرج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تحتها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خروجه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تقديم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تجاوز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يتوجب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زاد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المتفق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فبما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الحوسبة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تمكن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التوسع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سريع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يرغب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التوسع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فوق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الحدود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المتفق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لعدم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قدرته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أجور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زائدة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متفق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التفعيل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بدء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تفعيل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دقيق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بالبدء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بحساب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الضمانات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الضمانات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الزمنية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إتاحية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شهر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يتوجب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قدرته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التلبية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وعد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سواء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شهريا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الاستخدام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6-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تجديد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تجديد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سنوي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تجديدها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تقائي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يحتاج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مناقشة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7-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تغيير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تصف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للهجرة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غرامات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8-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الدعم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إتباع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يقدمه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مسألة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المتابعة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والدعم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تقرير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حيث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الموعود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لتقرير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المشكلة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الموعود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للبدء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بالاستجابة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إصلاح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9-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المخطط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معظم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الأنظمة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النظام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بقيام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توقف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ابدا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توقف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المستنتج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إتاحة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مئوية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 95%)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أوقات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الدورية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لمعرفة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تجاوز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الغرامات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ستحقة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10-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ترخيص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البرمجيات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برمجيات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تحتاج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ترخيص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الحوسبة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بجعل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مسؤولية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دفع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الرخص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يرغب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بالاستمرار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البرمجيات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القديمة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إصدار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تحديثات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جديدة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تنبيه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ضرورة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شراء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رخص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للبرمجيات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الجديدة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يعطي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إتخاذ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القرار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بالإستمرار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بالتخلي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ثالثا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سياسات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بنموذج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0"/>
        </w:rPr>
        <w:t xml:space="preserve">SaaS</w:t>
      </w:r>
    </w:p>
    <w:p w:rsidR="00000000" w:rsidDel="00000000" w:rsidP="00000000" w:rsidRDefault="00000000" w:rsidRPr="00000000" w14:paraId="0000007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الإتاحية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وردت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سابقا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مئوية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تبقى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متاحة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للإستخدام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سنويا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شهريا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توضح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تعارض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تتوقف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مؤقتا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استجابة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7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الفرق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الزمني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لحظة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طلب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لحظة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النتيجة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المطلوبة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وردت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سابقا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يأخذ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بعين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الإعتبار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قيام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بحفظ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نسخة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ويختار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الخطة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المناسبة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خطط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مقدمة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إختيار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الطريقة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تناسبه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بتقديمه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8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بحفظ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نسخة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إحتياطية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دوري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استعادة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فحص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صحة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المعلومات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التنبيه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بتخزين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بالصيغ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القياسية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الإنتقال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التوسعية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التلقائية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موارد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إضافية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زادت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نسبة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الطلب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محدد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مسبقا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ومم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تتضمنه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إتفاقية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السحابية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الإيداع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خاص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كلاهما</w:t>
      </w:r>
    </w:p>
    <w:p w:rsidR="00000000" w:rsidDel="00000000" w:rsidP="00000000" w:rsidRDefault="00000000" w:rsidRPr="00000000" w14:paraId="0000008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التكنولوجيا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الإيداع</w:t>
      </w:r>
    </w:p>
    <w:p w:rsidR="00000000" w:rsidDel="00000000" w:rsidP="00000000" w:rsidRDefault="00000000" w:rsidRPr="00000000" w14:paraId="0000008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الإيداع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عام</w:t>
      </w:r>
    </w:p>
    <w:p w:rsidR="00000000" w:rsidDel="00000000" w:rsidP="00000000" w:rsidRDefault="00000000" w:rsidRPr="00000000" w14:paraId="00000091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مشاركة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تعددية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tenancy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يدرك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بتقديم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الإتاحية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الوثوقية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المخاطر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تطرأ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الأداء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نتيجة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المشاركة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الموارد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رابعا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الحماية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مستويين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المخزنة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التطبيق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كمهمة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التشغيل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صاحبها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والتي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أنظمة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يلي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</w:t>
      </w:r>
    </w:p>
    <w:p w:rsidR="00000000" w:rsidDel="00000000" w:rsidP="00000000" w:rsidRDefault="00000000" w:rsidRPr="00000000" w14:paraId="00000099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1-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مستوى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الحماية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درجة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التشفير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9A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صيانة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تدميرها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اﻷرشفة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9B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ملكية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حمايتها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تحقيقه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للتحكم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بطرق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الوصول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)</w:t>
      </w:r>
    </w:p>
    <w:p w:rsidR="00000000" w:rsidDel="00000000" w:rsidP="00000000" w:rsidRDefault="00000000" w:rsidRPr="00000000" w14:paraId="0000009C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contextualSpacing w:val="0"/>
        <w:rPr>
          <w:rFonts w:ascii="Times New Roman" w:cs="Times New Roman" w:eastAsia="Times New Roman" w:hAnsi="Times New Roman"/>
          <w:sz w:val="26"/>
          <w:szCs w:val="26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ملاحظة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تنبيه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الزبائن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حدوث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إختراق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مهما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الزبون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المعطيات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مزود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الخدمة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يضمن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الوقوف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وجه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الإختراق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التصدي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ومع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إجراء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التغييرات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الضرورية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لضمان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وقوع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الحادثة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نفسها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ثانية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afafa" w:val="clear"/>
          <w:rtl w:val="1"/>
        </w:rPr>
        <w:t xml:space="preserve">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