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E84DE" w14:textId="7EE872E4" w:rsidR="000149EE" w:rsidRPr="000149EE" w:rsidRDefault="000149EE" w:rsidP="000149EE">
      <w:r w:rsidRPr="000149EE">
        <w:t xml:space="preserve">Развитието на </w:t>
      </w:r>
      <w:r w:rsidRPr="000149EE">
        <w:rPr>
          <w:b/>
          <w:bCs/>
        </w:rPr>
        <w:t>многокритериалния анализ за вземане на решения (MCDA)</w:t>
      </w:r>
      <w:r w:rsidRPr="000149EE">
        <w:t xml:space="preserve"> през последните петдесет години бележи значителна еволюция от класическите методи към съвременни подходи за обучение на предпочитанията</w:t>
      </w:r>
      <w:r>
        <w:t xml:space="preserve"> [1] [2]</w:t>
      </w:r>
      <w:r w:rsidRPr="000149EE">
        <w:t>. В основата на тези системи лежи математическото агрегиране на често конфликтни критерии в единен модел на предпочитанията, който представя ценностната система на вземащия решения (DM)</w:t>
      </w:r>
      <w:r>
        <w:t xml:space="preserve"> [2]</w:t>
      </w:r>
      <w:r w:rsidRPr="000149EE">
        <w:t xml:space="preserve">. Сред различните техники, </w:t>
      </w:r>
      <w:r w:rsidRPr="000149EE">
        <w:rPr>
          <w:b/>
          <w:bCs/>
        </w:rPr>
        <w:t>линейният модел на претеглената сума (WSM)</w:t>
      </w:r>
      <w:r w:rsidRPr="000149EE">
        <w:t xml:space="preserve"> остава най-широко използваният метод в литературата поради своята простота и лесна интерпретация</w:t>
      </w:r>
      <w:r w:rsidR="001D03F0">
        <w:t xml:space="preserve"> [3]</w:t>
      </w:r>
      <w:r w:rsidRPr="000149EE">
        <w:t>. Този метод се основава на адитивната полезност, при която предпочитанията се изчисляват като сума от произведенията на теглата на критериите и нормализираните стойности на алтернативите.</w:t>
      </w:r>
      <w:r w:rsidR="001D03F0">
        <w:t xml:space="preserve"> [4]</w:t>
      </w:r>
    </w:p>
    <w:p w14:paraId="7BDBECCC" w14:textId="77777777" w:rsidR="000149EE" w:rsidRPr="000149EE" w:rsidRDefault="000149EE" w:rsidP="000149EE">
      <w:r w:rsidRPr="000149EE">
        <w:rPr>
          <w:b/>
          <w:bCs/>
        </w:rPr>
        <w:t>Математически основи и пространства от решения</w:t>
      </w:r>
    </w:p>
    <w:p w14:paraId="3F183822" w14:textId="79C345AF" w:rsidR="000149EE" w:rsidRPr="000149EE" w:rsidRDefault="000149EE" w:rsidP="000149EE">
      <w:r w:rsidRPr="000149EE">
        <w:t xml:space="preserve">Многокритериалните задачи за оптимизация (MOPs) рядко имат единствено оптимално решение; вместо това те генерират набор от компромисни решения, известни като </w:t>
      </w:r>
      <w:r w:rsidRPr="000149EE">
        <w:rPr>
          <w:b/>
          <w:bCs/>
        </w:rPr>
        <w:t>парето-оптимално множество</w:t>
      </w:r>
      <w:r w:rsidR="00980A9F">
        <w:rPr>
          <w:b/>
          <w:bCs/>
        </w:rPr>
        <w:t xml:space="preserve"> </w:t>
      </w:r>
      <w:r w:rsidR="00980A9F" w:rsidRPr="00980A9F">
        <w:t>[1] [5]</w:t>
      </w:r>
      <w:r w:rsidRPr="000149EE">
        <w:t>. Пространството от решения се дефинира от парето-фронта, който отразява взаимните компромиси между различните критерии</w:t>
      </w:r>
      <w:r w:rsidR="00980A9F">
        <w:t xml:space="preserve"> [1]</w:t>
      </w:r>
      <w:r w:rsidRPr="000149EE">
        <w:t xml:space="preserve">. Когато броят на критериите надвиши три, тези задачи се класифицират като </w:t>
      </w:r>
      <w:r w:rsidRPr="000149EE">
        <w:rPr>
          <w:b/>
          <w:bCs/>
        </w:rPr>
        <w:t>многокритериални задачи с голям брой цели (MaOPs)</w:t>
      </w:r>
      <w:r w:rsidRPr="000149EE">
        <w:t>, където пространството на решенията става изключително сложно поради „проклятието на размерността“</w:t>
      </w:r>
      <w:r w:rsidR="00980A9F">
        <w:t xml:space="preserve"> [1</w:t>
      </w:r>
      <w:r w:rsidR="00E40300">
        <w:t>]</w:t>
      </w:r>
      <w:r w:rsidRPr="000149EE">
        <w:t>. В такива високоразмерни пространства парето-доминантността губи своята селективна сила, тъй като повечето решения стават взаимно недоминирани</w:t>
      </w:r>
      <w:r w:rsidR="00E40300">
        <w:t xml:space="preserve"> [1]</w:t>
      </w:r>
      <w:r w:rsidRPr="000149EE">
        <w:t>.</w:t>
      </w:r>
    </w:p>
    <w:p w14:paraId="1F2E4B18" w14:textId="77777777" w:rsidR="000149EE" w:rsidRPr="000149EE" w:rsidRDefault="000149EE" w:rsidP="000149EE">
      <w:r w:rsidRPr="000149EE">
        <w:rPr>
          <w:b/>
          <w:bCs/>
        </w:rPr>
        <w:t>Конфигурационни пространства и извеждане на тегла</w:t>
      </w:r>
    </w:p>
    <w:p w14:paraId="4E0389EC" w14:textId="490E55FC" w:rsidR="000149EE" w:rsidRPr="000149EE" w:rsidRDefault="000149EE" w:rsidP="000149EE">
      <w:r w:rsidRPr="000149EE">
        <w:t>Определянето на теглата на критериите е критичен и често спорен етап в изграждането на линейни оценителни системи</w:t>
      </w:r>
      <w:r w:rsidR="00E40300">
        <w:t xml:space="preserve"> [6] [7]</w:t>
      </w:r>
      <w:r w:rsidRPr="000149EE">
        <w:t>. Литературата разделя методите за определяне на тегла на три категории:</w:t>
      </w:r>
    </w:p>
    <w:p w14:paraId="78CEF108" w14:textId="0AE7F247" w:rsidR="000149EE" w:rsidRPr="000149EE" w:rsidRDefault="000149EE" w:rsidP="000149EE">
      <w:pPr>
        <w:numPr>
          <w:ilvl w:val="0"/>
          <w:numId w:val="1"/>
        </w:numPr>
      </w:pPr>
      <w:r w:rsidRPr="000149EE">
        <w:rPr>
          <w:b/>
          <w:bCs/>
        </w:rPr>
        <w:t>Субективни методи:</w:t>
      </w:r>
      <w:r w:rsidRPr="000149EE">
        <w:t xml:space="preserve"> Основани на директни оценки от експерти (напр. AHP, директно класиране)</w:t>
      </w:r>
      <w:r w:rsidR="00E40300" w:rsidRPr="00E40300">
        <w:t xml:space="preserve"> </w:t>
      </w:r>
      <w:r w:rsidR="00E40300">
        <w:t>[7]</w:t>
      </w:r>
      <w:r w:rsidR="00E40300" w:rsidRPr="000149EE">
        <w:t>.</w:t>
      </w:r>
    </w:p>
    <w:p w14:paraId="3601B8FE" w14:textId="5F9AD26C" w:rsidR="000149EE" w:rsidRPr="000149EE" w:rsidRDefault="000149EE" w:rsidP="000149EE">
      <w:pPr>
        <w:numPr>
          <w:ilvl w:val="0"/>
          <w:numId w:val="1"/>
        </w:numPr>
      </w:pPr>
      <w:r w:rsidRPr="000149EE">
        <w:rPr>
          <w:b/>
          <w:bCs/>
        </w:rPr>
        <w:t>Обективни методи:</w:t>
      </w:r>
      <w:r w:rsidRPr="000149EE">
        <w:t xml:space="preserve"> Използват математически трансформации на данните в матрицата на решенията (напр. метод на ентропията, CRITIC)</w:t>
      </w:r>
      <w:r w:rsidR="00E40300" w:rsidRPr="00E40300">
        <w:t xml:space="preserve"> </w:t>
      </w:r>
      <w:r w:rsidR="00E40300">
        <w:t>[7]</w:t>
      </w:r>
      <w:r w:rsidR="00E40300" w:rsidRPr="000149EE">
        <w:t>.</w:t>
      </w:r>
    </w:p>
    <w:p w14:paraId="7B22B020" w14:textId="300ED0DB" w:rsidR="000149EE" w:rsidRPr="000149EE" w:rsidRDefault="000149EE" w:rsidP="000149EE">
      <w:pPr>
        <w:numPr>
          <w:ilvl w:val="0"/>
          <w:numId w:val="1"/>
        </w:numPr>
      </w:pPr>
      <w:r w:rsidRPr="000149EE">
        <w:rPr>
          <w:b/>
          <w:bCs/>
        </w:rPr>
        <w:t>Хибридни методи:</w:t>
      </w:r>
      <w:r w:rsidRPr="000149EE">
        <w:t xml:space="preserve"> Комбинират двата подхода (напр. MEREC)</w:t>
      </w:r>
      <w:r w:rsidR="00E40300" w:rsidRPr="00E40300">
        <w:t xml:space="preserve"> </w:t>
      </w:r>
      <w:r w:rsidR="00E40300">
        <w:t>[7]</w:t>
      </w:r>
      <w:r w:rsidR="00E40300" w:rsidRPr="000149EE">
        <w:t>.</w:t>
      </w:r>
    </w:p>
    <w:p w14:paraId="7CCBC33E" w14:textId="39EA7FBE" w:rsidR="000149EE" w:rsidRPr="000149EE" w:rsidRDefault="000149EE" w:rsidP="000149EE">
      <w:r w:rsidRPr="000149EE">
        <w:t xml:space="preserve">Изследването на </w:t>
      </w:r>
      <w:r w:rsidRPr="000149EE">
        <w:rPr>
          <w:b/>
          <w:bCs/>
        </w:rPr>
        <w:t>пространството на теглата</w:t>
      </w:r>
      <w:r w:rsidRPr="000149EE">
        <w:t xml:space="preserve"> чрез метода </w:t>
      </w:r>
      <w:r w:rsidRPr="000149EE">
        <w:rPr>
          <w:b/>
          <w:bCs/>
        </w:rPr>
        <w:t>Монте Карло</w:t>
      </w:r>
      <w:r w:rsidRPr="000149EE">
        <w:t xml:space="preserve"> позволява на изследователите да анализират какви стойности на теглата са необходими, за да бъде дадена алтернатива класирана на първо място</w:t>
      </w:r>
      <w:r w:rsidR="00E40300">
        <w:t>[7]</w:t>
      </w:r>
      <w:r w:rsidR="00E40300" w:rsidRPr="000149EE">
        <w:t xml:space="preserve">. </w:t>
      </w:r>
      <w:r w:rsidRPr="000149EE">
        <w:t xml:space="preserve"> Този подход въвежда </w:t>
      </w:r>
      <w:r w:rsidRPr="000149EE">
        <w:lastRenderedPageBreak/>
        <w:t xml:space="preserve">концепцията за </w:t>
      </w:r>
      <w:r w:rsidRPr="000149EE">
        <w:rPr>
          <w:b/>
          <w:bCs/>
        </w:rPr>
        <w:t>централни тегла</w:t>
      </w:r>
      <w:r w:rsidRPr="000149EE">
        <w:t xml:space="preserve"> и измерва тяхната стабилност и устойчивост спрямо промени в конфигурацията на системата</w:t>
      </w:r>
      <w:r w:rsidR="00E40300">
        <w:t xml:space="preserve"> </w:t>
      </w:r>
      <w:r w:rsidR="00E40300">
        <w:t>[7]</w:t>
      </w:r>
      <w:r w:rsidR="00E40300" w:rsidRPr="000149EE">
        <w:t>.</w:t>
      </w:r>
    </w:p>
    <w:p w14:paraId="300E1909" w14:textId="77777777" w:rsidR="000149EE" w:rsidRPr="000149EE" w:rsidRDefault="000149EE" w:rsidP="000149EE">
      <w:r w:rsidRPr="000149EE">
        <w:rPr>
          <w:b/>
          <w:bCs/>
        </w:rPr>
        <w:t>Анализ на чувствителността и устойчивостта</w:t>
      </w:r>
    </w:p>
    <w:p w14:paraId="27E33D52" w14:textId="31A09013" w:rsidR="000149EE" w:rsidRPr="000149EE" w:rsidRDefault="000149EE" w:rsidP="000149EE">
      <w:r w:rsidRPr="000149EE">
        <w:rPr>
          <w:b/>
          <w:bCs/>
        </w:rPr>
        <w:t>Анализът на чувствителността</w:t>
      </w:r>
      <w:r w:rsidRPr="000149EE">
        <w:t xml:space="preserve"> е незаменим за проверка на надеждността на получените резултати спрямо вариации в началните данни или теглата. Ключов елемент тук е определянето на </w:t>
      </w:r>
      <w:r w:rsidRPr="000149EE">
        <w:rPr>
          <w:b/>
          <w:bCs/>
        </w:rPr>
        <w:t>интервала на стабилност на теглата (WSI)</w:t>
      </w:r>
      <w:r w:rsidRPr="000149EE">
        <w:t xml:space="preserve"> – диапазонът, в който промяната на дадено тегло не променя ранга на алтернативите</w:t>
      </w:r>
      <w:r w:rsidR="00E40300">
        <w:t xml:space="preserve"> </w:t>
      </w:r>
      <w:r w:rsidR="00201250">
        <w:t>[3]</w:t>
      </w:r>
      <w:r w:rsidRPr="000149EE">
        <w:t xml:space="preserve">. Традиционно този анализ се извършва по метода </w:t>
      </w:r>
      <w:r w:rsidRPr="000149EE">
        <w:rPr>
          <w:b/>
          <w:bCs/>
        </w:rPr>
        <w:t>„един по един“ (OAT)</w:t>
      </w:r>
      <w:r w:rsidRPr="000149EE">
        <w:t>, като се променя само един параметър, докато останалите остават фиксирани</w:t>
      </w:r>
      <w:r w:rsidR="00E40300">
        <w:t xml:space="preserve"> [8]</w:t>
      </w:r>
      <w:r w:rsidRPr="000149EE">
        <w:t xml:space="preserve">. По-нови подходи като </w:t>
      </w:r>
      <w:r w:rsidRPr="000149EE">
        <w:rPr>
          <w:b/>
          <w:bCs/>
        </w:rPr>
        <w:t>COMSAM</w:t>
      </w:r>
      <w:r w:rsidRPr="000149EE">
        <w:t xml:space="preserve"> предлагат всеобхватен анализ чрез едновременна модификация на множество елементи в матрицата на решенията, което разкрива сложни зависимости между променливите</w:t>
      </w:r>
      <w:r w:rsidR="00E40300">
        <w:t xml:space="preserve"> [8]</w:t>
      </w:r>
      <w:r w:rsidRPr="000149EE">
        <w:t>.</w:t>
      </w:r>
    </w:p>
    <w:p w14:paraId="53B43E77" w14:textId="77777777" w:rsidR="000149EE" w:rsidRPr="000149EE" w:rsidRDefault="000149EE" w:rsidP="000149EE">
      <w:r w:rsidRPr="000149EE">
        <w:rPr>
          <w:b/>
          <w:bCs/>
        </w:rPr>
        <w:t>Визуализация на конфигурационните пространства</w:t>
      </w:r>
    </w:p>
    <w:p w14:paraId="44CD469A" w14:textId="49E0C748" w:rsidR="000149EE" w:rsidRPr="000149EE" w:rsidRDefault="000149EE" w:rsidP="000149EE">
      <w:r w:rsidRPr="000149EE">
        <w:t>Визуализацията играе решаваща роля в разбирането на топологията на парето-фронта и навигацията в конфигурационните пространства</w:t>
      </w:r>
      <w:r w:rsidR="00201250">
        <w:t xml:space="preserve"> [1]</w:t>
      </w:r>
      <w:r w:rsidRPr="000149EE">
        <w:t>. За високоразмерни системи се прилагат специфични техники като:</w:t>
      </w:r>
    </w:p>
    <w:p w14:paraId="121A66F4" w14:textId="01FFCF34" w:rsidR="000149EE" w:rsidRPr="000149EE" w:rsidRDefault="000149EE" w:rsidP="000149EE">
      <w:pPr>
        <w:numPr>
          <w:ilvl w:val="0"/>
          <w:numId w:val="2"/>
        </w:numPr>
      </w:pPr>
      <w:r w:rsidRPr="000149EE">
        <w:rPr>
          <w:b/>
          <w:bCs/>
        </w:rPr>
        <w:t>Матрици от точкови диаграми (Scatter Plot Matrix):</w:t>
      </w:r>
      <w:r w:rsidRPr="000149EE">
        <w:t xml:space="preserve"> За сравнение на двойки критерии</w:t>
      </w:r>
      <w:r w:rsidR="00201250">
        <w:t xml:space="preserve"> [5] </w:t>
      </w:r>
      <w:r w:rsidR="00201250">
        <w:t>[1]</w:t>
      </w:r>
      <w:r w:rsidR="00201250" w:rsidRPr="000149EE">
        <w:t>.</w:t>
      </w:r>
    </w:p>
    <w:p w14:paraId="19EC4C6D" w14:textId="779C7E19" w:rsidR="000149EE" w:rsidRPr="000149EE" w:rsidRDefault="000149EE" w:rsidP="000149EE">
      <w:pPr>
        <w:numPr>
          <w:ilvl w:val="0"/>
          <w:numId w:val="2"/>
        </w:numPr>
      </w:pPr>
      <w:r w:rsidRPr="000149EE">
        <w:rPr>
          <w:b/>
          <w:bCs/>
        </w:rPr>
        <w:t>Паралелни координати (Parallel Coordinates):</w:t>
      </w:r>
      <w:r w:rsidRPr="000149EE">
        <w:t xml:space="preserve"> Позволяват представяне на всички критерии едновременно върху двуизмерна равнина</w:t>
      </w:r>
      <w:r w:rsidR="00201250">
        <w:t xml:space="preserve"> [5] </w:t>
      </w:r>
      <w:r w:rsidR="00201250">
        <w:t>[1]</w:t>
      </w:r>
      <w:r w:rsidR="00201250" w:rsidRPr="000149EE">
        <w:t>.</w:t>
      </w:r>
    </w:p>
    <w:p w14:paraId="193CA467" w14:textId="19BD4972" w:rsidR="000149EE" w:rsidRPr="000149EE" w:rsidRDefault="000149EE" w:rsidP="000149EE">
      <w:pPr>
        <w:numPr>
          <w:ilvl w:val="0"/>
          <w:numId w:val="2"/>
        </w:numPr>
      </w:pPr>
      <w:r w:rsidRPr="000149EE">
        <w:rPr>
          <w:b/>
          <w:bCs/>
        </w:rPr>
        <w:t>Радиална визуализация (RadVis):</w:t>
      </w:r>
      <w:r w:rsidRPr="000149EE">
        <w:t xml:space="preserve"> Използва физическа метафора с „пружини“, за да покаже баланса между критериите</w:t>
      </w:r>
      <w:r w:rsidR="00201250">
        <w:t xml:space="preserve"> [5] </w:t>
      </w:r>
      <w:r w:rsidR="00201250">
        <w:t>[1]</w:t>
      </w:r>
      <w:r w:rsidR="00201250" w:rsidRPr="000149EE">
        <w:t>.</w:t>
      </w:r>
    </w:p>
    <w:p w14:paraId="467BBCBD" w14:textId="5CC2E872" w:rsidR="000149EE" w:rsidRDefault="000149EE" w:rsidP="000149EE">
      <w:r w:rsidRPr="000149EE">
        <w:t>Емпиричните изследвания показват, че нито една единична техника не може да улови всички важни свойства на набора от решения, което налага използването на комбинирани стратегии за визуален анализ</w:t>
      </w:r>
      <w:r w:rsidR="00201250">
        <w:t xml:space="preserve"> </w:t>
      </w:r>
      <w:r w:rsidR="00201250">
        <w:t>[</w:t>
      </w:r>
      <w:r w:rsidR="00201250">
        <w:t>1</w:t>
      </w:r>
      <w:r w:rsidR="00201250">
        <w:t>] [</w:t>
      </w:r>
      <w:r w:rsidR="00201250">
        <w:t>5</w:t>
      </w:r>
      <w:r w:rsidR="00201250">
        <w:t>]</w:t>
      </w:r>
      <w:r w:rsidR="00201250" w:rsidRPr="000149EE">
        <w:t>.</w:t>
      </w:r>
      <w:r w:rsidRPr="000149EE">
        <w:t xml:space="preserve"> Интегрирането на </w:t>
      </w:r>
      <w:r w:rsidRPr="000149EE">
        <w:rPr>
          <w:b/>
          <w:bCs/>
        </w:rPr>
        <w:t>кластеризация</w:t>
      </w:r>
      <w:r w:rsidRPr="000149EE">
        <w:t xml:space="preserve"> (напр. базирана на формата на векторите) с визуализация помага за организиране на големи масиви от данни и намаляване на когнитивното натоварване върху вземащия решения</w:t>
      </w:r>
      <w:r w:rsidR="00201250">
        <w:t xml:space="preserve"> </w:t>
      </w:r>
      <w:r w:rsidR="00201250">
        <w:t xml:space="preserve">[5] </w:t>
      </w:r>
      <w:r w:rsidR="00201250" w:rsidRPr="000149EE">
        <w:t>.</w:t>
      </w:r>
    </w:p>
    <w:p w14:paraId="173AB0C3" w14:textId="77777777" w:rsidR="000149EE" w:rsidRDefault="000149EE" w:rsidP="000149EE"/>
    <w:p w14:paraId="172B7563" w14:textId="77777777" w:rsidR="000149EE" w:rsidRDefault="000149EE" w:rsidP="000149EE"/>
    <w:p w14:paraId="1FDCB5B8" w14:textId="4AD2C994" w:rsidR="000149EE" w:rsidRDefault="000149EE" w:rsidP="000149EE">
      <w:pPr>
        <w:rPr>
          <w:lang w:val="bg-BG"/>
        </w:rPr>
      </w:pPr>
      <w:r>
        <w:rPr>
          <w:lang w:val="bg-BG"/>
        </w:rPr>
        <w:t>Л И Т Е Р А Т У Р А</w:t>
      </w:r>
    </w:p>
    <w:p w14:paraId="7A37E35E" w14:textId="77777777" w:rsidR="000149EE" w:rsidRPr="000149EE" w:rsidRDefault="000149EE" w:rsidP="000149EE">
      <w:pPr>
        <w:pStyle w:val="ListParagraph"/>
        <w:numPr>
          <w:ilvl w:val="0"/>
          <w:numId w:val="3"/>
        </w:numPr>
        <w:spacing w:after="0" w:line="240" w:lineRule="auto"/>
        <w:rPr>
          <w:highlight w:val="cyan"/>
        </w:rPr>
      </w:pPr>
      <w:r w:rsidRPr="000149EE">
        <w:rPr>
          <w:highlight w:val="cyan"/>
        </w:rPr>
        <w:t>Brockhoff et al., eds. (2023), Many-Criteria Optimization and Decision Analysis</w:t>
      </w:r>
    </w:p>
    <w:p w14:paraId="1DCC8C3C" w14:textId="77777777" w:rsidR="000149EE" w:rsidRPr="000149EE" w:rsidRDefault="000149EE" w:rsidP="000149EE">
      <w:pPr>
        <w:pStyle w:val="ListParagraph"/>
        <w:numPr>
          <w:ilvl w:val="0"/>
          <w:numId w:val="3"/>
        </w:numPr>
        <w:spacing w:after="0" w:line="240" w:lineRule="auto"/>
        <w:rPr>
          <w:highlight w:val="cyan"/>
        </w:rPr>
      </w:pPr>
      <w:r w:rsidRPr="000149EE">
        <w:rPr>
          <w:highlight w:val="cyan"/>
        </w:rPr>
        <w:lastRenderedPageBreak/>
        <w:t>Greco, Słowiński &amp; Wallenius (2025), Fifty years of multiple criteria decision analysis</w:t>
      </w:r>
    </w:p>
    <w:p w14:paraId="026B9DB0" w14:textId="77777777" w:rsidR="000149EE" w:rsidRPr="000149EE" w:rsidRDefault="000149EE" w:rsidP="000149EE">
      <w:pPr>
        <w:pStyle w:val="ListParagraph"/>
        <w:numPr>
          <w:ilvl w:val="0"/>
          <w:numId w:val="3"/>
        </w:numPr>
        <w:spacing w:after="0" w:line="240" w:lineRule="auto"/>
        <w:rPr>
          <w:highlight w:val="green"/>
        </w:rPr>
      </w:pPr>
      <w:r w:rsidRPr="000149EE">
        <w:rPr>
          <w:highlight w:val="green"/>
        </w:rPr>
        <w:t>O’Shea et al. (2026), Weight stability intervals for multi-criteria decision analysis using the weighted sum model</w:t>
      </w:r>
    </w:p>
    <w:p w14:paraId="4001527D" w14:textId="77777777" w:rsidR="001D03F0" w:rsidRPr="001D03F0" w:rsidRDefault="001D03F0" w:rsidP="001D03F0">
      <w:pPr>
        <w:pStyle w:val="ListParagraph"/>
        <w:numPr>
          <w:ilvl w:val="0"/>
          <w:numId w:val="3"/>
        </w:numPr>
        <w:spacing w:after="0" w:line="240" w:lineRule="auto"/>
        <w:rPr>
          <w:highlight w:val="green"/>
        </w:rPr>
      </w:pPr>
      <w:r w:rsidRPr="001D03F0">
        <w:rPr>
          <w:highlight w:val="green"/>
        </w:rPr>
        <w:t>Triantaphyllou &amp; Sánchez (1997), A Sensitivity Analysis Approach for Some Deterministic Multi-Criteria Decision-Making Methods</w:t>
      </w:r>
    </w:p>
    <w:p w14:paraId="0B2ED657" w14:textId="77777777" w:rsidR="00980A9F" w:rsidRPr="00980A9F" w:rsidRDefault="00980A9F" w:rsidP="00980A9F">
      <w:pPr>
        <w:pStyle w:val="ListParagraph"/>
        <w:numPr>
          <w:ilvl w:val="0"/>
          <w:numId w:val="3"/>
        </w:numPr>
        <w:spacing w:after="0" w:line="240" w:lineRule="auto"/>
        <w:rPr>
          <w:highlight w:val="cyan"/>
        </w:rPr>
      </w:pPr>
      <w:r w:rsidRPr="00980A9F">
        <w:rPr>
          <w:highlight w:val="cyan"/>
        </w:rPr>
        <w:t>von Lücken et al. (2024), Improvement Strategies for Visualizing Solution Sets in Many-Objective Optimization Problems</w:t>
      </w:r>
    </w:p>
    <w:p w14:paraId="7DB87464" w14:textId="4361FE67" w:rsidR="000149EE" w:rsidRPr="00E40300" w:rsidRDefault="00E40300" w:rsidP="000149EE">
      <w:pPr>
        <w:pStyle w:val="ListParagraph"/>
        <w:numPr>
          <w:ilvl w:val="0"/>
          <w:numId w:val="3"/>
        </w:numPr>
        <w:rPr>
          <w:lang w:val="bg-BG"/>
        </w:rPr>
      </w:pPr>
      <w:r w:rsidRPr="002177BA">
        <w:rPr>
          <w:highlight w:val="green"/>
        </w:rPr>
        <w:t>OECD/JRC (2008), Handbook on Constructing Composite Indicators: Methodology and User Guide</w:t>
      </w:r>
    </w:p>
    <w:p w14:paraId="6A4EC0A3" w14:textId="4480863C" w:rsidR="00E40300" w:rsidRPr="00E40300" w:rsidRDefault="00E40300" w:rsidP="000149EE">
      <w:pPr>
        <w:pStyle w:val="ListParagraph"/>
        <w:numPr>
          <w:ilvl w:val="0"/>
          <w:numId w:val="3"/>
        </w:numPr>
        <w:rPr>
          <w:lang w:val="bg-BG"/>
        </w:rPr>
      </w:pPr>
      <w:r w:rsidRPr="002177BA">
        <w:rPr>
          <w:highlight w:val="green"/>
        </w:rPr>
        <w:t>Mazurek &amp; Strzałka (2022), On the Monte Carlo weights in multiple criteria decision analysis</w:t>
      </w:r>
    </w:p>
    <w:p w14:paraId="7086931A" w14:textId="77777777" w:rsidR="00E40300" w:rsidRPr="00E40300" w:rsidRDefault="00E40300" w:rsidP="00E40300">
      <w:pPr>
        <w:pStyle w:val="ListParagraph"/>
        <w:numPr>
          <w:ilvl w:val="0"/>
          <w:numId w:val="3"/>
        </w:numPr>
        <w:rPr>
          <w:highlight w:val="green"/>
        </w:rPr>
      </w:pPr>
      <w:r w:rsidRPr="00E40300">
        <w:rPr>
          <w:highlight w:val="green"/>
        </w:rPr>
        <w:t>Więckowski &amp; Sałabun (2024), A new sensitivity analysis method for decision-making with multiple parameters modification (COMSAM)</w:t>
      </w:r>
    </w:p>
    <w:p w14:paraId="7FA02882" w14:textId="77777777" w:rsidR="00E40300" w:rsidRPr="000149EE" w:rsidRDefault="00E40300" w:rsidP="000149EE">
      <w:pPr>
        <w:pStyle w:val="ListParagraph"/>
        <w:numPr>
          <w:ilvl w:val="0"/>
          <w:numId w:val="3"/>
        </w:numPr>
        <w:rPr>
          <w:lang w:val="bg-BG"/>
        </w:rPr>
      </w:pPr>
    </w:p>
    <w:p w14:paraId="3FDC150E" w14:textId="77777777" w:rsidR="00F254BD" w:rsidRDefault="00F254BD"/>
    <w:p w14:paraId="0643A12A" w14:textId="77777777" w:rsidR="001D03F0" w:rsidRDefault="001D03F0"/>
    <w:sectPr w:rsidR="001D03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97B2E"/>
    <w:multiLevelType w:val="multilevel"/>
    <w:tmpl w:val="D8F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346B8C"/>
    <w:multiLevelType w:val="hybridMultilevel"/>
    <w:tmpl w:val="63C283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2347DD"/>
    <w:multiLevelType w:val="multilevel"/>
    <w:tmpl w:val="4850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057751">
    <w:abstractNumId w:val="0"/>
  </w:num>
  <w:num w:numId="2" w16cid:durableId="888230259">
    <w:abstractNumId w:val="2"/>
  </w:num>
  <w:num w:numId="3" w16cid:durableId="1254632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41B"/>
    <w:rsid w:val="000149EE"/>
    <w:rsid w:val="001D03F0"/>
    <w:rsid w:val="001F741B"/>
    <w:rsid w:val="00201250"/>
    <w:rsid w:val="004D7998"/>
    <w:rsid w:val="004D7D6B"/>
    <w:rsid w:val="00980A9F"/>
    <w:rsid w:val="00E40300"/>
    <w:rsid w:val="00F2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6BA84"/>
  <w15:chartTrackingRefBased/>
  <w15:docId w15:val="{9F98441C-F73D-4374-8AF4-71C749A4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737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 Стоянов</dc:creator>
  <cp:keywords/>
  <dc:description/>
  <cp:lastModifiedBy>Марин  Стоянов</cp:lastModifiedBy>
  <cp:revision>2</cp:revision>
  <dcterms:created xsi:type="dcterms:W3CDTF">2026-07-23T11:47:00Z</dcterms:created>
  <dcterms:modified xsi:type="dcterms:W3CDTF">2026-07-23T12:34:00Z</dcterms:modified>
</cp:coreProperties>
</file>