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/>
        <w:ind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1) Resumen del Dominio Principal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Dominio Principal: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Gestión de Inventario y Órdenes.</w:t>
        <w:br/>
      </w:r>
      <w:r>
        <w:rPr>
          <w:rFonts w:ascii="Arial" w:hAnsi="Arial" w:cs="Arial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Motivación: permitir registrar productos, gestionar stock, crear y modificar órdenes, generar reportes y manejar carritos/notifica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ficacione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highlight w:val="none"/>
        </w:rPr>
      </w:r>
      <w:r/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  <w:highlight w:val="none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2) Event Storming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Eventos de dominio (Domain Events)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ProductoRegistrado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StockActualizado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StockBajoDetectado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OrdenCreada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OrdenModificada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EstadoPedidoCambiado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(pendiente → confirmado → en_despacho → entregado)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CarritoAbandonado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ReporteSemanalGenerado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NotificacionEnviada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3) Modelo de Dominio (entidades y relaciones conceptuales)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Entidades principales y atributos: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Producto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Abastecimiento</w:t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Cliente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Pedido</w:t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Peido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Item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Carrito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none"/>
          <w:lang w:val="es-MX"/>
        </w:rPr>
        <w:t xml:space="preserve">CarritoItem</w:t>
      </w:r>
      <w:r>
        <w:rPr>
          <w:rFonts w:ascii="Arial" w:hAnsi="Arial" w:cs="Arial"/>
          <w:b/>
          <w:bCs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  <w:highlight w:val="none"/>
        </w:rPr>
      </w:r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Reporte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4) Bounded Contexts y Subdominios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Bounded Contexts </w:t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Inventario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gestión de productos, stock y historial.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Ventas / Pedidos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creación/modificación de órdenes, carritos, estados de pedido.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Clientes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información y autenticación básica.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Reportes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generación y exportación de reportes.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Notificaciones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correo, notificaciones en plataforma.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Gateway / API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orkestración y contratos HTTP.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Autenticación / Seguridad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auth, roles.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Subdominios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Prinicipales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Inventario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,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Pedidos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,Clientes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Soporte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Reportes, Notificaciones.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Genericos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Autenticacion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5) Lenguaje ubicuo (Ubiquitous Language) — términos y definiciones rápidas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Style w:val="92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Producto: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artículo que se vende; tiene precio, stock y categoría.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Stock Disponible: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cantidad sin reservas.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Orden: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petición de compra en un estado (pendiente, confirmado, en_despacho, entregado).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Carrito: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selección temporal de items por un cliente.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Reporte Semanal: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archivo que agrupa métricas de ventas por semana.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Historial de stock: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registro de todos los movimientos de inventario.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Cs w:val="20"/>
        </w:rPr>
      </w:r>
      <w:r>
        <w:rPr>
          <w:rFonts w:ascii="Arial" w:hAnsi="Arial" w:cs="Arial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6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)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ER (lógico)</w:t>
      </w: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, Diagrama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BD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y Diagrama de Clases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Diagrama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E</w:t>
      </w: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ntidad-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R</w:t>
      </w: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elacion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/>
        <w:ind/>
        <w:jc w:val="both"/>
        <w:rPr>
          <w:rFonts w:ascii="Arial" w:hAnsi="Arial" w:cs="Arial"/>
          <w:sz w:val="20"/>
          <w:szCs w:val="20"/>
          <w:highlight w:val="none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3890" cy="3917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6547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273889" cy="391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6.53pt;height:308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0"/>
          <w:szCs w:val="20"/>
          <w14:ligatures w14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Diagrama de </w:t>
      </w:r>
      <w:r>
        <w:rPr>
          <w:rFonts w:ascii="Arial" w:hAnsi="Arial" w:eastAsia="Arial" w:cs="Arial"/>
          <w:b/>
          <w:bCs/>
          <w:color w:val="000000"/>
          <w:sz w:val="20"/>
          <w:szCs w:val="20"/>
          <w:lang w:val="es-MX"/>
        </w:rPr>
        <w:t xml:space="preserve">B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ase de </w:t>
      </w:r>
      <w:r>
        <w:rPr>
          <w:rFonts w:ascii="Arial" w:hAnsi="Arial" w:eastAsia="Arial" w:cs="Arial"/>
          <w:b/>
          <w:bCs/>
          <w:color w:val="000000"/>
          <w:sz w:val="20"/>
          <w:szCs w:val="20"/>
          <w:lang w:val="es-MX"/>
        </w:rPr>
        <w:t xml:space="preserve">Datos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.</w:t>
      </w:r>
      <w:r>
        <w:rPr>
          <w:rFonts w:ascii="Arial" w:hAnsi="Arial" w:eastAsia="Arial" w:cs="Arial"/>
          <w:b/>
          <w:bCs/>
          <w:color w:val="000000"/>
          <w:sz w:val="20"/>
          <w:szCs w:val="20"/>
          <w14:ligatures w14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14:ligatures w14:val="none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8340" cy="35740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454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88339" cy="3574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0.03pt;height:281.4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/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b/>
          <w:bCs/>
          <w:color w:val="000000"/>
          <w:sz w:val="20"/>
          <w:szCs w:val="20"/>
          <w14:ligatures w14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Diagrama de Clases </w:t>
      </w:r>
      <w:r>
        <w:rPr>
          <w:rFonts w:ascii="Arial" w:hAnsi="Arial" w:eastAsia="Arial" w:cs="Arial"/>
          <w:b/>
          <w:bCs/>
          <w:color w:val="000000"/>
          <w:sz w:val="20"/>
          <w:szCs w:val="20"/>
          <w:lang w:val="es-MX"/>
        </w:rPr>
        <w:t xml:space="preserve">-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 dominio</w:t>
      </w:r>
      <w:r>
        <w:rPr>
          <w:rFonts w:ascii="Arial" w:hAnsi="Arial" w:cs="Arial"/>
          <w:b/>
          <w:bCs/>
          <w:color w:val="000000"/>
          <w:sz w:val="20"/>
          <w:szCs w:val="20"/>
          <w14:ligatures w14:val="none"/>
        </w:rPr>
      </w:r>
      <w:r>
        <w:rPr>
          <w:rFonts w:ascii="Arial" w:hAnsi="Arial" w:cs="Arial"/>
          <w:b/>
          <w:bCs/>
          <w:color w:val="000000"/>
          <w:sz w:val="20"/>
          <w:szCs w:val="20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644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798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264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35.7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cs="Arial"/>
          <w:b/>
          <w:bCs/>
          <w:color w:val="000000"/>
          <w:sz w:val="20"/>
          <w:szCs w:val="20"/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7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)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Endpoints principales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Inventario (Inventory API)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POST /api/v1/productos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crear producto</w:t>
        <w:br/>
        <w:t xml:space="preserve"> RequestBody: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ProductoCreateDto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→ Response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Mono&lt;ProductoDto&gt;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GET /api/v1/productos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listar productos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Flux&lt;ProductoDto&gt;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GET /api/v1/productos/{id}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obtener producto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Mono&lt;ProductoDto&gt;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PATCH /api/v1/productos/{id}/stock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actualizar stock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Mono&lt;Void&gt;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(body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{ "delta": 10, "motivo":"compra_proveedor" }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GET /api/v1/reportes/abastecer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lista productos por debajo de umbral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Flux&lt;ProductoDto&gt;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Pedidos (Ordering API)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POST /api/v1/ordenes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crear orden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Mono&lt;OrdenDto&gt;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PUT /api/v1/ordenes/{id}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modificar orden (solo si pendiente)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Mono&lt;OrdenDto&gt;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GET /api/v1/ordenes/{id}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obtener orden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Mono&lt;OrdenDto&gt;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GET /api/v1/ordenes?cliente={id}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listar por cliente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Flux&lt;OrdenDto&gt;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POST /api/v1/ordenes/{id}/estado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cambiar estado →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Mono&lt;OrdenDto&gt;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Carrito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POST /api/v1/carritos/{clienteId}/items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agregar item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GET /api/v1/carritos/{clienteId}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ver carrito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Reportes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GET /api/v1/reportes/ventas/semanal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generar/descargar reporte semanal (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Mono&lt;Resource&gt;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Notificaciones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POST /api/v1/notificaciones/email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— enviar notificación (interno)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8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) Integridad y transacciones (estrategia)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Operaciones de stock y creación de orden: usar transacción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Validaciones: precio &gt;= 0, cantidad &gt; 0 en dominio; no permitir stock negativo.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Reservas en creación de orden: decrementar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stock_actual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y guardar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stock_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en la misma transacción.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0"/>
          <w:szCs w:val="20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</w:sectPr>
      </w:pP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9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) Diagrama </w:t>
      </w: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de la infraestructura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05525" cy="56292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951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05524" cy="562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0.75pt;height:443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Descripción rápida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: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92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0"/>
          <w:szCs w:val="20"/>
        </w:rPr>
        <w:t xml:space="preserve">Gateway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 para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expone 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apis mediante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ECS.</w:t>
      </w:r>
      <w:r>
        <w:rPr>
          <w:rFonts w:ascii="Arial" w:hAnsi="Arial" w:eastAsia="Arial" w:cs="Arial"/>
          <w:color w:val="000000"/>
          <w:sz w:val="20"/>
          <w:szCs w:val="20"/>
        </w:rPr>
      </w:r>
      <w:r/>
    </w:p>
    <w:p>
      <w:pPr>
        <w:pStyle w:val="92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0"/>
          <w:szCs w:val="20"/>
        </w:rPr>
        <w:t xml:space="preserve">MySQL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: 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Abastecimiento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, Pedidos, Clientes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,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Carrito, 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Productos</w:t>
      </w:r>
      <w:r/>
      <w:r>
        <w:rPr>
          <w:rFonts w:ascii="Arial" w:hAnsi="Arial" w:eastAsia="Arial" w:cs="Arial"/>
          <w:color w:val="000000"/>
          <w:sz w:val="20"/>
          <w:szCs w:val="20"/>
          <w:lang w:val="es-MX"/>
        </w:rPr>
      </w:r>
      <w:r>
        <w:rPr>
          <w:rFonts w:ascii="Arial" w:hAnsi="Arial" w:eastAsia="Arial" w:cs="Arial"/>
          <w:color w:val="000000"/>
          <w:sz w:val="20"/>
          <w:szCs w:val="20"/>
        </w:rPr>
        <w:t xml:space="preserve">.</w:t>
      </w:r>
      <w:r>
        <w:rPr>
          <w:rFonts w:ascii="Arial" w:hAnsi="Arial" w:eastAsia="Arial" w:cs="Arial"/>
          <w:color w:val="000000"/>
          <w:sz w:val="20"/>
          <w:szCs w:val="20"/>
        </w:rPr>
      </w:r>
      <w:r/>
    </w:p>
    <w:p>
      <w:pPr>
        <w:pStyle w:val="92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0"/>
          <w:szCs w:val="20"/>
        </w:rPr>
        <w:t xml:space="preserve">MongoDB/DocumentDB: Reportes, Notificaciones.</w:t>
      </w:r>
      <w:r>
        <w:rPr>
          <w:rFonts w:ascii="Arial" w:hAnsi="Arial" w:eastAsia="Arial" w:cs="Arial"/>
          <w:color w:val="000000"/>
          <w:sz w:val="20"/>
          <w:szCs w:val="20"/>
        </w:rPr>
      </w:r>
      <w:r/>
    </w:p>
    <w:p>
      <w:pPr>
        <w:pStyle w:val="92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SQS/SNS: mensajería asincrónica.</w:t>
      </w:r>
      <w:r>
        <w:rPr>
          <w:rFonts w:ascii="Arial" w:hAnsi="Arial" w:eastAsia="Arial" w:cs="Arial"/>
          <w:color w:val="000000"/>
          <w:sz w:val="20"/>
          <w:szCs w:val="20"/>
        </w:rPr>
      </w:r>
      <w:r/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/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</w:sectPr>
      </w:pP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Style w:val="86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1</w:t>
      </w:r>
      <w:r>
        <w:rPr>
          <w:rFonts w:ascii="Arial" w:hAnsi="Arial" w:eastAsia="Arial" w:cs="Arial"/>
          <w:b/>
          <w:color w:val="000000"/>
          <w:sz w:val="20"/>
          <w:szCs w:val="20"/>
          <w:lang w:val="es-MX"/>
        </w:rPr>
        <w:t xml:space="preserve">0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)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Diagrama de arquitectura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260890</wp:posOffset>
                </wp:positionV>
                <wp:extent cx="6820375" cy="3968542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384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820374" cy="39685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8192;o:allowoverlap:true;o:allowincell:true;mso-position-horizontal-relative:text;margin-left:-61.50pt;mso-position-horizontal:absolute;mso-position-vertical-relative:text;margin-top:20.54pt;mso-position-vertical:absolute;width:537.04pt;height:312.48pt;mso-wrap-distance-left:9.07pt;mso-wrap-distance-top:0.00pt;mso-wrap-distance-right:9.07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</w:p>
    <w:p>
      <w:pPr>
        <w:pStyle w:val="92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color w:val="000000"/>
          <w:sz w:val="20"/>
          <w:szCs w:val="20"/>
          <w14:ligatures w14:val="none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Presentación: controladores WebFlux exponen endpoints REST reactivos.</w:t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</w:p>
    <w:p>
      <w:pPr>
        <w:pStyle w:val="92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color w:val="000000"/>
          <w:sz w:val="20"/>
          <w:szCs w:val="20"/>
          <w14:ligatures w14:val="none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Aplicación: contiene orquestación de casos de uso (servicios).</w:t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</w:p>
    <w:p>
      <w:pPr>
        <w:pStyle w:val="92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color w:val="000000"/>
          <w:sz w:val="20"/>
          <w:szCs w:val="20"/>
          <w14:ligatures w14:val="none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Dominio: entidades</w:t>
      </w: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y eventos de dominio.</w:t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</w:p>
    <w:p>
      <w:pPr>
        <w:pStyle w:val="92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color w:val="000000"/>
          <w:sz w:val="20"/>
          <w:szCs w:val="20"/>
          <w14:ligatures w14:val="none"/>
        </w:rPr>
      </w:pPr>
      <w:r>
        <w:rPr>
          <w:rFonts w:ascii="Arial" w:hAnsi="Arial" w:eastAsia="Arial" w:cs="Arial"/>
          <w:color w:val="000000"/>
          <w:sz w:val="20"/>
          <w:szCs w:val="20"/>
          <w:lang w:val="es-MX"/>
        </w:rPr>
        <w:t xml:space="preserve">P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ersistencia (MySQL y MongoDB).</w:t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color w:val="000000"/>
          <w:sz w:val="20"/>
          <w:szCs w:val="20"/>
          <w14:ligatures w14:val="none"/>
        </w:rPr>
      </w:pP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  <w:r>
        <w:rPr>
          <w:rFonts w:ascii="Arial" w:hAnsi="Arial" w:eastAsia="Arial" w:cs="Arial"/>
          <w:color w:val="000000"/>
          <w:sz w:val="20"/>
          <w:szCs w:val="20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8339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3394E40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038FA7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79EEE13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746DA8B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02BB071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6">
    <w:nsid w:val="0FB160F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43EEA39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54D492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2D64C36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2A013FA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3369846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0B5A332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7CD34F8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3FAFF56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278EAD6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49D1F7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137BB4C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FAFF56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2"/>
    <w:next w:val="922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2"/>
    <w:next w:val="922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2"/>
    <w:next w:val="922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2"/>
    <w:next w:val="922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2"/>
    <w:next w:val="922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2"/>
    <w:next w:val="922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2"/>
    <w:next w:val="922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2"/>
    <w:next w:val="922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2"/>
    <w:next w:val="922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2"/>
    <w:next w:val="922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2"/>
    <w:next w:val="922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2"/>
    <w:next w:val="922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2"/>
    <w:next w:val="922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2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2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2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2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11">
    <w:name w:val="toc 2"/>
    <w:basedOn w:val="922"/>
    <w:next w:val="922"/>
    <w:uiPriority w:val="39"/>
    <w:unhideWhenUsed/>
    <w:pPr>
      <w:pBdr/>
      <w:spacing w:after="100"/>
      <w:ind w:left="220"/>
    </w:pPr>
  </w:style>
  <w:style w:type="paragraph" w:styleId="912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3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4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5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6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7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18">
    <w:name w:val="toc 9"/>
    <w:basedOn w:val="922"/>
    <w:next w:val="922"/>
    <w:uiPriority w:val="39"/>
    <w:unhideWhenUsed/>
    <w:pPr>
      <w:pBdr/>
      <w:spacing w:after="100"/>
      <w:ind w:left="1760"/>
    </w:pPr>
  </w:style>
  <w:style w:type="character" w:styleId="919">
    <w:name w:val="Placeholder Text"/>
    <w:basedOn w:val="872"/>
    <w:uiPriority w:val="99"/>
    <w:semiHidden/>
    <w:pPr>
      <w:pBdr/>
      <w:spacing/>
      <w:ind/>
    </w:pPr>
    <w:rPr>
      <w:color w:val="666666"/>
    </w:r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No Spacing"/>
    <w:basedOn w:val="922"/>
    <w:uiPriority w:val="1"/>
    <w:qFormat/>
    <w:pPr>
      <w:pBdr/>
      <w:spacing w:after="0" w:line="240" w:lineRule="auto"/>
      <w:ind/>
    </w:pPr>
  </w:style>
  <w:style w:type="paragraph" w:styleId="926">
    <w:name w:val="List Paragraph"/>
    <w:basedOn w:val="92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2025-10-17T23:58:57Z</dcterms:modified>
</cp:coreProperties>
</file>