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520"/>
        <w:jc w:val="center"/>
      </w:pPr>
      <w:r>
        <w:rPr>
          <w:b/>
          <w:i w:val="0"/>
          <w:color w:val="1F4E79"/>
          <w:sz w:val="40"/>
        </w:rPr>
        <w:t>COMPREHENSIVE LOT DUE-DILIGENCE REPORT</w:t>
      </w:r>
    </w:p>
    <w:p>
      <w:pPr>
        <w:spacing w:after="20" w:before="0"/>
        <w:jc w:val="center"/>
      </w:pPr>
      <w:r>
        <w:rPr>
          <w:b/>
          <w:i w:val="0"/>
          <w:sz w:val="28"/>
        </w:rPr>
        <w:t>1147 (Lot 130) and 1153 (Lot 131) Watersedge Cove</w:t>
      </w:r>
    </w:p>
    <w:p>
      <w:pPr>
        <w:spacing w:after="20" w:before="0"/>
        <w:jc w:val="center"/>
      </w:pPr>
      <w:r>
        <w:rPr>
          <w:b w:val="0"/>
          <w:i w:val="0"/>
          <w:sz w:val="24"/>
        </w:rPr>
        <w:t>Tignall, Lincoln County, Georgia 30668</w:t>
      </w:r>
    </w:p>
    <w:p>
      <w:pPr>
        <w:spacing w:after="280" w:before="0"/>
        <w:jc w:val="center"/>
      </w:pPr>
      <w:r>
        <w:rPr>
          <w:b w:val="0"/>
          <w:i/>
          <w:color w:val="555555"/>
          <w:sz w:val="20"/>
        </w:rPr>
        <w:t>Two adjacent 1.07-acre homesites · 2.14 acres combined · Stillwater Coves</w:t>
      </w:r>
    </w:p>
    <w:p>
      <w:pPr>
        <w:spacing w:after="320" w:before="0"/>
        <w:jc w:val="center"/>
      </w:pPr>
      <w:r>
        <w:rPr>
          <w:b w:val="0"/>
          <w:i w:val="0"/>
          <w:color w:val="555555"/>
          <w:sz w:val="19"/>
        </w:rPr>
        <w:t>Clarks Hill / J. Strom Thurmond Lake · Zillow ZPID 465607553</w:t>
      </w: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8"/>
              </w:rPr>
              <w:t>Item</w:t>
            </w:r>
          </w:p>
        </w:tc>
        <w:tc>
          <w:tcPr>
            <w:tcW w:type="dxa" w:w="6803"/>
            <w:shd w:val="clear" w:color="auto" w:fill="1F4E79"/>
          </w:tcPr>
          <w:p>
            <w:pPr>
              <w:spacing w:after="20" w:before="20"/>
            </w:pPr>
            <w:r/>
            <w:r>
              <w:rPr>
                <w:b/>
                <w:color w:val="FFFFFF"/>
                <w:sz w:val="18"/>
              </w:rPr>
              <w:t>Detail</w:t>
            </w:r>
          </w:p>
        </w:tc>
      </w:tr>
      <w:tr>
        <w:tc>
          <w:tcPr>
            <w:tcW w:type="dxa" w:w="2608"/>
          </w:tcPr>
          <w:p>
            <w:pPr>
              <w:spacing w:after="20" w:before="20"/>
            </w:pPr>
            <w:r/>
            <w:r>
              <w:rPr>
                <w:b w:val="0"/>
                <w:sz w:val="18"/>
              </w:rPr>
              <w:t>Report date</w:t>
            </w:r>
          </w:p>
        </w:tc>
        <w:tc>
          <w:tcPr>
            <w:tcW w:type="dxa" w:w="6803"/>
          </w:tcPr>
          <w:p>
            <w:pPr>
              <w:spacing w:after="20" w:before="20"/>
            </w:pPr>
            <w:r/>
            <w:r>
              <w:rPr>
                <w:b w:val="0"/>
                <w:sz w:val="18"/>
              </w:rPr>
              <w:t>7 October 2026</w:t>
            </w:r>
          </w:p>
        </w:tc>
      </w:tr>
      <w:tr>
        <w:tc>
          <w:tcPr>
            <w:tcW w:type="dxa" w:w="2608"/>
            <w:shd w:val="clear" w:color="auto" w:fill="F2F5F9"/>
          </w:tcPr>
          <w:p>
            <w:pPr>
              <w:spacing w:after="20" w:before="20"/>
            </w:pPr>
            <w:r/>
            <w:r>
              <w:rPr>
                <w:b w:val="0"/>
                <w:sz w:val="18"/>
              </w:rPr>
              <w:t>Subject</w:t>
            </w:r>
          </w:p>
        </w:tc>
        <w:tc>
          <w:tcPr>
            <w:tcW w:type="dxa" w:w="6803"/>
            <w:shd w:val="clear" w:color="auto" w:fill="F2F5F9"/>
          </w:tcPr>
          <w:p>
            <w:pPr>
              <w:spacing w:after="20" w:before="20"/>
            </w:pPr>
            <w:r/>
            <w:r>
              <w:rPr>
                <w:b w:val="0"/>
                <w:sz w:val="18"/>
              </w:rPr>
              <w:t>Pre-purchase land due diligence, 61-point checklist</w:t>
            </w:r>
          </w:p>
        </w:tc>
      </w:tr>
      <w:tr>
        <w:tc>
          <w:tcPr>
            <w:tcW w:type="dxa" w:w="2608"/>
          </w:tcPr>
          <w:p>
            <w:pPr>
              <w:spacing w:after="20" w:before="20"/>
            </w:pPr>
            <w:r/>
            <w:r>
              <w:rPr>
                <w:b w:val="0"/>
                <w:sz w:val="18"/>
              </w:rPr>
              <w:t>Reference point used</w:t>
            </w:r>
          </w:p>
        </w:tc>
        <w:tc>
          <w:tcPr>
            <w:tcW w:type="dxa" w:w="6803"/>
          </w:tcPr>
          <w:p>
            <w:pPr>
              <w:spacing w:after="20" w:before="20"/>
            </w:pPr>
            <w:r/>
            <w:r>
              <w:rPr>
                <w:b w:val="0"/>
                <w:sz w:val="18"/>
              </w:rPr>
              <w:t>33.94100 N, 82.56460 W (Watersedge Cove centreline)</w:t>
            </w:r>
          </w:p>
        </w:tc>
      </w:tr>
      <w:tr>
        <w:tc>
          <w:tcPr>
            <w:tcW w:type="dxa" w:w="2608"/>
            <w:shd w:val="clear" w:color="auto" w:fill="F2F5F9"/>
          </w:tcPr>
          <w:p>
            <w:pPr>
              <w:spacing w:after="20" w:before="20"/>
            </w:pPr>
            <w:r/>
            <w:r>
              <w:rPr>
                <w:b w:val="0"/>
                <w:sz w:val="18"/>
              </w:rPr>
              <w:t>Jurisdiction</w:t>
            </w:r>
          </w:p>
        </w:tc>
        <w:tc>
          <w:tcPr>
            <w:tcW w:type="dxa" w:w="6803"/>
            <w:shd w:val="clear" w:color="auto" w:fill="F2F5F9"/>
          </w:tcPr>
          <w:p>
            <w:pPr>
              <w:spacing w:after="20" w:before="20"/>
            </w:pPr>
            <w:r/>
            <w:r>
              <w:rPr>
                <w:b w:val="0"/>
                <w:sz w:val="18"/>
              </w:rPr>
              <w:t>Lincoln County, Georgia (FIPS 13181) — unincorporated</w:t>
            </w:r>
          </w:p>
        </w:tc>
      </w:tr>
      <w:tr>
        <w:tc>
          <w:tcPr>
            <w:tcW w:type="dxa" w:w="2608"/>
          </w:tcPr>
          <w:p>
            <w:pPr>
              <w:spacing w:after="20" w:before="20"/>
            </w:pPr>
            <w:r/>
            <w:r>
              <w:rPr>
                <w:b w:val="0"/>
                <w:sz w:val="18"/>
              </w:rPr>
              <w:t>Primary elevation source</w:t>
            </w:r>
          </w:p>
        </w:tc>
        <w:tc>
          <w:tcPr>
            <w:tcW w:type="dxa" w:w="6803"/>
          </w:tcPr>
          <w:p>
            <w:pPr>
              <w:spacing w:after="20" w:before="20"/>
            </w:pPr>
            <w:r/>
            <w:r>
              <w:rPr>
                <w:b w:val="0"/>
                <w:sz w:val="18"/>
              </w:rPr>
              <w:t>USGS 3DEP 1-metre lidar, GA_Statewide_2018, NAVD 88</w:t>
            </w:r>
          </w:p>
        </w:tc>
      </w:tr>
      <w:tr>
        <w:tc>
          <w:tcPr>
            <w:tcW w:type="dxa" w:w="2608"/>
            <w:shd w:val="clear" w:color="auto" w:fill="F2F5F9"/>
          </w:tcPr>
          <w:p>
            <w:pPr>
              <w:spacing w:after="20" w:before="20"/>
            </w:pPr>
            <w:r/>
            <w:r>
              <w:rPr>
                <w:b w:val="0"/>
                <w:sz w:val="18"/>
              </w:rPr>
              <w:t>Primary flood source</w:t>
            </w:r>
          </w:p>
        </w:tc>
        <w:tc>
          <w:tcPr>
            <w:tcW w:type="dxa" w:w="6803"/>
            <w:shd w:val="clear" w:color="auto" w:fill="F2F5F9"/>
          </w:tcPr>
          <w:p>
            <w:pPr>
              <w:spacing w:after="20" w:before="20"/>
            </w:pPr>
            <w:r/>
            <w:r>
              <w:rPr>
                <w:b w:val="0"/>
                <w:sz w:val="18"/>
              </w:rPr>
              <w:t>FEMA National Flood Hazard Layer, DFIRM 13181C</w:t>
            </w:r>
          </w:p>
        </w:tc>
      </w:tr>
      <w:tr>
        <w:tc>
          <w:tcPr>
            <w:tcW w:type="dxa" w:w="2608"/>
          </w:tcPr>
          <w:p>
            <w:pPr>
              <w:spacing w:after="20" w:before="20"/>
            </w:pPr>
            <w:r/>
            <w:r>
              <w:rPr>
                <w:b w:val="0"/>
                <w:sz w:val="18"/>
              </w:rPr>
              <w:t>Primary soil source</w:t>
            </w:r>
          </w:p>
        </w:tc>
        <w:tc>
          <w:tcPr>
            <w:tcW w:type="dxa" w:w="6803"/>
          </w:tcPr>
          <w:p>
            <w:pPr>
              <w:spacing w:after="20" w:before="20"/>
            </w:pPr>
            <w:r/>
            <w:r>
              <w:rPr>
                <w:b w:val="0"/>
                <w:sz w:val="18"/>
              </w:rPr>
              <w:t>USDA NRCS SSURGO via Soil Data Access</w:t>
            </w:r>
          </w:p>
        </w:tc>
      </w:tr>
      <w:tr>
        <w:tc>
          <w:tcPr>
            <w:tcW w:type="dxa" w:w="2608"/>
            <w:shd w:val="clear" w:color="auto" w:fill="F2F5F9"/>
          </w:tcPr>
          <w:p>
            <w:pPr>
              <w:spacing w:after="20" w:before="20"/>
            </w:pPr>
            <w:r/>
            <w:r>
              <w:rPr>
                <w:b w:val="0"/>
                <w:sz w:val="18"/>
              </w:rPr>
              <w:t>Prepared by</w:t>
            </w:r>
          </w:p>
        </w:tc>
        <w:tc>
          <w:tcPr>
            <w:tcW w:type="dxa" w:w="6803"/>
            <w:shd w:val="clear" w:color="auto" w:fill="F2F5F9"/>
          </w:tcPr>
          <w:p>
            <w:pPr>
              <w:spacing w:after="20" w:before="20"/>
            </w:pPr>
            <w:r/>
            <w:r>
              <w:rPr>
                <w:b w:val="0"/>
                <w:sz w:val="18"/>
              </w:rPr>
              <w:t>Automated desk study — not a survey, appraisal or legal opinion</w:t>
            </w:r>
          </w:p>
        </w:tc>
      </w:tr>
    </w:tbl>
    <w:p>
      <w:pPr>
        <w:spacing w:after="40"/>
      </w:pPr>
    </w:p>
    <w:p>
      <w:pPr>
        <w:spacing w:after="80" w:before="280"/>
      </w:pPr>
      <w:r>
        <w:rPr>
          <w:b/>
          <w:i w:val="0"/>
          <w:color w:val="1F4E79"/>
          <w:sz w:val="22"/>
        </w:rPr>
        <w:t>HOW TO READ THIS REPORT — EVIDENCE TIERS</w:t>
      </w:r>
    </w:p>
    <w:p>
      <w:pPr>
        <w:spacing w:after="80" w:before="0"/>
      </w:pPr>
      <w:r>
        <w:rPr>
          <w:b w:val="0"/>
          <w:i w:val="0"/>
          <w:sz w:val="18"/>
        </w:rPr>
        <w:t>Every finding carries one of three labels. This distinction matters: a modelled contour is not a survey, and a soil-survey polygon is not a percolation test.</w:t>
      </w:r>
    </w:p>
    <w:tbl>
      <w:tblPr>
        <w:tblStyle w:val="TableGrid"/>
        <w:tblW w:type="auto" w:w="0"/>
        <w:jc w:val="center"/>
        <w:tblLook w:firstColumn="1" w:firstRow="1" w:lastColumn="0" w:lastRow="0" w:noHBand="0" w:noVBand="1" w:val="04A0"/>
      </w:tblPr>
      <w:tblGrid>
        <w:gridCol w:w="3288"/>
        <w:gridCol w:w="3288"/>
        <w:gridCol w:w="3288"/>
      </w:tblGrid>
      <w:tr>
        <w:tc>
          <w:tcPr>
            <w:tcW w:type="dxa" w:w="1928"/>
            <w:shd w:val="clear" w:color="auto" w:fill="1F4E79"/>
          </w:tcPr>
          <w:p>
            <w:pPr>
              <w:spacing w:after="20" w:before="20"/>
            </w:pPr>
            <w:r/>
            <w:r>
              <w:rPr>
                <w:b/>
                <w:color w:val="FFFFFF"/>
                <w:sz w:val="16"/>
              </w:rPr>
              <w:t>Label</w:t>
            </w:r>
          </w:p>
        </w:tc>
        <w:tc>
          <w:tcPr>
            <w:tcW w:type="dxa" w:w="4649"/>
            <w:shd w:val="clear" w:color="auto" w:fill="1F4E79"/>
          </w:tcPr>
          <w:p>
            <w:pPr>
              <w:spacing w:after="20" w:before="20"/>
            </w:pPr>
            <w:r/>
            <w:r>
              <w:rPr>
                <w:b/>
                <w:color w:val="FFFFFF"/>
                <w:sz w:val="16"/>
              </w:rPr>
              <w:t>Meaning</w:t>
            </w:r>
          </w:p>
        </w:tc>
        <w:tc>
          <w:tcPr>
            <w:tcW w:type="dxa" w:w="2835"/>
            <w:shd w:val="clear" w:color="auto" w:fill="1F4E79"/>
          </w:tcPr>
          <w:p>
            <w:pPr>
              <w:spacing w:after="20" w:before="20"/>
            </w:pPr>
            <w:r/>
            <w:r>
              <w:rPr>
                <w:b/>
                <w:color w:val="FFFFFF"/>
                <w:sz w:val="16"/>
              </w:rPr>
              <w:t>Can you rely on it?</w:t>
            </w:r>
          </w:p>
        </w:tc>
      </w:tr>
      <w:tr>
        <w:tc>
          <w:tcPr>
            <w:tcW w:type="dxa" w:w="1928"/>
          </w:tcPr>
          <w:p>
            <w:pPr>
              <w:spacing w:after="20" w:before="20"/>
            </w:pPr>
            <w:r/>
            <w:r>
              <w:rPr>
                <w:b/>
                <w:sz w:val="16"/>
              </w:rPr>
              <w:t>DOCUMENTED</w:t>
            </w:r>
          </w:p>
        </w:tc>
        <w:tc>
          <w:tcPr>
            <w:tcW w:type="dxa" w:w="4649"/>
          </w:tcPr>
          <w:p>
            <w:pPr>
              <w:spacing w:after="20" w:before="20"/>
            </w:pPr>
            <w:r/>
            <w:r>
              <w:rPr>
                <w:b w:val="0"/>
                <w:sz w:val="16"/>
              </w:rPr>
              <w:t>Taken from an official or authoritative published source (federal/state agency dataset, statute, published rule, government website).</w:t>
            </w:r>
          </w:p>
        </w:tc>
        <w:tc>
          <w:tcPr>
            <w:tcW w:type="dxa" w:w="2835"/>
          </w:tcPr>
          <w:p>
            <w:pPr>
              <w:spacing w:after="20" w:before="20"/>
            </w:pPr>
            <w:r/>
            <w:r>
              <w:rPr>
                <w:b w:val="0"/>
                <w:sz w:val="16"/>
              </w:rPr>
              <w:t>Yes, subject to the source's own currency.</w:t>
            </w:r>
          </w:p>
        </w:tc>
      </w:tr>
      <w:tr>
        <w:tc>
          <w:tcPr>
            <w:tcW w:type="dxa" w:w="1928"/>
            <w:shd w:val="clear" w:color="auto" w:fill="F2F5F9"/>
          </w:tcPr>
          <w:p>
            <w:pPr>
              <w:spacing w:after="20" w:before="20"/>
            </w:pPr>
            <w:r/>
            <w:r>
              <w:rPr>
                <w:b/>
                <w:sz w:val="16"/>
              </w:rPr>
              <w:t>MODEL-DERIVED ESTIMATE</w:t>
            </w:r>
          </w:p>
        </w:tc>
        <w:tc>
          <w:tcPr>
            <w:tcW w:type="dxa" w:w="4649"/>
            <w:shd w:val="clear" w:color="auto" w:fill="F2F5F9"/>
          </w:tcPr>
          <w:p>
            <w:pPr>
              <w:spacing w:after="20" w:before="20"/>
            </w:pPr>
            <w:r/>
            <w:r>
              <w:rPr>
                <w:b w:val="0"/>
                <w:sz w:val="16"/>
              </w:rPr>
              <w:t>Computed here from authoritative raw data (lidar elevation, soil polygons, reanalysis climate) using stated assumptions.</w:t>
            </w:r>
          </w:p>
        </w:tc>
        <w:tc>
          <w:tcPr>
            <w:tcW w:type="dxa" w:w="2835"/>
            <w:shd w:val="clear" w:color="auto" w:fill="F2F5F9"/>
          </w:tcPr>
          <w:p>
            <w:pPr>
              <w:spacing w:after="20" w:before="20"/>
            </w:pPr>
            <w:r/>
            <w:r>
              <w:rPr>
                <w:b w:val="0"/>
                <w:sz w:val="16"/>
              </w:rPr>
              <w:t>Directionally reliable; NOT a substitute for survey/engineering.</w:t>
            </w:r>
          </w:p>
        </w:tc>
      </w:tr>
      <w:tr>
        <w:tc>
          <w:tcPr>
            <w:tcW w:type="dxa" w:w="1928"/>
          </w:tcPr>
          <w:p>
            <w:pPr>
              <w:spacing w:after="20" w:before="20"/>
            </w:pPr>
            <w:r/>
            <w:r>
              <w:rPr>
                <w:b/>
                <w:sz w:val="16"/>
              </w:rPr>
              <w:t>REQUIRES VERIFICATION</w:t>
            </w:r>
          </w:p>
        </w:tc>
        <w:tc>
          <w:tcPr>
            <w:tcW w:type="dxa" w:w="4649"/>
          </w:tcPr>
          <w:p>
            <w:pPr>
              <w:spacing w:after="20" w:before="20"/>
            </w:pPr>
            <w:r/>
            <w:r>
              <w:rPr>
                <w:b w:val="0"/>
                <w:sz w:val="16"/>
              </w:rPr>
              <w:t>Not publicly obtainable, contradictory across sources, or legally requires a licensed professional or county sign-off.</w:t>
            </w:r>
          </w:p>
        </w:tc>
        <w:tc>
          <w:tcPr>
            <w:tcW w:type="dxa" w:w="2835"/>
          </w:tcPr>
          <w:p>
            <w:pPr>
              <w:spacing w:after="20" w:before="20"/>
            </w:pPr>
            <w:r/>
            <w:r>
              <w:rPr>
                <w:b w:val="0"/>
                <w:sz w:val="16"/>
              </w:rPr>
              <w:t>No. Treat as an open question.</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DE7E9"/>
          </w:tcPr>
          <w:p>
            <w:pPr>
              <w:spacing w:before="40" w:after="20"/>
            </w:pPr>
            <w:r/>
            <w:r>
              <w:rPr>
                <w:b/>
                <w:color w:val="8A4100"/>
                <w:sz w:val="18"/>
              </w:rPr>
              <w:t>CRITICAL LIMITATION — NO RECORDED PLAT WAS OBTAINED</w:t>
            </w:r>
          </w:p>
          <w:p>
            <w:pPr>
              <w:spacing w:after="40"/>
            </w:pPr>
            <w:r>
              <w:rPr>
                <w:sz w:val="17"/>
              </w:rPr>
              <w:t>Lincoln County's parcel GIS services are access-restricted (HTTP 499 "Token Required"), and no public parcel polygon for Lot 130 or Lot 131 could be retrieved. Every statement in this report about lot boundaries, dimensions, frontage, depth, setbacks and buildable area rests on a MODELLED rectangle of 150 ft x 310 ft (1.07 ac). The recorded plat must be obtained from the Lincoln County Clerk of Superior Court before any of those figures are relied upon. Terrain, flood and soil findings are independent of that assumption and remain valid for the area.</w:t>
            </w:r>
          </w:p>
        </w:tc>
      </w:tr>
    </w:tbl>
    <w:p>
      <w:pPr>
        <w:spacing w:after="60"/>
      </w:pPr>
    </w:p>
    <w:p>
      <w:r>
        <w:br w:type="page"/>
      </w:r>
    </w:p>
    <w:p>
      <w:pPr>
        <w:pStyle w:val="Heading1"/>
      </w:pPr>
      <w:r>
        <w:t>Executive Summary</w:t>
      </w:r>
    </w:p>
    <w:p>
      <w:pPr>
        <w:spacing w:after="80" w:before="0"/>
      </w:pPr>
      <w:r>
        <w:rPr>
          <w:b w:val="0"/>
          <w:i w:val="0"/>
          <w:sz w:val="19"/>
        </w:rPr>
        <w:t>This report answers a 61-point due-diligence checklist for two adjacent 1.07-acre lots marketed as dockable waterfront on Clarks Hill (J. Strom Thurmond) Lake. The desk study used 1-metre federal lidar, the FEMA flood layer, the USDA soil survey, USACE shoreline policy and the road network to test the marketing claims against measurable data. Six findings materially affect value and buildability.</w:t>
      </w:r>
    </w:p>
    <w:p>
      <w:pPr>
        <w:pStyle w:val="Heading2"/>
      </w:pPr>
      <w:r>
        <w:t>The six findings that matter</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54"/>
            <w:shd w:val="clear" w:color="auto" w:fill="1F4E79"/>
          </w:tcPr>
          <w:p>
            <w:pPr>
              <w:spacing w:after="20" w:before="20"/>
            </w:pPr>
            <w:r/>
            <w:r>
              <w:rPr>
                <w:b/>
                <w:color w:val="FFFFFF"/>
                <w:sz w:val="15"/>
              </w:rPr>
              <w:t>#</w:t>
            </w:r>
          </w:p>
        </w:tc>
        <w:tc>
          <w:tcPr>
            <w:tcW w:type="dxa" w:w="3402"/>
            <w:shd w:val="clear" w:color="auto" w:fill="1F4E79"/>
          </w:tcPr>
          <w:p>
            <w:pPr>
              <w:spacing w:after="20" w:before="20"/>
            </w:pPr>
            <w:r/>
            <w:r>
              <w:rPr>
                <w:b/>
                <w:color w:val="FFFFFF"/>
                <w:sz w:val="15"/>
              </w:rPr>
              <w:t>Finding</w:t>
            </w:r>
          </w:p>
        </w:tc>
        <w:tc>
          <w:tcPr>
            <w:tcW w:type="dxa" w:w="3515"/>
            <w:shd w:val="clear" w:color="auto" w:fill="1F4E79"/>
          </w:tcPr>
          <w:p>
            <w:pPr>
              <w:spacing w:after="20" w:before="20"/>
            </w:pPr>
            <w:r/>
            <w:r>
              <w:rPr>
                <w:b/>
                <w:color w:val="FFFFFF"/>
                <w:sz w:val="15"/>
              </w:rPr>
              <w:t>Why it matters</w:t>
            </w:r>
          </w:p>
        </w:tc>
        <w:tc>
          <w:tcPr>
            <w:tcW w:type="dxa" w:w="510"/>
            <w:shd w:val="clear" w:color="auto" w:fill="1F4E79"/>
          </w:tcPr>
          <w:p>
            <w:pPr>
              <w:spacing w:after="20" w:before="20"/>
            </w:pPr>
            <w:r/>
            <w:r>
              <w:rPr>
                <w:b/>
                <w:color w:val="FFFFFF"/>
                <w:sz w:val="15"/>
              </w:rPr>
              <w:t>Tier</w:t>
            </w:r>
          </w:p>
        </w:tc>
      </w:tr>
      <w:tr>
        <w:tc>
          <w:tcPr>
            <w:tcW w:type="dxa" w:w="454"/>
          </w:tcPr>
          <w:p>
            <w:pPr>
              <w:spacing w:after="20" w:before="20"/>
            </w:pPr>
            <w:r/>
            <w:r>
              <w:rPr>
                <w:b w:val="0"/>
                <w:sz w:val="15"/>
              </w:rPr>
              <w:t>1</w:t>
            </w:r>
          </w:p>
        </w:tc>
        <w:tc>
          <w:tcPr>
            <w:tcW w:type="dxa" w:w="3402"/>
          </w:tcPr>
          <w:p>
            <w:pPr>
              <w:spacing w:after="20" w:before="20"/>
            </w:pPr>
            <w:r/>
            <w:r>
              <w:rPr>
                <w:b w:val="0"/>
                <w:sz w:val="15"/>
              </w:rPr>
              <w:t>**The lots are not at the water.** The road sits 385–399 ft; full pool is 330 ft. The 330 ft shoreline is 467–688 ft horizontally from the road and 53–65 ft below it. A 310 ft-deep lot ends at roughly 348–372 ft elevation.</w:t>
            </w:r>
          </w:p>
        </w:tc>
        <w:tc>
          <w:tcPr>
            <w:tcW w:type="dxa" w:w="3515"/>
          </w:tcPr>
          <w:p>
            <w:pPr>
              <w:spacing w:after="20" w:before="20"/>
            </w:pPr>
            <w:r/>
            <w:r>
              <w:rPr>
                <w:b w:val="0"/>
                <w:sz w:val="15"/>
              </w:rPr>
              <w:t>"WATERFRONT" and "direct waterfront access" cannot mean fee ownership to the water. There is almost certainly USACE-owned land between the rear lot line and the lake.</w:t>
            </w:r>
          </w:p>
        </w:tc>
        <w:tc>
          <w:tcPr>
            <w:tcW w:type="dxa" w:w="510"/>
          </w:tcPr>
          <w:p>
            <w:pPr>
              <w:spacing w:after="20" w:before="20"/>
            </w:pPr>
            <w:r/>
            <w:r>
              <w:rPr>
                <w:b w:val="0"/>
                <w:sz w:val="15"/>
              </w:rPr>
              <w:t>M</w:t>
            </w:r>
          </w:p>
        </w:tc>
      </w:tr>
      <w:tr>
        <w:tc>
          <w:tcPr>
            <w:tcW w:type="dxa" w:w="454"/>
            <w:shd w:val="clear" w:color="auto" w:fill="F2F5F9"/>
          </w:tcPr>
          <w:p>
            <w:pPr>
              <w:spacing w:after="20" w:before="20"/>
            </w:pPr>
            <w:r/>
            <w:r>
              <w:rPr>
                <w:b w:val="0"/>
                <w:sz w:val="15"/>
              </w:rPr>
              <w:t>2</w:t>
            </w:r>
          </w:p>
        </w:tc>
        <w:tc>
          <w:tcPr>
            <w:tcW w:type="dxa" w:w="3402"/>
            <w:shd w:val="clear" w:color="auto" w:fill="F2F5F9"/>
          </w:tcPr>
          <w:p>
            <w:pPr>
              <w:spacing w:after="20" w:before="20"/>
            </w:pPr>
            <w:r/>
            <w:r>
              <w:rPr>
                <w:b w:val="0"/>
                <w:sz w:val="15"/>
              </w:rPr>
              <w:t>**Dock rights are a federal permit, not a property right.** The Thurmond Shoreline Management Plan (1 May 2018) requires a 20 ft minimum shared boundary with federal land, and for subdivisions platted after 1 May 2018 authorises COMMUNITY DOCKS ONLY.</w:t>
            </w:r>
          </w:p>
        </w:tc>
        <w:tc>
          <w:tcPr>
            <w:tcW w:type="dxa" w:w="3515"/>
            <w:shd w:val="clear" w:color="auto" w:fill="F2F5F9"/>
          </w:tcPr>
          <w:p>
            <w:pPr>
              <w:spacing w:after="20" w:before="20"/>
            </w:pPr>
            <w:r/>
            <w:r>
              <w:rPr>
                <w:b w:val="0"/>
                <w:sz w:val="15"/>
              </w:rPr>
              <w:t>"DOCKABLE" is an assertion until the Thurmond Project Office confirms the shoreline allocation and eligibility for this specific parcel. Permits are 5-year, non-transferable, and void on sale.</w:t>
            </w:r>
          </w:p>
        </w:tc>
        <w:tc>
          <w:tcPr>
            <w:tcW w:type="dxa" w:w="510"/>
            <w:shd w:val="clear" w:color="auto" w:fill="F2F5F9"/>
          </w:tcPr>
          <w:p>
            <w:pPr>
              <w:spacing w:after="20" w:before="20"/>
            </w:pPr>
            <w:r/>
            <w:r>
              <w:rPr>
                <w:b w:val="0"/>
                <w:sz w:val="15"/>
              </w:rPr>
              <w:t>D</w:t>
            </w:r>
          </w:p>
        </w:tc>
      </w:tr>
      <w:tr>
        <w:tc>
          <w:tcPr>
            <w:tcW w:type="dxa" w:w="454"/>
          </w:tcPr>
          <w:p>
            <w:pPr>
              <w:spacing w:after="20" w:before="20"/>
            </w:pPr>
            <w:r/>
            <w:r>
              <w:rPr>
                <w:b w:val="0"/>
                <w:sz w:val="15"/>
              </w:rPr>
              <w:t>3</w:t>
            </w:r>
          </w:p>
        </w:tc>
        <w:tc>
          <w:tcPr>
            <w:tcW w:type="dxa" w:w="3402"/>
          </w:tcPr>
          <w:p>
            <w:pPr>
              <w:spacing w:after="20" w:before="20"/>
            </w:pPr>
            <w:r/>
            <w:r>
              <w:rPr>
                <w:b w:val="0"/>
                <w:sz w:val="15"/>
              </w:rPr>
              <w:t>**Part of the area is a Special Flood Hazard Area with no published BFE.** FEMA DFIRM 13181C shows Zone A along the lake margin and Zone X over the road corridor. Zone A carries no Base Flood Elevation.</w:t>
            </w:r>
          </w:p>
        </w:tc>
        <w:tc>
          <w:tcPr>
            <w:tcW w:type="dxa" w:w="3515"/>
          </w:tcPr>
          <w:p>
            <w:pPr>
              <w:spacing w:after="20" w:before="20"/>
            </w:pPr>
            <w:r/>
            <w:r>
              <w:rPr>
                <w:b w:val="0"/>
                <w:sz w:val="15"/>
              </w:rPr>
              <w:t>Without a BFE, the minimum finished-floor elevation must be set by the county floodplain administrator, and lenders/insurers may demand an Elevation Certificate.</w:t>
            </w:r>
          </w:p>
        </w:tc>
        <w:tc>
          <w:tcPr>
            <w:tcW w:type="dxa" w:w="510"/>
          </w:tcPr>
          <w:p>
            <w:pPr>
              <w:spacing w:after="20" w:before="20"/>
            </w:pPr>
            <w:r/>
            <w:r>
              <w:rPr>
                <w:b w:val="0"/>
                <w:sz w:val="15"/>
              </w:rPr>
              <w:t>D</w:t>
            </w:r>
          </w:p>
        </w:tc>
      </w:tr>
      <w:tr>
        <w:tc>
          <w:tcPr>
            <w:tcW w:type="dxa" w:w="454"/>
            <w:shd w:val="clear" w:color="auto" w:fill="F2F5F9"/>
          </w:tcPr>
          <w:p>
            <w:pPr>
              <w:spacing w:after="20" w:before="20"/>
            </w:pPr>
            <w:r/>
            <w:r>
              <w:rPr>
                <w:b w:val="0"/>
                <w:sz w:val="15"/>
              </w:rPr>
              <w:t>4</w:t>
            </w:r>
          </w:p>
        </w:tc>
        <w:tc>
          <w:tcPr>
            <w:tcW w:type="dxa" w:w="3402"/>
            <w:shd w:val="clear" w:color="auto" w:fill="F2F5F9"/>
          </w:tcPr>
          <w:p>
            <w:pPr>
              <w:spacing w:after="20" w:before="20"/>
            </w:pPr>
            <w:r/>
            <w:r>
              <w:rPr>
                <w:b w:val="0"/>
                <w:sz w:val="15"/>
              </w:rPr>
              <w:t>**The dominant soils are rated "Very limited" for septic and for dwellings.** Pacolet sandy clay loam 10–25% severely eroded, and Zion silt loam 10–25% (lithic bedrock at 77 cm), both rate Very limited; Cecil sandy loam 2–6% rates only Somewhat limited.</w:t>
            </w:r>
          </w:p>
        </w:tc>
        <w:tc>
          <w:tcPr>
            <w:tcW w:type="dxa" w:w="3515"/>
            <w:shd w:val="clear" w:color="auto" w:fill="F2F5F9"/>
          </w:tcPr>
          <w:p>
            <w:pPr>
              <w:spacing w:after="20" w:before="20"/>
            </w:pPr>
            <w:r/>
            <w:r>
              <w:rPr>
                <w:b w:val="0"/>
                <w:sz w:val="15"/>
              </w:rPr>
              <w:t>There is no public sewer. A 4-bedroom conventional septic system may not be permittable across much of the slope. Georgia denies permits where bedrock is under 2 ft below the field bottom.</w:t>
            </w:r>
          </w:p>
        </w:tc>
        <w:tc>
          <w:tcPr>
            <w:tcW w:type="dxa" w:w="510"/>
            <w:shd w:val="clear" w:color="auto" w:fill="F2F5F9"/>
          </w:tcPr>
          <w:p>
            <w:pPr>
              <w:spacing w:after="20" w:before="20"/>
            </w:pPr>
            <w:r/>
            <w:r>
              <w:rPr>
                <w:b w:val="0"/>
                <w:sz w:val="15"/>
              </w:rPr>
              <w:t>D</w:t>
            </w:r>
          </w:p>
        </w:tc>
      </w:tr>
      <w:tr>
        <w:tc>
          <w:tcPr>
            <w:tcW w:type="dxa" w:w="454"/>
          </w:tcPr>
          <w:p>
            <w:pPr>
              <w:spacing w:after="20" w:before="20"/>
            </w:pPr>
            <w:r/>
            <w:r>
              <w:rPr>
                <w:b w:val="0"/>
                <w:sz w:val="15"/>
              </w:rPr>
              <w:t>5</w:t>
            </w:r>
          </w:p>
        </w:tc>
        <w:tc>
          <w:tcPr>
            <w:tcW w:type="dxa" w:w="3402"/>
          </w:tcPr>
          <w:p>
            <w:pPr>
              <w:spacing w:after="20" w:before="20"/>
            </w:pPr>
            <w:r/>
            <w:r>
              <w:rPr>
                <w:b w:val="0"/>
                <w:sz w:val="15"/>
              </w:rPr>
              <w:t>**The asking price is unresolved.** Cached listings show $55,000, $169,900 and $144,000 (Lot 131 alone, off-market) under three different brokerages.</w:t>
            </w:r>
          </w:p>
        </w:tc>
        <w:tc>
          <w:tcPr>
            <w:tcW w:type="dxa" w:w="3515"/>
          </w:tcPr>
          <w:p>
            <w:pPr>
              <w:spacing w:after="20" w:before="20"/>
            </w:pPr>
            <w:r/>
            <w:r>
              <w:rPr>
                <w:b w:val="0"/>
                <w:sz w:val="15"/>
              </w:rPr>
              <w:t>A 3x spread means the lots have been listed, delisted and relisted. Do not negotiate from a cached number.</w:t>
            </w:r>
          </w:p>
        </w:tc>
        <w:tc>
          <w:tcPr>
            <w:tcW w:type="dxa" w:w="510"/>
          </w:tcPr>
          <w:p>
            <w:pPr>
              <w:spacing w:after="20" w:before="20"/>
            </w:pPr>
            <w:r/>
            <w:r>
              <w:rPr>
                <w:b w:val="0"/>
                <w:sz w:val="15"/>
              </w:rPr>
              <w:t>V</w:t>
            </w:r>
          </w:p>
        </w:tc>
      </w:tr>
      <w:tr>
        <w:tc>
          <w:tcPr>
            <w:tcW w:type="dxa" w:w="454"/>
            <w:shd w:val="clear" w:color="auto" w:fill="F2F5F9"/>
          </w:tcPr>
          <w:p>
            <w:pPr>
              <w:spacing w:after="20" w:before="20"/>
            </w:pPr>
            <w:r/>
            <w:r>
              <w:rPr>
                <w:b w:val="0"/>
                <w:sz w:val="15"/>
              </w:rPr>
              <w:t>6</w:t>
            </w:r>
          </w:p>
        </w:tc>
        <w:tc>
          <w:tcPr>
            <w:tcW w:type="dxa" w:w="3402"/>
            <w:shd w:val="clear" w:color="auto" w:fill="F2F5F9"/>
          </w:tcPr>
          <w:p>
            <w:pPr>
              <w:spacing w:after="20" w:before="20"/>
            </w:pPr>
            <w:r/>
            <w:r>
              <w:rPr>
                <w:b w:val="0"/>
                <w:sz w:val="15"/>
              </w:rPr>
              <w:t>**It is remote.** 17 mi to the county seat, 20 mi to a 25-bed critical-access hospital, 44 mi to a Walmart, 55 mi to full-service hospitals, 63 mi to the nearest commercial airport.</w:t>
            </w:r>
          </w:p>
        </w:tc>
        <w:tc>
          <w:tcPr>
            <w:tcW w:type="dxa" w:w="3515"/>
            <w:shd w:val="clear" w:color="auto" w:fill="F2F5F9"/>
          </w:tcPr>
          <w:p>
            <w:pPr>
              <w:spacing w:after="20" w:before="20"/>
            </w:pPr>
            <w:r/>
            <w:r>
              <w:rPr>
                <w:b w:val="0"/>
                <w:sz w:val="15"/>
              </w:rPr>
              <w:t>Every daily necessity requires a car. Emergency medical response times and contractor availability should both be factored in.</w:t>
            </w:r>
          </w:p>
        </w:tc>
        <w:tc>
          <w:tcPr>
            <w:tcW w:type="dxa" w:w="510"/>
            <w:shd w:val="clear" w:color="auto" w:fill="F2F5F9"/>
          </w:tcPr>
          <w:p>
            <w:pPr>
              <w:spacing w:after="20" w:before="20"/>
            </w:pPr>
            <w:r/>
            <w:r>
              <w:rPr>
                <w:b w:val="0"/>
                <w:sz w:val="15"/>
              </w:rPr>
              <w:t>D</w:t>
            </w:r>
          </w:p>
        </w:tc>
      </w:tr>
    </w:tbl>
    <w:p>
      <w:pPr>
        <w:spacing w:after="40"/>
      </w:pPr>
    </w:p>
    <w:p>
      <w:pPr>
        <w:pStyle w:val="Heading2"/>
      </w:pPr>
      <w:r>
        <w:t>Headline measurements</w:t>
      </w:r>
    </w:p>
    <w:tbl>
      <w:tblPr>
        <w:tblStyle w:val="TableGrid"/>
        <w:tblW w:type="auto" w:w="0"/>
        <w:jc w:val="center"/>
        <w:tblLook w:firstColumn="1" w:firstRow="1" w:lastColumn="0" w:lastRow="0" w:noHBand="0" w:noVBand="1" w:val="04A0"/>
      </w:tblPr>
      <w:tblGrid>
        <w:gridCol w:w="3288"/>
        <w:gridCol w:w="3288"/>
        <w:gridCol w:w="3288"/>
      </w:tblGrid>
      <w:tr>
        <w:tc>
          <w:tcPr>
            <w:tcW w:type="dxa" w:w="3515"/>
            <w:shd w:val="clear" w:color="auto" w:fill="1F4E79"/>
          </w:tcPr>
          <w:p>
            <w:pPr>
              <w:spacing w:after="20" w:before="20"/>
            </w:pPr>
            <w:r/>
            <w:r>
              <w:rPr>
                <w:b/>
                <w:color w:val="FFFFFF"/>
                <w:sz w:val="16"/>
              </w:rPr>
              <w:t>Parameter</w:t>
            </w:r>
          </w:p>
        </w:tc>
        <w:tc>
          <w:tcPr>
            <w:tcW w:type="dxa" w:w="3175"/>
            <w:shd w:val="clear" w:color="auto" w:fill="1F4E79"/>
          </w:tcPr>
          <w:p>
            <w:pPr>
              <w:spacing w:after="20" w:before="20"/>
            </w:pPr>
            <w:r/>
            <w:r>
              <w:rPr>
                <w:b/>
                <w:color w:val="FFFFFF"/>
                <w:sz w:val="16"/>
              </w:rPr>
              <w:t>Value</w:t>
            </w:r>
          </w:p>
        </w:tc>
        <w:tc>
          <w:tcPr>
            <w:tcW w:type="dxa" w:w="2608"/>
            <w:shd w:val="clear" w:color="auto" w:fill="1F4E79"/>
          </w:tcPr>
          <w:p>
            <w:pPr>
              <w:spacing w:after="20" w:before="20"/>
            </w:pPr>
            <w:r/>
            <w:r>
              <w:rPr>
                <w:b/>
                <w:color w:val="FFFFFF"/>
                <w:sz w:val="16"/>
              </w:rPr>
              <w:t>Source</w:t>
            </w:r>
          </w:p>
        </w:tc>
      </w:tr>
      <w:tr>
        <w:tc>
          <w:tcPr>
            <w:tcW w:type="dxa" w:w="3515"/>
          </w:tcPr>
          <w:p>
            <w:pPr>
              <w:spacing w:after="20" w:before="20"/>
            </w:pPr>
            <w:r/>
            <w:r>
              <w:rPr>
                <w:b w:val="0"/>
                <w:sz w:val="16"/>
              </w:rPr>
              <w:t>Combined area (as marketed)</w:t>
            </w:r>
          </w:p>
        </w:tc>
        <w:tc>
          <w:tcPr>
            <w:tcW w:type="dxa" w:w="3175"/>
          </w:tcPr>
          <w:p>
            <w:pPr>
              <w:spacing w:after="20" w:before="20"/>
            </w:pPr>
            <w:r/>
            <w:r>
              <w:rPr>
                <w:b w:val="0"/>
                <w:sz w:val="16"/>
              </w:rPr>
              <w:t>2.14 ac (2 x 1.07 ac)</w:t>
            </w:r>
          </w:p>
        </w:tc>
        <w:tc>
          <w:tcPr>
            <w:tcW w:type="dxa" w:w="2608"/>
          </w:tcPr>
          <w:p>
            <w:pPr>
              <w:spacing w:after="20" w:before="20"/>
            </w:pPr>
            <w:r/>
            <w:r>
              <w:rPr>
                <w:b w:val="0"/>
                <w:sz w:val="16"/>
              </w:rPr>
              <w:t>Listing</w:t>
            </w:r>
          </w:p>
        </w:tc>
      </w:tr>
      <w:tr>
        <w:tc>
          <w:tcPr>
            <w:tcW w:type="dxa" w:w="3515"/>
            <w:shd w:val="clear" w:color="auto" w:fill="F2F5F9"/>
          </w:tcPr>
          <w:p>
            <w:pPr>
              <w:spacing w:after="20" w:before="20"/>
            </w:pPr>
            <w:r/>
            <w:r>
              <w:rPr>
                <w:b w:val="0"/>
                <w:sz w:val="16"/>
              </w:rPr>
              <w:t>Road (Watersedge Cove) elevation</w:t>
            </w:r>
          </w:p>
        </w:tc>
        <w:tc>
          <w:tcPr>
            <w:tcW w:type="dxa" w:w="3175"/>
            <w:shd w:val="clear" w:color="auto" w:fill="F2F5F9"/>
          </w:tcPr>
          <w:p>
            <w:pPr>
              <w:spacing w:after="20" w:before="20"/>
            </w:pPr>
            <w:r/>
            <w:r>
              <w:rPr>
                <w:b w:val="0"/>
                <w:sz w:val="16"/>
              </w:rPr>
              <w:t>385.0 – 399.1 ft NAVD 88</w:t>
            </w:r>
          </w:p>
        </w:tc>
        <w:tc>
          <w:tcPr>
            <w:tcW w:type="dxa" w:w="2608"/>
            <w:shd w:val="clear" w:color="auto" w:fill="F2F5F9"/>
          </w:tcPr>
          <w:p>
            <w:pPr>
              <w:spacing w:after="20" w:before="20"/>
            </w:pPr>
            <w:r/>
            <w:r>
              <w:rPr>
                <w:b w:val="0"/>
                <w:sz w:val="16"/>
              </w:rPr>
              <w:t>1 m lidar</w:t>
            </w:r>
          </w:p>
        </w:tc>
      </w:tr>
      <w:tr>
        <w:tc>
          <w:tcPr>
            <w:tcW w:type="dxa" w:w="3515"/>
          </w:tcPr>
          <w:p>
            <w:pPr>
              <w:spacing w:after="20" w:before="20"/>
            </w:pPr>
            <w:r/>
            <w:r>
              <w:rPr>
                <w:b w:val="0"/>
                <w:sz w:val="16"/>
              </w:rPr>
              <w:t>Lake full pool</w:t>
            </w:r>
          </w:p>
        </w:tc>
        <w:tc>
          <w:tcPr>
            <w:tcW w:type="dxa" w:w="3175"/>
          </w:tcPr>
          <w:p>
            <w:pPr>
              <w:spacing w:after="20" w:before="20"/>
            </w:pPr>
            <w:r/>
            <w:r>
              <w:rPr>
                <w:b w:val="0"/>
                <w:sz w:val="16"/>
              </w:rPr>
              <w:t>330 ft-msl</w:t>
            </w:r>
          </w:p>
        </w:tc>
        <w:tc>
          <w:tcPr>
            <w:tcW w:type="dxa" w:w="2608"/>
          </w:tcPr>
          <w:p>
            <w:pPr>
              <w:spacing w:after="20" w:before="20"/>
            </w:pPr>
            <w:r/>
            <w:r>
              <w:rPr>
                <w:b w:val="0"/>
                <w:sz w:val="16"/>
              </w:rPr>
              <w:t>USACE</w:t>
            </w:r>
          </w:p>
        </w:tc>
      </w:tr>
      <w:tr>
        <w:tc>
          <w:tcPr>
            <w:tcW w:type="dxa" w:w="3515"/>
            <w:shd w:val="clear" w:color="auto" w:fill="F2F5F9"/>
          </w:tcPr>
          <w:p>
            <w:pPr>
              <w:spacing w:after="20" w:before="20"/>
            </w:pPr>
            <w:r/>
            <w:r>
              <w:rPr>
                <w:b w:val="0"/>
                <w:sz w:val="16"/>
              </w:rPr>
              <w:t>Vertical relief, road to full pool</w:t>
            </w:r>
          </w:p>
        </w:tc>
        <w:tc>
          <w:tcPr>
            <w:tcW w:type="dxa" w:w="3175"/>
            <w:shd w:val="clear" w:color="auto" w:fill="F2F5F9"/>
          </w:tcPr>
          <w:p>
            <w:pPr>
              <w:spacing w:after="20" w:before="20"/>
            </w:pPr>
            <w:r/>
            <w:r>
              <w:rPr>
                <w:b w:val="0"/>
                <w:sz w:val="16"/>
              </w:rPr>
              <w:t>52.6 – 65.0 ft</w:t>
            </w:r>
          </w:p>
        </w:tc>
        <w:tc>
          <w:tcPr>
            <w:tcW w:type="dxa" w:w="2608"/>
            <w:shd w:val="clear" w:color="auto" w:fill="F2F5F9"/>
          </w:tcPr>
          <w:p>
            <w:pPr>
              <w:spacing w:after="20" w:before="20"/>
            </w:pPr>
            <w:r/>
            <w:r>
              <w:rPr>
                <w:b w:val="0"/>
                <w:sz w:val="16"/>
              </w:rPr>
              <w:t>1 m lidar</w:t>
            </w:r>
          </w:p>
        </w:tc>
      </w:tr>
      <w:tr>
        <w:tc>
          <w:tcPr>
            <w:tcW w:type="dxa" w:w="3515"/>
          </w:tcPr>
          <w:p>
            <w:pPr>
              <w:spacing w:after="20" w:before="20"/>
            </w:pPr>
            <w:r/>
            <w:r>
              <w:rPr>
                <w:b w:val="0"/>
                <w:sz w:val="16"/>
              </w:rPr>
              <w:t>Horizontal distance, road to full pool</w:t>
            </w:r>
          </w:p>
        </w:tc>
        <w:tc>
          <w:tcPr>
            <w:tcW w:type="dxa" w:w="3175"/>
          </w:tcPr>
          <w:p>
            <w:pPr>
              <w:spacing w:after="20" w:before="20"/>
            </w:pPr>
            <w:r/>
            <w:r>
              <w:rPr>
                <w:b w:val="0"/>
                <w:sz w:val="16"/>
              </w:rPr>
              <w:t>467 – 688 ft (142 – 210 m)</w:t>
            </w:r>
          </w:p>
        </w:tc>
        <w:tc>
          <w:tcPr>
            <w:tcW w:type="dxa" w:w="2608"/>
          </w:tcPr>
          <w:p>
            <w:pPr>
              <w:spacing w:after="20" w:before="20"/>
            </w:pPr>
            <w:r/>
            <w:r>
              <w:rPr>
                <w:b w:val="0"/>
                <w:sz w:val="16"/>
              </w:rPr>
              <w:t>1 m lidar</w:t>
            </w:r>
          </w:p>
        </w:tc>
      </w:tr>
      <w:tr>
        <w:tc>
          <w:tcPr>
            <w:tcW w:type="dxa" w:w="3515"/>
            <w:shd w:val="clear" w:color="auto" w:fill="F2F5F9"/>
          </w:tcPr>
          <w:p>
            <w:pPr>
              <w:spacing w:after="20" w:before="20"/>
            </w:pPr>
            <w:r/>
            <w:r>
              <w:rPr>
                <w:b w:val="0"/>
                <w:sz w:val="16"/>
              </w:rPr>
              <w:t>Average slope, road to lake</w:t>
            </w:r>
          </w:p>
        </w:tc>
        <w:tc>
          <w:tcPr>
            <w:tcW w:type="dxa" w:w="3175"/>
            <w:shd w:val="clear" w:color="auto" w:fill="F2F5F9"/>
          </w:tcPr>
          <w:p>
            <w:pPr>
              <w:spacing w:after="20" w:before="20"/>
            </w:pPr>
            <w:r/>
            <w:r>
              <w:rPr>
                <w:b w:val="0"/>
                <w:sz w:val="16"/>
              </w:rPr>
              <w:t>9.0 – 11.7 % (5.1 – 6.7 deg)</w:t>
            </w:r>
          </w:p>
        </w:tc>
        <w:tc>
          <w:tcPr>
            <w:tcW w:type="dxa" w:w="2608"/>
            <w:shd w:val="clear" w:color="auto" w:fill="F2F5F9"/>
          </w:tcPr>
          <w:p>
            <w:pPr>
              <w:spacing w:after="20" w:before="20"/>
            </w:pPr>
            <w:r/>
            <w:r>
              <w:rPr>
                <w:b w:val="0"/>
                <w:sz w:val="16"/>
              </w:rPr>
              <w:t>1 m lidar</w:t>
            </w:r>
          </w:p>
        </w:tc>
      </w:tr>
      <w:tr>
        <w:tc>
          <w:tcPr>
            <w:tcW w:type="dxa" w:w="3515"/>
          </w:tcPr>
          <w:p>
            <w:pPr>
              <w:spacing w:after="20" w:before="20"/>
            </w:pPr>
            <w:r/>
            <w:r>
              <w:rPr>
                <w:b w:val="0"/>
                <w:sz w:val="16"/>
              </w:rPr>
              <w:t>Steepest slope over any 50 ft</w:t>
            </w:r>
          </w:p>
        </w:tc>
        <w:tc>
          <w:tcPr>
            <w:tcW w:type="dxa" w:w="3175"/>
          </w:tcPr>
          <w:p>
            <w:pPr>
              <w:spacing w:after="20" w:before="20"/>
            </w:pPr>
            <w:r/>
            <w:r>
              <w:rPr>
                <w:b w:val="0"/>
                <w:sz w:val="16"/>
              </w:rPr>
              <w:t>18.6 – 24.5 % (10.5 – 13.7 deg)</w:t>
            </w:r>
          </w:p>
        </w:tc>
        <w:tc>
          <w:tcPr>
            <w:tcW w:type="dxa" w:w="2608"/>
          </w:tcPr>
          <w:p>
            <w:pPr>
              <w:spacing w:after="20" w:before="20"/>
            </w:pPr>
            <w:r/>
            <w:r>
              <w:rPr>
                <w:b w:val="0"/>
                <w:sz w:val="16"/>
              </w:rPr>
              <w:t>1 m lidar</w:t>
            </w:r>
          </w:p>
        </w:tc>
      </w:tr>
      <w:tr>
        <w:tc>
          <w:tcPr>
            <w:tcW w:type="dxa" w:w="3515"/>
            <w:shd w:val="clear" w:color="auto" w:fill="F2F5F9"/>
          </w:tcPr>
          <w:p>
            <w:pPr>
              <w:spacing w:after="20" w:before="20"/>
            </w:pPr>
            <w:r/>
            <w:r>
              <w:rPr>
                <w:b w:val="0"/>
                <w:sz w:val="16"/>
              </w:rPr>
              <w:t>Study-area high / low point</w:t>
            </w:r>
          </w:p>
        </w:tc>
        <w:tc>
          <w:tcPr>
            <w:tcW w:type="dxa" w:w="3175"/>
            <w:shd w:val="clear" w:color="auto" w:fill="F2F5F9"/>
          </w:tcPr>
          <w:p>
            <w:pPr>
              <w:spacing w:after="20" w:before="20"/>
            </w:pPr>
            <w:r/>
            <w:r>
              <w:rPr>
                <w:b w:val="0"/>
                <w:sz w:val="16"/>
              </w:rPr>
              <w:t>446.8 ft / 326.9 ft</w:t>
            </w:r>
          </w:p>
        </w:tc>
        <w:tc>
          <w:tcPr>
            <w:tcW w:type="dxa" w:w="2608"/>
            <w:shd w:val="clear" w:color="auto" w:fill="F2F5F9"/>
          </w:tcPr>
          <w:p>
            <w:pPr>
              <w:spacing w:after="20" w:before="20"/>
            </w:pPr>
            <w:r/>
            <w:r>
              <w:rPr>
                <w:b w:val="0"/>
                <w:sz w:val="16"/>
              </w:rPr>
              <w:t>1 m lidar</w:t>
            </w:r>
          </w:p>
        </w:tc>
      </w:tr>
      <w:tr>
        <w:tc>
          <w:tcPr>
            <w:tcW w:type="dxa" w:w="3515"/>
          </w:tcPr>
          <w:p>
            <w:pPr>
              <w:spacing w:after="20" w:before="20"/>
            </w:pPr>
            <w:r/>
            <w:r>
              <w:rPr>
                <w:b w:val="0"/>
                <w:sz w:val="16"/>
              </w:rPr>
              <w:t>FEMA zones present</w:t>
            </w:r>
          </w:p>
        </w:tc>
        <w:tc>
          <w:tcPr>
            <w:tcW w:type="dxa" w:w="3175"/>
          </w:tcPr>
          <w:p>
            <w:pPr>
              <w:spacing w:after="20" w:before="20"/>
            </w:pPr>
            <w:r/>
            <w:r>
              <w:rPr>
                <w:b w:val="0"/>
                <w:sz w:val="16"/>
              </w:rPr>
              <w:t>A (SFHA, no BFE) and X (minimal)</w:t>
            </w:r>
          </w:p>
        </w:tc>
        <w:tc>
          <w:tcPr>
            <w:tcW w:type="dxa" w:w="2608"/>
          </w:tcPr>
          <w:p>
            <w:pPr>
              <w:spacing w:after="20" w:before="20"/>
            </w:pPr>
            <w:r/>
            <w:r>
              <w:rPr>
                <w:b w:val="0"/>
                <w:sz w:val="16"/>
              </w:rPr>
              <w:t>FEMA NFHL</w:t>
            </w:r>
          </w:p>
        </w:tc>
      </w:tr>
      <w:tr>
        <w:tc>
          <w:tcPr>
            <w:tcW w:type="dxa" w:w="3515"/>
            <w:shd w:val="clear" w:color="auto" w:fill="F2F5F9"/>
          </w:tcPr>
          <w:p>
            <w:pPr>
              <w:spacing w:after="20" w:before="20"/>
            </w:pPr>
            <w:r/>
            <w:r>
              <w:rPr>
                <w:b w:val="0"/>
                <w:sz w:val="16"/>
              </w:rPr>
              <w:t>Dominant soils</w:t>
            </w:r>
          </w:p>
        </w:tc>
        <w:tc>
          <w:tcPr>
            <w:tcW w:type="dxa" w:w="3175"/>
            <w:shd w:val="clear" w:color="auto" w:fill="F2F5F9"/>
          </w:tcPr>
          <w:p>
            <w:pPr>
              <w:spacing w:after="20" w:before="20"/>
            </w:pPr>
            <w:r/>
            <w:r>
              <w:rPr>
                <w:b w:val="0"/>
                <w:sz w:val="16"/>
              </w:rPr>
              <w:t>Pacolet, Cecil, Madison, Zion</w:t>
            </w:r>
          </w:p>
        </w:tc>
        <w:tc>
          <w:tcPr>
            <w:tcW w:type="dxa" w:w="2608"/>
            <w:shd w:val="clear" w:color="auto" w:fill="F2F5F9"/>
          </w:tcPr>
          <w:p>
            <w:pPr>
              <w:spacing w:after="20" w:before="20"/>
            </w:pPr>
            <w:r/>
            <w:r>
              <w:rPr>
                <w:b w:val="0"/>
                <w:sz w:val="16"/>
              </w:rPr>
              <w:t>NRCS SSURGO</w:t>
            </w:r>
          </w:p>
        </w:tc>
      </w:tr>
      <w:tr>
        <w:tc>
          <w:tcPr>
            <w:tcW w:type="dxa" w:w="3515"/>
          </w:tcPr>
          <w:p>
            <w:pPr>
              <w:spacing w:after="20" w:before="20"/>
            </w:pPr>
            <w:r/>
            <w:r>
              <w:rPr>
                <w:b w:val="0"/>
                <w:sz w:val="16"/>
              </w:rPr>
              <w:t>Public sewer</w:t>
            </w:r>
          </w:p>
        </w:tc>
        <w:tc>
          <w:tcPr>
            <w:tcW w:type="dxa" w:w="3175"/>
          </w:tcPr>
          <w:p>
            <w:pPr>
              <w:spacing w:after="20" w:before="20"/>
            </w:pPr>
            <w:r/>
            <w:r>
              <w:rPr>
                <w:b w:val="0"/>
                <w:sz w:val="16"/>
              </w:rPr>
              <w:t>None — septic required</w:t>
            </w:r>
          </w:p>
        </w:tc>
        <w:tc>
          <w:tcPr>
            <w:tcW w:type="dxa" w:w="2608"/>
          </w:tcPr>
          <w:p>
            <w:pPr>
              <w:spacing w:after="20" w:before="20"/>
            </w:pPr>
            <w:r/>
            <w:r>
              <w:rPr>
                <w:b w:val="0"/>
                <w:sz w:val="16"/>
              </w:rPr>
              <w:t>Listings / county</w:t>
            </w:r>
          </w:p>
        </w:tc>
      </w:tr>
      <w:tr>
        <w:tc>
          <w:tcPr>
            <w:tcW w:type="dxa" w:w="3515"/>
            <w:shd w:val="clear" w:color="auto" w:fill="F2F5F9"/>
          </w:tcPr>
          <w:p>
            <w:pPr>
              <w:spacing w:after="20" w:before="20"/>
            </w:pPr>
            <w:r/>
            <w:r>
              <w:rPr>
                <w:b w:val="0"/>
                <w:sz w:val="16"/>
              </w:rPr>
              <w:t>Annual mean temperature</w:t>
            </w:r>
          </w:p>
        </w:tc>
        <w:tc>
          <w:tcPr>
            <w:tcW w:type="dxa" w:w="3175"/>
            <w:shd w:val="clear" w:color="auto" w:fill="F2F5F9"/>
          </w:tcPr>
          <w:p>
            <w:pPr>
              <w:spacing w:after="20" w:before="20"/>
            </w:pPr>
            <w:r/>
            <w:r>
              <w:rPr>
                <w:b w:val="0"/>
                <w:sz w:val="16"/>
              </w:rPr>
              <w:t>18.2 deg C</w:t>
            </w:r>
          </w:p>
        </w:tc>
        <w:tc>
          <w:tcPr>
            <w:tcW w:type="dxa" w:w="2608"/>
            <w:shd w:val="clear" w:color="auto" w:fill="F2F5F9"/>
          </w:tcPr>
          <w:p>
            <w:pPr>
              <w:spacing w:after="20" w:before="20"/>
            </w:pPr>
            <w:r/>
            <w:r>
              <w:rPr>
                <w:b w:val="0"/>
                <w:sz w:val="16"/>
              </w:rPr>
              <w:t>ERA5 1995–2024</w:t>
            </w:r>
          </w:p>
        </w:tc>
      </w:tr>
      <w:tr>
        <w:tc>
          <w:tcPr>
            <w:tcW w:type="dxa" w:w="3515"/>
          </w:tcPr>
          <w:p>
            <w:pPr>
              <w:spacing w:after="20" w:before="20"/>
            </w:pPr>
            <w:r/>
            <w:r>
              <w:rPr>
                <w:b w:val="0"/>
                <w:sz w:val="16"/>
              </w:rPr>
              <w:t>Frost-free season</w:t>
            </w:r>
          </w:p>
        </w:tc>
        <w:tc>
          <w:tcPr>
            <w:tcW w:type="dxa" w:w="3175"/>
          </w:tcPr>
          <w:p>
            <w:pPr>
              <w:spacing w:after="20" w:before="20"/>
            </w:pPr>
            <w:r/>
            <w:r>
              <w:rPr>
                <w:b w:val="0"/>
                <w:sz w:val="16"/>
              </w:rPr>
              <w:t>~283 days</w:t>
            </w:r>
          </w:p>
        </w:tc>
        <w:tc>
          <w:tcPr>
            <w:tcW w:type="dxa" w:w="2608"/>
          </w:tcPr>
          <w:p>
            <w:pPr>
              <w:spacing w:after="20" w:before="20"/>
            </w:pPr>
            <w:r/>
            <w:r>
              <w:rPr>
                <w:b w:val="0"/>
                <w:sz w:val="16"/>
              </w:rPr>
              <w:t>ERA5 1995–2024</w:t>
            </w:r>
          </w:p>
        </w:tc>
      </w:tr>
    </w:tbl>
    <w:p>
      <w:pPr>
        <w:spacing w:after="40"/>
      </w:pPr>
    </w:p>
    <w:p>
      <w:pPr>
        <w:pStyle w:val="Heading2"/>
      </w:pPr>
      <w:r>
        <w:t>Verdict in one paragraph</w:t>
      </w:r>
    </w:p>
    <w:p>
      <w:pPr>
        <w:spacing w:after="80" w:before="0"/>
      </w:pPr>
      <w:r>
        <w:rPr>
          <w:b w:val="0"/>
          <w:i w:val="0"/>
          <w:sz w:val="19"/>
        </w:rPr>
        <w:t>The land is physically buildable: average slopes of 6–13 % across the likely building envelope are ordinary for the Georgia Piedmont, the road corridor is outside the flood hazard area, public water is reported, and fibre broadband reaches parts of the ZIP code. What is NOT established is the premium the price implies. The two things a buyer is paying extra for — water frontage and a private dock — are the two things this desk study could not confirm, and federal policy since May 2018 has moved decisively against new private docks in newly platted subdivisions. Treat the purchase as a wooded upland homesite with lake proximity unless and until the Thurmond Project Office confirms dock eligibility in writing and the recorded plat confirms the rear boundary. Resolve the four gating items in Section M.58 before removing any due-diligence contingency.</w:t>
      </w:r>
    </w:p>
    <w:p>
      <w:r>
        <w:br w:type="page"/>
      </w:r>
    </w:p>
    <w:p>
      <w:pPr>
        <w:pStyle w:val="Heading1"/>
      </w:pPr>
      <w:r>
        <w:t>A. Property Identification &amp; Mapping</w:t>
      </w:r>
    </w:p>
    <w:p>
      <w:pPr>
        <w:pStyle w:val="Heading2"/>
      </w:pPr>
      <w:r>
        <w:t>1. Property identification</w:t>
      </w:r>
    </w:p>
    <w:tbl>
      <w:tblPr>
        <w:tblStyle w:val="TableGrid"/>
        <w:tblW w:type="auto" w:w="0"/>
        <w:jc w:val="center"/>
        <w:tblLook w:firstColumn="1" w:firstRow="1" w:lastColumn="0" w:lastRow="0" w:noHBand="0" w:noVBand="1" w:val="04A0"/>
      </w:tblPr>
      <w:tblGrid>
        <w:gridCol w:w="3288"/>
        <w:gridCol w:w="3288"/>
        <w:gridCol w:w="3288"/>
      </w:tblGrid>
      <w:tr>
        <w:tc>
          <w:tcPr>
            <w:tcW w:type="dxa" w:w="2041"/>
            <w:shd w:val="clear" w:color="auto" w:fill="1F4E79"/>
          </w:tcPr>
          <w:p>
            <w:pPr>
              <w:spacing w:after="20" w:before="20"/>
            </w:pPr>
            <w:r/>
            <w:r>
              <w:rPr>
                <w:b/>
                <w:color w:val="FFFFFF"/>
                <w:sz w:val="16"/>
              </w:rPr>
              <w:t>Attribute</w:t>
            </w:r>
          </w:p>
        </w:tc>
        <w:tc>
          <w:tcPr>
            <w:tcW w:type="dxa" w:w="5669"/>
            <w:shd w:val="clear" w:color="auto" w:fill="1F4E79"/>
          </w:tcPr>
          <w:p>
            <w:pPr>
              <w:spacing w:after="20" w:before="20"/>
            </w:pPr>
            <w:r/>
            <w:r>
              <w:rPr>
                <w:b/>
                <w:color w:val="FFFFFF"/>
                <w:sz w:val="16"/>
              </w:rPr>
              <w:t>Finding</w:t>
            </w:r>
          </w:p>
        </w:tc>
        <w:tc>
          <w:tcPr>
            <w:tcW w:type="dxa" w:w="1587"/>
            <w:shd w:val="clear" w:color="auto" w:fill="1F4E79"/>
          </w:tcPr>
          <w:p>
            <w:pPr>
              <w:spacing w:after="20" w:before="20"/>
            </w:pPr>
            <w:r/>
            <w:r>
              <w:rPr>
                <w:b/>
                <w:color w:val="FFFFFF"/>
                <w:sz w:val="16"/>
              </w:rPr>
              <w:t>Status</w:t>
            </w:r>
          </w:p>
        </w:tc>
      </w:tr>
      <w:tr>
        <w:tc>
          <w:tcPr>
            <w:tcW w:type="dxa" w:w="2041"/>
          </w:tcPr>
          <w:p>
            <w:pPr>
              <w:spacing w:after="20" w:before="20"/>
            </w:pPr>
            <w:r/>
            <w:r>
              <w:rPr>
                <w:b w:val="0"/>
                <w:sz w:val="16"/>
              </w:rPr>
              <w:t>Marketed address</w:t>
            </w:r>
          </w:p>
        </w:tc>
        <w:tc>
          <w:tcPr>
            <w:tcW w:type="dxa" w:w="5669"/>
          </w:tcPr>
          <w:p>
            <w:pPr>
              <w:spacing w:after="20" w:before="20"/>
            </w:pPr>
            <w:r/>
            <w:r>
              <w:rPr>
                <w:b w:val="0"/>
                <w:sz w:val="16"/>
              </w:rPr>
              <w:t>1147 (Lot 130) and 1153 (Lot 131) Watersedge Cove / Waters Edge Cv, Tignall, GA 30668</w:t>
            </w:r>
          </w:p>
        </w:tc>
        <w:tc>
          <w:tcPr>
            <w:tcW w:type="dxa" w:w="1587"/>
          </w:tcPr>
          <w:p>
            <w:pPr>
              <w:spacing w:after="20" w:before="20"/>
            </w:pPr>
            <w:r/>
            <w:r>
              <w:rPr>
                <w:b w:val="0"/>
                <w:sz w:val="16"/>
              </w:rPr>
              <w:t>Documented</w:t>
            </w:r>
          </w:p>
        </w:tc>
      </w:tr>
      <w:tr>
        <w:tc>
          <w:tcPr>
            <w:tcW w:type="dxa" w:w="2041"/>
            <w:shd w:val="clear" w:color="auto" w:fill="F2F5F9"/>
          </w:tcPr>
          <w:p>
            <w:pPr>
              <w:spacing w:after="20" w:before="20"/>
            </w:pPr>
            <w:r/>
            <w:r>
              <w:rPr>
                <w:b w:val="0"/>
                <w:sz w:val="16"/>
              </w:rPr>
              <w:t>Lot numbers</w:t>
            </w:r>
          </w:p>
        </w:tc>
        <w:tc>
          <w:tcPr>
            <w:tcW w:type="dxa" w:w="5669"/>
            <w:shd w:val="clear" w:color="auto" w:fill="F2F5F9"/>
          </w:tcPr>
          <w:p>
            <w:pPr>
              <w:spacing w:after="20" w:before="20"/>
            </w:pPr>
            <w:r/>
            <w:r>
              <w:rPr>
                <w:b w:val="0"/>
                <w:sz w:val="16"/>
              </w:rPr>
              <w:t>Lot 130 (addressed 1147) and Lot 131 (addressed 1153)</w:t>
            </w:r>
          </w:p>
        </w:tc>
        <w:tc>
          <w:tcPr>
            <w:tcW w:type="dxa" w:w="1587"/>
            <w:shd w:val="clear" w:color="auto" w:fill="F2F5F9"/>
          </w:tcPr>
          <w:p>
            <w:pPr>
              <w:spacing w:after="20" w:before="20"/>
            </w:pPr>
            <w:r/>
            <w:r>
              <w:rPr>
                <w:b w:val="0"/>
                <w:sz w:val="16"/>
              </w:rPr>
              <w:t>Documented</w:t>
            </w:r>
          </w:p>
        </w:tc>
      </w:tr>
      <w:tr>
        <w:tc>
          <w:tcPr>
            <w:tcW w:type="dxa" w:w="2041"/>
          </w:tcPr>
          <w:p>
            <w:pPr>
              <w:spacing w:after="20" w:before="20"/>
            </w:pPr>
            <w:r/>
            <w:r>
              <w:rPr>
                <w:b w:val="0"/>
                <w:sz w:val="16"/>
              </w:rPr>
              <w:t>Subdivision / community</w:t>
            </w:r>
          </w:p>
        </w:tc>
        <w:tc>
          <w:tcPr>
            <w:tcW w:type="dxa" w:w="5669"/>
          </w:tcPr>
          <w:p>
            <w:pPr>
              <w:spacing w:after="20" w:before="20"/>
            </w:pPr>
            <w:r/>
            <w:r>
              <w:rPr>
                <w:b w:val="0"/>
                <w:sz w:val="16"/>
              </w:rPr>
              <w:t>Stillwater Coves</w:t>
            </w:r>
          </w:p>
        </w:tc>
        <w:tc>
          <w:tcPr>
            <w:tcW w:type="dxa" w:w="1587"/>
          </w:tcPr>
          <w:p>
            <w:pPr>
              <w:spacing w:after="20" w:before="20"/>
            </w:pPr>
            <w:r/>
            <w:r>
              <w:rPr>
                <w:b w:val="0"/>
                <w:sz w:val="16"/>
              </w:rPr>
              <w:t>Documented</w:t>
            </w:r>
          </w:p>
        </w:tc>
      </w:tr>
      <w:tr>
        <w:tc>
          <w:tcPr>
            <w:tcW w:type="dxa" w:w="2041"/>
            <w:shd w:val="clear" w:color="auto" w:fill="F2F5F9"/>
          </w:tcPr>
          <w:p>
            <w:pPr>
              <w:spacing w:after="20" w:before="20"/>
            </w:pPr>
            <w:r/>
            <w:r>
              <w:rPr>
                <w:b w:val="0"/>
                <w:sz w:val="16"/>
              </w:rPr>
              <w:t>County</w:t>
            </w:r>
          </w:p>
        </w:tc>
        <w:tc>
          <w:tcPr>
            <w:tcW w:type="dxa" w:w="5669"/>
            <w:shd w:val="clear" w:color="auto" w:fill="F2F5F9"/>
          </w:tcPr>
          <w:p>
            <w:pPr>
              <w:spacing w:after="20" w:before="20"/>
            </w:pPr>
            <w:r/>
            <w:r>
              <w:rPr>
                <w:b w:val="0"/>
                <w:sz w:val="16"/>
              </w:rPr>
              <w:t>**Lincoln County, Georgia** (FIPS 13181). Tignall is the postal address only — Tignall town lies in Wilkes County. The HOA's own website and county tax records place Stillwater Coves in Lincoln County.</w:t>
            </w:r>
          </w:p>
        </w:tc>
        <w:tc>
          <w:tcPr>
            <w:tcW w:type="dxa" w:w="1587"/>
            <w:shd w:val="clear" w:color="auto" w:fill="F2F5F9"/>
          </w:tcPr>
          <w:p>
            <w:pPr>
              <w:spacing w:after="20" w:before="20"/>
            </w:pPr>
            <w:r/>
            <w:r>
              <w:rPr>
                <w:b w:val="0"/>
                <w:sz w:val="16"/>
              </w:rPr>
              <w:t>Documented</w:t>
            </w:r>
          </w:p>
        </w:tc>
      </w:tr>
      <w:tr>
        <w:tc>
          <w:tcPr>
            <w:tcW w:type="dxa" w:w="2041"/>
          </w:tcPr>
          <w:p>
            <w:pPr>
              <w:spacing w:after="20" w:before="20"/>
            </w:pPr>
            <w:r/>
            <w:r>
              <w:rPr>
                <w:b w:val="0"/>
                <w:sz w:val="16"/>
              </w:rPr>
              <w:t>City limits</w:t>
            </w:r>
          </w:p>
        </w:tc>
        <w:tc>
          <w:tcPr>
            <w:tcW w:type="dxa" w:w="5669"/>
          </w:tcPr>
          <w:p>
            <w:pPr>
              <w:spacing w:after="20" w:before="20"/>
            </w:pPr>
            <w:r/>
            <w:r>
              <w:rPr>
                <w:b w:val="0"/>
                <w:sz w:val="16"/>
              </w:rPr>
              <w:t>Unincorporated Lincoln County (not City of Lincolnton)</w:t>
            </w:r>
          </w:p>
        </w:tc>
        <w:tc>
          <w:tcPr>
            <w:tcW w:type="dxa" w:w="1587"/>
          </w:tcPr>
          <w:p>
            <w:pPr>
              <w:spacing w:after="20" w:before="20"/>
            </w:pPr>
            <w:r/>
            <w:r>
              <w:rPr>
                <w:b w:val="0"/>
                <w:sz w:val="16"/>
              </w:rPr>
              <w:t>Documented</w:t>
            </w:r>
          </w:p>
        </w:tc>
      </w:tr>
      <w:tr>
        <w:tc>
          <w:tcPr>
            <w:tcW w:type="dxa" w:w="2041"/>
            <w:shd w:val="clear" w:color="auto" w:fill="F2F5F9"/>
          </w:tcPr>
          <w:p>
            <w:pPr>
              <w:spacing w:after="20" w:before="20"/>
            </w:pPr>
            <w:r/>
            <w:r>
              <w:rPr>
                <w:b w:val="0"/>
                <w:sz w:val="16"/>
              </w:rPr>
              <w:t>State</w:t>
            </w:r>
          </w:p>
        </w:tc>
        <w:tc>
          <w:tcPr>
            <w:tcW w:type="dxa" w:w="5669"/>
            <w:shd w:val="clear" w:color="auto" w:fill="F2F5F9"/>
          </w:tcPr>
          <w:p>
            <w:pPr>
              <w:spacing w:after="20" w:before="20"/>
            </w:pPr>
            <w:r/>
            <w:r>
              <w:rPr>
                <w:b w:val="0"/>
                <w:sz w:val="16"/>
              </w:rPr>
              <w:t>Georgia</w:t>
            </w:r>
          </w:p>
        </w:tc>
        <w:tc>
          <w:tcPr>
            <w:tcW w:type="dxa" w:w="1587"/>
            <w:shd w:val="clear" w:color="auto" w:fill="F2F5F9"/>
          </w:tcPr>
          <w:p>
            <w:pPr>
              <w:spacing w:after="20" w:before="20"/>
            </w:pPr>
            <w:r/>
            <w:r>
              <w:rPr>
                <w:b w:val="0"/>
                <w:sz w:val="16"/>
              </w:rPr>
              <w:t>Documented</w:t>
            </w:r>
          </w:p>
        </w:tc>
      </w:tr>
      <w:tr>
        <w:tc>
          <w:tcPr>
            <w:tcW w:type="dxa" w:w="2041"/>
          </w:tcPr>
          <w:p>
            <w:pPr>
              <w:spacing w:after="20" w:before="20"/>
            </w:pPr>
            <w:r/>
            <w:r>
              <w:rPr>
                <w:b w:val="0"/>
                <w:sz w:val="16"/>
              </w:rPr>
              <w:t>Parcel / APN number</w:t>
            </w:r>
          </w:p>
        </w:tc>
        <w:tc>
          <w:tcPr>
            <w:tcW w:type="dxa" w:w="5669"/>
          </w:tcPr>
          <w:p>
            <w:pPr>
              <w:spacing w:after="20" w:before="20"/>
            </w:pPr>
            <w:r/>
            <w:r>
              <w:rPr>
                <w:b w:val="0"/>
                <w:sz w:val="16"/>
              </w:rPr>
              <w:t>**NOT OBTAINED.** Lincoln County parcel GIS is token-restricted.</w:t>
            </w:r>
          </w:p>
        </w:tc>
        <w:tc>
          <w:tcPr>
            <w:tcW w:type="dxa" w:w="1587"/>
          </w:tcPr>
          <w:p>
            <w:pPr>
              <w:spacing w:after="20" w:before="20"/>
            </w:pPr>
            <w:r/>
            <w:r>
              <w:rPr>
                <w:b w:val="0"/>
                <w:sz w:val="16"/>
              </w:rPr>
              <w:t>Verify</w:t>
            </w:r>
          </w:p>
        </w:tc>
      </w:tr>
      <w:tr>
        <w:tc>
          <w:tcPr>
            <w:tcW w:type="dxa" w:w="2041"/>
            <w:shd w:val="clear" w:color="auto" w:fill="F2F5F9"/>
          </w:tcPr>
          <w:p>
            <w:pPr>
              <w:spacing w:after="20" w:before="20"/>
            </w:pPr>
            <w:r/>
            <w:r>
              <w:rPr>
                <w:b w:val="0"/>
                <w:sz w:val="16"/>
              </w:rPr>
              <w:t>Lot acreage</w:t>
            </w:r>
          </w:p>
        </w:tc>
        <w:tc>
          <w:tcPr>
            <w:tcW w:type="dxa" w:w="5669"/>
            <w:shd w:val="clear" w:color="auto" w:fill="F2F5F9"/>
          </w:tcPr>
          <w:p>
            <w:pPr>
              <w:spacing w:after="20" w:before="20"/>
            </w:pPr>
            <w:r/>
            <w:r>
              <w:rPr>
                <w:b w:val="0"/>
                <w:sz w:val="16"/>
              </w:rPr>
              <w:t>1.07 ac each; 2.14 ac combined (per listing; 1.07 ac = 46,609 sq ft)</w:t>
            </w:r>
          </w:p>
        </w:tc>
        <w:tc>
          <w:tcPr>
            <w:tcW w:type="dxa" w:w="1587"/>
            <w:shd w:val="clear" w:color="auto" w:fill="F2F5F9"/>
          </w:tcPr>
          <w:p>
            <w:pPr>
              <w:spacing w:after="20" w:before="20"/>
            </w:pPr>
            <w:r/>
            <w:r>
              <w:rPr>
                <w:b w:val="0"/>
                <w:sz w:val="16"/>
              </w:rPr>
              <w:t>Listing — verify on plat</w:t>
            </w:r>
          </w:p>
        </w:tc>
      </w:tr>
      <w:tr>
        <w:tc>
          <w:tcPr>
            <w:tcW w:type="dxa" w:w="2041"/>
          </w:tcPr>
          <w:p>
            <w:pPr>
              <w:spacing w:after="20" w:before="20"/>
            </w:pPr>
            <w:r/>
            <w:r>
              <w:rPr>
                <w:b w:val="0"/>
                <w:sz w:val="16"/>
              </w:rPr>
              <w:t>Lot dimensions</w:t>
            </w:r>
          </w:p>
        </w:tc>
        <w:tc>
          <w:tcPr>
            <w:tcW w:type="dxa" w:w="5669"/>
          </w:tcPr>
          <w:p>
            <w:pPr>
              <w:spacing w:after="20" w:before="20"/>
            </w:pPr>
            <w:r/>
            <w:r>
              <w:rPr>
                <w:b w:val="0"/>
                <w:sz w:val="16"/>
              </w:rPr>
              <w:t>**NOT PUBLISHED.** Modelled herein as 150 ft x 310 ft.</w:t>
            </w:r>
          </w:p>
        </w:tc>
        <w:tc>
          <w:tcPr>
            <w:tcW w:type="dxa" w:w="1587"/>
          </w:tcPr>
          <w:p>
            <w:pPr>
              <w:spacing w:after="20" w:before="20"/>
            </w:pPr>
            <w:r/>
            <w:r>
              <w:rPr>
                <w:b w:val="0"/>
                <w:sz w:val="16"/>
              </w:rPr>
              <w:t>Verify</w:t>
            </w:r>
          </w:p>
        </w:tc>
      </w:tr>
      <w:tr>
        <w:tc>
          <w:tcPr>
            <w:tcW w:type="dxa" w:w="2041"/>
            <w:shd w:val="clear" w:color="auto" w:fill="F2F5F9"/>
          </w:tcPr>
          <w:p>
            <w:pPr>
              <w:spacing w:after="20" w:before="20"/>
            </w:pPr>
            <w:r/>
            <w:r>
              <w:rPr>
                <w:b w:val="0"/>
                <w:sz w:val="16"/>
              </w:rPr>
              <w:t>Legal description</w:t>
            </w:r>
          </w:p>
        </w:tc>
        <w:tc>
          <w:tcPr>
            <w:tcW w:type="dxa" w:w="5669"/>
            <w:shd w:val="clear" w:color="auto" w:fill="F2F5F9"/>
          </w:tcPr>
          <w:p>
            <w:pPr>
              <w:spacing w:after="20" w:before="20"/>
            </w:pPr>
            <w:r/>
            <w:r>
              <w:rPr>
                <w:b w:val="0"/>
                <w:sz w:val="16"/>
              </w:rPr>
              <w:t>**NOT OBTAINED** — in the recorded plat and deed.</w:t>
            </w:r>
          </w:p>
        </w:tc>
        <w:tc>
          <w:tcPr>
            <w:tcW w:type="dxa" w:w="1587"/>
            <w:shd w:val="clear" w:color="auto" w:fill="F2F5F9"/>
          </w:tcPr>
          <w:p>
            <w:pPr>
              <w:spacing w:after="20" w:before="20"/>
            </w:pPr>
            <w:r/>
            <w:r>
              <w:rPr>
                <w:b w:val="0"/>
                <w:sz w:val="16"/>
              </w:rPr>
              <w:t>Verify</w:t>
            </w:r>
          </w:p>
        </w:tc>
      </w:tr>
      <w:tr>
        <w:tc>
          <w:tcPr>
            <w:tcW w:type="dxa" w:w="2041"/>
          </w:tcPr>
          <w:p>
            <w:pPr>
              <w:spacing w:after="20" w:before="20"/>
            </w:pPr>
            <w:r/>
            <w:r>
              <w:rPr>
                <w:b w:val="0"/>
                <w:sz w:val="16"/>
              </w:rPr>
              <w:t>Zillow ZPID</w:t>
            </w:r>
          </w:p>
        </w:tc>
        <w:tc>
          <w:tcPr>
            <w:tcW w:type="dxa" w:w="5669"/>
          </w:tcPr>
          <w:p>
            <w:pPr>
              <w:spacing w:after="20" w:before="20"/>
            </w:pPr>
            <w:r/>
            <w:r>
              <w:rPr>
                <w:b w:val="0"/>
                <w:sz w:val="16"/>
              </w:rPr>
              <w:t>465607553</w:t>
            </w:r>
          </w:p>
        </w:tc>
        <w:tc>
          <w:tcPr>
            <w:tcW w:type="dxa" w:w="1587"/>
          </w:tcPr>
          <w:p>
            <w:pPr>
              <w:spacing w:after="20" w:before="20"/>
            </w:pPr>
            <w:r/>
            <w:r>
              <w:rPr>
                <w:b w:val="0"/>
                <w:sz w:val="16"/>
              </w:rPr>
              <w:t>Documented</w:t>
            </w:r>
          </w:p>
        </w:tc>
      </w:tr>
    </w:tbl>
    <w:p>
      <w:pPr>
        <w:spacing w:after="40"/>
      </w:pPr>
    </w:p>
    <w:p>
      <w:pPr>
        <w:spacing w:before="20" w:after="80"/>
      </w:pPr>
      <w:r>
        <w:rPr>
          <w:b/>
          <w:color w:val="C01F2B"/>
          <w:sz w:val="15"/>
        </w:rPr>
        <w:t>[REQUIRES PROFESSIONAL / OFFICIAL VERIFICATION]</w:t>
      </w:r>
      <w:r>
        <w:rPr>
          <w:i/>
          <w:color w:val="555555"/>
          <w:sz w:val="15"/>
        </w:rPr>
        <w:t xml:space="preserve">  Parcel ID, dimensions and legal description must come from the recorded plat and deed.</w:t>
      </w: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COUNTY-OF-JURISDICTION WARNING</w:t>
            </w:r>
          </w:p>
          <w:p>
            <w:pPr>
              <w:spacing w:after="40"/>
            </w:pPr>
            <w:r>
              <w:rPr>
                <w:sz w:val="17"/>
              </w:rPr>
              <w:t>The postal address says Tignall, which most people associate with Wilkes County. The parcel is in LINCOLN County. This determines which planning office, building department, tax assessor, environmental health office and school district apply. Confirm on the deed before filing any application — applying to the wrong county wastes weeks.</w:t>
            </w:r>
          </w:p>
        </w:tc>
      </w:tr>
    </w:tbl>
    <w:p>
      <w:pPr>
        <w:spacing w:after="60"/>
      </w:pPr>
    </w:p>
    <w:p>
      <w:pPr>
        <w:pStyle w:val="Heading2"/>
      </w:pPr>
      <w:r>
        <w:t>2. Zillow / listing information</w:t>
      </w:r>
    </w:p>
    <w:p>
      <w:pPr>
        <w:spacing w:after="80" w:before="0"/>
      </w:pPr>
      <w:r>
        <w:rPr>
          <w:b w:val="0"/>
          <w:i w:val="0"/>
          <w:sz w:val="18"/>
        </w:rPr>
        <w:t>Zillow actively blocks automated retrieval. Three attempts on the supplied URL returned HTTP 403 Forbidden, as did Redfin; realtor.com returned HTTP 429. No listing photographs, hero image or price history could be captured, and none are reproduced here (they are also third-party copyright material).</w:t>
      </w:r>
    </w:p>
    <w:p>
      <w:pPr>
        <w:spacing w:before="20" w:after="80"/>
      </w:pPr>
      <w:r>
        <w:rPr>
          <w:b/>
          <w:color w:val="C01F2B"/>
          <w:sz w:val="15"/>
        </w:rPr>
        <w:t>[REQUIRES PROFESSIONAL / OFFICIAL VERIFICATION]</w:t>
      </w:r>
      <w:r>
        <w:rPr>
          <w:i/>
          <w:color w:val="555555"/>
          <w:sz w:val="15"/>
        </w:rPr>
        <w:t xml:space="preserve">  Price, status, photos and listing history must be read directly on Zillow or from the broker.</w:t>
      </w:r>
    </w:p>
    <w:p>
      <w:pPr>
        <w:spacing w:after="80" w:before="0"/>
      </w:pPr>
      <w:r>
        <w:rPr>
          <w:b/>
          <w:i w:val="0"/>
          <w:sz w:val="18"/>
        </w:rPr>
        <w:t>Pricing signals recovered from search-engine caches are mutually inconsistent: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color="auto" w:fill="1F4E79"/>
          </w:tcPr>
          <w:p>
            <w:pPr>
              <w:spacing w:after="20" w:before="20"/>
            </w:pPr>
            <w:r/>
            <w:r>
              <w:rPr>
                <w:b/>
                <w:color w:val="FFFFFF"/>
                <w:sz w:val="16"/>
              </w:rPr>
              <w:t>Source context</w:t>
            </w:r>
          </w:p>
        </w:tc>
        <w:tc>
          <w:tcPr>
            <w:tcW w:type="dxa" w:w="1928"/>
            <w:shd w:val="clear" w:color="auto" w:fill="1F4E79"/>
          </w:tcPr>
          <w:p>
            <w:pPr>
              <w:spacing w:after="20" w:before="20"/>
            </w:pPr>
            <w:r/>
            <w:r>
              <w:rPr>
                <w:b/>
                <w:color w:val="FFFFFF"/>
                <w:sz w:val="16"/>
              </w:rPr>
              <w:t>Price shown</w:t>
            </w:r>
          </w:p>
        </w:tc>
        <w:tc>
          <w:tcPr>
            <w:tcW w:type="dxa" w:w="2381"/>
            <w:shd w:val="clear" w:color="auto" w:fill="1F4E79"/>
          </w:tcPr>
          <w:p>
            <w:pPr>
              <w:spacing w:after="20" w:before="20"/>
            </w:pPr>
            <w:r/>
            <w:r>
              <w:rPr>
                <w:b/>
                <w:color w:val="FFFFFF"/>
                <w:sz w:val="16"/>
              </w:rPr>
              <w:t>Brokerage named</w:t>
            </w:r>
          </w:p>
        </w:tc>
        <w:tc>
          <w:tcPr>
            <w:tcW w:type="dxa" w:w="1361"/>
            <w:shd w:val="clear" w:color="auto" w:fill="1F4E79"/>
          </w:tcPr>
          <w:p>
            <w:pPr>
              <w:spacing w:after="20" w:before="20"/>
            </w:pPr>
            <w:r/>
            <w:r>
              <w:rPr>
                <w:b/>
                <w:color w:val="FFFFFF"/>
                <w:sz w:val="16"/>
              </w:rPr>
              <w:t>Area</w:t>
            </w:r>
          </w:p>
        </w:tc>
      </w:tr>
      <w:tr>
        <w:tc>
          <w:tcPr>
            <w:tcW w:type="dxa" w:w="3628"/>
          </w:tcPr>
          <w:p>
            <w:pPr>
              <w:spacing w:after="20" w:before="20"/>
            </w:pPr>
            <w:r/>
            <w:r>
              <w:rPr>
                <w:b w:val="0"/>
                <w:sz w:val="16"/>
              </w:rPr>
              <w:t>realtor.com, Tignall homes under $100K</w:t>
            </w:r>
          </w:p>
        </w:tc>
        <w:tc>
          <w:tcPr>
            <w:tcW w:type="dxa" w:w="1928"/>
          </w:tcPr>
          <w:p>
            <w:pPr>
              <w:spacing w:after="20" w:before="20"/>
            </w:pPr>
            <w:r/>
            <w:r>
              <w:rPr>
                <w:b w:val="0"/>
                <w:sz w:val="16"/>
              </w:rPr>
              <w:t>$55,000</w:t>
            </w:r>
          </w:p>
        </w:tc>
        <w:tc>
          <w:tcPr>
            <w:tcW w:type="dxa" w:w="2381"/>
          </w:tcPr>
          <w:p>
            <w:pPr>
              <w:spacing w:after="20" w:before="20"/>
            </w:pPr>
            <w:r/>
            <w:r>
              <w:rPr>
                <w:b w:val="0"/>
                <w:sz w:val="16"/>
              </w:rPr>
              <w:t>Meybohm Real Estate – Evans</w:t>
            </w:r>
          </w:p>
        </w:tc>
        <w:tc>
          <w:tcPr>
            <w:tcW w:type="dxa" w:w="1361"/>
          </w:tcPr>
          <w:p>
            <w:pPr>
              <w:spacing w:after="20" w:before="20"/>
            </w:pPr>
            <w:r/>
            <w:r>
              <w:rPr>
                <w:b w:val="0"/>
                <w:sz w:val="16"/>
              </w:rPr>
              <w:t>2.14 ac</w:t>
            </w:r>
          </w:p>
        </w:tc>
      </w:tr>
      <w:tr>
        <w:tc>
          <w:tcPr>
            <w:tcW w:type="dxa" w:w="3628"/>
            <w:shd w:val="clear" w:color="auto" w:fill="F2F5F9"/>
          </w:tcPr>
          <w:p>
            <w:pPr>
              <w:spacing w:after="20" w:before="20"/>
            </w:pPr>
            <w:r/>
            <w:r>
              <w:rPr>
                <w:b w:val="0"/>
                <w:sz w:val="16"/>
              </w:rPr>
              <w:t>realtor.com, Tignall land search</w:t>
            </w:r>
          </w:p>
        </w:tc>
        <w:tc>
          <w:tcPr>
            <w:tcW w:type="dxa" w:w="1928"/>
            <w:shd w:val="clear" w:color="auto" w:fill="F2F5F9"/>
          </w:tcPr>
          <w:p>
            <w:pPr>
              <w:spacing w:after="20" w:before="20"/>
            </w:pPr>
            <w:r/>
            <w:r>
              <w:rPr>
                <w:b w:val="0"/>
                <w:sz w:val="16"/>
              </w:rPr>
              <w:t>$169,900</w:t>
            </w:r>
          </w:p>
        </w:tc>
        <w:tc>
          <w:tcPr>
            <w:tcW w:type="dxa" w:w="2381"/>
            <w:shd w:val="clear" w:color="auto" w:fill="F2F5F9"/>
          </w:tcPr>
          <w:p>
            <w:pPr>
              <w:spacing w:after="20" w:before="20"/>
            </w:pPr>
            <w:r/>
            <w:r>
              <w:rPr>
                <w:b w:val="0"/>
                <w:sz w:val="16"/>
              </w:rPr>
              <w:t>—</w:t>
            </w:r>
          </w:p>
        </w:tc>
        <w:tc>
          <w:tcPr>
            <w:tcW w:type="dxa" w:w="1361"/>
            <w:shd w:val="clear" w:color="auto" w:fill="F2F5F9"/>
          </w:tcPr>
          <w:p>
            <w:pPr>
              <w:spacing w:after="20" w:before="20"/>
            </w:pPr>
            <w:r/>
            <w:r>
              <w:rPr>
                <w:b w:val="0"/>
                <w:sz w:val="16"/>
              </w:rPr>
              <w:t>2.14 ac</w:t>
            </w:r>
          </w:p>
        </w:tc>
      </w:tr>
      <w:tr>
        <w:tc>
          <w:tcPr>
            <w:tcW w:type="dxa" w:w="3628"/>
          </w:tcPr>
          <w:p>
            <w:pPr>
              <w:spacing w:after="20" w:before="20"/>
            </w:pPr>
            <w:r/>
            <w:r>
              <w:rPr>
                <w:b w:val="0"/>
                <w:sz w:val="16"/>
              </w:rPr>
              <w:t>realtor.com, Tignall homes under $200K</w:t>
            </w:r>
          </w:p>
        </w:tc>
        <w:tc>
          <w:tcPr>
            <w:tcW w:type="dxa" w:w="1928"/>
          </w:tcPr>
          <w:p>
            <w:pPr>
              <w:spacing w:after="20" w:before="20"/>
            </w:pPr>
            <w:r/>
            <w:r>
              <w:rPr>
                <w:b w:val="0"/>
                <w:sz w:val="16"/>
              </w:rPr>
              <w:t>listed</w:t>
            </w:r>
          </w:p>
        </w:tc>
        <w:tc>
          <w:tcPr>
            <w:tcW w:type="dxa" w:w="2381"/>
          </w:tcPr>
          <w:p>
            <w:pPr>
              <w:spacing w:after="20" w:before="20"/>
            </w:pPr>
            <w:r/>
            <w:r>
              <w:rPr>
                <w:b w:val="0"/>
                <w:sz w:val="16"/>
              </w:rPr>
              <w:t>J Brand Realty, LLC</w:t>
            </w:r>
          </w:p>
        </w:tc>
        <w:tc>
          <w:tcPr>
            <w:tcW w:type="dxa" w:w="1361"/>
          </w:tcPr>
          <w:p>
            <w:pPr>
              <w:spacing w:after="20" w:before="20"/>
            </w:pPr>
            <w:r/>
            <w:r>
              <w:rPr>
                <w:b w:val="0"/>
                <w:sz w:val="16"/>
              </w:rPr>
              <w:t>2.14 ac</w:t>
            </w:r>
          </w:p>
        </w:tc>
      </w:tr>
      <w:tr>
        <w:tc>
          <w:tcPr>
            <w:tcW w:type="dxa" w:w="3628"/>
            <w:shd w:val="clear" w:color="auto" w:fill="F2F5F9"/>
          </w:tcPr>
          <w:p>
            <w:pPr>
              <w:spacing w:after="20" w:before="20"/>
            </w:pPr>
            <w:r/>
            <w:r>
              <w:rPr>
                <w:b w:val="0"/>
                <w:sz w:val="16"/>
              </w:rPr>
              <w:t>realtor.com, 1153 Waters Edge Cv Lot 131 alone</w:t>
            </w:r>
          </w:p>
        </w:tc>
        <w:tc>
          <w:tcPr>
            <w:tcW w:type="dxa" w:w="1928"/>
            <w:shd w:val="clear" w:color="auto" w:fill="F2F5F9"/>
          </w:tcPr>
          <w:p>
            <w:pPr>
              <w:spacing w:after="20" w:before="20"/>
            </w:pPr>
            <w:r/>
            <w:r>
              <w:rPr>
                <w:b w:val="0"/>
                <w:sz w:val="16"/>
              </w:rPr>
              <w:t>$144,000 (Off Market)</w:t>
            </w:r>
          </w:p>
        </w:tc>
        <w:tc>
          <w:tcPr>
            <w:tcW w:type="dxa" w:w="2381"/>
            <w:shd w:val="clear" w:color="auto" w:fill="F2F5F9"/>
          </w:tcPr>
          <w:p>
            <w:pPr>
              <w:spacing w:after="20" w:before="20"/>
            </w:pPr>
            <w:r/>
            <w:r>
              <w:rPr>
                <w:b w:val="0"/>
                <w:sz w:val="16"/>
              </w:rPr>
              <w:t>—</w:t>
            </w:r>
          </w:p>
        </w:tc>
        <w:tc>
          <w:tcPr>
            <w:tcW w:type="dxa" w:w="1361"/>
            <w:shd w:val="clear" w:color="auto" w:fill="F2F5F9"/>
          </w:tcPr>
          <w:p>
            <w:pPr>
              <w:spacing w:after="20" w:before="20"/>
            </w:pPr>
            <w:r/>
            <w:r>
              <w:rPr>
                <w:b w:val="0"/>
                <w:sz w:val="16"/>
              </w:rPr>
              <w:t>1.07 ac</w:t>
            </w:r>
          </w:p>
        </w:tc>
      </w:tr>
      <w:tr>
        <w:tc>
          <w:tcPr>
            <w:tcW w:type="dxa" w:w="3628"/>
          </w:tcPr>
          <w:p>
            <w:pPr>
              <w:spacing w:after="20" w:before="20"/>
            </w:pPr>
            <w:r/>
            <w:r>
              <w:rPr>
                <w:b w:val="0"/>
                <w:sz w:val="16"/>
              </w:rPr>
              <w:t>Agent profile page, 1147 Watersedge Cv</w:t>
            </w:r>
          </w:p>
        </w:tc>
        <w:tc>
          <w:tcPr>
            <w:tcW w:type="dxa" w:w="1928"/>
          </w:tcPr>
          <w:p>
            <w:pPr>
              <w:spacing w:after="20" w:before="20"/>
            </w:pPr>
            <w:r/>
            <w:r>
              <w:rPr>
                <w:b w:val="0"/>
                <w:sz w:val="16"/>
              </w:rPr>
              <w:t>$49,900</w:t>
            </w:r>
          </w:p>
        </w:tc>
        <w:tc>
          <w:tcPr>
            <w:tcW w:type="dxa" w:w="2381"/>
          </w:tcPr>
          <w:p>
            <w:pPr>
              <w:spacing w:after="20" w:before="20"/>
            </w:pPr>
            <w:r/>
            <w:r>
              <w:rPr>
                <w:b w:val="0"/>
                <w:sz w:val="16"/>
              </w:rPr>
              <w:t>—</w:t>
            </w:r>
          </w:p>
        </w:tc>
        <w:tc>
          <w:tcPr>
            <w:tcW w:type="dxa" w:w="1361"/>
          </w:tcPr>
          <w:p>
            <w:pPr>
              <w:spacing w:after="20" w:before="20"/>
            </w:pPr>
            <w:r/>
            <w:r>
              <w:rPr>
                <w:b w:val="0"/>
                <w:sz w:val="16"/>
              </w:rPr>
              <w:t>—</w:t>
            </w:r>
          </w:p>
        </w:tc>
      </w:tr>
      <w:tr>
        <w:tc>
          <w:tcPr>
            <w:tcW w:type="dxa" w:w="3628"/>
            <w:shd w:val="clear" w:color="auto" w:fill="F2F5F9"/>
          </w:tcPr>
          <w:p>
            <w:pPr>
              <w:spacing w:after="20" w:before="20"/>
            </w:pPr>
            <w:r/>
            <w:r>
              <w:rPr>
                <w:b w:val="0"/>
                <w:sz w:val="16"/>
              </w:rPr>
              <w:t>Comparable: 1135 Watersedge Cv (Lot 128)</w:t>
            </w:r>
          </w:p>
        </w:tc>
        <w:tc>
          <w:tcPr>
            <w:tcW w:type="dxa" w:w="1928"/>
            <w:shd w:val="clear" w:color="auto" w:fill="F2F5F9"/>
          </w:tcPr>
          <w:p>
            <w:pPr>
              <w:spacing w:after="20" w:before="20"/>
            </w:pPr>
            <w:r/>
            <w:r>
              <w:rPr>
                <w:b w:val="0"/>
                <w:sz w:val="16"/>
              </w:rPr>
              <w:t>~$145,250</w:t>
            </w:r>
          </w:p>
        </w:tc>
        <w:tc>
          <w:tcPr>
            <w:tcW w:type="dxa" w:w="2381"/>
            <w:shd w:val="clear" w:color="auto" w:fill="F2F5F9"/>
          </w:tcPr>
          <w:p>
            <w:pPr>
              <w:spacing w:after="20" w:before="20"/>
            </w:pPr>
            <w:r/>
            <w:r>
              <w:rPr>
                <w:b w:val="0"/>
                <w:sz w:val="16"/>
              </w:rPr>
              <w:t>—</w:t>
            </w:r>
          </w:p>
        </w:tc>
        <w:tc>
          <w:tcPr>
            <w:tcW w:type="dxa" w:w="1361"/>
            <w:shd w:val="clear" w:color="auto" w:fill="F2F5F9"/>
          </w:tcPr>
          <w:p>
            <w:pPr>
              <w:spacing w:after="20" w:before="20"/>
            </w:pPr>
            <w:r/>
            <w:r>
              <w:rPr>
                <w:b w:val="0"/>
                <w:sz w:val="16"/>
              </w:rPr>
              <w:t>1.07 ac</w:t>
            </w:r>
          </w:p>
        </w:tc>
      </w:tr>
    </w:tbl>
    <w:p>
      <w:pPr>
        <w:spacing w:after="40"/>
      </w:pPr>
    </w:p>
    <w:p>
      <w:pPr>
        <w:spacing w:after="80" w:before="0"/>
      </w:pPr>
      <w:r>
        <w:rPr>
          <w:b w:val="0"/>
          <w:i w:val="0"/>
          <w:sz w:val="18"/>
        </w:rPr>
        <w:t>Three brokerages and a roughly 3x price spread across cached pages indicate repeated list / delist / relist cycles rather than a single current price. The $55,000 and $169,900 figures both carry a 2.14-acre area, so both plausibly refer to this combined listing at different times.</w:t>
      </w:r>
    </w:p>
    <w:p>
      <w:pPr>
        <w:spacing w:after="80" w:before="0"/>
      </w:pPr>
      <w:r>
        <w:rPr>
          <w:b/>
          <w:i w:val="0"/>
          <w:sz w:val="18"/>
        </w:rPr>
        <w:t>Listing claims to be tested (verbatim claims paraphrased):</w:t>
      </w:r>
    </w:p>
    <w:p>
      <w:pPr>
        <w:pStyle w:val="ListBullet"/>
        <w:spacing w:after="30"/>
        <w:ind w:left="369"/>
      </w:pPr>
      <w:r>
        <w:rPr>
          <w:b/>
          <w:sz w:val="19"/>
        </w:rPr>
        <w:t xml:space="preserve">Two adjacent 1.07-acre lots, both dockable, direct waterfront access — </w:t>
      </w:r>
      <w:r>
        <w:rPr>
          <w:sz w:val="19"/>
        </w:rPr>
        <w:t>tested in Sections B, F.24 and F.26. Not supported by terrain data as fee-owned frontage.</w:t>
      </w:r>
    </w:p>
    <w:p>
      <w:pPr>
        <w:pStyle w:val="ListBullet"/>
        <w:spacing w:after="30"/>
        <w:ind w:left="369"/>
      </w:pPr>
      <w:r>
        <w:rPr>
          <w:b/>
          <w:sz w:val="19"/>
        </w:rPr>
        <w:t xml:space="preserve">Gently sloping, mix of open space and mature hardwoods — </w:t>
      </w:r>
      <w:r>
        <w:rPr>
          <w:sz w:val="19"/>
        </w:rPr>
        <w:t>broadly supported: 6–13 % average across the near-road third (Section B.5–B.7).</w:t>
      </w:r>
    </w:p>
    <w:p>
      <w:pPr>
        <w:pStyle w:val="ListBullet"/>
        <w:spacing w:after="30"/>
        <w:ind w:left="369"/>
      </w:pPr>
      <w:r>
        <w:rPr>
          <w:b/>
          <w:sz w:val="19"/>
        </w:rPr>
        <w:t xml:space="preserve">Relatively flat with gradual slope to the lake once you get to the back corps line — </w:t>
      </w:r>
      <w:r>
        <w:rPr>
          <w:sz w:val="19"/>
        </w:rPr>
        <w:t>this phrasing in the marketing material itself concedes a Corps boundary at the rear, consistent with finding #1.</w:t>
      </w:r>
    </w:p>
    <w:p>
      <w:pPr>
        <w:pStyle w:val="ListBullet"/>
        <w:spacing w:after="30"/>
        <w:ind w:left="369"/>
      </w:pPr>
      <w:r>
        <w:rPr>
          <w:b/>
          <w:sz w:val="19"/>
        </w:rPr>
        <w:t xml:space="preserve">Ideal for boating, fishing, swimming — </w:t>
      </w:r>
      <w:r>
        <w:rPr>
          <w:sz w:val="19"/>
        </w:rPr>
        <w:t>lake recreation is genuinely excellent (Section F.28–F.29); private access is the open question.</w:t>
      </w:r>
    </w:p>
    <w:p>
      <w:pPr>
        <w:pStyle w:val="Heading2"/>
      </w:pPr>
      <w:r>
        <w:t>3. Official plat &amp; boundary</w:t>
      </w:r>
    </w:p>
    <w:p>
      <w:pPr>
        <w:spacing w:after="80" w:before="0"/>
      </w:pPr>
      <w:r>
        <w:rPr>
          <w:b w:val="0"/>
          <w:i w:val="0"/>
          <w:sz w:val="18"/>
        </w:rPr>
        <w:t>No recorded plat was obtained. The following must be pulled and compared against each other:</w:t>
      </w:r>
    </w:p>
    <w:p>
      <w:pPr>
        <w:pStyle w:val="ListBullet"/>
        <w:spacing w:after="30"/>
        <w:ind w:left="369"/>
      </w:pPr>
      <w:r>
        <w:rPr>
          <w:b/>
          <w:sz w:val="19"/>
        </w:rPr>
        <w:t xml:space="preserve">Recorded subdivision plat for Stillwater Coves — </w:t>
      </w:r>
      <w:r>
        <w:rPr>
          <w:sz w:val="19"/>
        </w:rPr>
        <w:t>Lincoln County Clerk of Superior Court. Must show lot boundaries, adjacent lots, road right-of-way, the USACE boundary, easements and any platted building setback lines.</w:t>
      </w:r>
    </w:p>
    <w:p>
      <w:pPr>
        <w:pStyle w:val="ListBullet"/>
        <w:spacing w:after="30"/>
        <w:ind w:left="369"/>
      </w:pPr>
      <w:r>
        <w:rPr>
          <w:b/>
          <w:sz w:val="19"/>
        </w:rPr>
        <w:t xml:space="preserve">Plat recording date — </w:t>
      </w:r>
      <w:r>
        <w:rPr>
          <w:sz w:val="19"/>
        </w:rPr>
        <w:t>DECISIVE for dock rights. Subdivisions platted after 1 May 2018 are limited to community docks under the Thurmond Shoreline Management Plan. Establish this date before anything else.</w:t>
      </w:r>
    </w:p>
    <w:p>
      <w:pPr>
        <w:pStyle w:val="ListBullet"/>
        <w:spacing w:after="30"/>
        <w:ind w:left="369"/>
      </w:pPr>
      <w:r>
        <w:rPr>
          <w:b/>
          <w:sz w:val="19"/>
        </w:rPr>
        <w:t xml:space="preserve">Deed and title commitment — </w:t>
      </w:r>
      <w:r>
        <w:rPr>
          <w:sz w:val="19"/>
        </w:rPr>
        <w:t>legal description, easements, reservations, mineral rights, and any dock or shoreline covenants.</w:t>
      </w:r>
    </w:p>
    <w:p>
      <w:pPr>
        <w:pStyle w:val="ListBullet"/>
        <w:spacing w:after="30"/>
        <w:ind w:left="369"/>
      </w:pPr>
      <w:r>
        <w:rPr>
          <w:b/>
          <w:sz w:val="19"/>
        </w:rPr>
        <w:t xml:space="preserve">USACE boundary survey — </w:t>
      </w:r>
      <w:r>
        <w:rPr>
          <w:sz w:val="19"/>
        </w:rPr>
        <w:t>the federal fee line adjacent to the rear boundary; obtain from the Thurmond Project Office.</w:t>
      </w:r>
    </w:p>
    <w:p>
      <w:pPr>
        <w:spacing w:before="20" w:after="80"/>
      </w:pPr>
      <w:r>
        <w:rPr>
          <w:b/>
          <w:color w:val="C01F2B"/>
          <w:sz w:val="15"/>
        </w:rPr>
        <w:t>[REQUIRES PROFESSIONAL / OFFICIAL VERIFICATION]</w:t>
      </w:r>
      <w:r>
        <w:rPr>
          <w:i/>
          <w:color w:val="555555"/>
          <w:sz w:val="15"/>
        </w:rPr>
        <w:t xml:space="preserve">  Plat, boundary and easement verification requires county records and a licensed surveyor.</w:t>
      </w:r>
    </w:p>
    <w:p>
      <w:pPr>
        <w:pStyle w:val="Heading2"/>
      </w:pPr>
      <w:r>
        <w:t>4. GIS / Esri map</w:t>
      </w:r>
    </w:p>
    <w:p>
      <w:pPr>
        <w:spacing w:after="80" w:before="0"/>
      </w:pPr>
      <w:r>
        <w:rPr>
          <w:b w:val="0"/>
          <w:i w:val="0"/>
          <w:sz w:val="18"/>
        </w:rPr>
        <w:t>Lincoln County publishes three ArcGIS feature services (parcels with WinGAP attributes, site address points, and road centrelines) through a CivicPlus-hosted organisation. All three returned error code 499 "Token Required" and are therefore not public. No county parcel polygon, parcel ID or assessed value could be retrieved programmatically.</w:t>
      </w:r>
    </w:p>
    <w:p>
      <w:pPr>
        <w:spacing w:after="80" w:before="0"/>
      </w:pPr>
      <w:r>
        <w:rPr>
          <w:b w:val="0"/>
          <w:i w:val="0"/>
          <w:sz w:val="18"/>
        </w:rPr>
        <w:t>Geographic reference actually used in this report, derived from OpenStreetMap road centreline data for Watersedge Cove (OSM way 409863360) and confirmed against the lidar surface: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175"/>
            <w:shd w:val="clear" w:color="auto" w:fill="1F4E79"/>
          </w:tcPr>
          <w:p>
            <w:pPr>
              <w:spacing w:after="20" w:before="20"/>
            </w:pPr>
            <w:r/>
            <w:r>
              <w:rPr>
                <w:b/>
                <w:color w:val="FFFFFF"/>
                <w:sz w:val="16"/>
              </w:rPr>
              <w:t>Feature</w:t>
            </w:r>
          </w:p>
        </w:tc>
        <w:tc>
          <w:tcPr>
            <w:tcW w:type="dxa" w:w="1871"/>
            <w:shd w:val="clear" w:color="auto" w:fill="1F4E79"/>
          </w:tcPr>
          <w:p>
            <w:pPr>
              <w:spacing w:after="20" w:before="20"/>
            </w:pPr>
            <w:r/>
            <w:r>
              <w:rPr>
                <w:b/>
                <w:color w:val="FFFFFF"/>
                <w:sz w:val="16"/>
              </w:rPr>
              <w:t>Latitude (N)</w:t>
            </w:r>
          </w:p>
        </w:tc>
        <w:tc>
          <w:tcPr>
            <w:tcW w:type="dxa" w:w="1871"/>
            <w:shd w:val="clear" w:color="auto" w:fill="1F4E79"/>
          </w:tcPr>
          <w:p>
            <w:pPr>
              <w:spacing w:after="20" w:before="20"/>
            </w:pPr>
            <w:r/>
            <w:r>
              <w:rPr>
                <w:b/>
                <w:color w:val="FFFFFF"/>
                <w:sz w:val="16"/>
              </w:rPr>
              <w:t>Longitude (W)</w:t>
            </w:r>
          </w:p>
        </w:tc>
        <w:tc>
          <w:tcPr>
            <w:tcW w:type="dxa" w:w="2438"/>
            <w:shd w:val="clear" w:color="auto" w:fill="1F4E79"/>
          </w:tcPr>
          <w:p>
            <w:pPr>
              <w:spacing w:after="20" w:before="20"/>
            </w:pPr>
            <w:r/>
            <w:r>
              <w:rPr>
                <w:b/>
                <w:color w:val="FFFFFF"/>
                <w:sz w:val="16"/>
              </w:rPr>
              <w:t>Lidar elevation (ft NAVD 88)</w:t>
            </w:r>
          </w:p>
        </w:tc>
      </w:tr>
      <w:tr>
        <w:tc>
          <w:tcPr>
            <w:tcW w:type="dxa" w:w="3175"/>
          </w:tcPr>
          <w:p>
            <w:pPr>
              <w:spacing w:after="20" w:before="20"/>
            </w:pPr>
            <w:r/>
            <w:r>
              <w:rPr>
                <w:b w:val="0"/>
                <w:sz w:val="16"/>
              </w:rPr>
              <w:t>West cul-de-sac, head</w:t>
            </w:r>
          </w:p>
        </w:tc>
        <w:tc>
          <w:tcPr>
            <w:tcW w:type="dxa" w:w="1871"/>
          </w:tcPr>
          <w:p>
            <w:pPr>
              <w:spacing w:after="20" w:before="20"/>
            </w:pPr>
            <w:r/>
            <w:r>
              <w:rPr>
                <w:b w:val="0"/>
                <w:sz w:val="16"/>
              </w:rPr>
              <w:t>33.940373</w:t>
            </w:r>
          </w:p>
        </w:tc>
        <w:tc>
          <w:tcPr>
            <w:tcW w:type="dxa" w:w="1871"/>
          </w:tcPr>
          <w:p>
            <w:pPr>
              <w:spacing w:after="20" w:before="20"/>
            </w:pPr>
            <w:r/>
            <w:r>
              <w:rPr>
                <w:b w:val="0"/>
                <w:sz w:val="16"/>
              </w:rPr>
              <w:t>-82.566237</w:t>
            </w:r>
          </w:p>
        </w:tc>
        <w:tc>
          <w:tcPr>
            <w:tcW w:type="dxa" w:w="2438"/>
          </w:tcPr>
          <w:p>
            <w:pPr>
              <w:spacing w:after="20" w:before="20"/>
            </w:pPr>
            <w:r/>
            <w:r>
              <w:rPr>
                <w:b w:val="0"/>
                <w:sz w:val="16"/>
              </w:rPr>
              <w:t>392.7</w:t>
            </w:r>
          </w:p>
        </w:tc>
      </w:tr>
      <w:tr>
        <w:tc>
          <w:tcPr>
            <w:tcW w:type="dxa" w:w="3175"/>
            <w:shd w:val="clear" w:color="auto" w:fill="F2F5F9"/>
          </w:tcPr>
          <w:p>
            <w:pPr>
              <w:spacing w:after="20" w:before="20"/>
            </w:pPr>
            <w:r/>
            <w:r>
              <w:rPr>
                <w:b w:val="0"/>
                <w:sz w:val="16"/>
              </w:rPr>
              <w:t>West cul-de-sac, north side</w:t>
            </w:r>
          </w:p>
        </w:tc>
        <w:tc>
          <w:tcPr>
            <w:tcW w:type="dxa" w:w="1871"/>
            <w:shd w:val="clear" w:color="auto" w:fill="F2F5F9"/>
          </w:tcPr>
          <w:p>
            <w:pPr>
              <w:spacing w:after="20" w:before="20"/>
            </w:pPr>
            <w:r/>
            <w:r>
              <w:rPr>
                <w:b w:val="0"/>
                <w:sz w:val="16"/>
              </w:rPr>
              <w:t>33.940713</w:t>
            </w:r>
          </w:p>
        </w:tc>
        <w:tc>
          <w:tcPr>
            <w:tcW w:type="dxa" w:w="1871"/>
            <w:shd w:val="clear" w:color="auto" w:fill="F2F5F9"/>
          </w:tcPr>
          <w:p>
            <w:pPr>
              <w:spacing w:after="20" w:before="20"/>
            </w:pPr>
            <w:r/>
            <w:r>
              <w:rPr>
                <w:b w:val="0"/>
                <w:sz w:val="16"/>
              </w:rPr>
              <w:t>-82.566049</w:t>
            </w:r>
          </w:p>
        </w:tc>
        <w:tc>
          <w:tcPr>
            <w:tcW w:type="dxa" w:w="2438"/>
            <w:shd w:val="clear" w:color="auto" w:fill="F2F5F9"/>
          </w:tcPr>
          <w:p>
            <w:pPr>
              <w:spacing w:after="20" w:before="20"/>
            </w:pPr>
            <w:r/>
            <w:r>
              <w:rPr>
                <w:b w:val="0"/>
                <w:sz w:val="16"/>
              </w:rPr>
              <w:t>385.8</w:t>
            </w:r>
          </w:p>
        </w:tc>
      </w:tr>
      <w:tr>
        <w:tc>
          <w:tcPr>
            <w:tcW w:type="dxa" w:w="3175"/>
          </w:tcPr>
          <w:p>
            <w:pPr>
              <w:spacing w:after="20" w:before="20"/>
            </w:pPr>
            <w:r/>
            <w:r>
              <w:rPr>
                <w:b w:val="0"/>
                <w:sz w:val="16"/>
              </w:rPr>
              <w:t>Road station A</w:t>
            </w:r>
          </w:p>
        </w:tc>
        <w:tc>
          <w:tcPr>
            <w:tcW w:type="dxa" w:w="1871"/>
          </w:tcPr>
          <w:p>
            <w:pPr>
              <w:spacing w:after="20" w:before="20"/>
            </w:pPr>
            <w:r/>
            <w:r>
              <w:rPr>
                <w:b w:val="0"/>
                <w:sz w:val="16"/>
              </w:rPr>
              <w:t>33.940784</w:t>
            </w:r>
          </w:p>
        </w:tc>
        <w:tc>
          <w:tcPr>
            <w:tcW w:type="dxa" w:w="1871"/>
          </w:tcPr>
          <w:p>
            <w:pPr>
              <w:spacing w:after="20" w:before="20"/>
            </w:pPr>
            <w:r/>
            <w:r>
              <w:rPr>
                <w:b w:val="0"/>
                <w:sz w:val="16"/>
              </w:rPr>
              <w:t>-82.565716</w:t>
            </w:r>
          </w:p>
        </w:tc>
        <w:tc>
          <w:tcPr>
            <w:tcW w:type="dxa" w:w="2438"/>
          </w:tcPr>
          <w:p>
            <w:pPr>
              <w:spacing w:after="20" w:before="20"/>
            </w:pPr>
            <w:r/>
            <w:r>
              <w:rPr>
                <w:b w:val="0"/>
                <w:sz w:val="16"/>
              </w:rPr>
              <w:t>387.1</w:t>
            </w:r>
          </w:p>
        </w:tc>
      </w:tr>
      <w:tr>
        <w:tc>
          <w:tcPr>
            <w:tcW w:type="dxa" w:w="3175"/>
            <w:shd w:val="clear" w:color="auto" w:fill="F2F5F9"/>
          </w:tcPr>
          <w:p>
            <w:pPr>
              <w:spacing w:after="20" w:before="20"/>
            </w:pPr>
            <w:r/>
            <w:r>
              <w:rPr>
                <w:b w:val="0"/>
                <w:sz w:val="16"/>
              </w:rPr>
              <w:t>Road station B</w:t>
            </w:r>
          </w:p>
        </w:tc>
        <w:tc>
          <w:tcPr>
            <w:tcW w:type="dxa" w:w="1871"/>
            <w:shd w:val="clear" w:color="auto" w:fill="F2F5F9"/>
          </w:tcPr>
          <w:p>
            <w:pPr>
              <w:spacing w:after="20" w:before="20"/>
            </w:pPr>
            <w:r/>
            <w:r>
              <w:rPr>
                <w:b w:val="0"/>
                <w:sz w:val="16"/>
              </w:rPr>
              <w:t>33.940922</w:t>
            </w:r>
          </w:p>
        </w:tc>
        <w:tc>
          <w:tcPr>
            <w:tcW w:type="dxa" w:w="1871"/>
            <w:shd w:val="clear" w:color="auto" w:fill="F2F5F9"/>
          </w:tcPr>
          <w:p>
            <w:pPr>
              <w:spacing w:after="20" w:before="20"/>
            </w:pPr>
            <w:r/>
            <w:r>
              <w:rPr>
                <w:b w:val="0"/>
                <w:sz w:val="16"/>
              </w:rPr>
              <w:t>-82.565062</w:t>
            </w:r>
          </w:p>
        </w:tc>
        <w:tc>
          <w:tcPr>
            <w:tcW w:type="dxa" w:w="2438"/>
            <w:shd w:val="clear" w:color="auto" w:fill="F2F5F9"/>
          </w:tcPr>
          <w:p>
            <w:pPr>
              <w:spacing w:after="20" w:before="20"/>
            </w:pPr>
            <w:r/>
            <w:r>
              <w:rPr>
                <w:b w:val="0"/>
                <w:sz w:val="16"/>
              </w:rPr>
              <w:t>389.7</w:t>
            </w:r>
          </w:p>
        </w:tc>
      </w:tr>
      <w:tr>
        <w:tc>
          <w:tcPr>
            <w:tcW w:type="dxa" w:w="3175"/>
          </w:tcPr>
          <w:p>
            <w:pPr>
              <w:spacing w:after="20" w:before="20"/>
            </w:pPr>
            <w:r/>
            <w:r>
              <w:rPr>
                <w:b w:val="0"/>
                <w:sz w:val="16"/>
              </w:rPr>
              <w:t>Road station C (interpolated)</w:t>
            </w:r>
          </w:p>
        </w:tc>
        <w:tc>
          <w:tcPr>
            <w:tcW w:type="dxa" w:w="1871"/>
          </w:tcPr>
          <w:p>
            <w:pPr>
              <w:spacing w:after="20" w:before="20"/>
            </w:pPr>
            <w:r/>
            <w:r>
              <w:rPr>
                <w:b w:val="0"/>
                <w:sz w:val="16"/>
              </w:rPr>
              <w:t>33.941200</w:t>
            </w:r>
          </w:p>
        </w:tc>
        <w:tc>
          <w:tcPr>
            <w:tcW w:type="dxa" w:w="1871"/>
          </w:tcPr>
          <w:p>
            <w:pPr>
              <w:spacing w:after="20" w:before="20"/>
            </w:pPr>
            <w:r/>
            <w:r>
              <w:rPr>
                <w:b w:val="0"/>
                <w:sz w:val="16"/>
              </w:rPr>
              <w:t>-82.563800</w:t>
            </w:r>
          </w:p>
        </w:tc>
        <w:tc>
          <w:tcPr>
            <w:tcW w:type="dxa" w:w="2438"/>
          </w:tcPr>
          <w:p>
            <w:pPr>
              <w:spacing w:after="20" w:before="20"/>
            </w:pPr>
            <w:r/>
            <w:r>
              <w:rPr>
                <w:b w:val="0"/>
                <w:sz w:val="16"/>
              </w:rPr>
              <w:t>390.5</w:t>
            </w:r>
          </w:p>
        </w:tc>
      </w:tr>
      <w:tr>
        <w:tc>
          <w:tcPr>
            <w:tcW w:type="dxa" w:w="3175"/>
            <w:shd w:val="clear" w:color="auto" w:fill="F2F5F9"/>
          </w:tcPr>
          <w:p>
            <w:pPr>
              <w:spacing w:after="20" w:before="20"/>
            </w:pPr>
            <w:r/>
            <w:r>
              <w:rPr>
                <w:b w:val="0"/>
                <w:sz w:val="16"/>
              </w:rPr>
              <w:t>Road station D</w:t>
            </w:r>
          </w:p>
        </w:tc>
        <w:tc>
          <w:tcPr>
            <w:tcW w:type="dxa" w:w="1871"/>
            <w:shd w:val="clear" w:color="auto" w:fill="F2F5F9"/>
          </w:tcPr>
          <w:p>
            <w:pPr>
              <w:spacing w:after="20" w:before="20"/>
            </w:pPr>
            <w:r/>
            <w:r>
              <w:rPr>
                <w:b w:val="0"/>
                <w:sz w:val="16"/>
              </w:rPr>
              <w:t>33.941483</w:t>
            </w:r>
          </w:p>
        </w:tc>
        <w:tc>
          <w:tcPr>
            <w:tcW w:type="dxa" w:w="1871"/>
            <w:shd w:val="clear" w:color="auto" w:fill="F2F5F9"/>
          </w:tcPr>
          <w:p>
            <w:pPr>
              <w:spacing w:after="20" w:before="20"/>
            </w:pPr>
            <w:r/>
            <w:r>
              <w:rPr>
                <w:b w:val="0"/>
                <w:sz w:val="16"/>
              </w:rPr>
              <w:t>-82.562494</w:t>
            </w:r>
          </w:p>
        </w:tc>
        <w:tc>
          <w:tcPr>
            <w:tcW w:type="dxa" w:w="2438"/>
            <w:shd w:val="clear" w:color="auto" w:fill="F2F5F9"/>
          </w:tcPr>
          <w:p>
            <w:pPr>
              <w:spacing w:after="20" w:before="20"/>
            </w:pPr>
            <w:r/>
            <w:r>
              <w:rPr>
                <w:b w:val="0"/>
                <w:sz w:val="16"/>
              </w:rPr>
              <w:t>393.1</w:t>
            </w:r>
          </w:p>
        </w:tc>
      </w:tr>
      <w:tr>
        <w:tc>
          <w:tcPr>
            <w:tcW w:type="dxa" w:w="3175"/>
          </w:tcPr>
          <w:p>
            <w:pPr>
              <w:spacing w:after="20" w:before="20"/>
            </w:pPr>
            <w:r/>
            <w:r>
              <w:rPr>
                <w:b w:val="0"/>
                <w:sz w:val="16"/>
              </w:rPr>
              <w:t>Road east end</w:t>
            </w:r>
          </w:p>
        </w:tc>
        <w:tc>
          <w:tcPr>
            <w:tcW w:type="dxa" w:w="1871"/>
          </w:tcPr>
          <w:p>
            <w:pPr>
              <w:spacing w:after="20" w:before="20"/>
            </w:pPr>
            <w:r/>
            <w:r>
              <w:rPr>
                <w:b w:val="0"/>
                <w:sz w:val="16"/>
              </w:rPr>
              <w:t>33.941303</w:t>
            </w:r>
          </w:p>
        </w:tc>
        <w:tc>
          <w:tcPr>
            <w:tcW w:type="dxa" w:w="1871"/>
          </w:tcPr>
          <w:p>
            <w:pPr>
              <w:spacing w:after="20" w:before="20"/>
            </w:pPr>
            <w:r/>
            <w:r>
              <w:rPr>
                <w:b w:val="0"/>
                <w:sz w:val="16"/>
              </w:rPr>
              <w:t>-82.561594</w:t>
            </w:r>
          </w:p>
        </w:tc>
        <w:tc>
          <w:tcPr>
            <w:tcW w:type="dxa" w:w="2438"/>
          </w:tcPr>
          <w:p>
            <w:pPr>
              <w:spacing w:after="20" w:before="20"/>
            </w:pPr>
            <w:r/>
            <w:r>
              <w:rPr>
                <w:b w:val="0"/>
                <w:sz w:val="16"/>
              </w:rPr>
              <w:t>388.1</w:t>
            </w:r>
          </w:p>
        </w:tc>
      </w:tr>
      <w:tr>
        <w:tc>
          <w:tcPr>
            <w:tcW w:type="dxa" w:w="3175"/>
            <w:shd w:val="clear" w:color="auto" w:fill="F2F5F9"/>
          </w:tcPr>
          <w:p>
            <w:pPr>
              <w:spacing w:after="20" w:before="20"/>
            </w:pPr>
            <w:r/>
            <w:r>
              <w:rPr>
                <w:b w:val="0"/>
                <w:sz w:val="16"/>
              </w:rPr>
              <w:t>Study-area high point</w:t>
            </w:r>
          </w:p>
        </w:tc>
        <w:tc>
          <w:tcPr>
            <w:tcW w:type="dxa" w:w="1871"/>
            <w:shd w:val="clear" w:color="auto" w:fill="F2F5F9"/>
          </w:tcPr>
          <w:p>
            <w:pPr>
              <w:spacing w:after="20" w:before="20"/>
            </w:pPr>
            <w:r/>
            <w:r>
              <w:rPr>
                <w:b w:val="0"/>
                <w:sz w:val="16"/>
              </w:rPr>
              <w:t>~33.937</w:t>
            </w:r>
          </w:p>
        </w:tc>
        <w:tc>
          <w:tcPr>
            <w:tcW w:type="dxa" w:w="1871"/>
            <w:shd w:val="clear" w:color="auto" w:fill="F2F5F9"/>
          </w:tcPr>
          <w:p>
            <w:pPr>
              <w:spacing w:after="20" w:before="20"/>
            </w:pPr>
            <w:r/>
            <w:r>
              <w:rPr>
                <w:b w:val="0"/>
                <w:sz w:val="16"/>
              </w:rPr>
              <w:t>~-82.564</w:t>
            </w:r>
          </w:p>
        </w:tc>
        <w:tc>
          <w:tcPr>
            <w:tcW w:type="dxa" w:w="2438"/>
            <w:shd w:val="clear" w:color="auto" w:fill="F2F5F9"/>
          </w:tcPr>
          <w:p>
            <w:pPr>
              <w:spacing w:after="20" w:before="20"/>
            </w:pPr>
            <w:r/>
            <w:r>
              <w:rPr>
                <w:b w:val="0"/>
                <w:sz w:val="16"/>
              </w:rPr>
              <w:t>446.8</w:t>
            </w:r>
          </w:p>
        </w:tc>
      </w:tr>
      <w:tr>
        <w:tc>
          <w:tcPr>
            <w:tcW w:type="dxa" w:w="3175"/>
          </w:tcPr>
          <w:p>
            <w:pPr>
              <w:spacing w:after="20" w:before="20"/>
            </w:pPr>
            <w:r/>
            <w:r>
              <w:rPr>
                <w:b w:val="0"/>
                <w:sz w:val="16"/>
              </w:rPr>
              <w:t>Study-area low point (lake bed)</w:t>
            </w:r>
          </w:p>
        </w:tc>
        <w:tc>
          <w:tcPr>
            <w:tcW w:type="dxa" w:w="1871"/>
          </w:tcPr>
          <w:p>
            <w:pPr>
              <w:spacing w:after="20" w:before="20"/>
            </w:pPr>
            <w:r/>
            <w:r>
              <w:rPr>
                <w:b w:val="0"/>
                <w:sz w:val="16"/>
              </w:rPr>
              <w:t>~33.943</w:t>
            </w:r>
          </w:p>
        </w:tc>
        <w:tc>
          <w:tcPr>
            <w:tcW w:type="dxa" w:w="1871"/>
          </w:tcPr>
          <w:p>
            <w:pPr>
              <w:spacing w:after="20" w:before="20"/>
            </w:pPr>
            <w:r/>
            <w:r>
              <w:rPr>
                <w:b w:val="0"/>
                <w:sz w:val="16"/>
              </w:rPr>
              <w:t>~-82.566</w:t>
            </w:r>
          </w:p>
        </w:tc>
        <w:tc>
          <w:tcPr>
            <w:tcW w:type="dxa" w:w="2438"/>
          </w:tcPr>
          <w:p>
            <w:pPr>
              <w:spacing w:after="20" w:before="20"/>
            </w:pPr>
            <w:r/>
            <w:r>
              <w:rPr>
                <w:b w:val="0"/>
                <w:sz w:val="16"/>
              </w:rPr>
              <w:t>326.9</w:t>
            </w:r>
          </w:p>
        </w:tc>
      </w:tr>
    </w:tbl>
    <w:p>
      <w:pPr>
        <w:spacing w:after="40"/>
      </w:pPr>
    </w:p>
    <w:p>
      <w:pPr>
        <w:spacing w:after="80" w:before="0"/>
      </w:pPr>
      <w:r>
        <w:rPr>
          <w:b/>
          <w:i w:val="0"/>
          <w:sz w:val="18"/>
        </w:rPr>
        <w:t>Discrepancies identified between sources:</w:t>
      </w:r>
    </w:p>
    <w:p>
      <w:pPr>
        <w:pStyle w:val="ListBullet"/>
        <w:spacing w:after="30"/>
        <w:ind w:left="369"/>
      </w:pPr>
      <w:r>
        <w:rPr>
          <w:b/>
          <w:sz w:val="19"/>
        </w:rPr>
        <w:t xml:space="preserve">Street name — </w:t>
      </w:r>
      <w:r>
        <w:rPr>
          <w:sz w:val="19"/>
        </w:rPr>
        <w:t>rendered variously as "Watersedge Cv", "Waters Edge Cv" and "Watersedge Cove". OSM and the county use Watersedge Cove.</w:t>
      </w:r>
    </w:p>
    <w:p>
      <w:pPr>
        <w:pStyle w:val="ListBullet"/>
        <w:spacing w:after="30"/>
        <w:ind w:left="369"/>
      </w:pPr>
      <w:r>
        <w:rPr>
          <w:b/>
          <w:sz w:val="19"/>
        </w:rPr>
        <w:t xml:space="preserve">Postal town vs. county — </w:t>
      </w:r>
      <w:r>
        <w:rPr>
          <w:sz w:val="19"/>
        </w:rPr>
        <w:t>Tignall (Wilkes County post office) vs. Lincoln County parcel.</w:t>
      </w:r>
    </w:p>
    <w:p>
      <w:pPr>
        <w:pStyle w:val="ListBullet"/>
        <w:spacing w:after="30"/>
        <w:ind w:left="369"/>
      </w:pPr>
      <w:r>
        <w:rPr>
          <w:b/>
          <w:sz w:val="19"/>
        </w:rPr>
        <w:t xml:space="preserve">Address-to-lot mapping — </w:t>
      </w:r>
      <w:r>
        <w:rPr>
          <w:sz w:val="19"/>
        </w:rPr>
        <w:t>1147 is given as Lot 130 and 1153 as Lot 131, but some cached pages label 1153 as "Lot 131" and others omit lot numbers. Confirm on the plat.</w:t>
      </w:r>
    </w:p>
    <w:p>
      <w:pPr>
        <w:pStyle w:val="ListBullet"/>
        <w:spacing w:after="30"/>
        <w:ind w:left="369"/>
      </w:pPr>
      <w:r>
        <w:rPr>
          <w:b/>
          <w:sz w:val="19"/>
        </w:rPr>
        <w:t xml:space="preserve">ZIP code — </w:t>
      </w:r>
      <w:r>
        <w:rPr>
          <w:sz w:val="19"/>
        </w:rPr>
        <w:t>OSM returns 29840 (a South Carolina ZIP) for the road segment; listings use 30668. The 29840 value is an OSM data error.</w:t>
      </w:r>
    </w:p>
    <w:p>
      <w:pPr>
        <w:spacing w:before="20" w:after="80"/>
      </w:pPr>
      <w:r>
        <w:rPr>
          <w:b/>
          <w:color w:val="C01F2B"/>
          <w:sz w:val="15"/>
        </w:rPr>
        <w:t>[REQUIRES PROFESSIONAL / OFFICIAL VERIFICATION]</w:t>
      </w:r>
      <w:r>
        <w:rPr>
          <w:i/>
          <w:color w:val="555555"/>
          <w:sz w:val="15"/>
        </w:rPr>
        <w:t xml:space="preserve">  County GIS is not publicly accessible; all parcel-level attributes remain unverified.</w:t>
      </w:r>
    </w:p>
    <w:p>
      <w:r>
        <w:br w:type="page"/>
      </w:r>
    </w:p>
    <w:p>
      <w:pPr>
        <w:pStyle w:val="Heading1"/>
      </w:pPr>
      <w:r>
        <w:t>B. Topography &amp; Terrain</w:t>
      </w:r>
    </w:p>
    <w:p>
      <w:pPr>
        <w:spacing w:after="80" w:before="0"/>
      </w:pPr>
      <w:r>
        <w:rPr>
          <w:b w:val="0"/>
          <w:i w:val="0"/>
          <w:sz w:val="18"/>
        </w:rPr>
        <w:t>This is the strongest part of the dataset. The site is covered by USGS 3DEP 1-metre lidar (GA_Statewide_2018_B18_DRRA, vertical datum NAVD 88). A 2,665-point grid at roughly 15-metre spacing was sampled across a 1,070 m x 670 m study area and used for every figure and slope figure below.</w:t>
      </w:r>
    </w:p>
    <w:p>
      <w:pPr>
        <w:pStyle w:val="Heading2"/>
      </w:pPr>
      <w:r>
        <w:t>5. True-scale topographic map</w:t>
      </w:r>
    </w:p>
    <w:p>
      <w:pPr>
        <w:spacing w:before="120" w:after="40"/>
        <w:jc w:val="center"/>
      </w:pPr>
      <w:r>
        <w:drawing>
          <wp:inline xmlns:a="http://schemas.openxmlformats.org/drawingml/2006/main" xmlns:pic="http://schemas.openxmlformats.org/drawingml/2006/picture">
            <wp:extent cx="5940000" cy="4780883"/>
            <wp:docPr id="1" name="Picture 1"/>
            <wp:cNvGraphicFramePr>
              <a:graphicFrameLocks noChangeAspect="1"/>
            </wp:cNvGraphicFramePr>
            <a:graphic>
              <a:graphicData uri="http://schemas.openxmlformats.org/drawingml/2006/picture">
                <pic:pic>
                  <pic:nvPicPr>
                    <pic:cNvPr id="0" name="fig1_topo.png"/>
                    <pic:cNvPicPr/>
                  </pic:nvPicPr>
                  <pic:blipFill>
                    <a:blip r:embed="rId10"/>
                    <a:stretch>
                      <a:fillRect/>
                    </a:stretch>
                  </pic:blipFill>
                  <pic:spPr>
                    <a:xfrm>
                      <a:off x="0" y="0"/>
                      <a:ext cx="5940000" cy="4780883"/>
                    </a:xfrm>
                    <a:prstGeom prst="rect"/>
                  </pic:spPr>
                </pic:pic>
              </a:graphicData>
            </a:graphic>
          </wp:inline>
        </w:drawing>
      </w:r>
    </w:p>
    <w:p>
      <w:pPr>
        <w:spacing w:after="160"/>
        <w:jc w:val="center"/>
      </w:pPr>
      <w:r>
        <w:rPr>
          <w:i/>
          <w:color w:val="555555"/>
          <w:sz w:val="15"/>
        </w:rPr>
        <w:t>Fig. 1 — True-scale topographic map. Contours at 5 ft; the heavy blue line is the 330 ft full-pool shoreline; arrows show down-gradient drainage. The red rectangles are MODELLED lot outlines (150 x 310 ft), not surveyed boundaries.</w:t>
      </w:r>
    </w:p>
    <w:tbl>
      <w:tblPr>
        <w:tblStyle w:val="TableGrid"/>
        <w:tblW w:type="auto" w:w="0"/>
        <w:jc w:val="center"/>
        <w:tblLook w:firstColumn="1" w:firstRow="1" w:lastColumn="0" w:lastRow="0" w:noHBand="0" w:noVBand="1" w:val="04A0"/>
      </w:tblPr>
      <w:tblGrid>
        <w:gridCol w:w="4932"/>
        <w:gridCol w:w="4932"/>
      </w:tblGrid>
      <w:tr>
        <w:tc>
          <w:tcPr>
            <w:tcW w:type="dxa" w:w="3061"/>
            <w:shd w:val="clear" w:color="auto" w:fill="1F4E79"/>
          </w:tcPr>
          <w:p>
            <w:pPr>
              <w:spacing w:after="20" w:before="20"/>
            </w:pPr>
            <w:r/>
            <w:r>
              <w:rPr>
                <w:b/>
                <w:color w:val="FFFFFF"/>
                <w:sz w:val="16"/>
              </w:rPr>
              <w:t>Map element</w:t>
            </w:r>
          </w:p>
        </w:tc>
        <w:tc>
          <w:tcPr>
            <w:tcW w:type="dxa" w:w="6350"/>
            <w:shd w:val="clear" w:color="auto" w:fill="1F4E79"/>
          </w:tcPr>
          <w:p>
            <w:pPr>
              <w:spacing w:after="20" w:before="20"/>
            </w:pPr>
            <w:r/>
            <w:r>
              <w:rPr>
                <w:b/>
                <w:color w:val="FFFFFF"/>
                <w:sz w:val="16"/>
              </w:rPr>
              <w:t>Value</w:t>
            </w:r>
          </w:p>
        </w:tc>
      </w:tr>
      <w:tr>
        <w:tc>
          <w:tcPr>
            <w:tcW w:type="dxa" w:w="3061"/>
          </w:tcPr>
          <w:p>
            <w:pPr>
              <w:spacing w:after="20" w:before="20"/>
            </w:pPr>
            <w:r/>
            <w:r>
              <w:rPr>
                <w:b w:val="0"/>
                <w:sz w:val="16"/>
              </w:rPr>
              <w:t>Elevation range in study area</w:t>
            </w:r>
          </w:p>
        </w:tc>
        <w:tc>
          <w:tcPr>
            <w:tcW w:type="dxa" w:w="6350"/>
          </w:tcPr>
          <w:p>
            <w:pPr>
              <w:spacing w:after="20" w:before="20"/>
            </w:pPr>
            <w:r/>
            <w:r>
              <w:rPr>
                <w:b w:val="0"/>
                <w:sz w:val="16"/>
              </w:rPr>
              <w:t>326.9 ft to 446.8 ft NAVD 88 (relief 119.9 ft)</w:t>
            </w:r>
          </w:p>
        </w:tc>
      </w:tr>
      <w:tr>
        <w:tc>
          <w:tcPr>
            <w:tcW w:type="dxa" w:w="3061"/>
            <w:shd w:val="clear" w:color="auto" w:fill="F2F5F9"/>
          </w:tcPr>
          <w:p>
            <w:pPr>
              <w:spacing w:after="20" w:before="20"/>
            </w:pPr>
            <w:r/>
            <w:r>
              <w:rPr>
                <w:b w:val="0"/>
                <w:sz w:val="16"/>
              </w:rPr>
              <w:t>Highest point</w:t>
            </w:r>
          </w:p>
        </w:tc>
        <w:tc>
          <w:tcPr>
            <w:tcW w:type="dxa" w:w="6350"/>
            <w:shd w:val="clear" w:color="auto" w:fill="F2F5F9"/>
          </w:tcPr>
          <w:p>
            <w:pPr>
              <w:spacing w:after="20" w:before="20"/>
            </w:pPr>
            <w:r/>
            <w:r>
              <w:rPr>
                <w:b w:val="0"/>
                <w:sz w:val="16"/>
              </w:rPr>
              <w:t>446.8 ft, on the ridge south of Watersedge Cove</w:t>
            </w:r>
          </w:p>
        </w:tc>
      </w:tr>
      <w:tr>
        <w:tc>
          <w:tcPr>
            <w:tcW w:type="dxa" w:w="3061"/>
          </w:tcPr>
          <w:p>
            <w:pPr>
              <w:spacing w:after="20" w:before="20"/>
            </w:pPr>
            <w:r/>
            <w:r>
              <w:rPr>
                <w:b w:val="0"/>
                <w:sz w:val="16"/>
              </w:rPr>
              <w:t>Lowest point</w:t>
            </w:r>
          </w:p>
        </w:tc>
        <w:tc>
          <w:tcPr>
            <w:tcW w:type="dxa" w:w="6350"/>
          </w:tcPr>
          <w:p>
            <w:pPr>
              <w:spacing w:after="20" w:before="20"/>
            </w:pPr>
            <w:r/>
            <w:r>
              <w:rPr>
                <w:b w:val="0"/>
                <w:sz w:val="16"/>
              </w:rPr>
              <w:t>326.9 ft, in the Fishing Creek arm north of the road (below full pool)</w:t>
            </w:r>
          </w:p>
        </w:tc>
      </w:tr>
      <w:tr>
        <w:tc>
          <w:tcPr>
            <w:tcW w:type="dxa" w:w="3061"/>
            <w:shd w:val="clear" w:color="auto" w:fill="F2F5F9"/>
          </w:tcPr>
          <w:p>
            <w:pPr>
              <w:spacing w:after="20" w:before="20"/>
            </w:pPr>
            <w:r/>
            <w:r>
              <w:rPr>
                <w:b w:val="0"/>
                <w:sz w:val="16"/>
              </w:rPr>
              <w:t>Contour interval</w:t>
            </w:r>
          </w:p>
        </w:tc>
        <w:tc>
          <w:tcPr>
            <w:tcW w:type="dxa" w:w="6350"/>
            <w:shd w:val="clear" w:color="auto" w:fill="F2F5F9"/>
          </w:tcPr>
          <w:p>
            <w:pPr>
              <w:spacing w:after="20" w:before="20"/>
            </w:pPr>
            <w:r/>
            <w:r>
              <w:rPr>
                <w:b w:val="0"/>
                <w:sz w:val="16"/>
              </w:rPr>
              <w:t>5 ft (labelled every 10 ft)</w:t>
            </w:r>
          </w:p>
        </w:tc>
      </w:tr>
      <w:tr>
        <w:tc>
          <w:tcPr>
            <w:tcW w:type="dxa" w:w="3061"/>
          </w:tcPr>
          <w:p>
            <w:pPr>
              <w:spacing w:after="20" w:before="20"/>
            </w:pPr>
            <w:r/>
            <w:r>
              <w:rPr>
                <w:b w:val="0"/>
                <w:sz w:val="16"/>
              </w:rPr>
              <w:t>Full-pool shoreline</w:t>
            </w:r>
          </w:p>
        </w:tc>
        <w:tc>
          <w:tcPr>
            <w:tcW w:type="dxa" w:w="6350"/>
          </w:tcPr>
          <w:p>
            <w:pPr>
              <w:spacing w:after="20" w:before="20"/>
            </w:pPr>
            <w:r/>
            <w:r>
              <w:rPr>
                <w:b w:val="0"/>
                <w:sz w:val="16"/>
              </w:rPr>
              <w:t>330 ft-msl (heavy blue)</w:t>
            </w:r>
          </w:p>
        </w:tc>
      </w:tr>
      <w:tr>
        <w:tc>
          <w:tcPr>
            <w:tcW w:type="dxa" w:w="3061"/>
            <w:shd w:val="clear" w:color="auto" w:fill="F2F5F9"/>
          </w:tcPr>
          <w:p>
            <w:pPr>
              <w:spacing w:after="20" w:before="20"/>
            </w:pPr>
            <w:r/>
            <w:r>
              <w:rPr>
                <w:b w:val="0"/>
                <w:sz w:val="16"/>
              </w:rPr>
              <w:t>Flood-control pool</w:t>
            </w:r>
          </w:p>
        </w:tc>
        <w:tc>
          <w:tcPr>
            <w:tcW w:type="dxa" w:w="6350"/>
            <w:shd w:val="clear" w:color="auto" w:fill="F2F5F9"/>
          </w:tcPr>
          <w:p>
            <w:pPr>
              <w:spacing w:after="20" w:before="20"/>
            </w:pPr>
            <w:r/>
            <w:r>
              <w:rPr>
                <w:b w:val="0"/>
                <w:sz w:val="16"/>
              </w:rPr>
              <w:t>335 ft-msl, top of spillway gates (dotted blue)</w:t>
            </w:r>
          </w:p>
        </w:tc>
      </w:tr>
      <w:tr>
        <w:tc>
          <w:tcPr>
            <w:tcW w:type="dxa" w:w="3061"/>
          </w:tcPr>
          <w:p>
            <w:pPr>
              <w:spacing w:after="20" w:before="20"/>
            </w:pPr>
            <w:r/>
            <w:r>
              <w:rPr>
                <w:b w:val="0"/>
                <w:sz w:val="16"/>
              </w:rPr>
              <w:t>Drainage direction</w:t>
            </w:r>
          </w:p>
        </w:tc>
        <w:tc>
          <w:tcPr>
            <w:tcW w:type="dxa" w:w="6350"/>
          </w:tcPr>
          <w:p>
            <w:pPr>
              <w:spacing w:after="20" w:before="20"/>
            </w:pPr>
            <w:r/>
            <w:r>
              <w:rPr>
                <w:b w:val="0"/>
                <w:sz w:val="16"/>
              </w:rPr>
              <w:t>Predominantly north / north-west, from the ridge toward the Fishing Creek arm of Thurmond Lake</w:t>
            </w:r>
          </w:p>
        </w:tc>
      </w:tr>
      <w:tr>
        <w:tc>
          <w:tcPr>
            <w:tcW w:type="dxa" w:w="3061"/>
            <w:shd w:val="clear" w:color="auto" w:fill="F2F5F9"/>
          </w:tcPr>
          <w:p>
            <w:pPr>
              <w:spacing w:after="20" w:before="20"/>
            </w:pPr>
            <w:r/>
            <w:r>
              <w:rPr>
                <w:b w:val="0"/>
                <w:sz w:val="16"/>
              </w:rPr>
              <w:t>Grid SW corner</w:t>
            </w:r>
          </w:p>
        </w:tc>
        <w:tc>
          <w:tcPr>
            <w:tcW w:type="dxa" w:w="6350"/>
            <w:shd w:val="clear" w:color="auto" w:fill="F2F5F9"/>
          </w:tcPr>
          <w:p>
            <w:pPr>
              <w:spacing w:after="20" w:before="20"/>
            </w:pPr>
            <w:r/>
            <w:r>
              <w:rPr>
                <w:b w:val="0"/>
                <w:sz w:val="16"/>
              </w:rPr>
              <w:t>33.93720 N, 82.56950 W</w:t>
            </w:r>
          </w:p>
        </w:tc>
      </w:tr>
      <w:tr>
        <w:tc>
          <w:tcPr>
            <w:tcW w:type="dxa" w:w="3061"/>
          </w:tcPr>
          <w:p>
            <w:pPr>
              <w:spacing w:after="20" w:before="20"/>
            </w:pPr>
            <w:r/>
            <w:r>
              <w:rPr>
                <w:b w:val="0"/>
                <w:sz w:val="16"/>
              </w:rPr>
              <w:t>Grid NE corner</w:t>
            </w:r>
          </w:p>
        </w:tc>
        <w:tc>
          <w:tcPr>
            <w:tcW w:type="dxa" w:w="6350"/>
          </w:tcPr>
          <w:p>
            <w:pPr>
              <w:spacing w:after="20" w:before="20"/>
            </w:pPr>
            <w:r/>
            <w:r>
              <w:rPr>
                <w:b w:val="0"/>
                <w:sz w:val="16"/>
              </w:rPr>
              <w:t>33.94320 N, 82.55990 W</w:t>
            </w:r>
          </w:p>
        </w:tc>
      </w:tr>
    </w:tbl>
    <w:p>
      <w:pPr>
        <w:spacing w:after="40"/>
      </w:pPr>
    </w:p>
    <w:p>
      <w:pPr>
        <w:spacing w:before="20" w:after="80"/>
      </w:pPr>
      <w:r>
        <w:rPr>
          <w:b/>
          <w:color w:val="B46B00"/>
          <w:sz w:val="15"/>
        </w:rPr>
        <w:t>[MODEL-DERIVED ESTIMATE]</w:t>
      </w:r>
      <w:r>
        <w:rPr>
          <w:i/>
          <w:color w:val="555555"/>
          <w:sz w:val="15"/>
        </w:rPr>
        <w:t xml:space="preserve">  Contours are lidar-derived at roughly 15 m sample spacing. Not a boundary or topographic survey.</w:t>
      </w:r>
    </w:p>
    <w:p>
      <w:pPr>
        <w:pStyle w:val="Heading2"/>
      </w:pPr>
      <w:r>
        <w:t>6. Longitudinal terrain cross-section (road to lake)</w:t>
      </w:r>
    </w:p>
    <w:p>
      <w:pPr>
        <w:spacing w:after="80" w:before="0"/>
      </w:pPr>
      <w:r>
        <w:rPr>
          <w:b w:val="0"/>
          <w:i w:val="0"/>
          <w:sz w:val="18"/>
        </w:rPr>
        <w:t>The checklist requires that any vertically exaggerated section be shown alongside a true 1:1 section, so that an exaggerated profile is not mistaken for real steepness. Both are given below.</w:t>
      </w:r>
    </w:p>
    <w:p>
      <w:pPr>
        <w:spacing w:before="120" w:after="40"/>
        <w:jc w:val="center"/>
      </w:pPr>
      <w:r>
        <w:drawing>
          <wp:inline xmlns:a="http://schemas.openxmlformats.org/drawingml/2006/main" xmlns:pic="http://schemas.openxmlformats.org/drawingml/2006/picture">
            <wp:extent cx="5760000" cy="4282631"/>
            <wp:docPr id="2" name="Picture 2"/>
            <wp:cNvGraphicFramePr>
              <a:graphicFrameLocks noChangeAspect="1"/>
            </wp:cNvGraphicFramePr>
            <a:graphic>
              <a:graphicData uri="http://schemas.openxmlformats.org/drawingml/2006/picture">
                <pic:pic>
                  <pic:nvPicPr>
                    <pic:cNvPr id="0" name="fig2_section.png"/>
                    <pic:cNvPicPr/>
                  </pic:nvPicPr>
                  <pic:blipFill>
                    <a:blip r:embed="rId11"/>
                    <a:stretch>
                      <a:fillRect/>
                    </a:stretch>
                  </pic:blipFill>
                  <pic:spPr>
                    <a:xfrm>
                      <a:off x="0" y="0"/>
                      <a:ext cx="5760000" cy="4282631"/>
                    </a:xfrm>
                    <a:prstGeom prst="rect"/>
                  </pic:spPr>
                </pic:pic>
              </a:graphicData>
            </a:graphic>
          </wp:inline>
        </w:drawing>
      </w:r>
    </w:p>
    <w:p>
      <w:pPr>
        <w:spacing w:after="160"/>
        <w:jc w:val="center"/>
      </w:pPr>
      <w:r>
        <w:rPr>
          <w:i/>
          <w:color w:val="555555"/>
          <w:sz w:val="15"/>
        </w:rPr>
        <w:t>Fig. 2 — Road-to-lake longitudinal section at road station A. Panel (a) is vertically exaggerated about 5:1, the convention used on most maps. Panel (b) is the same ground at true 1:1 scale. The visual difference is the point: this is a gentle to moderate slope, not a cliff.</w:t>
      </w:r>
    </w:p>
    <w:p>
      <w:pPr>
        <w:spacing w:after="80" w:before="0"/>
      </w:pPr>
      <w:r>
        <w:rPr>
          <w:b/>
          <w:i w:val="0"/>
          <w:sz w:val="18"/>
        </w:rPr>
        <w:t>Measured section statistics at six stations:</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984"/>
            <w:shd w:val="clear" w:color="auto" w:fill="1F4E79"/>
          </w:tcPr>
          <w:p>
            <w:pPr>
              <w:spacing w:after="20" w:before="20"/>
            </w:pPr>
            <w:r/>
            <w:r>
              <w:rPr>
                <w:b/>
                <w:color w:val="FFFFFF"/>
                <w:sz w:val="15"/>
              </w:rPr>
              <w:t>Station</w:t>
            </w:r>
          </w:p>
        </w:tc>
        <w:tc>
          <w:tcPr>
            <w:tcW w:type="dxa" w:w="1077"/>
            <w:shd w:val="clear" w:color="auto" w:fill="1F4E79"/>
          </w:tcPr>
          <w:p>
            <w:pPr>
              <w:spacing w:after="20" w:before="20"/>
            </w:pPr>
            <w:r/>
            <w:r>
              <w:rPr>
                <w:b/>
                <w:color w:val="FFFFFF"/>
                <w:sz w:val="15"/>
              </w:rPr>
              <w:t>Road elev (ft)</w:t>
            </w:r>
          </w:p>
        </w:tc>
        <w:tc>
          <w:tcPr>
            <w:tcW w:type="dxa" w:w="1077"/>
            <w:shd w:val="clear" w:color="auto" w:fill="1F4E79"/>
          </w:tcPr>
          <w:p>
            <w:pPr>
              <w:spacing w:after="20" w:before="20"/>
            </w:pPr>
            <w:r/>
            <w:r>
              <w:rPr>
                <w:b/>
                <w:color w:val="FFFFFF"/>
                <w:sz w:val="15"/>
              </w:rPr>
              <w:t>Shore elev (ft)</w:t>
            </w:r>
          </w:p>
        </w:tc>
        <w:tc>
          <w:tcPr>
            <w:tcW w:type="dxa" w:w="850"/>
            <w:shd w:val="clear" w:color="auto" w:fill="1F4E79"/>
          </w:tcPr>
          <w:p>
            <w:pPr>
              <w:spacing w:after="20" w:before="20"/>
            </w:pPr>
            <w:r/>
            <w:r>
              <w:rPr>
                <w:b/>
                <w:color w:val="FFFFFF"/>
                <w:sz w:val="15"/>
              </w:rPr>
              <w:t>Run (ft)</w:t>
            </w:r>
          </w:p>
        </w:tc>
        <w:tc>
          <w:tcPr>
            <w:tcW w:type="dxa" w:w="850"/>
            <w:shd w:val="clear" w:color="auto" w:fill="1F4E79"/>
          </w:tcPr>
          <w:p>
            <w:pPr>
              <w:spacing w:after="20" w:before="20"/>
            </w:pPr>
            <w:r/>
            <w:r>
              <w:rPr>
                <w:b/>
                <w:color w:val="FFFFFF"/>
                <w:sz w:val="15"/>
              </w:rPr>
              <w:t>Fall (ft)</w:t>
            </w:r>
          </w:p>
        </w:tc>
        <w:tc>
          <w:tcPr>
            <w:tcW w:type="dxa" w:w="964"/>
            <w:shd w:val="clear" w:color="auto" w:fill="1F4E79"/>
          </w:tcPr>
          <w:p>
            <w:pPr>
              <w:spacing w:after="20" w:before="20"/>
            </w:pPr>
            <w:r/>
            <w:r>
              <w:rPr>
                <w:b/>
                <w:color w:val="FFFFFF"/>
                <w:sz w:val="15"/>
              </w:rPr>
              <w:t>Avg slope</w:t>
            </w:r>
          </w:p>
        </w:tc>
        <w:tc>
          <w:tcPr>
            <w:tcW w:type="dxa" w:w="737"/>
            <w:shd w:val="clear" w:color="auto" w:fill="1F4E79"/>
          </w:tcPr>
          <w:p>
            <w:pPr>
              <w:spacing w:after="20" w:before="20"/>
            </w:pPr>
            <w:r/>
            <w:r>
              <w:rPr>
                <w:b/>
                <w:color w:val="FFFFFF"/>
                <w:sz w:val="15"/>
              </w:rPr>
              <w:t>Avg deg</w:t>
            </w:r>
          </w:p>
        </w:tc>
        <w:tc>
          <w:tcPr>
            <w:tcW w:type="dxa" w:w="964"/>
            <w:shd w:val="clear" w:color="auto" w:fill="1F4E79"/>
          </w:tcPr>
          <w:p>
            <w:pPr>
              <w:spacing w:after="20" w:before="20"/>
            </w:pPr>
            <w:r/>
            <w:r>
              <w:rPr>
                <w:b/>
                <w:color w:val="FFFFFF"/>
                <w:sz w:val="15"/>
              </w:rPr>
              <w:t>Max 50 ft</w:t>
            </w:r>
          </w:p>
        </w:tc>
        <w:tc>
          <w:tcPr>
            <w:tcW w:type="dxa" w:w="737"/>
            <w:shd w:val="clear" w:color="auto" w:fill="1F4E79"/>
          </w:tcPr>
          <w:p>
            <w:pPr>
              <w:spacing w:after="20" w:before="20"/>
            </w:pPr>
            <w:r/>
            <w:r>
              <w:rPr>
                <w:b/>
                <w:color w:val="FFFFFF"/>
                <w:sz w:val="15"/>
              </w:rPr>
              <w:t>Max deg</w:t>
            </w:r>
          </w:p>
        </w:tc>
      </w:tr>
      <w:tr>
        <w:tc>
          <w:tcPr>
            <w:tcW w:type="dxa" w:w="1984"/>
          </w:tcPr>
          <w:p>
            <w:pPr>
              <w:spacing w:after="20" w:before="20"/>
            </w:pPr>
            <w:r/>
            <w:r>
              <w:rPr>
                <w:b w:val="0"/>
                <w:sz w:val="15"/>
              </w:rPr>
              <w:t>W cul-de-sac head</w:t>
            </w:r>
          </w:p>
        </w:tc>
        <w:tc>
          <w:tcPr>
            <w:tcW w:type="dxa" w:w="1077"/>
          </w:tcPr>
          <w:p>
            <w:pPr>
              <w:spacing w:after="20" w:before="20"/>
            </w:pPr>
            <w:r/>
            <w:r>
              <w:rPr>
                <w:b w:val="0"/>
                <w:sz w:val="15"/>
              </w:rPr>
              <w:t>392.7</w:t>
            </w:r>
          </w:p>
        </w:tc>
        <w:tc>
          <w:tcPr>
            <w:tcW w:type="dxa" w:w="1077"/>
          </w:tcPr>
          <w:p>
            <w:pPr>
              <w:spacing w:after="20" w:before="20"/>
            </w:pPr>
            <w:r/>
            <w:r>
              <w:rPr>
                <w:b w:val="0"/>
                <w:sz w:val="15"/>
              </w:rPr>
              <w:t>332.4</w:t>
            </w:r>
          </w:p>
        </w:tc>
        <w:tc>
          <w:tcPr>
            <w:tcW w:type="dxa" w:w="850"/>
          </w:tcPr>
          <w:p>
            <w:pPr>
              <w:spacing w:after="20" w:before="20"/>
            </w:pPr>
            <w:r/>
            <w:r>
              <w:rPr>
                <w:b w:val="0"/>
                <w:sz w:val="15"/>
              </w:rPr>
              <w:t>595</w:t>
            </w:r>
          </w:p>
        </w:tc>
        <w:tc>
          <w:tcPr>
            <w:tcW w:type="dxa" w:w="850"/>
          </w:tcPr>
          <w:p>
            <w:pPr>
              <w:spacing w:after="20" w:before="20"/>
            </w:pPr>
            <w:r/>
            <w:r>
              <w:rPr>
                <w:b w:val="0"/>
                <w:sz w:val="15"/>
              </w:rPr>
              <w:t>60.3</w:t>
            </w:r>
          </w:p>
        </w:tc>
        <w:tc>
          <w:tcPr>
            <w:tcW w:type="dxa" w:w="964"/>
          </w:tcPr>
          <w:p>
            <w:pPr>
              <w:spacing w:after="20" w:before="20"/>
            </w:pPr>
            <w:r/>
            <w:r>
              <w:rPr>
                <w:b w:val="0"/>
                <w:sz w:val="15"/>
              </w:rPr>
              <w:t>10.1 %</w:t>
            </w:r>
          </w:p>
        </w:tc>
        <w:tc>
          <w:tcPr>
            <w:tcW w:type="dxa" w:w="737"/>
          </w:tcPr>
          <w:p>
            <w:pPr>
              <w:spacing w:after="20" w:before="20"/>
            </w:pPr>
            <w:r/>
            <w:r>
              <w:rPr>
                <w:b w:val="0"/>
                <w:sz w:val="15"/>
              </w:rPr>
              <w:t>5.8</w:t>
            </w:r>
          </w:p>
        </w:tc>
        <w:tc>
          <w:tcPr>
            <w:tcW w:type="dxa" w:w="964"/>
          </w:tcPr>
          <w:p>
            <w:pPr>
              <w:spacing w:after="20" w:before="20"/>
            </w:pPr>
            <w:r/>
            <w:r>
              <w:rPr>
                <w:b w:val="0"/>
                <w:sz w:val="15"/>
              </w:rPr>
              <w:t>24.5 %</w:t>
            </w:r>
          </w:p>
        </w:tc>
        <w:tc>
          <w:tcPr>
            <w:tcW w:type="dxa" w:w="737"/>
          </w:tcPr>
          <w:p>
            <w:pPr>
              <w:spacing w:after="20" w:before="20"/>
            </w:pPr>
            <w:r/>
            <w:r>
              <w:rPr>
                <w:b w:val="0"/>
                <w:sz w:val="15"/>
              </w:rPr>
              <w:t>13.7</w:t>
            </w:r>
          </w:p>
        </w:tc>
      </w:tr>
      <w:tr>
        <w:tc>
          <w:tcPr>
            <w:tcW w:type="dxa" w:w="1984"/>
            <w:shd w:val="clear" w:color="auto" w:fill="F2F5F9"/>
          </w:tcPr>
          <w:p>
            <w:pPr>
              <w:spacing w:after="20" w:before="20"/>
            </w:pPr>
            <w:r/>
            <w:r>
              <w:rPr>
                <w:b w:val="0"/>
                <w:sz w:val="15"/>
              </w:rPr>
              <w:t>W cul-de-sac N side</w:t>
            </w:r>
          </w:p>
        </w:tc>
        <w:tc>
          <w:tcPr>
            <w:tcW w:type="dxa" w:w="1077"/>
            <w:shd w:val="clear" w:color="auto" w:fill="F2F5F9"/>
          </w:tcPr>
          <w:p>
            <w:pPr>
              <w:spacing w:after="20" w:before="20"/>
            </w:pPr>
            <w:r/>
            <w:r>
              <w:rPr>
                <w:b w:val="0"/>
                <w:sz w:val="15"/>
              </w:rPr>
              <w:t>385.0</w:t>
            </w:r>
          </w:p>
        </w:tc>
        <w:tc>
          <w:tcPr>
            <w:tcW w:type="dxa" w:w="1077"/>
            <w:shd w:val="clear" w:color="auto" w:fill="F2F5F9"/>
          </w:tcPr>
          <w:p>
            <w:pPr>
              <w:spacing w:after="20" w:before="20"/>
            </w:pPr>
            <w:r/>
            <w:r>
              <w:rPr>
                <w:b w:val="0"/>
                <w:sz w:val="15"/>
              </w:rPr>
              <w:t>332.4</w:t>
            </w:r>
          </w:p>
        </w:tc>
        <w:tc>
          <w:tcPr>
            <w:tcW w:type="dxa" w:w="850"/>
            <w:shd w:val="clear" w:color="auto" w:fill="F2F5F9"/>
          </w:tcPr>
          <w:p>
            <w:pPr>
              <w:spacing w:after="20" w:before="20"/>
            </w:pPr>
            <w:r/>
            <w:r>
              <w:rPr>
                <w:b w:val="0"/>
                <w:sz w:val="15"/>
              </w:rPr>
              <w:t>471</w:t>
            </w:r>
          </w:p>
        </w:tc>
        <w:tc>
          <w:tcPr>
            <w:tcW w:type="dxa" w:w="850"/>
            <w:shd w:val="clear" w:color="auto" w:fill="F2F5F9"/>
          </w:tcPr>
          <w:p>
            <w:pPr>
              <w:spacing w:after="20" w:before="20"/>
            </w:pPr>
            <w:r/>
            <w:r>
              <w:rPr>
                <w:b w:val="0"/>
                <w:sz w:val="15"/>
              </w:rPr>
              <w:t>52.6</w:t>
            </w:r>
          </w:p>
        </w:tc>
        <w:tc>
          <w:tcPr>
            <w:tcW w:type="dxa" w:w="964"/>
            <w:shd w:val="clear" w:color="auto" w:fill="F2F5F9"/>
          </w:tcPr>
          <w:p>
            <w:pPr>
              <w:spacing w:after="20" w:before="20"/>
            </w:pPr>
            <w:r/>
            <w:r>
              <w:rPr>
                <w:b w:val="0"/>
                <w:sz w:val="15"/>
              </w:rPr>
              <w:t>11.2 %</w:t>
            </w:r>
          </w:p>
        </w:tc>
        <w:tc>
          <w:tcPr>
            <w:tcW w:type="dxa" w:w="737"/>
            <w:shd w:val="clear" w:color="auto" w:fill="F2F5F9"/>
          </w:tcPr>
          <w:p>
            <w:pPr>
              <w:spacing w:after="20" w:before="20"/>
            </w:pPr>
            <w:r/>
            <w:r>
              <w:rPr>
                <w:b w:val="0"/>
                <w:sz w:val="15"/>
              </w:rPr>
              <w:t>6.4</w:t>
            </w:r>
          </w:p>
        </w:tc>
        <w:tc>
          <w:tcPr>
            <w:tcW w:type="dxa" w:w="964"/>
            <w:shd w:val="clear" w:color="auto" w:fill="F2F5F9"/>
          </w:tcPr>
          <w:p>
            <w:pPr>
              <w:spacing w:after="20" w:before="20"/>
            </w:pPr>
            <w:r/>
            <w:r>
              <w:rPr>
                <w:b w:val="0"/>
                <w:sz w:val="15"/>
              </w:rPr>
              <w:t>19.4 %</w:t>
            </w:r>
          </w:p>
        </w:tc>
        <w:tc>
          <w:tcPr>
            <w:tcW w:type="dxa" w:w="737"/>
            <w:shd w:val="clear" w:color="auto" w:fill="F2F5F9"/>
          </w:tcPr>
          <w:p>
            <w:pPr>
              <w:spacing w:after="20" w:before="20"/>
            </w:pPr>
            <w:r/>
            <w:r>
              <w:rPr>
                <w:b w:val="0"/>
                <w:sz w:val="15"/>
              </w:rPr>
              <w:t>11.0</w:t>
            </w:r>
          </w:p>
        </w:tc>
      </w:tr>
      <w:tr>
        <w:tc>
          <w:tcPr>
            <w:tcW w:type="dxa" w:w="1984"/>
          </w:tcPr>
          <w:p>
            <w:pPr>
              <w:spacing w:after="20" w:before="20"/>
            </w:pPr>
            <w:r/>
            <w:r>
              <w:rPr>
                <w:b w:val="0"/>
                <w:sz w:val="15"/>
              </w:rPr>
              <w:t>Road station A</w:t>
            </w:r>
          </w:p>
        </w:tc>
        <w:tc>
          <w:tcPr>
            <w:tcW w:type="dxa" w:w="1077"/>
          </w:tcPr>
          <w:p>
            <w:pPr>
              <w:spacing w:after="20" w:before="20"/>
            </w:pPr>
            <w:r/>
            <w:r>
              <w:rPr>
                <w:b w:val="0"/>
                <w:sz w:val="15"/>
              </w:rPr>
              <w:t>387.3</w:t>
            </w:r>
          </w:p>
        </w:tc>
        <w:tc>
          <w:tcPr>
            <w:tcW w:type="dxa" w:w="1077"/>
          </w:tcPr>
          <w:p>
            <w:pPr>
              <w:spacing w:after="20" w:before="20"/>
            </w:pPr>
            <w:r/>
            <w:r>
              <w:rPr>
                <w:b w:val="0"/>
                <w:sz w:val="15"/>
              </w:rPr>
              <w:t>332.4</w:t>
            </w:r>
          </w:p>
        </w:tc>
        <w:tc>
          <w:tcPr>
            <w:tcW w:type="dxa" w:w="850"/>
          </w:tcPr>
          <w:p>
            <w:pPr>
              <w:spacing w:after="20" w:before="20"/>
            </w:pPr>
            <w:r/>
            <w:r>
              <w:rPr>
                <w:b w:val="0"/>
                <w:sz w:val="15"/>
              </w:rPr>
              <w:t>467</w:t>
            </w:r>
          </w:p>
        </w:tc>
        <w:tc>
          <w:tcPr>
            <w:tcW w:type="dxa" w:w="850"/>
          </w:tcPr>
          <w:p>
            <w:pPr>
              <w:spacing w:after="20" w:before="20"/>
            </w:pPr>
            <w:r/>
            <w:r>
              <w:rPr>
                <w:b w:val="0"/>
                <w:sz w:val="15"/>
              </w:rPr>
              <w:t>54.9</w:t>
            </w:r>
          </w:p>
        </w:tc>
        <w:tc>
          <w:tcPr>
            <w:tcW w:type="dxa" w:w="964"/>
          </w:tcPr>
          <w:p>
            <w:pPr>
              <w:spacing w:after="20" w:before="20"/>
            </w:pPr>
            <w:r/>
            <w:r>
              <w:rPr>
                <w:b w:val="0"/>
                <w:sz w:val="15"/>
              </w:rPr>
              <w:t>11.7 %</w:t>
            </w:r>
          </w:p>
        </w:tc>
        <w:tc>
          <w:tcPr>
            <w:tcW w:type="dxa" w:w="737"/>
          </w:tcPr>
          <w:p>
            <w:pPr>
              <w:spacing w:after="20" w:before="20"/>
            </w:pPr>
            <w:r/>
            <w:r>
              <w:rPr>
                <w:b w:val="0"/>
                <w:sz w:val="15"/>
              </w:rPr>
              <w:t>6.7</w:t>
            </w:r>
          </w:p>
        </w:tc>
        <w:tc>
          <w:tcPr>
            <w:tcW w:type="dxa" w:w="964"/>
          </w:tcPr>
          <w:p>
            <w:pPr>
              <w:spacing w:after="20" w:before="20"/>
            </w:pPr>
            <w:r/>
            <w:r>
              <w:rPr>
                <w:b w:val="0"/>
                <w:sz w:val="15"/>
              </w:rPr>
              <w:t>18.6 %</w:t>
            </w:r>
          </w:p>
        </w:tc>
        <w:tc>
          <w:tcPr>
            <w:tcW w:type="dxa" w:w="737"/>
          </w:tcPr>
          <w:p>
            <w:pPr>
              <w:spacing w:after="20" w:before="20"/>
            </w:pPr>
            <w:r/>
            <w:r>
              <w:rPr>
                <w:b w:val="0"/>
                <w:sz w:val="15"/>
              </w:rPr>
              <w:t>10.5</w:t>
            </w:r>
          </w:p>
        </w:tc>
      </w:tr>
      <w:tr>
        <w:tc>
          <w:tcPr>
            <w:tcW w:type="dxa" w:w="1984"/>
            <w:shd w:val="clear" w:color="auto" w:fill="F2F5F9"/>
          </w:tcPr>
          <w:p>
            <w:pPr>
              <w:spacing w:after="20" w:before="20"/>
            </w:pPr>
            <w:r/>
            <w:r>
              <w:rPr>
                <w:b w:val="0"/>
                <w:sz w:val="15"/>
              </w:rPr>
              <w:t>Road station B</w:t>
            </w:r>
          </w:p>
        </w:tc>
        <w:tc>
          <w:tcPr>
            <w:tcW w:type="dxa" w:w="1077"/>
            <w:shd w:val="clear" w:color="auto" w:fill="F2F5F9"/>
          </w:tcPr>
          <w:p>
            <w:pPr>
              <w:spacing w:after="20" w:before="20"/>
            </w:pPr>
            <w:r/>
            <w:r>
              <w:rPr>
                <w:b w:val="0"/>
                <w:sz w:val="15"/>
              </w:rPr>
              <w:t>389.7</w:t>
            </w:r>
          </w:p>
        </w:tc>
        <w:tc>
          <w:tcPr>
            <w:tcW w:type="dxa" w:w="1077"/>
            <w:shd w:val="clear" w:color="auto" w:fill="F2F5F9"/>
          </w:tcPr>
          <w:p>
            <w:pPr>
              <w:spacing w:after="20" w:before="20"/>
            </w:pPr>
            <w:r/>
            <w:r>
              <w:rPr>
                <w:b w:val="0"/>
                <w:sz w:val="15"/>
              </w:rPr>
              <w:t>332.4</w:t>
            </w:r>
          </w:p>
        </w:tc>
        <w:tc>
          <w:tcPr>
            <w:tcW w:type="dxa" w:w="850"/>
            <w:shd w:val="clear" w:color="auto" w:fill="F2F5F9"/>
          </w:tcPr>
          <w:p>
            <w:pPr>
              <w:spacing w:after="20" w:before="20"/>
            </w:pPr>
            <w:r/>
            <w:r>
              <w:rPr>
                <w:b w:val="0"/>
                <w:sz w:val="15"/>
              </w:rPr>
              <w:t>523</w:t>
            </w:r>
          </w:p>
        </w:tc>
        <w:tc>
          <w:tcPr>
            <w:tcW w:type="dxa" w:w="850"/>
            <w:shd w:val="clear" w:color="auto" w:fill="F2F5F9"/>
          </w:tcPr>
          <w:p>
            <w:pPr>
              <w:spacing w:after="20" w:before="20"/>
            </w:pPr>
            <w:r/>
            <w:r>
              <w:rPr>
                <w:b w:val="0"/>
                <w:sz w:val="15"/>
              </w:rPr>
              <w:t>57.3</w:t>
            </w:r>
          </w:p>
        </w:tc>
        <w:tc>
          <w:tcPr>
            <w:tcW w:type="dxa" w:w="964"/>
            <w:shd w:val="clear" w:color="auto" w:fill="F2F5F9"/>
          </w:tcPr>
          <w:p>
            <w:pPr>
              <w:spacing w:after="20" w:before="20"/>
            </w:pPr>
            <w:r/>
            <w:r>
              <w:rPr>
                <w:b w:val="0"/>
                <w:sz w:val="15"/>
              </w:rPr>
              <w:t>11.0 %</w:t>
            </w:r>
          </w:p>
        </w:tc>
        <w:tc>
          <w:tcPr>
            <w:tcW w:type="dxa" w:w="737"/>
            <w:shd w:val="clear" w:color="auto" w:fill="F2F5F9"/>
          </w:tcPr>
          <w:p>
            <w:pPr>
              <w:spacing w:after="20" w:before="20"/>
            </w:pPr>
            <w:r/>
            <w:r>
              <w:rPr>
                <w:b w:val="0"/>
                <w:sz w:val="15"/>
              </w:rPr>
              <w:t>6.3</w:t>
            </w:r>
          </w:p>
        </w:tc>
        <w:tc>
          <w:tcPr>
            <w:tcW w:type="dxa" w:w="964"/>
            <w:shd w:val="clear" w:color="auto" w:fill="F2F5F9"/>
          </w:tcPr>
          <w:p>
            <w:pPr>
              <w:spacing w:after="20" w:before="20"/>
            </w:pPr>
            <w:r/>
            <w:r>
              <w:rPr>
                <w:b w:val="0"/>
                <w:sz w:val="15"/>
              </w:rPr>
              <w:t>19.1 %</w:t>
            </w:r>
          </w:p>
        </w:tc>
        <w:tc>
          <w:tcPr>
            <w:tcW w:type="dxa" w:w="737"/>
            <w:shd w:val="clear" w:color="auto" w:fill="F2F5F9"/>
          </w:tcPr>
          <w:p>
            <w:pPr>
              <w:spacing w:after="20" w:before="20"/>
            </w:pPr>
            <w:r/>
            <w:r>
              <w:rPr>
                <w:b w:val="0"/>
                <w:sz w:val="15"/>
              </w:rPr>
              <w:t>10.8</w:t>
            </w:r>
          </w:p>
        </w:tc>
      </w:tr>
      <w:tr>
        <w:tc>
          <w:tcPr>
            <w:tcW w:type="dxa" w:w="1984"/>
          </w:tcPr>
          <w:p>
            <w:pPr>
              <w:spacing w:after="20" w:before="20"/>
            </w:pPr>
            <w:r/>
            <w:r>
              <w:rPr>
                <w:b w:val="0"/>
                <w:sz w:val="15"/>
              </w:rPr>
              <w:t>Road station C</w:t>
            </w:r>
          </w:p>
        </w:tc>
        <w:tc>
          <w:tcPr>
            <w:tcW w:type="dxa" w:w="1077"/>
          </w:tcPr>
          <w:p>
            <w:pPr>
              <w:spacing w:after="20" w:before="20"/>
            </w:pPr>
            <w:r/>
            <w:r>
              <w:rPr>
                <w:b w:val="0"/>
                <w:sz w:val="15"/>
              </w:rPr>
              <w:t>390.5</w:t>
            </w:r>
          </w:p>
        </w:tc>
        <w:tc>
          <w:tcPr>
            <w:tcW w:type="dxa" w:w="1077"/>
          </w:tcPr>
          <w:p>
            <w:pPr>
              <w:spacing w:after="20" w:before="20"/>
            </w:pPr>
            <w:r/>
            <w:r>
              <w:rPr>
                <w:b w:val="0"/>
                <w:sz w:val="15"/>
              </w:rPr>
              <w:t>328.7</w:t>
            </w:r>
          </w:p>
        </w:tc>
        <w:tc>
          <w:tcPr>
            <w:tcW w:type="dxa" w:w="850"/>
          </w:tcPr>
          <w:p>
            <w:pPr>
              <w:spacing w:after="20" w:before="20"/>
            </w:pPr>
            <w:r/>
            <w:r>
              <w:rPr>
                <w:b w:val="0"/>
                <w:sz w:val="15"/>
              </w:rPr>
              <w:t>688</w:t>
            </w:r>
          </w:p>
        </w:tc>
        <w:tc>
          <w:tcPr>
            <w:tcW w:type="dxa" w:w="850"/>
          </w:tcPr>
          <w:p>
            <w:pPr>
              <w:spacing w:after="20" w:before="20"/>
            </w:pPr>
            <w:r/>
            <w:r>
              <w:rPr>
                <w:b w:val="0"/>
                <w:sz w:val="15"/>
              </w:rPr>
              <w:t>61.8</w:t>
            </w:r>
          </w:p>
        </w:tc>
        <w:tc>
          <w:tcPr>
            <w:tcW w:type="dxa" w:w="964"/>
          </w:tcPr>
          <w:p>
            <w:pPr>
              <w:spacing w:after="20" w:before="20"/>
            </w:pPr>
            <w:r/>
            <w:r>
              <w:rPr>
                <w:b w:val="0"/>
                <w:sz w:val="15"/>
              </w:rPr>
              <w:t>9.0 %</w:t>
            </w:r>
          </w:p>
        </w:tc>
        <w:tc>
          <w:tcPr>
            <w:tcW w:type="dxa" w:w="737"/>
          </w:tcPr>
          <w:p>
            <w:pPr>
              <w:spacing w:after="20" w:before="20"/>
            </w:pPr>
            <w:r/>
            <w:r>
              <w:rPr>
                <w:b w:val="0"/>
                <w:sz w:val="15"/>
              </w:rPr>
              <w:t>5.1</w:t>
            </w:r>
          </w:p>
        </w:tc>
        <w:tc>
          <w:tcPr>
            <w:tcW w:type="dxa" w:w="964"/>
          </w:tcPr>
          <w:p>
            <w:pPr>
              <w:spacing w:after="20" w:before="20"/>
            </w:pPr>
            <w:r/>
            <w:r>
              <w:rPr>
                <w:b w:val="0"/>
                <w:sz w:val="15"/>
              </w:rPr>
              <w:t>22.4 %</w:t>
            </w:r>
          </w:p>
        </w:tc>
        <w:tc>
          <w:tcPr>
            <w:tcW w:type="dxa" w:w="737"/>
          </w:tcPr>
          <w:p>
            <w:pPr>
              <w:spacing w:after="20" w:before="20"/>
            </w:pPr>
            <w:r/>
            <w:r>
              <w:rPr>
                <w:b w:val="0"/>
                <w:sz w:val="15"/>
              </w:rPr>
              <w:t>12.7</w:t>
            </w:r>
          </w:p>
        </w:tc>
      </w:tr>
      <w:tr>
        <w:tc>
          <w:tcPr>
            <w:tcW w:type="dxa" w:w="1984"/>
            <w:shd w:val="clear" w:color="auto" w:fill="F2F5F9"/>
          </w:tcPr>
          <w:p>
            <w:pPr>
              <w:spacing w:after="20" w:before="20"/>
            </w:pPr>
            <w:r/>
            <w:r>
              <w:rPr>
                <w:b w:val="0"/>
                <w:sz w:val="15"/>
              </w:rPr>
              <w:t>Road station D</w:t>
            </w:r>
          </w:p>
        </w:tc>
        <w:tc>
          <w:tcPr>
            <w:tcW w:type="dxa" w:w="1077"/>
            <w:shd w:val="clear" w:color="auto" w:fill="F2F5F9"/>
          </w:tcPr>
          <w:p>
            <w:pPr>
              <w:spacing w:after="20" w:before="20"/>
            </w:pPr>
            <w:r/>
            <w:r>
              <w:rPr>
                <w:b w:val="0"/>
                <w:sz w:val="15"/>
              </w:rPr>
              <w:t>393.2</w:t>
            </w:r>
          </w:p>
        </w:tc>
        <w:tc>
          <w:tcPr>
            <w:tcW w:type="dxa" w:w="1077"/>
            <w:shd w:val="clear" w:color="auto" w:fill="F2F5F9"/>
          </w:tcPr>
          <w:p>
            <w:pPr>
              <w:spacing w:after="20" w:before="20"/>
            </w:pPr>
            <w:r/>
            <w:r>
              <w:rPr>
                <w:b w:val="0"/>
                <w:sz w:val="15"/>
              </w:rPr>
              <w:t>328.7</w:t>
            </w:r>
          </w:p>
        </w:tc>
        <w:tc>
          <w:tcPr>
            <w:tcW w:type="dxa" w:w="850"/>
            <w:shd w:val="clear" w:color="auto" w:fill="F2F5F9"/>
          </w:tcPr>
          <w:p>
            <w:pPr>
              <w:spacing w:after="20" w:before="20"/>
            </w:pPr>
            <w:r/>
            <w:r>
              <w:rPr>
                <w:b w:val="0"/>
                <w:sz w:val="15"/>
              </w:rPr>
              <w:t>627</w:t>
            </w:r>
          </w:p>
        </w:tc>
        <w:tc>
          <w:tcPr>
            <w:tcW w:type="dxa" w:w="850"/>
            <w:shd w:val="clear" w:color="auto" w:fill="F2F5F9"/>
          </w:tcPr>
          <w:p>
            <w:pPr>
              <w:spacing w:after="20" w:before="20"/>
            </w:pPr>
            <w:r/>
            <w:r>
              <w:rPr>
                <w:b w:val="0"/>
                <w:sz w:val="15"/>
              </w:rPr>
              <w:t>65.0</w:t>
            </w:r>
          </w:p>
        </w:tc>
        <w:tc>
          <w:tcPr>
            <w:tcW w:type="dxa" w:w="964"/>
            <w:shd w:val="clear" w:color="auto" w:fill="F2F5F9"/>
          </w:tcPr>
          <w:p>
            <w:pPr>
              <w:spacing w:after="20" w:before="20"/>
            </w:pPr>
            <w:r/>
            <w:r>
              <w:rPr>
                <w:b w:val="0"/>
                <w:sz w:val="15"/>
              </w:rPr>
              <w:t>10.3 %</w:t>
            </w:r>
          </w:p>
        </w:tc>
        <w:tc>
          <w:tcPr>
            <w:tcW w:type="dxa" w:w="737"/>
            <w:shd w:val="clear" w:color="auto" w:fill="F2F5F9"/>
          </w:tcPr>
          <w:p>
            <w:pPr>
              <w:spacing w:after="20" w:before="20"/>
            </w:pPr>
            <w:r/>
            <w:r>
              <w:rPr>
                <w:b w:val="0"/>
                <w:sz w:val="15"/>
              </w:rPr>
              <w:t>5.9</w:t>
            </w:r>
          </w:p>
        </w:tc>
        <w:tc>
          <w:tcPr>
            <w:tcW w:type="dxa" w:w="964"/>
            <w:shd w:val="clear" w:color="auto" w:fill="F2F5F9"/>
          </w:tcPr>
          <w:p>
            <w:pPr>
              <w:spacing w:after="20" w:before="20"/>
            </w:pPr>
            <w:r/>
            <w:r>
              <w:rPr>
                <w:b w:val="0"/>
                <w:sz w:val="15"/>
              </w:rPr>
              <w:t>21.8 %</w:t>
            </w:r>
          </w:p>
        </w:tc>
        <w:tc>
          <w:tcPr>
            <w:tcW w:type="dxa" w:w="737"/>
            <w:shd w:val="clear" w:color="auto" w:fill="F2F5F9"/>
          </w:tcPr>
          <w:p>
            <w:pPr>
              <w:spacing w:after="20" w:before="20"/>
            </w:pPr>
            <w:r/>
            <w:r>
              <w:rPr>
                <w:b w:val="0"/>
                <w:sz w:val="15"/>
              </w:rPr>
              <w:t>12.3</w:t>
            </w:r>
          </w:p>
        </w:tc>
      </w:tr>
    </w:tbl>
    <w:p>
      <w:pPr>
        <w:spacing w:after="40"/>
      </w:pPr>
    </w:p>
    <w:p>
      <w:pPr>
        <w:spacing w:after="80" w:before="0"/>
      </w:pPr>
      <w:r>
        <w:rPr>
          <w:b/>
          <w:i w:val="0"/>
          <w:sz w:val="18"/>
        </w:rPr>
        <w:t>Within the first 310 ft back from the road — the depth a 1.07-acre lot can actually occupy:</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2041"/>
            <w:shd w:val="clear" w:color="auto" w:fill="1F4E79"/>
          </w:tcPr>
          <w:p>
            <w:pPr>
              <w:spacing w:after="20" w:before="20"/>
            </w:pPr>
            <w:r/>
            <w:r>
              <w:rPr>
                <w:b/>
                <w:color w:val="FFFFFF"/>
                <w:sz w:val="16"/>
              </w:rPr>
              <w:t>Position along frontage</w:t>
            </w:r>
          </w:p>
        </w:tc>
        <w:tc>
          <w:tcPr>
            <w:tcW w:type="dxa" w:w="1587"/>
            <w:shd w:val="clear" w:color="auto" w:fill="1F4E79"/>
          </w:tcPr>
          <w:p>
            <w:pPr>
              <w:spacing w:after="20" w:before="20"/>
            </w:pPr>
            <w:r/>
            <w:r>
              <w:rPr>
                <w:b/>
                <w:color w:val="FFFFFF"/>
                <w:sz w:val="16"/>
              </w:rPr>
              <w:t>Elev at road (ft)</w:t>
            </w:r>
          </w:p>
        </w:tc>
        <w:tc>
          <w:tcPr>
            <w:tcW w:type="dxa" w:w="1871"/>
            <w:shd w:val="clear" w:color="auto" w:fill="1F4E79"/>
          </w:tcPr>
          <w:p>
            <w:pPr>
              <w:spacing w:after="20" w:before="20"/>
            </w:pPr>
            <w:r/>
            <w:r>
              <w:rPr>
                <w:b/>
                <w:color w:val="FFFFFF"/>
                <w:sz w:val="16"/>
              </w:rPr>
              <w:t>Elev at 310 ft back (ft)</w:t>
            </w:r>
          </w:p>
        </w:tc>
        <w:tc>
          <w:tcPr>
            <w:tcW w:type="dxa" w:w="1077"/>
            <w:shd w:val="clear" w:color="auto" w:fill="1F4E79"/>
          </w:tcPr>
          <w:p>
            <w:pPr>
              <w:spacing w:after="20" w:before="20"/>
            </w:pPr>
            <w:r/>
            <w:r>
              <w:rPr>
                <w:b/>
                <w:color w:val="FFFFFF"/>
                <w:sz w:val="16"/>
              </w:rPr>
              <w:t>Drop (ft)</w:t>
            </w:r>
          </w:p>
        </w:tc>
        <w:tc>
          <w:tcPr>
            <w:tcW w:type="dxa" w:w="1474"/>
            <w:shd w:val="clear" w:color="auto" w:fill="1F4E79"/>
          </w:tcPr>
          <w:p>
            <w:pPr>
              <w:spacing w:after="20" w:before="20"/>
            </w:pPr>
            <w:r/>
            <w:r>
              <w:rPr>
                <w:b/>
                <w:color w:val="FFFFFF"/>
                <w:sz w:val="16"/>
              </w:rPr>
              <w:t>Avg slope</w:t>
            </w:r>
          </w:p>
        </w:tc>
        <w:tc>
          <w:tcPr>
            <w:tcW w:type="dxa" w:w="1361"/>
            <w:shd w:val="clear" w:color="auto" w:fill="1F4E79"/>
          </w:tcPr>
          <w:p>
            <w:pPr>
              <w:spacing w:after="20" w:before="20"/>
            </w:pPr>
            <w:r/>
            <w:r>
              <w:rPr>
                <w:b/>
                <w:color w:val="FFFFFF"/>
                <w:sz w:val="16"/>
              </w:rPr>
              <w:t>Steepest 50 ft</w:t>
            </w:r>
          </w:p>
        </w:tc>
      </w:tr>
      <w:tr>
        <w:tc>
          <w:tcPr>
            <w:tcW w:type="dxa" w:w="2041"/>
          </w:tcPr>
          <w:p>
            <w:pPr>
              <w:spacing w:after="20" w:before="20"/>
            </w:pPr>
            <w:r/>
            <w:r>
              <w:rPr>
                <w:b w:val="0"/>
                <w:sz w:val="16"/>
              </w:rPr>
              <w:t>West</w:t>
            </w:r>
          </w:p>
        </w:tc>
        <w:tc>
          <w:tcPr>
            <w:tcW w:type="dxa" w:w="1587"/>
          </w:tcPr>
          <w:p>
            <w:pPr>
              <w:spacing w:after="20" w:before="20"/>
            </w:pPr>
            <w:r/>
            <w:r>
              <w:rPr>
                <w:b w:val="0"/>
                <w:sz w:val="16"/>
              </w:rPr>
              <w:t>387.3</w:t>
            </w:r>
          </w:p>
        </w:tc>
        <w:tc>
          <w:tcPr>
            <w:tcW w:type="dxa" w:w="1871"/>
          </w:tcPr>
          <w:p>
            <w:pPr>
              <w:spacing w:after="20" w:before="20"/>
            </w:pPr>
            <w:r/>
            <w:r>
              <w:rPr>
                <w:b w:val="0"/>
                <w:sz w:val="16"/>
              </w:rPr>
              <w:t>347.5</w:t>
            </w:r>
          </w:p>
        </w:tc>
        <w:tc>
          <w:tcPr>
            <w:tcW w:type="dxa" w:w="1077"/>
          </w:tcPr>
          <w:p>
            <w:pPr>
              <w:spacing w:after="20" w:before="20"/>
            </w:pPr>
            <w:r/>
            <w:r>
              <w:rPr>
                <w:b w:val="0"/>
                <w:sz w:val="16"/>
              </w:rPr>
              <w:t>39.7</w:t>
            </w:r>
          </w:p>
        </w:tc>
        <w:tc>
          <w:tcPr>
            <w:tcW w:type="dxa" w:w="1474"/>
          </w:tcPr>
          <w:p>
            <w:pPr>
              <w:spacing w:after="20" w:before="20"/>
            </w:pPr>
            <w:r/>
            <w:r>
              <w:rPr>
                <w:b w:val="0"/>
                <w:sz w:val="16"/>
              </w:rPr>
              <w:t>12.8 % (7.3 deg)</w:t>
            </w:r>
          </w:p>
        </w:tc>
        <w:tc>
          <w:tcPr>
            <w:tcW w:type="dxa" w:w="1361"/>
          </w:tcPr>
          <w:p>
            <w:pPr>
              <w:spacing w:after="20" w:before="20"/>
            </w:pPr>
            <w:r/>
            <w:r>
              <w:rPr>
                <w:b w:val="0"/>
                <w:sz w:val="16"/>
              </w:rPr>
              <w:t>15.2 % (8.7 deg)</w:t>
            </w:r>
          </w:p>
        </w:tc>
      </w:tr>
      <w:tr>
        <w:tc>
          <w:tcPr>
            <w:tcW w:type="dxa" w:w="2041"/>
            <w:shd w:val="clear" w:color="auto" w:fill="F2F5F9"/>
          </w:tcPr>
          <w:p>
            <w:pPr>
              <w:spacing w:after="20" w:before="20"/>
            </w:pPr>
            <w:r/>
            <w:r>
              <w:rPr>
                <w:b w:val="0"/>
                <w:sz w:val="16"/>
              </w:rPr>
              <w:t>Middle</w:t>
            </w:r>
          </w:p>
        </w:tc>
        <w:tc>
          <w:tcPr>
            <w:tcW w:type="dxa" w:w="1587"/>
            <w:shd w:val="clear" w:color="auto" w:fill="F2F5F9"/>
          </w:tcPr>
          <w:p>
            <w:pPr>
              <w:spacing w:after="20" w:before="20"/>
            </w:pPr>
            <w:r/>
            <w:r>
              <w:rPr>
                <w:b w:val="0"/>
                <w:sz w:val="16"/>
              </w:rPr>
              <w:t>389.7</w:t>
            </w:r>
          </w:p>
        </w:tc>
        <w:tc>
          <w:tcPr>
            <w:tcW w:type="dxa" w:w="1871"/>
            <w:shd w:val="clear" w:color="auto" w:fill="F2F5F9"/>
          </w:tcPr>
          <w:p>
            <w:pPr>
              <w:spacing w:after="20" w:before="20"/>
            </w:pPr>
            <w:r/>
            <w:r>
              <w:rPr>
                <w:b w:val="0"/>
                <w:sz w:val="16"/>
              </w:rPr>
              <w:t>357.0</w:t>
            </w:r>
          </w:p>
        </w:tc>
        <w:tc>
          <w:tcPr>
            <w:tcW w:type="dxa" w:w="1077"/>
            <w:shd w:val="clear" w:color="auto" w:fill="F2F5F9"/>
          </w:tcPr>
          <w:p>
            <w:pPr>
              <w:spacing w:after="20" w:before="20"/>
            </w:pPr>
            <w:r/>
            <w:r>
              <w:rPr>
                <w:b w:val="0"/>
                <w:sz w:val="16"/>
              </w:rPr>
              <w:t>32.7</w:t>
            </w:r>
          </w:p>
        </w:tc>
        <w:tc>
          <w:tcPr>
            <w:tcW w:type="dxa" w:w="1474"/>
            <w:shd w:val="clear" w:color="auto" w:fill="F2F5F9"/>
          </w:tcPr>
          <w:p>
            <w:pPr>
              <w:spacing w:after="20" w:before="20"/>
            </w:pPr>
            <w:r/>
            <w:r>
              <w:rPr>
                <w:b w:val="0"/>
                <w:sz w:val="16"/>
              </w:rPr>
              <w:t>10.5 % (6.0 deg)</w:t>
            </w:r>
          </w:p>
        </w:tc>
        <w:tc>
          <w:tcPr>
            <w:tcW w:type="dxa" w:w="1361"/>
            <w:shd w:val="clear" w:color="auto" w:fill="F2F5F9"/>
          </w:tcPr>
          <w:p>
            <w:pPr>
              <w:spacing w:after="20" w:before="20"/>
            </w:pPr>
            <w:r/>
            <w:r>
              <w:rPr>
                <w:b w:val="0"/>
                <w:sz w:val="16"/>
              </w:rPr>
              <w:t>18.0 % (10.2 deg)</w:t>
            </w:r>
          </w:p>
        </w:tc>
      </w:tr>
      <w:tr>
        <w:tc>
          <w:tcPr>
            <w:tcW w:type="dxa" w:w="2041"/>
          </w:tcPr>
          <w:p>
            <w:pPr>
              <w:spacing w:after="20" w:before="20"/>
            </w:pPr>
            <w:r/>
            <w:r>
              <w:rPr>
                <w:b w:val="0"/>
                <w:sz w:val="16"/>
              </w:rPr>
              <w:t>East</w:t>
            </w:r>
          </w:p>
        </w:tc>
        <w:tc>
          <w:tcPr>
            <w:tcW w:type="dxa" w:w="1587"/>
          </w:tcPr>
          <w:p>
            <w:pPr>
              <w:spacing w:after="20" w:before="20"/>
            </w:pPr>
            <w:r/>
            <w:r>
              <w:rPr>
                <w:b w:val="0"/>
                <w:sz w:val="16"/>
              </w:rPr>
              <w:t>390.5</w:t>
            </w:r>
          </w:p>
        </w:tc>
        <w:tc>
          <w:tcPr>
            <w:tcW w:type="dxa" w:w="1871"/>
          </w:tcPr>
          <w:p>
            <w:pPr>
              <w:spacing w:after="20" w:before="20"/>
            </w:pPr>
            <w:r/>
            <w:r>
              <w:rPr>
                <w:b w:val="0"/>
                <w:sz w:val="16"/>
              </w:rPr>
              <w:t>371.9</w:t>
            </w:r>
          </w:p>
        </w:tc>
        <w:tc>
          <w:tcPr>
            <w:tcW w:type="dxa" w:w="1077"/>
          </w:tcPr>
          <w:p>
            <w:pPr>
              <w:spacing w:after="20" w:before="20"/>
            </w:pPr>
            <w:r/>
            <w:r>
              <w:rPr>
                <w:b w:val="0"/>
                <w:sz w:val="16"/>
              </w:rPr>
              <w:t>18.6</w:t>
            </w:r>
          </w:p>
        </w:tc>
        <w:tc>
          <w:tcPr>
            <w:tcW w:type="dxa" w:w="1474"/>
          </w:tcPr>
          <w:p>
            <w:pPr>
              <w:spacing w:after="20" w:before="20"/>
            </w:pPr>
            <w:r/>
            <w:r>
              <w:rPr>
                <w:b w:val="0"/>
                <w:sz w:val="16"/>
              </w:rPr>
              <w:t>6.0 % (3.4 deg)</w:t>
            </w:r>
          </w:p>
        </w:tc>
        <w:tc>
          <w:tcPr>
            <w:tcW w:type="dxa" w:w="1361"/>
          </w:tcPr>
          <w:p>
            <w:pPr>
              <w:spacing w:after="20" w:before="20"/>
            </w:pPr>
            <w:r/>
            <w:r>
              <w:rPr>
                <w:b w:val="0"/>
                <w:sz w:val="16"/>
              </w:rPr>
              <w:t>8.5 % (4.8 deg)</w:t>
            </w:r>
          </w:p>
        </w:tc>
      </w:tr>
    </w:tbl>
    <w:p>
      <w:pPr>
        <w:spacing w:after="40"/>
      </w:pPr>
    </w:p>
    <w:p>
      <w:pPr>
        <w:spacing w:after="80" w:before="0"/>
      </w:pPr>
      <w:r>
        <w:rPr>
          <w:b/>
          <w:i w:val="0"/>
          <w:sz w:val="18"/>
        </w:rPr>
        <w:t>Depth back from the road at which the ground first reaches a given elevation — the single most important table in this report: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94"/>
            <w:shd w:val="clear" w:color="auto" w:fill="1F4E79"/>
          </w:tcPr>
          <w:p>
            <w:pPr>
              <w:spacing w:after="20" w:before="20"/>
            </w:pPr>
            <w:r/>
            <w:r>
              <w:rPr>
                <w:b/>
                <w:color w:val="FFFFFF"/>
                <w:sz w:val="16"/>
              </w:rPr>
              <w:t>Target elevation</w:t>
            </w:r>
          </w:p>
        </w:tc>
        <w:tc>
          <w:tcPr>
            <w:tcW w:type="dxa" w:w="2268"/>
            <w:shd w:val="clear" w:color="auto" w:fill="1F4E79"/>
          </w:tcPr>
          <w:p>
            <w:pPr>
              <w:spacing w:after="20" w:before="20"/>
            </w:pPr>
            <w:r/>
            <w:r>
              <w:rPr>
                <w:b/>
                <w:color w:val="FFFFFF"/>
                <w:sz w:val="16"/>
              </w:rPr>
              <w:t>West station</w:t>
            </w:r>
          </w:p>
        </w:tc>
        <w:tc>
          <w:tcPr>
            <w:tcW w:type="dxa" w:w="2268"/>
            <w:shd w:val="clear" w:color="auto" w:fill="1F4E79"/>
          </w:tcPr>
          <w:p>
            <w:pPr>
              <w:spacing w:after="20" w:before="20"/>
            </w:pPr>
            <w:r/>
            <w:r>
              <w:rPr>
                <w:b/>
                <w:color w:val="FFFFFF"/>
                <w:sz w:val="16"/>
              </w:rPr>
              <w:t>Middle station</w:t>
            </w:r>
          </w:p>
        </w:tc>
        <w:tc>
          <w:tcPr>
            <w:tcW w:type="dxa" w:w="2381"/>
            <w:shd w:val="clear" w:color="auto" w:fill="1F4E79"/>
          </w:tcPr>
          <w:p>
            <w:pPr>
              <w:spacing w:after="20" w:before="20"/>
            </w:pPr>
            <w:r/>
            <w:r>
              <w:rPr>
                <w:b/>
                <w:color w:val="FFFFFF"/>
                <w:sz w:val="16"/>
              </w:rPr>
              <w:t>East station</w:t>
            </w:r>
          </w:p>
        </w:tc>
      </w:tr>
      <w:tr>
        <w:tc>
          <w:tcPr>
            <w:tcW w:type="dxa" w:w="2494"/>
          </w:tcPr>
          <w:p>
            <w:pPr>
              <w:spacing w:after="20" w:before="20"/>
            </w:pPr>
            <w:r/>
            <w:r>
              <w:rPr>
                <w:b w:val="0"/>
                <w:sz w:val="16"/>
              </w:rPr>
              <w:t>380 ft</w:t>
            </w:r>
          </w:p>
        </w:tc>
        <w:tc>
          <w:tcPr>
            <w:tcW w:type="dxa" w:w="2268"/>
          </w:tcPr>
          <w:p>
            <w:pPr>
              <w:spacing w:after="20" w:before="20"/>
            </w:pPr>
            <w:r/>
            <w:r>
              <w:rPr>
                <w:b w:val="0"/>
                <w:sz w:val="16"/>
              </w:rPr>
              <w:t>60 ft</w:t>
            </w:r>
          </w:p>
        </w:tc>
        <w:tc>
          <w:tcPr>
            <w:tcW w:type="dxa" w:w="2268"/>
          </w:tcPr>
          <w:p>
            <w:pPr>
              <w:spacing w:after="20" w:before="20"/>
            </w:pPr>
            <w:r/>
            <w:r>
              <w:rPr>
                <w:b w:val="0"/>
                <w:sz w:val="16"/>
              </w:rPr>
              <w:t>135 ft</w:t>
            </w:r>
          </w:p>
        </w:tc>
        <w:tc>
          <w:tcPr>
            <w:tcW w:type="dxa" w:w="2381"/>
          </w:tcPr>
          <w:p>
            <w:pPr>
              <w:spacing w:after="20" w:before="20"/>
            </w:pPr>
            <w:r/>
            <w:r>
              <w:rPr>
                <w:b w:val="0"/>
                <w:sz w:val="16"/>
              </w:rPr>
              <w:t>145 ft</w:t>
            </w:r>
          </w:p>
        </w:tc>
      </w:tr>
      <w:tr>
        <w:tc>
          <w:tcPr>
            <w:tcW w:type="dxa" w:w="2494"/>
            <w:shd w:val="clear" w:color="auto" w:fill="F2F5F9"/>
          </w:tcPr>
          <w:p>
            <w:pPr>
              <w:spacing w:after="20" w:before="20"/>
            </w:pPr>
            <w:r/>
            <w:r>
              <w:rPr>
                <w:b w:val="0"/>
                <w:sz w:val="16"/>
              </w:rPr>
              <w:t>370 ft</w:t>
            </w:r>
          </w:p>
        </w:tc>
        <w:tc>
          <w:tcPr>
            <w:tcW w:type="dxa" w:w="2268"/>
            <w:shd w:val="clear" w:color="auto" w:fill="F2F5F9"/>
          </w:tcPr>
          <w:p>
            <w:pPr>
              <w:spacing w:after="20" w:before="20"/>
            </w:pPr>
            <w:r/>
            <w:r>
              <w:rPr>
                <w:b w:val="0"/>
                <w:sz w:val="16"/>
              </w:rPr>
              <w:t>140 ft</w:t>
            </w:r>
          </w:p>
        </w:tc>
        <w:tc>
          <w:tcPr>
            <w:tcW w:type="dxa" w:w="2268"/>
            <w:shd w:val="clear" w:color="auto" w:fill="F2F5F9"/>
          </w:tcPr>
          <w:p>
            <w:pPr>
              <w:spacing w:after="20" w:before="20"/>
            </w:pPr>
            <w:r/>
            <w:r>
              <w:rPr>
                <w:b w:val="0"/>
                <w:sz w:val="16"/>
              </w:rPr>
              <w:t>195 ft</w:t>
            </w:r>
          </w:p>
        </w:tc>
        <w:tc>
          <w:tcPr>
            <w:tcW w:type="dxa" w:w="2381"/>
            <w:shd w:val="clear" w:color="auto" w:fill="F2F5F9"/>
          </w:tcPr>
          <w:p>
            <w:pPr>
              <w:spacing w:after="20" w:before="20"/>
            </w:pPr>
            <w:r/>
            <w:r>
              <w:rPr>
                <w:b w:val="0"/>
                <w:sz w:val="16"/>
              </w:rPr>
              <w:t>345 ft</w:t>
            </w:r>
          </w:p>
        </w:tc>
      </w:tr>
      <w:tr>
        <w:tc>
          <w:tcPr>
            <w:tcW w:type="dxa" w:w="2494"/>
          </w:tcPr>
          <w:p>
            <w:pPr>
              <w:spacing w:after="20" w:before="20"/>
            </w:pPr>
            <w:r/>
            <w:r>
              <w:rPr>
                <w:b w:val="0"/>
                <w:sz w:val="16"/>
              </w:rPr>
              <w:t>360 ft</w:t>
            </w:r>
          </w:p>
        </w:tc>
        <w:tc>
          <w:tcPr>
            <w:tcW w:type="dxa" w:w="2268"/>
          </w:tcPr>
          <w:p>
            <w:pPr>
              <w:spacing w:after="20" w:before="20"/>
            </w:pPr>
            <w:r/>
            <w:r>
              <w:rPr>
                <w:b w:val="0"/>
                <w:sz w:val="16"/>
              </w:rPr>
              <w:t>210 ft</w:t>
            </w:r>
          </w:p>
        </w:tc>
        <w:tc>
          <w:tcPr>
            <w:tcW w:type="dxa" w:w="2268"/>
          </w:tcPr>
          <w:p>
            <w:pPr>
              <w:spacing w:after="20" w:before="20"/>
            </w:pPr>
            <w:r/>
            <w:r>
              <w:rPr>
                <w:b w:val="0"/>
                <w:sz w:val="16"/>
              </w:rPr>
              <w:t>260 ft</w:t>
            </w:r>
          </w:p>
        </w:tc>
        <w:tc>
          <w:tcPr>
            <w:tcW w:type="dxa" w:w="2381"/>
          </w:tcPr>
          <w:p>
            <w:pPr>
              <w:spacing w:after="20" w:before="20"/>
            </w:pPr>
            <w:r/>
            <w:r>
              <w:rPr>
                <w:b w:val="0"/>
                <w:sz w:val="16"/>
              </w:rPr>
              <w:t>515 ft</w:t>
            </w:r>
          </w:p>
        </w:tc>
      </w:tr>
      <w:tr>
        <w:tc>
          <w:tcPr>
            <w:tcW w:type="dxa" w:w="2494"/>
            <w:shd w:val="clear" w:color="auto" w:fill="F2F5F9"/>
          </w:tcPr>
          <w:p>
            <w:pPr>
              <w:spacing w:after="20" w:before="20"/>
            </w:pPr>
            <w:r/>
            <w:r>
              <w:rPr>
                <w:b w:val="0"/>
                <w:sz w:val="16"/>
              </w:rPr>
              <w:t>350 ft</w:t>
            </w:r>
          </w:p>
        </w:tc>
        <w:tc>
          <w:tcPr>
            <w:tcW w:type="dxa" w:w="2268"/>
            <w:shd w:val="clear" w:color="auto" w:fill="F2F5F9"/>
          </w:tcPr>
          <w:p>
            <w:pPr>
              <w:spacing w:after="20" w:before="20"/>
            </w:pPr>
            <w:r/>
            <w:r>
              <w:rPr>
                <w:b w:val="0"/>
                <w:sz w:val="16"/>
              </w:rPr>
              <w:t>290 ft</w:t>
            </w:r>
          </w:p>
        </w:tc>
        <w:tc>
          <w:tcPr>
            <w:tcW w:type="dxa" w:w="2268"/>
            <w:shd w:val="clear" w:color="auto" w:fill="F2F5F9"/>
          </w:tcPr>
          <w:p>
            <w:pPr>
              <w:spacing w:after="20" w:before="20"/>
            </w:pPr>
            <w:r/>
            <w:r>
              <w:rPr>
                <w:b w:val="0"/>
                <w:sz w:val="16"/>
              </w:rPr>
              <w:t>800 ft</w:t>
            </w:r>
          </w:p>
        </w:tc>
        <w:tc>
          <w:tcPr>
            <w:tcW w:type="dxa" w:w="2381"/>
            <w:shd w:val="clear" w:color="auto" w:fill="F2F5F9"/>
          </w:tcPr>
          <w:p>
            <w:pPr>
              <w:spacing w:after="20" w:before="20"/>
            </w:pPr>
            <w:r/>
            <w:r>
              <w:rPr>
                <w:b w:val="0"/>
                <w:sz w:val="16"/>
              </w:rPr>
              <w:t>beyond 900 ft</w:t>
            </w:r>
          </w:p>
        </w:tc>
      </w:tr>
      <w:tr>
        <w:tc>
          <w:tcPr>
            <w:tcW w:type="dxa" w:w="2494"/>
          </w:tcPr>
          <w:p>
            <w:pPr>
              <w:spacing w:after="20" w:before="20"/>
            </w:pPr>
            <w:r/>
            <w:r>
              <w:rPr>
                <w:b w:val="0"/>
                <w:sz w:val="16"/>
              </w:rPr>
              <w:t>340 ft</w:t>
            </w:r>
          </w:p>
        </w:tc>
        <w:tc>
          <w:tcPr>
            <w:tcW w:type="dxa" w:w="2268"/>
          </w:tcPr>
          <w:p>
            <w:pPr>
              <w:spacing w:after="20" w:before="20"/>
            </w:pPr>
            <w:r/>
            <w:r>
              <w:rPr>
                <w:b w:val="0"/>
                <w:sz w:val="16"/>
              </w:rPr>
              <w:t>490 ft</w:t>
            </w:r>
          </w:p>
        </w:tc>
        <w:tc>
          <w:tcPr>
            <w:tcW w:type="dxa" w:w="2268"/>
          </w:tcPr>
          <w:p>
            <w:pPr>
              <w:spacing w:after="20" w:before="20"/>
            </w:pPr>
            <w:r/>
            <w:r>
              <w:rPr>
                <w:b w:val="0"/>
                <w:sz w:val="16"/>
              </w:rPr>
              <w:t>beyond 900 ft</w:t>
            </w:r>
          </w:p>
        </w:tc>
        <w:tc>
          <w:tcPr>
            <w:tcW w:type="dxa" w:w="2381"/>
          </w:tcPr>
          <w:p>
            <w:pPr>
              <w:spacing w:after="20" w:before="20"/>
            </w:pPr>
            <w:r/>
            <w:r>
              <w:rPr>
                <w:b w:val="0"/>
                <w:sz w:val="16"/>
              </w:rPr>
              <w:t>beyond 900 ft</w:t>
            </w:r>
          </w:p>
        </w:tc>
      </w:tr>
      <w:tr>
        <w:tc>
          <w:tcPr>
            <w:tcW w:type="dxa" w:w="2494"/>
            <w:shd w:val="clear" w:color="auto" w:fill="F2F5F9"/>
          </w:tcPr>
          <w:p>
            <w:pPr>
              <w:spacing w:after="20" w:before="20"/>
            </w:pPr>
            <w:r/>
            <w:r>
              <w:rPr>
                <w:b w:val="0"/>
                <w:sz w:val="16"/>
              </w:rPr>
              <w:t>335 ft (top of gates)</w:t>
            </w:r>
          </w:p>
        </w:tc>
        <w:tc>
          <w:tcPr>
            <w:tcW w:type="dxa" w:w="2268"/>
            <w:shd w:val="clear" w:color="auto" w:fill="F2F5F9"/>
          </w:tcPr>
          <w:p>
            <w:pPr>
              <w:spacing w:after="20" w:before="20"/>
            </w:pPr>
            <w:r/>
            <w:r>
              <w:rPr>
                <w:b w:val="0"/>
                <w:sz w:val="16"/>
              </w:rPr>
              <w:t>595 ft</w:t>
            </w:r>
          </w:p>
        </w:tc>
        <w:tc>
          <w:tcPr>
            <w:tcW w:type="dxa" w:w="2268"/>
            <w:shd w:val="clear" w:color="auto" w:fill="F2F5F9"/>
          </w:tcPr>
          <w:p>
            <w:pPr>
              <w:spacing w:after="20" w:before="20"/>
            </w:pPr>
            <w:r/>
            <w:r>
              <w:rPr>
                <w:b w:val="0"/>
                <w:sz w:val="16"/>
              </w:rPr>
              <w:t>beyond 900 ft</w:t>
            </w:r>
          </w:p>
        </w:tc>
        <w:tc>
          <w:tcPr>
            <w:tcW w:type="dxa" w:w="2381"/>
            <w:shd w:val="clear" w:color="auto" w:fill="F2F5F9"/>
          </w:tcPr>
          <w:p>
            <w:pPr>
              <w:spacing w:after="20" w:before="20"/>
            </w:pPr>
            <w:r/>
            <w:r>
              <w:rPr>
                <w:b w:val="0"/>
                <w:sz w:val="16"/>
              </w:rPr>
              <w:t>beyond 900 ft</w:t>
            </w:r>
          </w:p>
        </w:tc>
      </w:tr>
      <w:tr>
        <w:tc>
          <w:tcPr>
            <w:tcW w:type="dxa" w:w="2494"/>
          </w:tcPr>
          <w:p>
            <w:pPr>
              <w:spacing w:after="20" w:before="20"/>
            </w:pPr>
            <w:r/>
            <w:r>
              <w:rPr>
                <w:b/>
                <w:sz w:val="16"/>
              </w:rPr>
              <w:t>330 ft (FULL POOL)</w:t>
            </w:r>
          </w:p>
        </w:tc>
        <w:tc>
          <w:tcPr>
            <w:tcW w:type="dxa" w:w="2268"/>
          </w:tcPr>
          <w:p>
            <w:pPr>
              <w:spacing w:after="20" w:before="20"/>
            </w:pPr>
            <w:r/>
            <w:r>
              <w:rPr>
                <w:b/>
                <w:sz w:val="16"/>
              </w:rPr>
              <w:t>720 ft</w:t>
            </w:r>
          </w:p>
        </w:tc>
        <w:tc>
          <w:tcPr>
            <w:tcW w:type="dxa" w:w="2268"/>
          </w:tcPr>
          <w:p>
            <w:pPr>
              <w:spacing w:after="20" w:before="20"/>
            </w:pPr>
            <w:r/>
            <w:r>
              <w:rPr>
                <w:b/>
                <w:sz w:val="16"/>
              </w:rPr>
              <w:t>beyond 900 ft</w:t>
            </w:r>
          </w:p>
        </w:tc>
        <w:tc>
          <w:tcPr>
            <w:tcW w:type="dxa" w:w="2381"/>
          </w:tcPr>
          <w:p>
            <w:pPr>
              <w:spacing w:after="20" w:before="20"/>
            </w:pPr>
            <w:r/>
            <w:r>
              <w:rPr>
                <w:b/>
                <w:sz w:val="16"/>
              </w:rPr>
              <w:t>beyond 900 ft</w:t>
            </w:r>
          </w:p>
        </w:tc>
      </w:tr>
    </w:tbl>
    <w:p>
      <w:pPr>
        <w:spacing w:after="40"/>
      </w:pPr>
    </w:p>
    <w:p>
      <w:pPr>
        <w:spacing w:after="80" w:before="0"/>
      </w:pPr>
      <w:r>
        <w:rPr>
          <w:b/>
          <w:i w:val="0"/>
          <w:sz w:val="18"/>
        </w:rPr>
        <w:t>Read the last row carefully. A lot 310 ft deep cannot reach water that is 720 ft or more away. Even a narrow, deep lot shape would have to be about 65 ft wide to reach full pool at 1.07 acres. The inescapable conclusion is that the rear boundary stops on the USACE line, well above and well back from the water.</w:t>
      </w:r>
    </w:p>
    <w:p>
      <w:pPr>
        <w:spacing w:before="20" w:after="80"/>
      </w:pPr>
      <w:r>
        <w:rPr>
          <w:b/>
          <w:color w:val="B46B00"/>
          <w:sz w:val="15"/>
        </w:rPr>
        <w:t>[MODEL-DERIVED ESTIMATE]</w:t>
      </w:r>
      <w:r>
        <w:rPr>
          <w:i/>
          <w:color w:val="555555"/>
          <w:sz w:val="15"/>
        </w:rPr>
        <w:t xml:space="preserve">  Derived from 1 m lidar along due-north transects. Actual lot orientation may differ; the order of magnitude will not.</w:t>
      </w:r>
    </w:p>
    <w:p>
      <w:pPr>
        <w:pStyle w:val="Heading2"/>
      </w:pPr>
      <w:r>
        <w:t>7. Terrain classification</w:t>
      </w:r>
    </w:p>
    <w:p>
      <w:pPr>
        <w:spacing w:before="120" w:after="40"/>
        <w:jc w:val="center"/>
      </w:pPr>
      <w:r>
        <w:drawing>
          <wp:inline xmlns:a="http://schemas.openxmlformats.org/drawingml/2006/main" xmlns:pic="http://schemas.openxmlformats.org/drawingml/2006/picture">
            <wp:extent cx="5940000" cy="4651670"/>
            <wp:docPr id="3" name="Picture 3"/>
            <wp:cNvGraphicFramePr>
              <a:graphicFrameLocks noChangeAspect="1"/>
            </wp:cNvGraphicFramePr>
            <a:graphic>
              <a:graphicData uri="http://schemas.openxmlformats.org/drawingml/2006/picture">
                <pic:pic>
                  <pic:nvPicPr>
                    <pic:cNvPr id="0" name="fig4_slope.png"/>
                    <pic:cNvPicPr/>
                  </pic:nvPicPr>
                  <pic:blipFill>
                    <a:blip r:embed="rId12"/>
                    <a:stretch>
                      <a:fillRect/>
                    </a:stretch>
                  </pic:blipFill>
                  <pic:spPr>
                    <a:xfrm>
                      <a:off x="0" y="0"/>
                      <a:ext cx="5940000" cy="4651670"/>
                    </a:xfrm>
                    <a:prstGeom prst="rect"/>
                  </pic:spPr>
                </pic:pic>
              </a:graphicData>
            </a:graphic>
          </wp:inline>
        </w:drawing>
      </w:r>
    </w:p>
    <w:p>
      <w:pPr>
        <w:spacing w:after="160"/>
        <w:jc w:val="center"/>
      </w:pPr>
      <w:r>
        <w:rPr>
          <w:i/>
          <w:color w:val="555555"/>
          <w:sz w:val="15"/>
        </w:rPr>
        <w:t>Fig. 4 — Slope classification. Green is under 8 % (buildable with minimal grading); orange 10–20 %; red above 20 % (needs engineered solutions).</w:t>
      </w:r>
    </w:p>
    <w:tbl>
      <w:tblPr>
        <w:tblStyle w:val="TableGrid"/>
        <w:tblW w:type="auto" w:w="0"/>
        <w:jc w:val="center"/>
        <w:tblLook w:firstColumn="1" w:firstRow="1" w:lastColumn="0" w:lastRow="0" w:noHBand="0" w:noVBand="1" w:val="04A0"/>
      </w:tblPr>
      <w:tblGrid>
        <w:gridCol w:w="3288"/>
        <w:gridCol w:w="3288"/>
        <w:gridCol w:w="3288"/>
      </w:tblGrid>
      <w:tr>
        <w:tc>
          <w:tcPr>
            <w:tcW w:type="dxa" w:w="2381"/>
            <w:shd w:val="clear" w:color="auto" w:fill="1F4E79"/>
          </w:tcPr>
          <w:p>
            <w:pPr>
              <w:spacing w:after="20" w:before="20"/>
            </w:pPr>
            <w:r/>
            <w:r>
              <w:rPr>
                <w:b/>
                <w:color w:val="FFFFFF"/>
                <w:sz w:val="16"/>
              </w:rPr>
              <w:t>Classification band</w:t>
            </w:r>
          </w:p>
        </w:tc>
        <w:tc>
          <w:tcPr>
            <w:tcW w:type="dxa" w:w="3628"/>
            <w:shd w:val="clear" w:color="auto" w:fill="1F4E79"/>
          </w:tcPr>
          <w:p>
            <w:pPr>
              <w:spacing w:after="20" w:before="20"/>
            </w:pPr>
            <w:r/>
            <w:r>
              <w:rPr>
                <w:b/>
                <w:color w:val="FFFFFF"/>
                <w:sz w:val="16"/>
              </w:rPr>
              <w:t>Applies to</w:t>
            </w:r>
          </w:p>
        </w:tc>
        <w:tc>
          <w:tcPr>
            <w:tcW w:type="dxa" w:w="3402"/>
            <w:shd w:val="clear" w:color="auto" w:fill="1F4E79"/>
          </w:tcPr>
          <w:p>
            <w:pPr>
              <w:spacing w:after="20" w:before="20"/>
            </w:pPr>
            <w:r/>
            <w:r>
              <w:rPr>
                <w:b/>
                <w:color w:val="FFFFFF"/>
                <w:sz w:val="16"/>
              </w:rPr>
              <w:t>Assessment</w:t>
            </w:r>
          </w:p>
        </w:tc>
      </w:tr>
      <w:tr>
        <w:tc>
          <w:tcPr>
            <w:tcW w:type="dxa" w:w="2381"/>
          </w:tcPr>
          <w:p>
            <w:pPr>
              <w:spacing w:after="20" w:before="20"/>
            </w:pPr>
            <w:r/>
            <w:r>
              <w:rPr>
                <w:b w:val="0"/>
                <w:sz w:val="16"/>
              </w:rPr>
              <w:t>Flat (0–2 %)</w:t>
            </w:r>
          </w:p>
        </w:tc>
        <w:tc>
          <w:tcPr>
            <w:tcW w:type="dxa" w:w="3628"/>
          </w:tcPr>
          <w:p>
            <w:pPr>
              <w:spacing w:after="20" w:before="20"/>
            </w:pPr>
            <w:r/>
            <w:r>
              <w:rPr>
                <w:b w:val="0"/>
                <w:sz w:val="16"/>
              </w:rPr>
              <w:t>Very little of the site</w:t>
            </w:r>
          </w:p>
        </w:tc>
        <w:tc>
          <w:tcPr>
            <w:tcW w:type="dxa" w:w="3402"/>
          </w:tcPr>
          <w:p>
            <w:pPr>
              <w:spacing w:after="20" w:before="20"/>
            </w:pPr>
            <w:r/>
            <w:r>
              <w:rPr>
                <w:b w:val="0"/>
                <w:sz w:val="16"/>
              </w:rPr>
              <w:t>Not characteristic</w:t>
            </w:r>
          </w:p>
        </w:tc>
      </w:tr>
      <w:tr>
        <w:tc>
          <w:tcPr>
            <w:tcW w:type="dxa" w:w="2381"/>
            <w:shd w:val="clear" w:color="auto" w:fill="F2F5F9"/>
          </w:tcPr>
          <w:p>
            <w:pPr>
              <w:spacing w:after="20" w:before="20"/>
            </w:pPr>
            <w:r/>
            <w:r>
              <w:rPr>
                <w:b w:val="0"/>
                <w:sz w:val="16"/>
              </w:rPr>
              <w:t>Nearly flat (2–5 %)</w:t>
            </w:r>
          </w:p>
        </w:tc>
        <w:tc>
          <w:tcPr>
            <w:tcW w:type="dxa" w:w="3628"/>
            <w:shd w:val="clear" w:color="auto" w:fill="F2F5F9"/>
          </w:tcPr>
          <w:p>
            <w:pPr>
              <w:spacing w:after="20" w:before="20"/>
            </w:pPr>
            <w:r/>
            <w:r>
              <w:rPr>
                <w:b w:val="0"/>
                <w:sz w:val="16"/>
              </w:rPr>
              <w:t>Narrow benches near the road crown and the east frontage</w:t>
            </w:r>
          </w:p>
        </w:tc>
        <w:tc>
          <w:tcPr>
            <w:tcW w:type="dxa" w:w="3402"/>
            <w:shd w:val="clear" w:color="auto" w:fill="F2F5F9"/>
          </w:tcPr>
          <w:p>
            <w:pPr>
              <w:spacing w:after="20" w:before="20"/>
            </w:pPr>
            <w:r/>
            <w:r>
              <w:rPr>
                <w:b w:val="0"/>
                <w:sz w:val="16"/>
              </w:rPr>
              <w:t>Present but limited</w:t>
            </w:r>
          </w:p>
        </w:tc>
      </w:tr>
      <w:tr>
        <w:tc>
          <w:tcPr>
            <w:tcW w:type="dxa" w:w="2381"/>
          </w:tcPr>
          <w:p>
            <w:pPr>
              <w:spacing w:after="20" w:before="20"/>
            </w:pPr>
            <w:r/>
            <w:r>
              <w:rPr>
                <w:b/>
                <w:sz w:val="16"/>
              </w:rPr>
              <w:t>Gentle slope (5–10 %)</w:t>
            </w:r>
          </w:p>
        </w:tc>
        <w:tc>
          <w:tcPr>
            <w:tcW w:type="dxa" w:w="3628"/>
          </w:tcPr>
          <w:p>
            <w:pPr>
              <w:spacing w:after="20" w:before="20"/>
            </w:pPr>
            <w:r/>
            <w:r>
              <w:rPr>
                <w:b w:val="0"/>
                <w:sz w:val="16"/>
              </w:rPr>
              <w:t>Much of the first 150–200 ft back from the road, and the east third of the frontage</w:t>
            </w:r>
          </w:p>
        </w:tc>
        <w:tc>
          <w:tcPr>
            <w:tcW w:type="dxa" w:w="3402"/>
          </w:tcPr>
          <w:p>
            <w:pPr>
              <w:spacing w:after="20" w:before="20"/>
            </w:pPr>
            <w:r/>
            <w:r>
              <w:rPr>
                <w:b/>
                <w:sz w:val="16"/>
              </w:rPr>
              <w:t>Dominant in the building envelope</w:t>
            </w:r>
          </w:p>
        </w:tc>
      </w:tr>
      <w:tr>
        <w:tc>
          <w:tcPr>
            <w:tcW w:type="dxa" w:w="2381"/>
            <w:shd w:val="clear" w:color="auto" w:fill="F2F5F9"/>
          </w:tcPr>
          <w:p>
            <w:pPr>
              <w:spacing w:after="20" w:before="20"/>
            </w:pPr>
            <w:r/>
            <w:r>
              <w:rPr>
                <w:b/>
                <w:sz w:val="16"/>
              </w:rPr>
              <w:t>Moderate slope (10–15 %)</w:t>
            </w:r>
          </w:p>
        </w:tc>
        <w:tc>
          <w:tcPr>
            <w:tcW w:type="dxa" w:w="3628"/>
            <w:shd w:val="clear" w:color="auto" w:fill="F2F5F9"/>
          </w:tcPr>
          <w:p>
            <w:pPr>
              <w:spacing w:after="20" w:before="20"/>
            </w:pPr>
            <w:r/>
            <w:r>
              <w:rPr>
                <w:b w:val="0"/>
                <w:sz w:val="16"/>
              </w:rPr>
              <w:t>West and middle frontage over the full 310 ft depth; general road-to-lake average</w:t>
            </w:r>
          </w:p>
        </w:tc>
        <w:tc>
          <w:tcPr>
            <w:tcW w:type="dxa" w:w="3402"/>
            <w:shd w:val="clear" w:color="auto" w:fill="F2F5F9"/>
          </w:tcPr>
          <w:p>
            <w:pPr>
              <w:spacing w:after="20" w:before="20"/>
            </w:pPr>
            <w:r/>
            <w:r>
              <w:rPr>
                <w:b/>
                <w:sz w:val="16"/>
              </w:rPr>
              <w:t>Dominant overall</w:t>
            </w:r>
          </w:p>
        </w:tc>
      </w:tr>
      <w:tr>
        <w:tc>
          <w:tcPr>
            <w:tcW w:type="dxa" w:w="2381"/>
          </w:tcPr>
          <w:p>
            <w:pPr>
              <w:spacing w:after="20" w:before="20"/>
            </w:pPr>
            <w:r/>
            <w:r>
              <w:rPr>
                <w:b w:val="0"/>
                <w:sz w:val="16"/>
              </w:rPr>
              <w:t>Steep slope (15–25 %)</w:t>
            </w:r>
          </w:p>
        </w:tc>
        <w:tc>
          <w:tcPr>
            <w:tcW w:type="dxa" w:w="3628"/>
          </w:tcPr>
          <w:p>
            <w:pPr>
              <w:spacing w:after="20" w:before="20"/>
            </w:pPr>
            <w:r/>
            <w:r>
              <w:rPr>
                <w:b w:val="0"/>
                <w:sz w:val="16"/>
              </w:rPr>
              <w:t>Localised pitches; steepest measured 50 ft window is 24.5 %</w:t>
            </w:r>
          </w:p>
        </w:tc>
        <w:tc>
          <w:tcPr>
            <w:tcW w:type="dxa" w:w="3402"/>
          </w:tcPr>
          <w:p>
            <w:pPr>
              <w:spacing w:after="20" w:before="20"/>
            </w:pPr>
            <w:r/>
            <w:r>
              <w:rPr>
                <w:b w:val="0"/>
                <w:sz w:val="16"/>
              </w:rPr>
              <w:t>Present in bands, mostly below the likely rear lot line</w:t>
            </w:r>
          </w:p>
        </w:tc>
      </w:tr>
      <w:tr>
        <w:tc>
          <w:tcPr>
            <w:tcW w:type="dxa" w:w="2381"/>
            <w:shd w:val="clear" w:color="auto" w:fill="F2F5F9"/>
          </w:tcPr>
          <w:p>
            <w:pPr>
              <w:spacing w:after="20" w:before="20"/>
            </w:pPr>
            <w:r/>
            <w:r>
              <w:rPr>
                <w:b w:val="0"/>
                <w:sz w:val="16"/>
              </w:rPr>
              <w:t>Very steep (over 25 %)</w:t>
            </w:r>
          </w:p>
        </w:tc>
        <w:tc>
          <w:tcPr>
            <w:tcW w:type="dxa" w:w="3628"/>
            <w:shd w:val="clear" w:color="auto" w:fill="F2F5F9"/>
          </w:tcPr>
          <w:p>
            <w:pPr>
              <w:spacing w:after="20" w:before="20"/>
            </w:pPr>
            <w:r/>
            <w:r>
              <w:rPr>
                <w:b w:val="0"/>
                <w:sz w:val="16"/>
              </w:rPr>
              <w:t>Not measured anywhere in the study grid</w:t>
            </w:r>
          </w:p>
        </w:tc>
        <w:tc>
          <w:tcPr>
            <w:tcW w:type="dxa" w:w="3402"/>
            <w:shd w:val="clear" w:color="auto" w:fill="F2F5F9"/>
          </w:tcPr>
          <w:p>
            <w:pPr>
              <w:spacing w:after="20" w:before="20"/>
            </w:pPr>
            <w:r/>
            <w:r>
              <w:rPr>
                <w:b w:val="0"/>
                <w:sz w:val="16"/>
              </w:rPr>
              <w:t>Absent</w:t>
            </w:r>
          </w:p>
        </w:tc>
      </w:tr>
    </w:tbl>
    <w:p>
      <w:pPr>
        <w:spacing w:after="40"/>
      </w:pPr>
    </w:p>
    <w:p>
      <w:pPr>
        <w:spacing w:after="80" w:before="0"/>
      </w:pPr>
      <w:r>
        <w:rPr>
          <w:b/>
          <w:i w:val="0"/>
          <w:sz w:val="18"/>
        </w:rPr>
        <w:t>Construction implications:</w:t>
      </w:r>
    </w:p>
    <w:p>
      <w:pPr>
        <w:pStyle w:val="ListBullet"/>
        <w:spacing w:after="30"/>
        <w:ind w:left="369"/>
      </w:pPr>
      <w:r>
        <w:rPr>
          <w:b/>
          <w:sz w:val="19"/>
        </w:rPr>
        <w:t xml:space="preserve">Minimal grading — </w:t>
      </w:r>
      <w:r>
        <w:rPr>
          <w:sz w:val="19"/>
        </w:rPr>
        <w:t>achievable only if the house is pulled close to the road on the east or middle frontage, where the first 100 ft averages under 8 %.</w:t>
      </w:r>
    </w:p>
    <w:p>
      <w:pPr>
        <w:pStyle w:val="ListBullet"/>
        <w:spacing w:after="30"/>
        <w:ind w:left="369"/>
      </w:pPr>
      <w:r>
        <w:rPr>
          <w:b/>
          <w:sz w:val="19"/>
        </w:rPr>
        <w:t xml:space="preserve">Significant grading — </w:t>
      </w:r>
      <w:r>
        <w:rPr>
          <w:sz w:val="19"/>
        </w:rPr>
        <w:t>likely for any layout pushing more than about 150 ft back on the west frontage, where average slope is 12.8 %.</w:t>
      </w:r>
    </w:p>
    <w:p>
      <w:pPr>
        <w:pStyle w:val="ListBullet"/>
        <w:spacing w:after="30"/>
        <w:ind w:left="369"/>
      </w:pPr>
      <w:r>
        <w:rPr>
          <w:b/>
          <w:sz w:val="19"/>
        </w:rPr>
        <w:t xml:space="preserve">Cut-and-fill — </w:t>
      </w:r>
      <w:r>
        <w:rPr>
          <w:sz w:val="19"/>
        </w:rPr>
        <w:t>expect a balanced cut-and-fill pad or a stepped foundation. A single-level slab across a 56 ft-deep footprint on 12 % ground implies roughly 6–7 ft of grade change across the pad.</w:t>
      </w:r>
    </w:p>
    <w:p>
      <w:pPr>
        <w:pStyle w:val="ListBullet"/>
        <w:spacing w:after="30"/>
        <w:ind w:left="369"/>
      </w:pPr>
      <w:r>
        <w:rPr>
          <w:b/>
          <w:sz w:val="19"/>
        </w:rPr>
        <w:t xml:space="preserve">Retaining walls — </w:t>
      </w:r>
      <w:r>
        <w:rPr>
          <w:sz w:val="19"/>
        </w:rPr>
        <w:t>probable on the downhill side of a driveway or pad on the west frontage; possibly avoidable on the east frontage.</w:t>
      </w:r>
    </w:p>
    <w:p>
      <w:pPr>
        <w:pStyle w:val="ListBullet"/>
        <w:spacing w:after="30"/>
        <w:ind w:left="369"/>
      </w:pPr>
      <w:r>
        <w:rPr>
          <w:b/>
          <w:sz w:val="19"/>
        </w:rPr>
        <w:t xml:space="preserve">Extensive site engineering — </w:t>
      </w:r>
      <w:r>
        <w:rPr>
          <w:sz w:val="19"/>
        </w:rPr>
        <w:t>not indicated by slope alone, but the soil ratings in Section D.14 push the overall requirement up.</w:t>
      </w:r>
    </w:p>
    <w:p>
      <w:pPr>
        <w:spacing w:before="20" w:after="80"/>
      </w:pPr>
      <w:r>
        <w:rPr>
          <w:b/>
          <w:color w:val="B46B00"/>
          <w:sz w:val="15"/>
        </w:rPr>
        <w:t>[MODEL-DERIVED ESTIMATE]</w:t>
      </w:r>
      <w:r>
        <w:rPr>
          <w:i/>
          <w:color w:val="555555"/>
          <w:sz w:val="15"/>
        </w:rPr>
        <w:t xml:space="preserve">  Slope classification is lidar-derived. A licensed engineer must set actual grading and retaining requirements.</w:t>
      </w:r>
    </w:p>
    <w:p>
      <w:pPr>
        <w:pStyle w:val="Heading2"/>
      </w:pPr>
      <w:r>
        <w:t>8. 3D terrain model</w:t>
      </w:r>
    </w:p>
    <w:p>
      <w:pPr>
        <w:spacing w:before="120" w:after="40"/>
        <w:jc w:val="center"/>
      </w:pPr>
      <w:r>
        <w:drawing>
          <wp:inline xmlns:a="http://schemas.openxmlformats.org/drawingml/2006/main" xmlns:pic="http://schemas.openxmlformats.org/drawingml/2006/picture">
            <wp:extent cx="5940000" cy="5099614"/>
            <wp:docPr id="4" name="Picture 4"/>
            <wp:cNvGraphicFramePr>
              <a:graphicFrameLocks noChangeAspect="1"/>
            </wp:cNvGraphicFramePr>
            <a:graphic>
              <a:graphicData uri="http://schemas.openxmlformats.org/drawingml/2006/picture">
                <pic:pic>
                  <pic:nvPicPr>
                    <pic:cNvPr id="0" name="fig3_3d.png"/>
                    <pic:cNvPicPr/>
                  </pic:nvPicPr>
                  <pic:blipFill>
                    <a:blip r:embed="rId13"/>
                    <a:stretch>
                      <a:fillRect/>
                    </a:stretch>
                  </pic:blipFill>
                  <pic:spPr>
                    <a:xfrm>
                      <a:off x="0" y="0"/>
                      <a:ext cx="5940000" cy="5099614"/>
                    </a:xfrm>
                    <a:prstGeom prst="rect"/>
                  </pic:spPr>
                </pic:pic>
              </a:graphicData>
            </a:graphic>
          </wp:inline>
        </w:drawing>
      </w:r>
    </w:p>
    <w:p>
      <w:pPr>
        <w:spacing w:after="160"/>
        <w:jc w:val="center"/>
      </w:pPr>
      <w:r>
        <w:rPr>
          <w:i/>
          <w:color w:val="555555"/>
          <w:sz w:val="15"/>
        </w:rPr>
        <w:t>Fig. 3 — 3-D terrain surface with the 330 ft full-pool plane in blue and Watersedge Cove in dark red. Vertical scale is exaggerated to make the cove geometry legible; refer to Fig. 2(b) for true steepness.</w:t>
      </w:r>
    </w:p>
    <w:p>
      <w:pPr>
        <w:spacing w:after="80" w:before="0"/>
      </w:pPr>
      <w:r>
        <w:rPr>
          <w:b w:val="0"/>
          <w:i w:val="0"/>
          <w:sz w:val="18"/>
        </w:rPr>
        <w:t>The model shows the subdivision road running along the upper flank of a broad ridge, with the Fishing Creek arm of the lake occupying the low ground to the north and north-west. The lots sit on the north-facing slope between the two. A north aspect means less direct winter sun on the rear elevation and a cooler, damper micro-climate on the lower slope, which is relevant to both gardening (Section D.18) and to drying of the septic field.</w:t>
      </w:r>
    </w:p>
    <w:p>
      <w:pPr>
        <w:spacing w:before="20" w:after="80"/>
      </w:pPr>
      <w:r>
        <w:rPr>
          <w:b/>
          <w:color w:val="B46B00"/>
          <w:sz w:val="15"/>
        </w:rPr>
        <w:t>[MODEL-DERIVED ESTIMATE]</w:t>
      </w:r>
      <w:r>
        <w:rPr>
          <w:i/>
          <w:color w:val="555555"/>
          <w:sz w:val="15"/>
        </w:rPr>
        <w:t xml:space="preserve">  Surface is interpolated from the sampled lidar grid.</w:t>
      </w:r>
    </w:p>
    <w:p>
      <w:r>
        <w:br w:type="page"/>
      </w:r>
    </w:p>
    <w:p>
      <w:pPr>
        <w:pStyle w:val="Heading1"/>
      </w:pPr>
      <w:r>
        <w:t>C. Flood, Elevation &amp; Drainage</w:t>
      </w:r>
    </w:p>
    <w:p>
      <w:pPr>
        <w:pStyle w:val="Heading2"/>
      </w:pPr>
      <w:r>
        <w:t>9. FEMA flood-zone determination</w:t>
      </w:r>
    </w:p>
    <w:p>
      <w:pPr>
        <w:spacing w:before="120" w:after="40"/>
        <w:jc w:val="center"/>
      </w:pPr>
      <w:r>
        <w:drawing>
          <wp:inline xmlns:a="http://schemas.openxmlformats.org/drawingml/2006/main" xmlns:pic="http://schemas.openxmlformats.org/drawingml/2006/picture">
            <wp:extent cx="5940000" cy="4651670"/>
            <wp:docPr id="5" name="Picture 5"/>
            <wp:cNvGraphicFramePr>
              <a:graphicFrameLocks noChangeAspect="1"/>
            </wp:cNvGraphicFramePr>
            <a:graphic>
              <a:graphicData uri="http://schemas.openxmlformats.org/drawingml/2006/picture">
                <pic:pic>
                  <pic:nvPicPr>
                    <pic:cNvPr id="0" name="fig5_fema.png"/>
                    <pic:cNvPicPr/>
                  </pic:nvPicPr>
                  <pic:blipFill>
                    <a:blip r:embed="rId14"/>
                    <a:stretch>
                      <a:fillRect/>
                    </a:stretch>
                  </pic:blipFill>
                  <pic:spPr>
                    <a:xfrm>
                      <a:off x="0" y="0"/>
                      <a:ext cx="5940000" cy="4651670"/>
                    </a:xfrm>
                    <a:prstGeom prst="rect"/>
                  </pic:spPr>
                </pic:pic>
              </a:graphicData>
            </a:graphic>
          </wp:inline>
        </w:drawing>
      </w:r>
    </w:p>
    <w:p>
      <w:pPr>
        <w:spacing w:after="160"/>
        <w:jc w:val="center"/>
      </w:pPr>
      <w:r>
        <w:rPr>
          <w:i/>
          <w:color w:val="555555"/>
          <w:sz w:val="15"/>
        </w:rPr>
        <w:t>Fig. 5 — FEMA National Flood Hazard Layer, DFIRM 13181C (Lincoln County, GA). Blue is Zone A (Special Flood Hazard Area, no BFE published); pale green is Zone X.</w:t>
      </w:r>
    </w:p>
    <w:tbl>
      <w:tblPr>
        <w:tblStyle w:val="TableGrid"/>
        <w:tblW w:type="auto" w:w="0"/>
        <w:jc w:val="center"/>
        <w:tblLook w:firstColumn="1" w:firstRow="1" w:lastColumn="0" w:lastRow="0" w:noHBand="0" w:noVBand="1" w:val="04A0"/>
      </w:tblPr>
      <w:tblGrid>
        <w:gridCol w:w="4932"/>
        <w:gridCol w:w="4932"/>
      </w:tblGrid>
      <w:tr>
        <w:tc>
          <w:tcPr>
            <w:tcW w:type="dxa" w:w="3061"/>
            <w:shd w:val="clear" w:color="auto" w:fill="1F4E79"/>
          </w:tcPr>
          <w:p>
            <w:pPr>
              <w:spacing w:after="20" w:before="20"/>
            </w:pPr>
            <w:r/>
            <w:r>
              <w:rPr>
                <w:b/>
                <w:color w:val="FFFFFF"/>
                <w:sz w:val="16"/>
              </w:rPr>
              <w:t>Attribute</w:t>
            </w:r>
          </w:p>
        </w:tc>
        <w:tc>
          <w:tcPr>
            <w:tcW w:type="dxa" w:w="6350"/>
            <w:shd w:val="clear" w:color="auto" w:fill="1F4E79"/>
          </w:tcPr>
          <w:p>
            <w:pPr>
              <w:spacing w:after="20" w:before="20"/>
            </w:pPr>
            <w:r/>
            <w:r>
              <w:rPr>
                <w:b/>
                <w:color w:val="FFFFFF"/>
                <w:sz w:val="16"/>
              </w:rPr>
              <w:t>Value returned by the FEMA NFHL</w:t>
            </w:r>
          </w:p>
        </w:tc>
      </w:tr>
      <w:tr>
        <w:tc>
          <w:tcPr>
            <w:tcW w:type="dxa" w:w="3061"/>
          </w:tcPr>
          <w:p>
            <w:pPr>
              <w:spacing w:after="20" w:before="20"/>
            </w:pPr>
            <w:r/>
            <w:r>
              <w:rPr>
                <w:b w:val="0"/>
                <w:sz w:val="16"/>
              </w:rPr>
              <w:t>DFIRM identifier</w:t>
            </w:r>
          </w:p>
        </w:tc>
        <w:tc>
          <w:tcPr>
            <w:tcW w:type="dxa" w:w="6350"/>
          </w:tcPr>
          <w:p>
            <w:pPr>
              <w:spacing w:after="20" w:before="20"/>
            </w:pPr>
            <w:r/>
            <w:r>
              <w:rPr>
                <w:b w:val="0"/>
                <w:sz w:val="16"/>
              </w:rPr>
              <w:t>13181C (Lincoln County, Georgia)</w:t>
            </w:r>
          </w:p>
        </w:tc>
      </w:tr>
      <w:tr>
        <w:tc>
          <w:tcPr>
            <w:tcW w:type="dxa" w:w="3061"/>
            <w:shd w:val="clear" w:color="auto" w:fill="F2F5F9"/>
          </w:tcPr>
          <w:p>
            <w:pPr>
              <w:spacing w:after="20" w:before="20"/>
            </w:pPr>
            <w:r/>
            <w:r>
              <w:rPr>
                <w:b w:val="0"/>
                <w:sz w:val="16"/>
              </w:rPr>
              <w:t>Zones intersecting the study area</w:t>
            </w:r>
          </w:p>
        </w:tc>
        <w:tc>
          <w:tcPr>
            <w:tcW w:type="dxa" w:w="6350"/>
            <w:shd w:val="clear" w:color="auto" w:fill="F2F5F9"/>
          </w:tcPr>
          <w:p>
            <w:pPr>
              <w:spacing w:after="20" w:before="20"/>
            </w:pPr>
            <w:r/>
            <w:r>
              <w:rPr>
                <w:b/>
                <w:sz w:val="16"/>
              </w:rPr>
              <w:t>Zone A** and **Zone X</w:t>
            </w:r>
          </w:p>
        </w:tc>
      </w:tr>
      <w:tr>
        <w:tc>
          <w:tcPr>
            <w:tcW w:type="dxa" w:w="3061"/>
          </w:tcPr>
          <w:p>
            <w:pPr>
              <w:spacing w:after="20" w:before="20"/>
            </w:pPr>
            <w:r/>
            <w:r>
              <w:rPr>
                <w:b w:val="0"/>
                <w:sz w:val="16"/>
              </w:rPr>
              <w:t>Zone A — subtype</w:t>
            </w:r>
          </w:p>
        </w:tc>
        <w:tc>
          <w:tcPr>
            <w:tcW w:type="dxa" w:w="6350"/>
          </w:tcPr>
          <w:p>
            <w:pPr>
              <w:spacing w:after="20" w:before="20"/>
            </w:pPr>
            <w:r/>
            <w:r>
              <w:rPr>
                <w:b w:val="0"/>
                <w:sz w:val="16"/>
              </w:rPr>
              <w:t>None (no subtype assigned)</w:t>
            </w:r>
          </w:p>
        </w:tc>
      </w:tr>
      <w:tr>
        <w:tc>
          <w:tcPr>
            <w:tcW w:type="dxa" w:w="3061"/>
            <w:shd w:val="clear" w:color="auto" w:fill="F2F5F9"/>
          </w:tcPr>
          <w:p>
            <w:pPr>
              <w:spacing w:after="20" w:before="20"/>
            </w:pPr>
            <w:r/>
            <w:r>
              <w:rPr>
                <w:b w:val="0"/>
                <w:sz w:val="16"/>
              </w:rPr>
              <w:t>Zone A — SFHA flag</w:t>
            </w:r>
          </w:p>
        </w:tc>
        <w:tc>
          <w:tcPr>
            <w:tcW w:type="dxa" w:w="6350"/>
            <w:shd w:val="clear" w:color="auto" w:fill="F2F5F9"/>
          </w:tcPr>
          <w:p>
            <w:pPr>
              <w:spacing w:after="20" w:before="20"/>
            </w:pPr>
            <w:r/>
            <w:r>
              <w:rPr>
                <w:b w:val="0"/>
                <w:sz w:val="16"/>
              </w:rPr>
              <w:t>T (true — it IS a Special Flood Hazard Area)</w:t>
            </w:r>
          </w:p>
        </w:tc>
      </w:tr>
      <w:tr>
        <w:tc>
          <w:tcPr>
            <w:tcW w:type="dxa" w:w="3061"/>
          </w:tcPr>
          <w:p>
            <w:pPr>
              <w:spacing w:after="20" w:before="20"/>
            </w:pPr>
            <w:r/>
            <w:r>
              <w:rPr>
                <w:b w:val="0"/>
                <w:sz w:val="16"/>
              </w:rPr>
              <w:t>Zone A — STATIC_BFE</w:t>
            </w:r>
          </w:p>
        </w:tc>
        <w:tc>
          <w:tcPr>
            <w:tcW w:type="dxa" w:w="6350"/>
          </w:tcPr>
          <w:p>
            <w:pPr>
              <w:spacing w:after="20" w:before="20"/>
            </w:pPr>
            <w:r/>
            <w:r>
              <w:rPr>
                <w:b/>
                <w:sz w:val="16"/>
              </w:rPr>
              <w:t>-9999, i.e. NO Base Flood Elevation published</w:t>
            </w:r>
          </w:p>
        </w:tc>
      </w:tr>
      <w:tr>
        <w:tc>
          <w:tcPr>
            <w:tcW w:type="dxa" w:w="3061"/>
            <w:shd w:val="clear" w:color="auto" w:fill="F2F5F9"/>
          </w:tcPr>
          <w:p>
            <w:pPr>
              <w:spacing w:after="20" w:before="20"/>
            </w:pPr>
            <w:r/>
            <w:r>
              <w:rPr>
                <w:b w:val="0"/>
                <w:sz w:val="16"/>
              </w:rPr>
              <w:t>Zone A — DEPTH</w:t>
            </w:r>
          </w:p>
        </w:tc>
        <w:tc>
          <w:tcPr>
            <w:tcW w:type="dxa" w:w="6350"/>
            <w:shd w:val="clear" w:color="auto" w:fill="F2F5F9"/>
          </w:tcPr>
          <w:p>
            <w:pPr>
              <w:spacing w:after="20" w:before="20"/>
            </w:pPr>
            <w:r/>
            <w:r>
              <w:rPr>
                <w:b w:val="0"/>
                <w:sz w:val="16"/>
              </w:rPr>
              <w:t>-9999 (none published)</w:t>
            </w:r>
          </w:p>
        </w:tc>
      </w:tr>
      <w:tr>
        <w:tc>
          <w:tcPr>
            <w:tcW w:type="dxa" w:w="3061"/>
          </w:tcPr>
          <w:p>
            <w:pPr>
              <w:spacing w:after="20" w:before="20"/>
            </w:pPr>
            <w:r/>
            <w:r>
              <w:rPr>
                <w:b w:val="0"/>
                <w:sz w:val="16"/>
              </w:rPr>
              <w:t>Zone X — subtype</w:t>
            </w:r>
          </w:p>
        </w:tc>
        <w:tc>
          <w:tcPr>
            <w:tcW w:type="dxa" w:w="6350"/>
          </w:tcPr>
          <w:p>
            <w:pPr>
              <w:spacing w:after="20" w:before="20"/>
            </w:pPr>
            <w:r/>
            <w:r>
              <w:rPr>
                <w:b w:val="0"/>
                <w:sz w:val="16"/>
              </w:rPr>
              <w:t>AREA OF MINIMAL FLOOD HAZARD</w:t>
            </w:r>
          </w:p>
        </w:tc>
      </w:tr>
      <w:tr>
        <w:tc>
          <w:tcPr>
            <w:tcW w:type="dxa" w:w="3061"/>
            <w:shd w:val="clear" w:color="auto" w:fill="F2F5F9"/>
          </w:tcPr>
          <w:p>
            <w:pPr>
              <w:spacing w:after="20" w:before="20"/>
            </w:pPr>
            <w:r/>
            <w:r>
              <w:rPr>
                <w:b w:val="0"/>
                <w:sz w:val="16"/>
              </w:rPr>
              <w:t>Zone X — SFHA flag</w:t>
            </w:r>
          </w:p>
        </w:tc>
        <w:tc>
          <w:tcPr>
            <w:tcW w:type="dxa" w:w="6350"/>
            <w:shd w:val="clear" w:color="auto" w:fill="F2F5F9"/>
          </w:tcPr>
          <w:p>
            <w:pPr>
              <w:spacing w:after="20" w:before="20"/>
            </w:pPr>
            <w:r/>
            <w:r>
              <w:rPr>
                <w:b w:val="0"/>
                <w:sz w:val="16"/>
              </w:rPr>
              <w:t>F (false — outside the SFHA)</w:t>
            </w:r>
          </w:p>
        </w:tc>
      </w:tr>
      <w:tr>
        <w:tc>
          <w:tcPr>
            <w:tcW w:type="dxa" w:w="3061"/>
          </w:tcPr>
          <w:p>
            <w:pPr>
              <w:spacing w:after="20" w:before="20"/>
            </w:pPr>
            <w:r/>
            <w:r>
              <w:rPr>
                <w:b w:val="0"/>
                <w:sz w:val="16"/>
              </w:rPr>
              <w:t>Where Zone A sits</w:t>
            </w:r>
          </w:p>
        </w:tc>
        <w:tc>
          <w:tcPr>
            <w:tcW w:type="dxa" w:w="6350"/>
          </w:tcPr>
          <w:p>
            <w:pPr>
              <w:spacing w:after="20" w:before="20"/>
            </w:pPr>
            <w:r/>
            <w:r>
              <w:rPr>
                <w:b w:val="0"/>
                <w:sz w:val="16"/>
              </w:rPr>
              <w:t>The lake margin and the Fishing Creek arm, north/north-west of the road</w:t>
            </w:r>
          </w:p>
        </w:tc>
      </w:tr>
      <w:tr>
        <w:tc>
          <w:tcPr>
            <w:tcW w:type="dxa" w:w="3061"/>
            <w:shd w:val="clear" w:color="auto" w:fill="F2F5F9"/>
          </w:tcPr>
          <w:p>
            <w:pPr>
              <w:spacing w:after="20" w:before="20"/>
            </w:pPr>
            <w:r/>
            <w:r>
              <w:rPr>
                <w:b w:val="0"/>
                <w:sz w:val="16"/>
              </w:rPr>
              <w:t>Where Zone X sits</w:t>
            </w:r>
          </w:p>
        </w:tc>
        <w:tc>
          <w:tcPr>
            <w:tcW w:type="dxa" w:w="6350"/>
            <w:shd w:val="clear" w:color="auto" w:fill="F2F5F9"/>
          </w:tcPr>
          <w:p>
            <w:pPr>
              <w:spacing w:after="20" w:before="20"/>
            </w:pPr>
            <w:r/>
            <w:r>
              <w:rPr>
                <w:b w:val="0"/>
                <w:sz w:val="16"/>
              </w:rPr>
              <w:t>The road corridor and the upland, including the likely building envelope</w:t>
            </w:r>
          </w:p>
        </w:tc>
      </w:tr>
    </w:tbl>
    <w:p>
      <w:pPr>
        <w:spacing w:after="40"/>
      </w:pPr>
    </w:p>
    <w:p>
      <w:pPr>
        <w:spacing w:after="80" w:before="0"/>
      </w:pPr>
      <w:r>
        <w:rPr>
          <w:b w:val="0"/>
          <w:i w:val="0"/>
          <w:sz w:val="18"/>
        </w:rPr>
        <w:t>Zones NOT present: AE, AO, AH, VE. Zone VE does not occur inland. The absence of AE is significant — AE zones carry a published BFE, Zone A does not.</w:t>
      </w: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WHAT "ZONE A WITH NO BFE" ACTUALLY MEANS FOR YOU</w:t>
            </w:r>
          </w:p>
          <w:p>
            <w:pPr>
              <w:spacing w:after="40"/>
            </w:pPr>
            <w:r>
              <w:rPr>
                <w:sz w:val="17"/>
              </w:rPr>
              <w:t>Zone A is an approximate-study floodplain: FEMA has mapped the 1 %-annual-chance flood boundary but has not computed its elevation. Consequences: (1) the Lincoln County floodplain administrator, not FEMA, sets the required finished-floor elevation; (2) lenders and insurers will usually demand an Elevation Certificate prepared by a licensed surveyor; (3) flood insurance rating in an unnumbered A zone can be materially worse than in a numbered zone; (4) if any part of the lot or the proposed structure falls in Zone A, a site-specific engineering analysis may be required. Confirm the exact zone line against the recorded plat.</w:t>
            </w:r>
          </w:p>
        </w:tc>
      </w:tr>
    </w:tbl>
    <w:p>
      <w:pPr>
        <w:spacing w:after="60"/>
      </w:pPr>
    </w:p>
    <w:p>
      <w:pPr>
        <w:spacing w:before="20" w:after="80"/>
      </w:pPr>
      <w:r>
        <w:rPr>
          <w:b/>
          <w:color w:val="1E6B3A"/>
          <w:sz w:val="15"/>
        </w:rPr>
        <w:t>[DOCUMENTED]</w:t>
      </w:r>
      <w:r>
        <w:rPr>
          <w:i/>
          <w:color w:val="555555"/>
          <w:sz w:val="15"/>
        </w:rPr>
        <w:t xml:space="preserve">  FEMA National Flood Hazard Layer, queried directly 7 October 2026. Panel number and effective date must still be read off the printed FIRM panel.</w:t>
      </w:r>
    </w:p>
    <w:p>
      <w:pPr>
        <w:spacing w:after="80" w:before="0"/>
      </w:pPr>
      <w:r>
        <w:rPr>
          <w:b w:val="0"/>
          <w:i/>
          <w:sz w:val="18"/>
        </w:rPr>
        <w:t>Still to obtain: the specific FIRM panel number and its effective date, plus the Flood Insurance Study report for Lincoln County (FEMA document 13181CV000A), and confirmation of whether the county participates in the NFIP in good standing.</w:t>
      </w:r>
    </w:p>
    <w:p>
      <w:pPr>
        <w:pStyle w:val="Heading2"/>
      </w:pPr>
      <w:r>
        <w:t>10. First Street / flood-risk information</w:t>
      </w:r>
    </w:p>
    <w:p>
      <w:pPr>
        <w:spacing w:after="80" w:before="0"/>
      </w:pPr>
      <w:r>
        <w:rPr>
          <w:b w:val="0"/>
          <w:i w:val="0"/>
          <w:sz w:val="18"/>
        </w:rPr>
        <w:t>First Street Foundation data is licensed and was not retrievable without a subscription; no First Street flood factor, projected depth or 30-year risk figure is reported here. What can be said from the physical data is that the building envelope sits 48–65 ft above full pool and 18–42 ft above the top of the flood-control pool (335 ft), which is a very large freeboard by any standard.</w:t>
      </w:r>
    </w:p>
    <w:p>
      <w:pPr>
        <w:spacing w:before="20" w:after="80"/>
      </w:pPr>
      <w:r>
        <w:rPr>
          <w:b/>
          <w:color w:val="C01F2B"/>
          <w:sz w:val="15"/>
        </w:rPr>
        <w:t>[REQUIRES PROFESSIONAL / OFFICIAL VERIFICATION]</w:t>
      </w:r>
      <w:r>
        <w:rPr>
          <w:i/>
          <w:color w:val="555555"/>
          <w:sz w:val="15"/>
        </w:rPr>
        <w:t xml:space="preserve">  First Street flood factor, flood depth and future projections not obtained.</w:t>
      </w:r>
    </w:p>
    <w:p>
      <w:pPr>
        <w:pStyle w:val="Heading2"/>
      </w:pPr>
      <w:r>
        <w:t>11. Ground elevations</w:t>
      </w:r>
    </w:p>
    <w:tbl>
      <w:tblPr>
        <w:tblStyle w:val="TableGrid"/>
        <w:tblW w:type="auto" w:w="0"/>
        <w:jc w:val="center"/>
        <w:tblLook w:firstColumn="1" w:firstRow="1" w:lastColumn="0" w:lastRow="0" w:noHBand="0" w:noVBand="1" w:val="04A0"/>
      </w:tblPr>
      <w:tblGrid>
        <w:gridCol w:w="3288"/>
        <w:gridCol w:w="3288"/>
        <w:gridCol w:w="3288"/>
      </w:tblGrid>
      <w:tr>
        <w:tc>
          <w:tcPr>
            <w:tcW w:type="dxa" w:w="3628"/>
            <w:shd w:val="clear" w:color="auto" w:fill="1F4E79"/>
          </w:tcPr>
          <w:p>
            <w:pPr>
              <w:spacing w:after="20" w:before="20"/>
            </w:pPr>
            <w:r/>
            <w:r>
              <w:rPr>
                <w:b/>
                <w:color w:val="FFFFFF"/>
                <w:sz w:val="16"/>
              </w:rPr>
              <w:t>Measure</w:t>
            </w:r>
          </w:p>
        </w:tc>
        <w:tc>
          <w:tcPr>
            <w:tcW w:type="dxa" w:w="2381"/>
            <w:shd w:val="clear" w:color="auto" w:fill="1F4E79"/>
          </w:tcPr>
          <w:p>
            <w:pPr>
              <w:spacing w:after="20" w:before="20"/>
            </w:pPr>
            <w:r/>
            <w:r>
              <w:rPr>
                <w:b/>
                <w:color w:val="FFFFFF"/>
                <w:sz w:val="16"/>
              </w:rPr>
              <w:t>Value (ft NAVD 88)</w:t>
            </w:r>
          </w:p>
        </w:tc>
        <w:tc>
          <w:tcPr>
            <w:tcW w:type="dxa" w:w="3402"/>
            <w:shd w:val="clear" w:color="auto" w:fill="1F4E79"/>
          </w:tcPr>
          <w:p>
            <w:pPr>
              <w:spacing w:after="20" w:before="20"/>
            </w:pPr>
            <w:r/>
            <w:r>
              <w:rPr>
                <w:b/>
                <w:color w:val="FFFFFF"/>
                <w:sz w:val="16"/>
              </w:rPr>
              <w:t>Relative to 330 ft full pool</w:t>
            </w:r>
          </w:p>
        </w:tc>
      </w:tr>
      <w:tr>
        <w:tc>
          <w:tcPr>
            <w:tcW w:type="dxa" w:w="3628"/>
          </w:tcPr>
          <w:p>
            <w:pPr>
              <w:spacing w:after="20" w:before="20"/>
            </w:pPr>
            <w:r/>
            <w:r>
              <w:rPr>
                <w:b w:val="0"/>
                <w:sz w:val="16"/>
              </w:rPr>
              <w:t>Study-area highest natural ground</w:t>
            </w:r>
          </w:p>
        </w:tc>
        <w:tc>
          <w:tcPr>
            <w:tcW w:type="dxa" w:w="2381"/>
          </w:tcPr>
          <w:p>
            <w:pPr>
              <w:spacing w:after="20" w:before="20"/>
            </w:pPr>
            <w:r/>
            <w:r>
              <w:rPr>
                <w:b w:val="0"/>
                <w:sz w:val="16"/>
              </w:rPr>
              <w:t>446.8</w:t>
            </w:r>
          </w:p>
        </w:tc>
        <w:tc>
          <w:tcPr>
            <w:tcW w:type="dxa" w:w="3402"/>
          </w:tcPr>
          <w:p>
            <w:pPr>
              <w:spacing w:after="20" w:before="20"/>
            </w:pPr>
            <w:r/>
            <w:r>
              <w:rPr>
                <w:b w:val="0"/>
                <w:sz w:val="16"/>
              </w:rPr>
              <w:t>+116.8 ft</w:t>
            </w:r>
          </w:p>
        </w:tc>
      </w:tr>
      <w:tr>
        <w:tc>
          <w:tcPr>
            <w:tcW w:type="dxa" w:w="3628"/>
            <w:shd w:val="clear" w:color="auto" w:fill="F2F5F9"/>
          </w:tcPr>
          <w:p>
            <w:pPr>
              <w:spacing w:after="20" w:before="20"/>
            </w:pPr>
            <w:r/>
            <w:r>
              <w:rPr>
                <w:b w:val="0"/>
                <w:sz w:val="16"/>
              </w:rPr>
              <w:t>Road crown range along the frontage</w:t>
            </w:r>
          </w:p>
        </w:tc>
        <w:tc>
          <w:tcPr>
            <w:tcW w:type="dxa" w:w="2381"/>
            <w:shd w:val="clear" w:color="auto" w:fill="F2F5F9"/>
          </w:tcPr>
          <w:p>
            <w:pPr>
              <w:spacing w:after="20" w:before="20"/>
            </w:pPr>
            <w:r/>
            <w:r>
              <w:rPr>
                <w:b w:val="0"/>
                <w:sz w:val="16"/>
              </w:rPr>
              <w:t>385.0 – 399.1</w:t>
            </w:r>
          </w:p>
        </w:tc>
        <w:tc>
          <w:tcPr>
            <w:tcW w:type="dxa" w:w="3402"/>
            <w:shd w:val="clear" w:color="auto" w:fill="F2F5F9"/>
          </w:tcPr>
          <w:p>
            <w:pPr>
              <w:spacing w:after="20" w:before="20"/>
            </w:pPr>
            <w:r/>
            <w:r>
              <w:rPr>
                <w:b w:val="0"/>
                <w:sz w:val="16"/>
              </w:rPr>
              <w:t>+55.0 to +69.1 ft</w:t>
            </w:r>
          </w:p>
        </w:tc>
      </w:tr>
      <w:tr>
        <w:tc>
          <w:tcPr>
            <w:tcW w:type="dxa" w:w="3628"/>
          </w:tcPr>
          <w:p>
            <w:pPr>
              <w:spacing w:after="20" w:before="20"/>
            </w:pPr>
            <w:r/>
            <w:r>
              <w:rPr>
                <w:b w:val="0"/>
                <w:sz w:val="16"/>
              </w:rPr>
              <w:t>Rear of a 310 ft-deep lot, west frontage</w:t>
            </w:r>
          </w:p>
        </w:tc>
        <w:tc>
          <w:tcPr>
            <w:tcW w:type="dxa" w:w="2381"/>
          </w:tcPr>
          <w:p>
            <w:pPr>
              <w:spacing w:after="20" w:before="20"/>
            </w:pPr>
            <w:r/>
            <w:r>
              <w:rPr>
                <w:b w:val="0"/>
                <w:sz w:val="16"/>
              </w:rPr>
              <w:t>347.5</w:t>
            </w:r>
          </w:p>
        </w:tc>
        <w:tc>
          <w:tcPr>
            <w:tcW w:type="dxa" w:w="3402"/>
          </w:tcPr>
          <w:p>
            <w:pPr>
              <w:spacing w:after="20" w:before="20"/>
            </w:pPr>
            <w:r/>
            <w:r>
              <w:rPr>
                <w:b w:val="0"/>
                <w:sz w:val="16"/>
              </w:rPr>
              <w:t>+17.5 ft</w:t>
            </w:r>
          </w:p>
        </w:tc>
      </w:tr>
      <w:tr>
        <w:tc>
          <w:tcPr>
            <w:tcW w:type="dxa" w:w="3628"/>
            <w:shd w:val="clear" w:color="auto" w:fill="F2F5F9"/>
          </w:tcPr>
          <w:p>
            <w:pPr>
              <w:spacing w:after="20" w:before="20"/>
            </w:pPr>
            <w:r/>
            <w:r>
              <w:rPr>
                <w:b w:val="0"/>
                <w:sz w:val="16"/>
              </w:rPr>
              <w:t>Rear of a 310 ft-deep lot, middle frontage</w:t>
            </w:r>
          </w:p>
        </w:tc>
        <w:tc>
          <w:tcPr>
            <w:tcW w:type="dxa" w:w="2381"/>
            <w:shd w:val="clear" w:color="auto" w:fill="F2F5F9"/>
          </w:tcPr>
          <w:p>
            <w:pPr>
              <w:spacing w:after="20" w:before="20"/>
            </w:pPr>
            <w:r/>
            <w:r>
              <w:rPr>
                <w:b w:val="0"/>
                <w:sz w:val="16"/>
              </w:rPr>
              <w:t>357.0</w:t>
            </w:r>
          </w:p>
        </w:tc>
        <w:tc>
          <w:tcPr>
            <w:tcW w:type="dxa" w:w="3402"/>
            <w:shd w:val="clear" w:color="auto" w:fill="F2F5F9"/>
          </w:tcPr>
          <w:p>
            <w:pPr>
              <w:spacing w:after="20" w:before="20"/>
            </w:pPr>
            <w:r/>
            <w:r>
              <w:rPr>
                <w:b w:val="0"/>
                <w:sz w:val="16"/>
              </w:rPr>
              <w:t>+27.0 ft</w:t>
            </w:r>
          </w:p>
        </w:tc>
      </w:tr>
      <w:tr>
        <w:tc>
          <w:tcPr>
            <w:tcW w:type="dxa" w:w="3628"/>
          </w:tcPr>
          <w:p>
            <w:pPr>
              <w:spacing w:after="20" w:before="20"/>
            </w:pPr>
            <w:r/>
            <w:r>
              <w:rPr>
                <w:b w:val="0"/>
                <w:sz w:val="16"/>
              </w:rPr>
              <w:t>Rear of a 310 ft-deep lot, east frontage</w:t>
            </w:r>
          </w:p>
        </w:tc>
        <w:tc>
          <w:tcPr>
            <w:tcW w:type="dxa" w:w="2381"/>
          </w:tcPr>
          <w:p>
            <w:pPr>
              <w:spacing w:after="20" w:before="20"/>
            </w:pPr>
            <w:r/>
            <w:r>
              <w:rPr>
                <w:b w:val="0"/>
                <w:sz w:val="16"/>
              </w:rPr>
              <w:t>371.9</w:t>
            </w:r>
          </w:p>
        </w:tc>
        <w:tc>
          <w:tcPr>
            <w:tcW w:type="dxa" w:w="3402"/>
          </w:tcPr>
          <w:p>
            <w:pPr>
              <w:spacing w:after="20" w:before="20"/>
            </w:pPr>
            <w:r/>
            <w:r>
              <w:rPr>
                <w:b w:val="0"/>
                <w:sz w:val="16"/>
              </w:rPr>
              <w:t>+41.9 ft</w:t>
            </w:r>
          </w:p>
        </w:tc>
      </w:tr>
      <w:tr>
        <w:tc>
          <w:tcPr>
            <w:tcW w:type="dxa" w:w="3628"/>
            <w:shd w:val="clear" w:color="auto" w:fill="F2F5F9"/>
          </w:tcPr>
          <w:p>
            <w:pPr>
              <w:spacing w:after="20" w:before="20"/>
            </w:pPr>
            <w:r/>
            <w:r>
              <w:rPr>
                <w:b w:val="0"/>
                <w:sz w:val="16"/>
              </w:rPr>
              <w:t>Approximate mean of the building envelope</w:t>
            </w:r>
          </w:p>
        </w:tc>
        <w:tc>
          <w:tcPr>
            <w:tcW w:type="dxa" w:w="2381"/>
            <w:shd w:val="clear" w:color="auto" w:fill="F2F5F9"/>
          </w:tcPr>
          <w:p>
            <w:pPr>
              <w:spacing w:after="20" w:before="20"/>
            </w:pPr>
            <w:r/>
            <w:r>
              <w:rPr>
                <w:b w:val="0"/>
                <w:sz w:val="16"/>
              </w:rPr>
              <w:t>~375 – 385</w:t>
            </w:r>
          </w:p>
        </w:tc>
        <w:tc>
          <w:tcPr>
            <w:tcW w:type="dxa" w:w="3402"/>
            <w:shd w:val="clear" w:color="auto" w:fill="F2F5F9"/>
          </w:tcPr>
          <w:p>
            <w:pPr>
              <w:spacing w:after="20" w:before="20"/>
            </w:pPr>
            <w:r/>
            <w:r>
              <w:rPr>
                <w:b w:val="0"/>
                <w:sz w:val="16"/>
              </w:rPr>
              <w:t>+45 to +55 ft</w:t>
            </w:r>
          </w:p>
        </w:tc>
      </w:tr>
      <w:tr>
        <w:tc>
          <w:tcPr>
            <w:tcW w:type="dxa" w:w="3628"/>
          </w:tcPr>
          <w:p>
            <w:pPr>
              <w:spacing w:after="20" w:before="20"/>
            </w:pPr>
            <w:r/>
            <w:r>
              <w:rPr>
                <w:b w:val="0"/>
                <w:sz w:val="16"/>
              </w:rPr>
              <w:t>Study-area lowest ground (lake bed)</w:t>
            </w:r>
          </w:p>
        </w:tc>
        <w:tc>
          <w:tcPr>
            <w:tcW w:type="dxa" w:w="2381"/>
          </w:tcPr>
          <w:p>
            <w:pPr>
              <w:spacing w:after="20" w:before="20"/>
            </w:pPr>
            <w:r/>
            <w:r>
              <w:rPr>
                <w:b w:val="0"/>
                <w:sz w:val="16"/>
              </w:rPr>
              <w:t>326.9</w:t>
            </w:r>
          </w:p>
        </w:tc>
        <w:tc>
          <w:tcPr>
            <w:tcW w:type="dxa" w:w="3402"/>
          </w:tcPr>
          <w:p>
            <w:pPr>
              <w:spacing w:after="20" w:before="20"/>
            </w:pPr>
            <w:r/>
            <w:r>
              <w:rPr>
                <w:b w:val="0"/>
                <w:sz w:val="16"/>
              </w:rPr>
              <w:t>-3.1 ft (submerged at full pool)</w:t>
            </w:r>
          </w:p>
        </w:tc>
      </w:tr>
    </w:tbl>
    <w:p>
      <w:pPr>
        <w:spacing w:after="40"/>
      </w:pPr>
    </w:p>
    <w:p>
      <w:pPr>
        <w:spacing w:before="20" w:after="80"/>
      </w:pPr>
      <w:r>
        <w:rPr>
          <w:b/>
          <w:color w:val="B46B00"/>
          <w:sz w:val="15"/>
        </w:rPr>
        <w:t>[MODEL-DERIVED ESTIMATE]</w:t>
      </w:r>
      <w:r>
        <w:rPr>
          <w:i/>
          <w:color w:val="555555"/>
          <w:sz w:val="15"/>
        </w:rPr>
        <w:t xml:space="preserve">  1 m lidar, NAVD 88. An Elevation Certificate requires a licensed surveyor.</w:t>
      </w:r>
    </w:p>
    <w:p>
      <w:pPr>
        <w:pStyle w:val="Heading2"/>
      </w:pPr>
      <w:r>
        <w:t>12. BFE — Base Flood Elevation</w:t>
      </w:r>
    </w:p>
    <w:tbl>
      <w:tblPr>
        <w:tblStyle w:val="TableGrid"/>
        <w:tblW w:type="auto" w:w="0"/>
        <w:jc w:val="center"/>
        <w:tblLook w:firstColumn="1" w:firstRow="1" w:lastColumn="0" w:lastRow="0" w:noHBand="0" w:noVBand="1" w:val="04A0"/>
      </w:tblPr>
      <w:tblGrid>
        <w:gridCol w:w="4932"/>
        <w:gridCol w:w="4932"/>
      </w:tblGrid>
      <w:tr>
        <w:tc>
          <w:tcPr>
            <w:tcW w:type="dxa" w:w="3402"/>
            <w:shd w:val="clear" w:color="auto" w:fill="1F4E79"/>
          </w:tcPr>
          <w:p>
            <w:pPr>
              <w:spacing w:after="20" w:before="20"/>
            </w:pPr>
            <w:r/>
            <w:r>
              <w:rPr>
                <w:b/>
                <w:color w:val="FFFFFF"/>
                <w:sz w:val="16"/>
              </w:rPr>
              <w:t>Question</w:t>
            </w:r>
          </w:p>
        </w:tc>
        <w:tc>
          <w:tcPr>
            <w:tcW w:type="dxa" w:w="6009"/>
            <w:shd w:val="clear" w:color="auto" w:fill="1F4E79"/>
          </w:tcPr>
          <w:p>
            <w:pPr>
              <w:spacing w:after="20" w:before="20"/>
            </w:pPr>
            <w:r/>
            <w:r>
              <w:rPr>
                <w:b/>
                <w:color w:val="FFFFFF"/>
                <w:sz w:val="16"/>
              </w:rPr>
              <w:t>Answer</w:t>
            </w:r>
          </w:p>
        </w:tc>
      </w:tr>
      <w:tr>
        <w:tc>
          <w:tcPr>
            <w:tcW w:type="dxa" w:w="3402"/>
          </w:tcPr>
          <w:p>
            <w:pPr>
              <w:spacing w:after="20" w:before="20"/>
            </w:pPr>
            <w:r/>
            <w:r>
              <w:rPr>
                <w:b w:val="0"/>
                <w:sz w:val="16"/>
              </w:rPr>
              <w:t>Does an official BFE exist for this location?</w:t>
            </w:r>
          </w:p>
        </w:tc>
        <w:tc>
          <w:tcPr>
            <w:tcW w:type="dxa" w:w="6009"/>
          </w:tcPr>
          <w:p>
            <w:pPr>
              <w:spacing w:after="20" w:before="20"/>
            </w:pPr>
            <w:r/>
            <w:r>
              <w:rPr>
                <w:b w:val="0"/>
                <w:sz w:val="16"/>
              </w:rPr>
              <w:t>**No.** FEMA returns STATIC_BFE = -9999 for the Zone A polygon.</w:t>
            </w:r>
          </w:p>
        </w:tc>
      </w:tr>
      <w:tr>
        <w:tc>
          <w:tcPr>
            <w:tcW w:type="dxa" w:w="3402"/>
            <w:shd w:val="clear" w:color="auto" w:fill="F2F5F9"/>
          </w:tcPr>
          <w:p>
            <w:pPr>
              <w:spacing w:after="20" w:before="20"/>
            </w:pPr>
            <w:r/>
            <w:r>
              <w:rPr>
                <w:b w:val="0"/>
                <w:sz w:val="16"/>
              </w:rPr>
              <w:t>Applicable FEMA flood elevation</w:t>
            </w:r>
          </w:p>
        </w:tc>
        <w:tc>
          <w:tcPr>
            <w:tcW w:type="dxa" w:w="6009"/>
            <w:shd w:val="clear" w:color="auto" w:fill="F2F5F9"/>
          </w:tcPr>
          <w:p>
            <w:pPr>
              <w:spacing w:after="20" w:before="20"/>
            </w:pPr>
            <w:r/>
            <w:r>
              <w:rPr>
                <w:b w:val="0"/>
                <w:sz w:val="16"/>
              </w:rPr>
              <w:t>None published. The regulatory flood elevation must be determined by the county.</w:t>
            </w:r>
          </w:p>
        </w:tc>
      </w:tr>
      <w:tr>
        <w:tc>
          <w:tcPr>
            <w:tcW w:type="dxa" w:w="3402"/>
          </w:tcPr>
          <w:p>
            <w:pPr>
              <w:spacing w:after="20" w:before="20"/>
            </w:pPr>
            <w:r/>
            <w:r>
              <w:rPr>
                <w:b w:val="0"/>
                <w:sz w:val="16"/>
              </w:rPr>
              <w:t>Useful federal reference elevations instead</w:t>
            </w:r>
          </w:p>
        </w:tc>
        <w:tc>
          <w:tcPr>
            <w:tcW w:type="dxa" w:w="6009"/>
          </w:tcPr>
          <w:p>
            <w:pPr>
              <w:spacing w:after="20" w:before="20"/>
            </w:pPr>
            <w:r/>
            <w:r>
              <w:rPr>
                <w:b w:val="0"/>
                <w:sz w:val="16"/>
              </w:rPr>
              <w:t>Full pool 330 ft; top of spillway gates (flood-control pool) 335 ft; conservation pool 312–330 ft; normal drawdown limit 305 ft; spillway crest 300 ft.</w:t>
            </w:r>
          </w:p>
        </w:tc>
      </w:tr>
      <w:tr>
        <w:tc>
          <w:tcPr>
            <w:tcW w:type="dxa" w:w="3402"/>
            <w:shd w:val="clear" w:color="auto" w:fill="F2F5F9"/>
          </w:tcPr>
          <w:p>
            <w:pPr>
              <w:spacing w:after="20" w:before="20"/>
            </w:pPr>
            <w:r/>
            <w:r>
              <w:rPr>
                <w:b w:val="0"/>
                <w:sz w:val="16"/>
              </w:rPr>
              <w:t>Relationship of the lot to those elevations</w:t>
            </w:r>
          </w:p>
        </w:tc>
        <w:tc>
          <w:tcPr>
            <w:tcW w:type="dxa" w:w="6009"/>
            <w:shd w:val="clear" w:color="auto" w:fill="F2F5F9"/>
          </w:tcPr>
          <w:p>
            <w:pPr>
              <w:spacing w:after="20" w:before="20"/>
            </w:pPr>
            <w:r/>
            <w:r>
              <w:rPr>
                <w:b w:val="0"/>
                <w:sz w:val="16"/>
              </w:rPr>
              <w:t>The entire modelled building envelope lies above 345 ft, i.e. at least 10 ft above the top of the flood-control pool and at least 15 ft above full pool.</w:t>
            </w:r>
          </w:p>
        </w:tc>
      </w:tr>
      <w:tr>
        <w:tc>
          <w:tcPr>
            <w:tcW w:type="dxa" w:w="3402"/>
          </w:tcPr>
          <w:p>
            <w:pPr>
              <w:spacing w:after="20" w:before="20"/>
            </w:pPr>
            <w:r/>
            <w:r>
              <w:rPr>
                <w:b w:val="0"/>
                <w:sz w:val="16"/>
              </w:rPr>
              <w:t>Difference between lowest likely ground on the lot and 335 ft</w:t>
            </w:r>
          </w:p>
        </w:tc>
        <w:tc>
          <w:tcPr>
            <w:tcW w:type="dxa" w:w="6009"/>
          </w:tcPr>
          <w:p>
            <w:pPr>
              <w:spacing w:after="20" w:before="20"/>
            </w:pPr>
            <w:r/>
            <w:r>
              <w:rPr>
                <w:b w:val="0"/>
                <w:sz w:val="16"/>
              </w:rPr>
              <w:t>Approximately +12.5 ft at the west rear corner, the least favourable modelled position.</w:t>
            </w:r>
          </w:p>
        </w:tc>
      </w:tr>
    </w:tbl>
    <w:p>
      <w:pPr>
        <w:spacing w:after="40"/>
      </w:pPr>
    </w:p>
    <w:p>
      <w:pPr>
        <w:spacing w:after="80" w:before="0"/>
      </w:pPr>
      <w:r>
        <w:rPr>
          <w:b w:val="0"/>
          <w:i/>
          <w:sz w:val="18"/>
        </w:rPr>
        <w:t>Note the distinction: the reservoir's flood-control pool (335 ft) is an operational USACE elevation, not a FEMA regulatory BFE. They are different instruments and should not be substituted for one another in a permit application.</w:t>
      </w:r>
    </w:p>
    <w:p>
      <w:pPr>
        <w:spacing w:before="20" w:after="80"/>
      </w:pPr>
      <w:r>
        <w:rPr>
          <w:b/>
          <w:color w:val="1E6B3A"/>
          <w:sz w:val="15"/>
        </w:rPr>
        <w:t>[DOCUMENTED]</w:t>
      </w:r>
      <w:r>
        <w:rPr>
          <w:i/>
          <w:color w:val="555555"/>
          <w:sz w:val="15"/>
        </w:rPr>
        <w:t xml:space="preserve">  USACE pool elevations documented. BFE genuinely does not exist for Zone A here.</w:t>
      </w:r>
    </w:p>
    <w:p>
      <w:pPr>
        <w:pStyle w:val="Heading2"/>
      </w:pPr>
      <w:r>
        <w:t>13. Finished-floor elevation</w:t>
      </w:r>
    </w:p>
    <w:p>
      <w:pPr>
        <w:spacing w:after="80" w:before="0"/>
      </w:pPr>
      <w:r>
        <w:rPr>
          <w:b w:val="0"/>
          <w:i w:val="0"/>
          <w:sz w:val="18"/>
        </w:rPr>
        <w:t>Because no BFE is published, the minimum finished-floor elevation cannot be computed from FEMA data. The governing formula is:</w:t>
      </w:r>
    </w:p>
    <w:p>
      <w:pPr>
        <w:spacing w:after="80" w:before="0"/>
      </w:pPr>
      <w:r>
        <w:rPr>
          <w:b/>
          <w:i w:val="0"/>
          <w:color w:val="1F4E79"/>
          <w:sz w:val="19"/>
        </w:rPr>
        <w:t xml:space="preserve">        regulatory flood elevation  +  county freeboard  =  minimum finished-floor elevation</w:t>
      </w:r>
    </w:p>
    <w:p>
      <w:pPr>
        <w:spacing w:after="80" w:before="0"/>
      </w:pPr>
      <w:r>
        <w:rPr>
          <w:b w:val="0"/>
          <w:i w:val="0"/>
          <w:sz w:val="18"/>
        </w:rPr>
        <w:t>Georgia's model floodplain ordinance commonly applies 1–3 ft of freeboard, but Lincoln County's adopted figure must be read from its own ordinance. Given that the building envelope sits 45–55 ft above full pool and comfortably outside Zone A, the practical answer is:</w:t>
      </w:r>
    </w:p>
    <w:tbl>
      <w:tblPr>
        <w:tblStyle w:val="TableGrid"/>
        <w:tblW w:type="auto" w:w="0"/>
        <w:jc w:val="center"/>
        <w:tblLook w:firstColumn="1" w:firstRow="1" w:lastColumn="0" w:lastRow="0" w:noHBand="0" w:noVBand="1" w:val="04A0"/>
      </w:tblPr>
      <w:tblGrid>
        <w:gridCol w:w="4932"/>
        <w:gridCol w:w="4932"/>
      </w:tblGrid>
      <w:tr>
        <w:tc>
          <w:tcPr>
            <w:tcW w:type="dxa" w:w="3175"/>
            <w:shd w:val="clear" w:color="auto" w:fill="1F4E79"/>
          </w:tcPr>
          <w:p>
            <w:pPr>
              <w:spacing w:after="20" w:before="20"/>
            </w:pPr>
            <w:r/>
            <w:r>
              <w:rPr>
                <w:b/>
                <w:color w:val="FFFFFF"/>
                <w:sz w:val="16"/>
              </w:rPr>
              <w:t>Determination</w:t>
            </w:r>
          </w:p>
        </w:tc>
        <w:tc>
          <w:tcPr>
            <w:tcW w:type="dxa" w:w="6236"/>
            <w:shd w:val="clear" w:color="auto" w:fill="1F4E79"/>
          </w:tcPr>
          <w:p>
            <w:pPr>
              <w:spacing w:after="20" w:before="20"/>
            </w:pPr>
            <w:r/>
            <w:r>
              <w:rPr>
                <w:b/>
                <w:color w:val="FFFFFF"/>
                <w:sz w:val="16"/>
              </w:rPr>
              <w:t>Finding</w:t>
            </w:r>
          </w:p>
        </w:tc>
      </w:tr>
      <w:tr>
        <w:tc>
          <w:tcPr>
            <w:tcW w:type="dxa" w:w="3175"/>
          </w:tcPr>
          <w:p>
            <w:pPr>
              <w:spacing w:after="20" w:before="20"/>
            </w:pPr>
            <w:r/>
            <w:r>
              <w:rPr>
                <w:b w:val="0"/>
                <w:sz w:val="16"/>
              </w:rPr>
              <w:t>Is existing terrain adequate?</w:t>
            </w:r>
          </w:p>
        </w:tc>
        <w:tc>
          <w:tcPr>
            <w:tcW w:type="dxa" w:w="6236"/>
          </w:tcPr>
          <w:p>
            <w:pPr>
              <w:spacing w:after="20" w:before="20"/>
            </w:pPr>
            <w:r/>
            <w:r>
              <w:rPr>
                <w:b w:val="0"/>
                <w:sz w:val="16"/>
              </w:rPr>
              <w:t>**Almost certainly yes** for a house sited in the Zone X portion near the road. No flood-driven elevation of the structure is indicated.</w:t>
            </w:r>
          </w:p>
        </w:tc>
      </w:tr>
      <w:tr>
        <w:tc>
          <w:tcPr>
            <w:tcW w:type="dxa" w:w="3175"/>
            <w:shd w:val="clear" w:color="auto" w:fill="F2F5F9"/>
          </w:tcPr>
          <w:p>
            <w:pPr>
              <w:spacing w:after="20" w:before="20"/>
            </w:pPr>
            <w:r/>
            <w:r>
              <w:rPr>
                <w:b w:val="0"/>
                <w:sz w:val="16"/>
              </w:rPr>
              <w:t>Is fill necessary for flood reasons?</w:t>
            </w:r>
          </w:p>
        </w:tc>
        <w:tc>
          <w:tcPr>
            <w:tcW w:type="dxa" w:w="6236"/>
            <w:shd w:val="clear" w:color="auto" w:fill="F2F5F9"/>
          </w:tcPr>
          <w:p>
            <w:pPr>
              <w:spacing w:after="20" w:before="20"/>
            </w:pPr>
            <w:r/>
            <w:r>
              <w:rPr>
                <w:b w:val="0"/>
                <w:sz w:val="16"/>
              </w:rPr>
              <w:t>**No.** Fill may still be wanted for grading/pad reasons (Section K.44), which is a different question.</w:t>
            </w:r>
          </w:p>
        </w:tc>
      </w:tr>
      <w:tr>
        <w:tc>
          <w:tcPr>
            <w:tcW w:type="dxa" w:w="3175"/>
          </w:tcPr>
          <w:p>
            <w:pPr>
              <w:spacing w:after="20" w:before="20"/>
            </w:pPr>
            <w:r/>
            <w:r>
              <w:rPr>
                <w:b w:val="0"/>
                <w:sz w:val="16"/>
              </w:rPr>
              <w:t>Must the house be elevated?</w:t>
            </w:r>
          </w:p>
        </w:tc>
        <w:tc>
          <w:tcPr>
            <w:tcW w:type="dxa" w:w="6236"/>
          </w:tcPr>
          <w:p>
            <w:pPr>
              <w:spacing w:after="20" w:before="20"/>
            </w:pPr>
            <w:r/>
            <w:r>
              <w:rPr>
                <w:b w:val="0"/>
                <w:sz w:val="16"/>
              </w:rPr>
              <w:t>Not for flood purposes, on current evidence.</w:t>
            </w:r>
          </w:p>
        </w:tc>
      </w:tr>
      <w:tr>
        <w:tc>
          <w:tcPr>
            <w:tcW w:type="dxa" w:w="3175"/>
            <w:shd w:val="clear" w:color="auto" w:fill="F2F5F9"/>
          </w:tcPr>
          <w:p>
            <w:pPr>
              <w:spacing w:after="20" w:before="20"/>
            </w:pPr>
            <w:r/>
            <w:r>
              <w:rPr>
                <w:b w:val="0"/>
                <w:sz w:val="16"/>
              </w:rPr>
              <w:t>Crawlspace / pier / slab restrictions?</w:t>
            </w:r>
          </w:p>
        </w:tc>
        <w:tc>
          <w:tcPr>
            <w:tcW w:type="dxa" w:w="6236"/>
            <w:shd w:val="clear" w:color="auto" w:fill="F2F5F9"/>
          </w:tcPr>
          <w:p>
            <w:pPr>
              <w:spacing w:after="20" w:before="20"/>
            </w:pPr>
            <w:r/>
            <w:r>
              <w:rPr>
                <w:b w:val="0"/>
                <w:sz w:val="16"/>
              </w:rPr>
              <w:t>No flood-driven restriction expected outside the SFHA. Slope and soil drive this choice instead — see Section D.15.</w:t>
            </w:r>
          </w:p>
        </w:tc>
      </w:tr>
      <w:tr>
        <w:tc>
          <w:tcPr>
            <w:tcW w:type="dxa" w:w="3175"/>
          </w:tcPr>
          <w:p>
            <w:pPr>
              <w:spacing w:after="20" w:before="20"/>
            </w:pPr>
            <w:r/>
            <w:r>
              <w:rPr>
                <w:b w:val="0"/>
                <w:sz w:val="16"/>
              </w:rPr>
              <w:t>If any part of the structure falls in Zone A</w:t>
            </w:r>
          </w:p>
        </w:tc>
        <w:tc>
          <w:tcPr>
            <w:tcW w:type="dxa" w:w="6236"/>
          </w:tcPr>
          <w:p>
            <w:pPr>
              <w:spacing w:after="20" w:before="20"/>
            </w:pPr>
            <w:r/>
            <w:r>
              <w:rPr>
                <w:b w:val="0"/>
                <w:sz w:val="16"/>
              </w:rPr>
              <w:t>Then the full floodplain-development permit path applies: county-determined flood elevation, freeboard, flood vents, and an Elevation Certificate.</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DO NOT ASSUME FILL IS PERMITTED</w:t>
            </w:r>
          </w:p>
          <w:p>
            <w:pPr>
              <w:spacing w:after="40"/>
            </w:pPr>
            <w:r>
              <w:rPr>
                <w:sz w:val="17"/>
              </w:rPr>
              <w:t>Raising a pad above a flood elevation does not by itself make a project compliant. Placing fill in or near a floodplain, or within the Corps' flowage easement if one exists, can require separate authorisation and can be refused outright. Lincoln County floodplain administration and, where federal land or easement is involved, the USACE Thurmond Project Office must both be consulted before any fill is designed.</w:t>
            </w:r>
          </w:p>
        </w:tc>
      </w:tr>
    </w:tbl>
    <w:p>
      <w:pPr>
        <w:spacing w:after="60"/>
      </w:pPr>
    </w:p>
    <w:p>
      <w:pPr>
        <w:spacing w:before="20" w:after="80"/>
      </w:pPr>
      <w:r>
        <w:rPr>
          <w:b/>
          <w:color w:val="C01F2B"/>
          <w:sz w:val="15"/>
        </w:rPr>
        <w:t>[REQUIRES PROFESSIONAL / OFFICIAL VERIFICATION]</w:t>
      </w:r>
      <w:r>
        <w:rPr>
          <w:i/>
          <w:color w:val="555555"/>
          <w:sz w:val="15"/>
        </w:rPr>
        <w:t xml:space="preserve">  Freeboard value and regulatory flood elevation must come from the Lincoln County floodplain administrator.</w:t>
      </w:r>
    </w:p>
    <w:p>
      <w:pPr>
        <w:pStyle w:val="Heading2"/>
      </w:pPr>
      <w:r>
        <w:t>Drainage note (expanded in Section K.45)</w:t>
      </w:r>
    </w:p>
    <w:p>
      <w:pPr>
        <w:spacing w:after="80" w:before="0"/>
      </w:pPr>
      <w:r>
        <w:rPr>
          <w:b w:val="0"/>
          <w:i w:val="0"/>
          <w:sz w:val="18"/>
        </w:rPr>
        <w:t>The down-gradient arrows in Fig. 1 show a consistent north to north-west drainage pattern from the ridge, across the road corridor, down the lot slope and into the Fishing Creek arm. Two shallow swales are visible in the lidar surface on either side of the modelled lot pair. Any building pad placed across a swale will intercept upslope runoff and will need positive diversion. Because the lots sit below a ridge, they receive the runoff of the land above them; the volume is modest given the short contributing slope length, but it is not zero.</w:t>
      </w:r>
    </w:p>
    <w:p>
      <w:pPr>
        <w:spacing w:before="20" w:after="80"/>
      </w:pPr>
      <w:r>
        <w:rPr>
          <w:b/>
          <w:color w:val="B46B00"/>
          <w:sz w:val="15"/>
        </w:rPr>
        <w:t>[MODEL-DERIVED ESTIMATE]</w:t>
      </w:r>
      <w:r>
        <w:rPr>
          <w:i/>
          <w:color w:val="555555"/>
          <w:sz w:val="15"/>
        </w:rPr>
        <w:t xml:space="preserve">  Flow directions computed from the lidar gradient field.</w:t>
      </w:r>
    </w:p>
    <w:p>
      <w:r>
        <w:br w:type="page"/>
      </w:r>
    </w:p>
    <w:p>
      <w:pPr>
        <w:pStyle w:val="Heading1"/>
      </w:pPr>
      <w:r>
        <w:t>D. Soil, Foundation, Septic &amp; Garden</w:t>
      </w:r>
    </w:p>
    <w:p>
      <w:pPr>
        <w:spacing w:after="80" w:before="0"/>
      </w:pPr>
      <w:r>
        <w:rPr>
          <w:b w:val="0"/>
          <w:i w:val="0"/>
          <w:sz w:val="18"/>
        </w:rPr>
        <w:t>Soil data below is USDA NRCS SSURGO, queried through Soil Data Access for the exact study-area polygon. Map units were then sampled at individual points along the road and slope to establish which soil sits where.</w:t>
      </w:r>
    </w:p>
    <w:p>
      <w:pPr>
        <w:pStyle w:val="Heading2"/>
      </w:pPr>
      <w:r>
        <w:t>14. Soil characteristics</w:t>
      </w:r>
    </w:p>
    <w:p>
      <w:pPr>
        <w:spacing w:after="80" w:before="0"/>
      </w:pPr>
      <w:r>
        <w:rPr>
          <w:b/>
          <w:i w:val="0"/>
          <w:sz w:val="18"/>
        </w:rPr>
        <w:t>Map units present in the study area, and where each one falls: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61"/>
            <w:shd w:val="clear" w:color="auto" w:fill="1F4E79"/>
          </w:tcPr>
          <w:p>
            <w:pPr>
              <w:spacing w:after="20" w:before="20"/>
            </w:pPr>
            <w:r/>
            <w:r>
              <w:rPr>
                <w:b/>
                <w:color w:val="FFFFFF"/>
                <w:sz w:val="16"/>
              </w:rPr>
              <w:t>Map unit (mukey)</w:t>
            </w:r>
          </w:p>
        </w:tc>
        <w:tc>
          <w:tcPr>
            <w:tcW w:type="dxa" w:w="2835"/>
            <w:shd w:val="clear" w:color="auto" w:fill="1F4E79"/>
          </w:tcPr>
          <w:p>
            <w:pPr>
              <w:spacing w:after="20" w:before="20"/>
            </w:pPr>
            <w:r/>
            <w:r>
              <w:rPr>
                <w:b/>
                <w:color w:val="FFFFFF"/>
                <w:sz w:val="16"/>
              </w:rPr>
              <w:t>Soil name</w:t>
            </w:r>
          </w:p>
        </w:tc>
        <w:tc>
          <w:tcPr>
            <w:tcW w:type="dxa" w:w="1587"/>
            <w:shd w:val="clear" w:color="auto" w:fill="1F4E79"/>
          </w:tcPr>
          <w:p>
            <w:pPr>
              <w:spacing w:after="20" w:before="20"/>
            </w:pPr>
            <w:r/>
            <w:r>
              <w:rPr>
                <w:b/>
                <w:color w:val="FFFFFF"/>
                <w:sz w:val="16"/>
              </w:rPr>
              <w:t>Slope range</w:t>
            </w:r>
          </w:p>
        </w:tc>
        <w:tc>
          <w:tcPr>
            <w:tcW w:type="dxa" w:w="1361"/>
            <w:shd w:val="clear" w:color="auto" w:fill="1F4E79"/>
          </w:tcPr>
          <w:p>
            <w:pPr>
              <w:spacing w:after="20" w:before="20"/>
            </w:pPr>
            <w:r/>
            <w:r>
              <w:rPr>
                <w:b/>
                <w:color w:val="FFFFFF"/>
                <w:sz w:val="16"/>
              </w:rPr>
              <w:t>Drainage</w:t>
            </w:r>
          </w:p>
        </w:tc>
        <w:tc>
          <w:tcPr>
            <w:tcW w:type="dxa" w:w="2268"/>
            <w:shd w:val="clear" w:color="auto" w:fill="1F4E79"/>
          </w:tcPr>
          <w:p>
            <w:pPr>
              <w:spacing w:after="20" w:before="20"/>
            </w:pPr>
            <w:r/>
            <w:r>
              <w:rPr>
                <w:b/>
                <w:color w:val="FFFFFF"/>
                <w:sz w:val="16"/>
              </w:rPr>
              <w:t>Where sampled</w:t>
            </w:r>
          </w:p>
        </w:tc>
      </w:tr>
      <w:tr>
        <w:tc>
          <w:tcPr>
            <w:tcW w:type="dxa" w:w="1361"/>
          </w:tcPr>
          <w:p>
            <w:pPr>
              <w:spacing w:after="20" w:before="20"/>
            </w:pPr>
            <w:r/>
            <w:r>
              <w:rPr>
                <w:b w:val="0"/>
                <w:sz w:val="16"/>
              </w:rPr>
              <w:t>127112</w:t>
            </w:r>
          </w:p>
        </w:tc>
        <w:tc>
          <w:tcPr>
            <w:tcW w:type="dxa" w:w="2835"/>
          </w:tcPr>
          <w:p>
            <w:pPr>
              <w:spacing w:after="20" w:before="20"/>
            </w:pPr>
            <w:r/>
            <w:r>
              <w:rPr>
                <w:b/>
                <w:sz w:val="16"/>
              </w:rPr>
              <w:t>Pacolet sandy clay loam, severely eroded</w:t>
            </w:r>
          </w:p>
        </w:tc>
        <w:tc>
          <w:tcPr>
            <w:tcW w:type="dxa" w:w="1587"/>
          </w:tcPr>
          <w:p>
            <w:pPr>
              <w:spacing w:after="20" w:before="20"/>
            </w:pPr>
            <w:r/>
            <w:r>
              <w:rPr>
                <w:b w:val="0"/>
                <w:sz w:val="16"/>
              </w:rPr>
              <w:t>10–25 % (rep. 18 %)</w:t>
            </w:r>
          </w:p>
        </w:tc>
        <w:tc>
          <w:tcPr>
            <w:tcW w:type="dxa" w:w="1361"/>
          </w:tcPr>
          <w:p>
            <w:pPr>
              <w:spacing w:after="20" w:before="20"/>
            </w:pPr>
            <w:r/>
            <w:r>
              <w:rPr>
                <w:b w:val="0"/>
                <w:sz w:val="16"/>
              </w:rPr>
              <w:t>Well drained</w:t>
            </w:r>
          </w:p>
        </w:tc>
        <w:tc>
          <w:tcPr>
            <w:tcW w:type="dxa" w:w="2268"/>
          </w:tcPr>
          <w:p>
            <w:pPr>
              <w:spacing w:after="20" w:before="20"/>
            </w:pPr>
            <w:r/>
            <w:r>
              <w:rPr>
                <w:b w:val="0"/>
                <w:sz w:val="16"/>
              </w:rPr>
              <w:t>West cul-de-sac; mid-slope toward the lake</w:t>
            </w:r>
          </w:p>
        </w:tc>
      </w:tr>
      <w:tr>
        <w:tc>
          <w:tcPr>
            <w:tcW w:type="dxa" w:w="1361"/>
            <w:shd w:val="clear" w:color="auto" w:fill="F2F5F9"/>
          </w:tcPr>
          <w:p>
            <w:pPr>
              <w:spacing w:after="20" w:before="20"/>
            </w:pPr>
            <w:r/>
            <w:r>
              <w:rPr>
                <w:b w:val="0"/>
                <w:sz w:val="16"/>
              </w:rPr>
              <w:t>127068</w:t>
            </w:r>
          </w:p>
        </w:tc>
        <w:tc>
          <w:tcPr>
            <w:tcW w:type="dxa" w:w="2835"/>
            <w:shd w:val="clear" w:color="auto" w:fill="F2F5F9"/>
          </w:tcPr>
          <w:p>
            <w:pPr>
              <w:spacing w:after="20" w:before="20"/>
            </w:pPr>
            <w:r/>
            <w:r>
              <w:rPr>
                <w:b/>
                <w:sz w:val="16"/>
              </w:rPr>
              <w:t>Cecil sandy loam</w:t>
            </w:r>
          </w:p>
        </w:tc>
        <w:tc>
          <w:tcPr>
            <w:tcW w:type="dxa" w:w="1587"/>
            <w:shd w:val="clear" w:color="auto" w:fill="F2F5F9"/>
          </w:tcPr>
          <w:p>
            <w:pPr>
              <w:spacing w:after="20" w:before="20"/>
            </w:pPr>
            <w:r/>
            <w:r>
              <w:rPr>
                <w:b w:val="0"/>
                <w:sz w:val="16"/>
              </w:rPr>
              <w:t>2–6 % (rep. 4 %)</w:t>
            </w:r>
          </w:p>
        </w:tc>
        <w:tc>
          <w:tcPr>
            <w:tcW w:type="dxa" w:w="1361"/>
            <w:shd w:val="clear" w:color="auto" w:fill="F2F5F9"/>
          </w:tcPr>
          <w:p>
            <w:pPr>
              <w:spacing w:after="20" w:before="20"/>
            </w:pPr>
            <w:r/>
            <w:r>
              <w:rPr>
                <w:b w:val="0"/>
                <w:sz w:val="16"/>
              </w:rPr>
              <w:t>Well drained</w:t>
            </w:r>
          </w:p>
        </w:tc>
        <w:tc>
          <w:tcPr>
            <w:tcW w:type="dxa" w:w="2268"/>
            <w:shd w:val="clear" w:color="auto" w:fill="F2F5F9"/>
          </w:tcPr>
          <w:p>
            <w:pPr>
              <w:spacing w:after="20" w:before="20"/>
            </w:pPr>
            <w:r/>
            <w:r>
              <w:rPr>
                <w:b w:val="0"/>
                <w:sz w:val="16"/>
              </w:rPr>
              <w:t>Middle and east road frontage</w:t>
            </w:r>
          </w:p>
        </w:tc>
      </w:tr>
      <w:tr>
        <w:tc>
          <w:tcPr>
            <w:tcW w:type="dxa" w:w="1361"/>
          </w:tcPr>
          <w:p>
            <w:pPr>
              <w:spacing w:after="20" w:before="20"/>
            </w:pPr>
            <w:r/>
            <w:r>
              <w:rPr>
                <w:b w:val="0"/>
                <w:sz w:val="16"/>
              </w:rPr>
              <w:t>127093</w:t>
            </w:r>
          </w:p>
        </w:tc>
        <w:tc>
          <w:tcPr>
            <w:tcW w:type="dxa" w:w="2835"/>
          </w:tcPr>
          <w:p>
            <w:pPr>
              <w:spacing w:after="20" w:before="20"/>
            </w:pPr>
            <w:r/>
            <w:r>
              <w:rPr>
                <w:b w:val="0"/>
                <w:sz w:val="16"/>
              </w:rPr>
              <w:t>Madison sandy loam</w:t>
            </w:r>
          </w:p>
        </w:tc>
        <w:tc>
          <w:tcPr>
            <w:tcW w:type="dxa" w:w="1587"/>
          </w:tcPr>
          <w:p>
            <w:pPr>
              <w:spacing w:after="20" w:before="20"/>
            </w:pPr>
            <w:r/>
            <w:r>
              <w:rPr>
                <w:b w:val="0"/>
                <w:sz w:val="16"/>
              </w:rPr>
              <w:t>2–6 % (rep. 4 %)</w:t>
            </w:r>
          </w:p>
        </w:tc>
        <w:tc>
          <w:tcPr>
            <w:tcW w:type="dxa" w:w="1361"/>
          </w:tcPr>
          <w:p>
            <w:pPr>
              <w:spacing w:after="20" w:before="20"/>
            </w:pPr>
            <w:r/>
            <w:r>
              <w:rPr>
                <w:b w:val="0"/>
                <w:sz w:val="16"/>
              </w:rPr>
              <w:t>Well drained</w:t>
            </w:r>
          </w:p>
        </w:tc>
        <w:tc>
          <w:tcPr>
            <w:tcW w:type="dxa" w:w="2268"/>
          </w:tcPr>
          <w:p>
            <w:pPr>
              <w:spacing w:after="20" w:before="20"/>
            </w:pPr>
            <w:r/>
            <w:r>
              <w:rPr>
                <w:b w:val="0"/>
                <w:sz w:val="16"/>
              </w:rPr>
              <w:t>Within study area</w:t>
            </w:r>
          </w:p>
        </w:tc>
      </w:tr>
      <w:tr>
        <w:tc>
          <w:tcPr>
            <w:tcW w:type="dxa" w:w="1361"/>
            <w:shd w:val="clear" w:color="auto" w:fill="F2F5F9"/>
          </w:tcPr>
          <w:p>
            <w:pPr>
              <w:spacing w:after="20" w:before="20"/>
            </w:pPr>
            <w:r/>
            <w:r>
              <w:rPr>
                <w:b w:val="0"/>
                <w:sz w:val="16"/>
              </w:rPr>
              <w:t>127095</w:t>
            </w:r>
          </w:p>
        </w:tc>
        <w:tc>
          <w:tcPr>
            <w:tcW w:type="dxa" w:w="2835"/>
            <w:shd w:val="clear" w:color="auto" w:fill="F2F5F9"/>
          </w:tcPr>
          <w:p>
            <w:pPr>
              <w:spacing w:after="20" w:before="20"/>
            </w:pPr>
            <w:r/>
            <w:r>
              <w:rPr>
                <w:b w:val="0"/>
                <w:sz w:val="16"/>
              </w:rPr>
              <w:t>Madison sandy loam</w:t>
            </w:r>
          </w:p>
        </w:tc>
        <w:tc>
          <w:tcPr>
            <w:tcW w:type="dxa" w:w="1587"/>
            <w:shd w:val="clear" w:color="auto" w:fill="F2F5F9"/>
          </w:tcPr>
          <w:p>
            <w:pPr>
              <w:spacing w:after="20" w:before="20"/>
            </w:pPr>
            <w:r/>
            <w:r>
              <w:rPr>
                <w:b w:val="0"/>
                <w:sz w:val="16"/>
              </w:rPr>
              <w:t>10–25 % (rep. 18 %)</w:t>
            </w:r>
          </w:p>
        </w:tc>
        <w:tc>
          <w:tcPr>
            <w:tcW w:type="dxa" w:w="1361"/>
            <w:shd w:val="clear" w:color="auto" w:fill="F2F5F9"/>
          </w:tcPr>
          <w:p>
            <w:pPr>
              <w:spacing w:after="20" w:before="20"/>
            </w:pPr>
            <w:r/>
            <w:r>
              <w:rPr>
                <w:b w:val="0"/>
                <w:sz w:val="16"/>
              </w:rPr>
              <w:t>Well drained</w:t>
            </w:r>
          </w:p>
        </w:tc>
        <w:tc>
          <w:tcPr>
            <w:tcW w:type="dxa" w:w="2268"/>
            <w:shd w:val="clear" w:color="auto" w:fill="F2F5F9"/>
          </w:tcPr>
          <w:p>
            <w:pPr>
              <w:spacing w:after="20" w:before="20"/>
            </w:pPr>
            <w:r/>
            <w:r>
              <w:rPr>
                <w:b w:val="0"/>
                <w:sz w:val="16"/>
              </w:rPr>
              <w:t>Within study area</w:t>
            </w:r>
          </w:p>
        </w:tc>
      </w:tr>
      <w:tr>
        <w:tc>
          <w:tcPr>
            <w:tcW w:type="dxa" w:w="1361"/>
          </w:tcPr>
          <w:p>
            <w:pPr>
              <w:spacing w:after="20" w:before="20"/>
            </w:pPr>
            <w:r/>
            <w:r>
              <w:rPr>
                <w:b w:val="0"/>
                <w:sz w:val="16"/>
              </w:rPr>
              <w:t>127135</w:t>
            </w:r>
          </w:p>
        </w:tc>
        <w:tc>
          <w:tcPr>
            <w:tcW w:type="dxa" w:w="2835"/>
          </w:tcPr>
          <w:p>
            <w:pPr>
              <w:spacing w:after="20" w:before="20"/>
            </w:pPr>
            <w:r/>
            <w:r>
              <w:rPr>
                <w:b/>
                <w:sz w:val="16"/>
              </w:rPr>
              <w:t>Zion silt loam</w:t>
            </w:r>
          </w:p>
        </w:tc>
        <w:tc>
          <w:tcPr>
            <w:tcW w:type="dxa" w:w="1587"/>
          </w:tcPr>
          <w:p>
            <w:pPr>
              <w:spacing w:after="20" w:before="20"/>
            </w:pPr>
            <w:r/>
            <w:r>
              <w:rPr>
                <w:b w:val="0"/>
                <w:sz w:val="16"/>
              </w:rPr>
              <w:t>10–25 % (rep. 18 %)</w:t>
            </w:r>
          </w:p>
        </w:tc>
        <w:tc>
          <w:tcPr>
            <w:tcW w:type="dxa" w:w="1361"/>
          </w:tcPr>
          <w:p>
            <w:pPr>
              <w:spacing w:after="20" w:before="20"/>
            </w:pPr>
            <w:r/>
            <w:r>
              <w:rPr>
                <w:b w:val="0"/>
                <w:sz w:val="16"/>
              </w:rPr>
              <w:t>Well drained</w:t>
            </w:r>
          </w:p>
        </w:tc>
        <w:tc>
          <w:tcPr>
            <w:tcW w:type="dxa" w:w="2268"/>
          </w:tcPr>
          <w:p>
            <w:pPr>
              <w:spacing w:after="20" w:before="20"/>
            </w:pPr>
            <w:r/>
            <w:r>
              <w:rPr>
                <w:b w:val="0"/>
                <w:sz w:val="16"/>
              </w:rPr>
              <w:t>Lower slope near the lake arm</w:t>
            </w:r>
          </w:p>
        </w:tc>
      </w:tr>
      <w:tr>
        <w:tc>
          <w:tcPr>
            <w:tcW w:type="dxa" w:w="1361"/>
            <w:shd w:val="clear" w:color="auto" w:fill="F2F5F9"/>
          </w:tcPr>
          <w:p>
            <w:pPr>
              <w:spacing w:after="20" w:before="20"/>
            </w:pPr>
            <w:r/>
            <w:r>
              <w:rPr>
                <w:b w:val="0"/>
                <w:sz w:val="16"/>
              </w:rPr>
              <w:t>127133</w:t>
            </w:r>
          </w:p>
        </w:tc>
        <w:tc>
          <w:tcPr>
            <w:tcW w:type="dxa" w:w="2835"/>
            <w:shd w:val="clear" w:color="auto" w:fill="F2F5F9"/>
          </w:tcPr>
          <w:p>
            <w:pPr>
              <w:spacing w:after="20" w:before="20"/>
            </w:pPr>
            <w:r/>
            <w:r>
              <w:rPr>
                <w:b w:val="0"/>
                <w:sz w:val="16"/>
              </w:rPr>
              <w:t>Water</w:t>
            </w:r>
          </w:p>
        </w:tc>
        <w:tc>
          <w:tcPr>
            <w:tcW w:type="dxa" w:w="1587"/>
            <w:shd w:val="clear" w:color="auto" w:fill="F2F5F9"/>
          </w:tcPr>
          <w:p>
            <w:pPr>
              <w:spacing w:after="20" w:before="20"/>
            </w:pPr>
            <w:r/>
            <w:r>
              <w:rPr>
                <w:b w:val="0"/>
                <w:sz w:val="16"/>
              </w:rPr>
              <w:t>—</w:t>
            </w:r>
          </w:p>
        </w:tc>
        <w:tc>
          <w:tcPr>
            <w:tcW w:type="dxa" w:w="1361"/>
            <w:shd w:val="clear" w:color="auto" w:fill="F2F5F9"/>
          </w:tcPr>
          <w:p>
            <w:pPr>
              <w:spacing w:after="20" w:before="20"/>
            </w:pPr>
            <w:r/>
            <w:r>
              <w:rPr>
                <w:b w:val="0"/>
                <w:sz w:val="16"/>
              </w:rPr>
              <w:t>—</w:t>
            </w:r>
          </w:p>
        </w:tc>
        <w:tc>
          <w:tcPr>
            <w:tcW w:type="dxa" w:w="2268"/>
            <w:shd w:val="clear" w:color="auto" w:fill="F2F5F9"/>
          </w:tcPr>
          <w:p>
            <w:pPr>
              <w:spacing w:after="20" w:before="20"/>
            </w:pPr>
            <w:r/>
            <w:r>
              <w:rPr>
                <w:b w:val="0"/>
                <w:sz w:val="16"/>
              </w:rPr>
              <w:t>The lake itself</w:t>
            </w:r>
          </w:p>
        </w:tc>
      </w:tr>
    </w:tbl>
    <w:p>
      <w:pPr>
        <w:spacing w:after="40"/>
      </w:pPr>
    </w:p>
    <w:p>
      <w:pPr>
        <w:spacing w:after="80" w:before="0"/>
      </w:pPr>
      <w:r>
        <w:rPr>
          <w:b/>
          <w:i w:val="0"/>
          <w:sz w:val="18"/>
        </w:rPr>
        <w:t>Horizon-level properties of the major components:</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020"/>
            <w:shd w:val="clear" w:color="auto" w:fill="1F4E79"/>
          </w:tcPr>
          <w:p>
            <w:pPr>
              <w:spacing w:after="20" w:before="20"/>
            </w:pPr>
            <w:r/>
            <w:r>
              <w:rPr>
                <w:b/>
                <w:color w:val="FFFFFF"/>
                <w:sz w:val="15"/>
              </w:rPr>
              <w:t>Soil</w:t>
            </w:r>
          </w:p>
        </w:tc>
        <w:tc>
          <w:tcPr>
            <w:tcW w:type="dxa" w:w="1134"/>
            <w:shd w:val="clear" w:color="auto" w:fill="1F4E79"/>
          </w:tcPr>
          <w:p>
            <w:pPr>
              <w:spacing w:after="20" w:before="20"/>
            </w:pPr>
            <w:r/>
            <w:r>
              <w:rPr>
                <w:b/>
                <w:color w:val="FFFFFF"/>
                <w:sz w:val="15"/>
              </w:rPr>
              <w:t>Depth (cm)</w:t>
            </w:r>
          </w:p>
        </w:tc>
        <w:tc>
          <w:tcPr>
            <w:tcW w:type="dxa" w:w="850"/>
            <w:shd w:val="clear" w:color="auto" w:fill="1F4E79"/>
          </w:tcPr>
          <w:p>
            <w:pPr>
              <w:spacing w:after="20" w:before="20"/>
            </w:pPr>
            <w:r/>
            <w:r>
              <w:rPr>
                <w:b/>
                <w:color w:val="FFFFFF"/>
                <w:sz w:val="15"/>
              </w:rPr>
              <w:t>Sand %</w:t>
            </w:r>
          </w:p>
        </w:tc>
        <w:tc>
          <w:tcPr>
            <w:tcW w:type="dxa" w:w="850"/>
            <w:shd w:val="clear" w:color="auto" w:fill="1F4E79"/>
          </w:tcPr>
          <w:p>
            <w:pPr>
              <w:spacing w:after="20" w:before="20"/>
            </w:pPr>
            <w:r/>
            <w:r>
              <w:rPr>
                <w:b/>
                <w:color w:val="FFFFFF"/>
                <w:sz w:val="15"/>
              </w:rPr>
              <w:t>Silt %</w:t>
            </w:r>
          </w:p>
        </w:tc>
        <w:tc>
          <w:tcPr>
            <w:tcW w:type="dxa" w:w="964"/>
            <w:shd w:val="clear" w:color="auto" w:fill="1F4E79"/>
          </w:tcPr>
          <w:p>
            <w:pPr>
              <w:spacing w:after="20" w:before="20"/>
            </w:pPr>
            <w:r/>
            <w:r>
              <w:rPr>
                <w:b/>
                <w:color w:val="FFFFFF"/>
                <w:sz w:val="15"/>
              </w:rPr>
              <w:t>Clay %</w:t>
            </w:r>
          </w:p>
        </w:tc>
        <w:tc>
          <w:tcPr>
            <w:tcW w:type="dxa" w:w="794"/>
            <w:shd w:val="clear" w:color="auto" w:fill="1F4E79"/>
          </w:tcPr>
          <w:p>
            <w:pPr>
              <w:spacing w:after="20" w:before="20"/>
            </w:pPr>
            <w:r/>
            <w:r>
              <w:rPr>
                <w:b/>
                <w:color w:val="FFFFFF"/>
                <w:sz w:val="15"/>
              </w:rPr>
              <w:t>OM %</w:t>
            </w:r>
          </w:p>
        </w:tc>
        <w:tc>
          <w:tcPr>
            <w:tcW w:type="dxa" w:w="1134"/>
            <w:shd w:val="clear" w:color="auto" w:fill="1F4E79"/>
          </w:tcPr>
          <w:p>
            <w:pPr>
              <w:spacing w:after="20" w:before="20"/>
            </w:pPr>
            <w:r/>
            <w:r>
              <w:rPr>
                <w:b/>
                <w:color w:val="FFFFFF"/>
                <w:sz w:val="15"/>
              </w:rPr>
              <w:t>Ksat (um/s)</w:t>
            </w:r>
          </w:p>
        </w:tc>
        <w:tc>
          <w:tcPr>
            <w:tcW w:type="dxa" w:w="964"/>
            <w:shd w:val="clear" w:color="auto" w:fill="1F4E79"/>
          </w:tcPr>
          <w:p>
            <w:pPr>
              <w:spacing w:after="20" w:before="20"/>
            </w:pPr>
            <w:r/>
            <w:r>
              <w:rPr>
                <w:b/>
                <w:color w:val="FFFFFF"/>
                <w:sz w:val="15"/>
              </w:rPr>
              <w:t>pH (1:1)</w:t>
            </w:r>
          </w:p>
        </w:tc>
        <w:tc>
          <w:tcPr>
            <w:tcW w:type="dxa" w:w="680"/>
            <w:shd w:val="clear" w:color="auto" w:fill="1F4E79"/>
          </w:tcPr>
          <w:p>
            <w:pPr>
              <w:spacing w:after="20" w:before="20"/>
            </w:pPr>
            <w:r/>
            <w:r>
              <w:rPr>
                <w:b/>
                <w:color w:val="FFFFFF"/>
                <w:sz w:val="15"/>
              </w:rPr>
              <w:t>AWC</w:t>
            </w:r>
          </w:p>
        </w:tc>
      </w:tr>
      <w:tr>
        <w:tc>
          <w:tcPr>
            <w:tcW w:type="dxa" w:w="1020"/>
          </w:tcPr>
          <w:p>
            <w:pPr>
              <w:spacing w:after="20" w:before="20"/>
            </w:pPr>
            <w:r/>
            <w:r>
              <w:rPr>
                <w:b w:val="0"/>
                <w:sz w:val="15"/>
              </w:rPr>
              <w:t>Cecil</w:t>
            </w:r>
          </w:p>
        </w:tc>
        <w:tc>
          <w:tcPr>
            <w:tcW w:type="dxa" w:w="1134"/>
          </w:tcPr>
          <w:p>
            <w:pPr>
              <w:spacing w:after="20" w:before="20"/>
            </w:pPr>
            <w:r/>
            <w:r>
              <w:rPr>
                <w:b w:val="0"/>
                <w:sz w:val="15"/>
              </w:rPr>
              <w:t>0–15</w:t>
            </w:r>
          </w:p>
        </w:tc>
        <w:tc>
          <w:tcPr>
            <w:tcW w:type="dxa" w:w="850"/>
          </w:tcPr>
          <w:p>
            <w:pPr>
              <w:spacing w:after="20" w:before="20"/>
            </w:pPr>
            <w:r/>
            <w:r>
              <w:rPr>
                <w:b w:val="0"/>
                <w:sz w:val="15"/>
              </w:rPr>
              <w:t>69.9</w:t>
            </w:r>
          </w:p>
        </w:tc>
        <w:tc>
          <w:tcPr>
            <w:tcW w:type="dxa" w:w="850"/>
          </w:tcPr>
          <w:p>
            <w:pPr>
              <w:spacing w:after="20" w:before="20"/>
            </w:pPr>
            <w:r/>
            <w:r>
              <w:rPr>
                <w:b w:val="0"/>
                <w:sz w:val="15"/>
              </w:rPr>
              <w:t>20.2</w:t>
            </w:r>
          </w:p>
        </w:tc>
        <w:tc>
          <w:tcPr>
            <w:tcW w:type="dxa" w:w="964"/>
          </w:tcPr>
          <w:p>
            <w:pPr>
              <w:spacing w:after="20" w:before="20"/>
            </w:pPr>
            <w:r/>
            <w:r>
              <w:rPr>
                <w:b w:val="0"/>
                <w:sz w:val="15"/>
              </w:rPr>
              <w:t>9.9</w:t>
            </w:r>
          </w:p>
        </w:tc>
        <w:tc>
          <w:tcPr>
            <w:tcW w:type="dxa" w:w="794"/>
          </w:tcPr>
          <w:p>
            <w:pPr>
              <w:spacing w:after="20" w:before="20"/>
            </w:pPr>
            <w:r/>
            <w:r>
              <w:rPr>
                <w:b w:val="0"/>
                <w:sz w:val="15"/>
              </w:rPr>
              <w:t>0.50</w:t>
            </w:r>
          </w:p>
        </w:tc>
        <w:tc>
          <w:tcPr>
            <w:tcW w:type="dxa" w:w="1134"/>
          </w:tcPr>
          <w:p>
            <w:pPr>
              <w:spacing w:after="20" w:before="20"/>
            </w:pPr>
            <w:r/>
            <w:r>
              <w:rPr>
                <w:b w:val="0"/>
                <w:sz w:val="15"/>
              </w:rPr>
              <w:t>28</w:t>
            </w:r>
          </w:p>
        </w:tc>
        <w:tc>
          <w:tcPr>
            <w:tcW w:type="dxa" w:w="964"/>
          </w:tcPr>
          <w:p>
            <w:pPr>
              <w:spacing w:after="20" w:before="20"/>
            </w:pPr>
            <w:r/>
            <w:r>
              <w:rPr>
                <w:b w:val="0"/>
                <w:sz w:val="15"/>
              </w:rPr>
              <w:t>5.3</w:t>
            </w:r>
          </w:p>
        </w:tc>
        <w:tc>
          <w:tcPr>
            <w:tcW w:type="dxa" w:w="680"/>
          </w:tcPr>
          <w:p>
            <w:pPr>
              <w:spacing w:after="20" w:before="20"/>
            </w:pPr>
            <w:r/>
            <w:r>
              <w:rPr>
                <w:b w:val="0"/>
                <w:sz w:val="15"/>
              </w:rPr>
              <w:t>0.13</w:t>
            </w:r>
          </w:p>
        </w:tc>
      </w:tr>
      <w:tr>
        <w:tc>
          <w:tcPr>
            <w:tcW w:type="dxa" w:w="1020"/>
            <w:shd w:val="clear" w:color="auto" w:fill="F2F5F9"/>
          </w:tcPr>
          <w:p>
            <w:pPr>
              <w:spacing w:after="20" w:before="20"/>
            </w:pPr>
            <w:r/>
            <w:r>
              <w:rPr>
                <w:b w:val="0"/>
                <w:sz w:val="15"/>
              </w:rPr>
              <w:t>Cecil</w:t>
            </w:r>
          </w:p>
        </w:tc>
        <w:tc>
          <w:tcPr>
            <w:tcW w:type="dxa" w:w="1134"/>
            <w:shd w:val="clear" w:color="auto" w:fill="F2F5F9"/>
          </w:tcPr>
          <w:p>
            <w:pPr>
              <w:spacing w:after="20" w:before="20"/>
            </w:pPr>
            <w:r/>
            <w:r>
              <w:rPr>
                <w:b w:val="0"/>
                <w:sz w:val="15"/>
              </w:rPr>
              <w:t>15–107</w:t>
            </w:r>
          </w:p>
        </w:tc>
        <w:tc>
          <w:tcPr>
            <w:tcW w:type="dxa" w:w="850"/>
            <w:shd w:val="clear" w:color="auto" w:fill="F2F5F9"/>
          </w:tcPr>
          <w:p>
            <w:pPr>
              <w:spacing w:after="20" w:before="20"/>
            </w:pPr>
            <w:r/>
            <w:r>
              <w:rPr>
                <w:b w:val="0"/>
                <w:sz w:val="15"/>
              </w:rPr>
              <w:t>29.6</w:t>
            </w:r>
          </w:p>
        </w:tc>
        <w:tc>
          <w:tcPr>
            <w:tcW w:type="dxa" w:w="850"/>
            <w:shd w:val="clear" w:color="auto" w:fill="F2F5F9"/>
          </w:tcPr>
          <w:p>
            <w:pPr>
              <w:spacing w:after="20" w:before="20"/>
            </w:pPr>
            <w:r/>
            <w:r>
              <w:rPr>
                <w:b w:val="0"/>
                <w:sz w:val="15"/>
              </w:rPr>
              <w:t>15.6</w:t>
            </w:r>
          </w:p>
        </w:tc>
        <w:tc>
          <w:tcPr>
            <w:tcW w:type="dxa" w:w="964"/>
            <w:shd w:val="clear" w:color="auto" w:fill="F2F5F9"/>
          </w:tcPr>
          <w:p>
            <w:pPr>
              <w:spacing w:after="20" w:before="20"/>
            </w:pPr>
            <w:r/>
            <w:r>
              <w:rPr>
                <w:b/>
                <w:sz w:val="15"/>
              </w:rPr>
              <w:t>54.8</w:t>
            </w:r>
          </w:p>
        </w:tc>
        <w:tc>
          <w:tcPr>
            <w:tcW w:type="dxa" w:w="794"/>
            <w:shd w:val="clear" w:color="auto" w:fill="F2F5F9"/>
          </w:tcPr>
          <w:p>
            <w:pPr>
              <w:spacing w:after="20" w:before="20"/>
            </w:pPr>
            <w:r/>
            <w:r>
              <w:rPr>
                <w:b w:val="0"/>
                <w:sz w:val="15"/>
              </w:rPr>
              <w:t>0.10</w:t>
            </w:r>
          </w:p>
        </w:tc>
        <w:tc>
          <w:tcPr>
            <w:tcW w:type="dxa" w:w="1134"/>
            <w:shd w:val="clear" w:color="auto" w:fill="F2F5F9"/>
          </w:tcPr>
          <w:p>
            <w:pPr>
              <w:spacing w:after="20" w:before="20"/>
            </w:pPr>
            <w:r/>
            <w:r>
              <w:rPr>
                <w:b w:val="0"/>
                <w:sz w:val="15"/>
              </w:rPr>
              <w:t>9</w:t>
            </w:r>
          </w:p>
        </w:tc>
        <w:tc>
          <w:tcPr>
            <w:tcW w:type="dxa" w:w="964"/>
            <w:shd w:val="clear" w:color="auto" w:fill="F2F5F9"/>
          </w:tcPr>
          <w:p>
            <w:pPr>
              <w:spacing w:after="20" w:before="20"/>
            </w:pPr>
            <w:r/>
            <w:r>
              <w:rPr>
                <w:b w:val="0"/>
                <w:sz w:val="15"/>
              </w:rPr>
              <w:t>5.0</w:t>
            </w:r>
          </w:p>
        </w:tc>
        <w:tc>
          <w:tcPr>
            <w:tcW w:type="dxa" w:w="680"/>
            <w:shd w:val="clear" w:color="auto" w:fill="F2F5F9"/>
          </w:tcPr>
          <w:p>
            <w:pPr>
              <w:spacing w:after="20" w:before="20"/>
            </w:pPr>
            <w:r/>
            <w:r>
              <w:rPr>
                <w:b w:val="0"/>
                <w:sz w:val="15"/>
              </w:rPr>
              <w:t>0.10</w:t>
            </w:r>
          </w:p>
        </w:tc>
      </w:tr>
      <w:tr>
        <w:tc>
          <w:tcPr>
            <w:tcW w:type="dxa" w:w="1020"/>
          </w:tcPr>
          <w:p>
            <w:pPr>
              <w:spacing w:after="20" w:before="20"/>
            </w:pPr>
            <w:r/>
            <w:r>
              <w:rPr>
                <w:b w:val="0"/>
                <w:sz w:val="15"/>
              </w:rPr>
              <w:t>Cecil</w:t>
            </w:r>
          </w:p>
        </w:tc>
        <w:tc>
          <w:tcPr>
            <w:tcW w:type="dxa" w:w="1134"/>
          </w:tcPr>
          <w:p>
            <w:pPr>
              <w:spacing w:after="20" w:before="20"/>
            </w:pPr>
            <w:r/>
            <w:r>
              <w:rPr>
                <w:b w:val="0"/>
                <w:sz w:val="15"/>
              </w:rPr>
              <w:t>107–203</w:t>
            </w:r>
          </w:p>
        </w:tc>
        <w:tc>
          <w:tcPr>
            <w:tcW w:type="dxa" w:w="850"/>
          </w:tcPr>
          <w:p>
            <w:pPr>
              <w:spacing w:after="20" w:before="20"/>
            </w:pPr>
            <w:r/>
            <w:r>
              <w:rPr>
                <w:b w:val="0"/>
                <w:sz w:val="15"/>
              </w:rPr>
              <w:t>45.0</w:t>
            </w:r>
          </w:p>
        </w:tc>
        <w:tc>
          <w:tcPr>
            <w:tcW w:type="dxa" w:w="850"/>
          </w:tcPr>
          <w:p>
            <w:pPr>
              <w:spacing w:after="20" w:before="20"/>
            </w:pPr>
            <w:r/>
            <w:r>
              <w:rPr>
                <w:b w:val="0"/>
                <w:sz w:val="15"/>
              </w:rPr>
              <w:t>20.1</w:t>
            </w:r>
          </w:p>
        </w:tc>
        <w:tc>
          <w:tcPr>
            <w:tcW w:type="dxa" w:w="964"/>
          </w:tcPr>
          <w:p>
            <w:pPr>
              <w:spacing w:after="20" w:before="20"/>
            </w:pPr>
            <w:r/>
            <w:r>
              <w:rPr>
                <w:b w:val="0"/>
                <w:sz w:val="15"/>
              </w:rPr>
              <w:t>34.9</w:t>
            </w:r>
          </w:p>
        </w:tc>
        <w:tc>
          <w:tcPr>
            <w:tcW w:type="dxa" w:w="794"/>
          </w:tcPr>
          <w:p>
            <w:pPr>
              <w:spacing w:after="20" w:before="20"/>
            </w:pPr>
            <w:r/>
            <w:r>
              <w:rPr>
                <w:b w:val="0"/>
                <w:sz w:val="15"/>
              </w:rPr>
              <w:t>0.10</w:t>
            </w:r>
          </w:p>
        </w:tc>
        <w:tc>
          <w:tcPr>
            <w:tcW w:type="dxa" w:w="1134"/>
          </w:tcPr>
          <w:p>
            <w:pPr>
              <w:spacing w:after="20" w:before="20"/>
            </w:pPr>
            <w:r/>
            <w:r>
              <w:rPr>
                <w:b w:val="0"/>
                <w:sz w:val="15"/>
              </w:rPr>
              <w:t>9</w:t>
            </w:r>
          </w:p>
        </w:tc>
        <w:tc>
          <w:tcPr>
            <w:tcW w:type="dxa" w:w="964"/>
          </w:tcPr>
          <w:p>
            <w:pPr>
              <w:spacing w:after="20" w:before="20"/>
            </w:pPr>
            <w:r/>
            <w:r>
              <w:rPr>
                <w:b w:val="0"/>
                <w:sz w:val="15"/>
              </w:rPr>
              <w:t>5.0</w:t>
            </w:r>
          </w:p>
        </w:tc>
        <w:tc>
          <w:tcPr>
            <w:tcW w:type="dxa" w:w="680"/>
          </w:tcPr>
          <w:p>
            <w:pPr>
              <w:spacing w:after="20" w:before="20"/>
            </w:pPr>
            <w:r/>
            <w:r>
              <w:rPr>
                <w:b w:val="0"/>
                <w:sz w:val="15"/>
              </w:rPr>
              <w:t>0.15</w:t>
            </w:r>
          </w:p>
        </w:tc>
      </w:tr>
      <w:tr>
        <w:tc>
          <w:tcPr>
            <w:tcW w:type="dxa" w:w="1020"/>
            <w:shd w:val="clear" w:color="auto" w:fill="F2F5F9"/>
          </w:tcPr>
          <w:p>
            <w:pPr>
              <w:spacing w:after="20" w:before="20"/>
            </w:pPr>
            <w:r/>
            <w:r>
              <w:rPr>
                <w:b w:val="0"/>
                <w:sz w:val="15"/>
              </w:rPr>
              <w:t>Pacolet</w:t>
            </w:r>
          </w:p>
        </w:tc>
        <w:tc>
          <w:tcPr>
            <w:tcW w:type="dxa" w:w="1134"/>
            <w:shd w:val="clear" w:color="auto" w:fill="F2F5F9"/>
          </w:tcPr>
          <w:p>
            <w:pPr>
              <w:spacing w:after="20" w:before="20"/>
            </w:pPr>
            <w:r/>
            <w:r>
              <w:rPr>
                <w:b w:val="0"/>
                <w:sz w:val="15"/>
              </w:rPr>
              <w:t>0–8</w:t>
            </w:r>
          </w:p>
        </w:tc>
        <w:tc>
          <w:tcPr>
            <w:tcW w:type="dxa" w:w="850"/>
            <w:shd w:val="clear" w:color="auto" w:fill="F2F5F9"/>
          </w:tcPr>
          <w:p>
            <w:pPr>
              <w:spacing w:after="20" w:before="20"/>
            </w:pPr>
            <w:r/>
            <w:r>
              <w:rPr>
                <w:b w:val="0"/>
                <w:sz w:val="15"/>
              </w:rPr>
              <w:t>58.0</w:t>
            </w:r>
          </w:p>
        </w:tc>
        <w:tc>
          <w:tcPr>
            <w:tcW w:type="dxa" w:w="850"/>
            <w:shd w:val="clear" w:color="auto" w:fill="F2F5F9"/>
          </w:tcPr>
          <w:p>
            <w:pPr>
              <w:spacing w:after="20" w:before="20"/>
            </w:pPr>
            <w:r/>
            <w:r>
              <w:rPr>
                <w:b w:val="0"/>
                <w:sz w:val="15"/>
              </w:rPr>
              <w:t>16.0</w:t>
            </w:r>
          </w:p>
        </w:tc>
        <w:tc>
          <w:tcPr>
            <w:tcW w:type="dxa" w:w="964"/>
            <w:shd w:val="clear" w:color="auto" w:fill="F2F5F9"/>
          </w:tcPr>
          <w:p>
            <w:pPr>
              <w:spacing w:after="20" w:before="20"/>
            </w:pPr>
            <w:r/>
            <w:r>
              <w:rPr>
                <w:b w:val="0"/>
                <w:sz w:val="15"/>
              </w:rPr>
              <w:t>26.0</w:t>
            </w:r>
          </w:p>
        </w:tc>
        <w:tc>
          <w:tcPr>
            <w:tcW w:type="dxa" w:w="794"/>
            <w:shd w:val="clear" w:color="auto" w:fill="F2F5F9"/>
          </w:tcPr>
          <w:p>
            <w:pPr>
              <w:spacing w:after="20" w:before="20"/>
            </w:pPr>
            <w:r/>
            <w:r>
              <w:rPr>
                <w:b w:val="0"/>
                <w:sz w:val="15"/>
              </w:rPr>
              <w:t>1.00</w:t>
            </w:r>
          </w:p>
        </w:tc>
        <w:tc>
          <w:tcPr>
            <w:tcW w:type="dxa" w:w="1134"/>
            <w:shd w:val="clear" w:color="auto" w:fill="F2F5F9"/>
          </w:tcPr>
          <w:p>
            <w:pPr>
              <w:spacing w:after="20" w:before="20"/>
            </w:pPr>
            <w:r/>
            <w:r>
              <w:rPr>
                <w:b w:val="0"/>
                <w:sz w:val="15"/>
              </w:rPr>
              <w:t>9</w:t>
            </w:r>
          </w:p>
        </w:tc>
        <w:tc>
          <w:tcPr>
            <w:tcW w:type="dxa" w:w="964"/>
            <w:shd w:val="clear" w:color="auto" w:fill="F2F5F9"/>
          </w:tcPr>
          <w:p>
            <w:pPr>
              <w:spacing w:after="20" w:before="20"/>
            </w:pPr>
            <w:r/>
            <w:r>
              <w:rPr>
                <w:b w:val="0"/>
                <w:sz w:val="15"/>
              </w:rPr>
              <w:t>5.5</w:t>
            </w:r>
          </w:p>
        </w:tc>
        <w:tc>
          <w:tcPr>
            <w:tcW w:type="dxa" w:w="680"/>
            <w:shd w:val="clear" w:color="auto" w:fill="F2F5F9"/>
          </w:tcPr>
          <w:p>
            <w:pPr>
              <w:spacing w:after="20" w:before="20"/>
            </w:pPr>
            <w:r/>
            <w:r>
              <w:rPr>
                <w:b w:val="0"/>
                <w:sz w:val="15"/>
              </w:rPr>
              <w:t>0.11</w:t>
            </w:r>
          </w:p>
        </w:tc>
      </w:tr>
      <w:tr>
        <w:tc>
          <w:tcPr>
            <w:tcW w:type="dxa" w:w="1020"/>
          </w:tcPr>
          <w:p>
            <w:pPr>
              <w:spacing w:after="20" w:before="20"/>
            </w:pPr>
            <w:r/>
            <w:r>
              <w:rPr>
                <w:b w:val="0"/>
                <w:sz w:val="15"/>
              </w:rPr>
              <w:t>Pacolet</w:t>
            </w:r>
          </w:p>
        </w:tc>
        <w:tc>
          <w:tcPr>
            <w:tcW w:type="dxa" w:w="1134"/>
          </w:tcPr>
          <w:p>
            <w:pPr>
              <w:spacing w:after="20" w:before="20"/>
            </w:pPr>
            <w:r/>
            <w:r>
              <w:rPr>
                <w:b w:val="0"/>
                <w:sz w:val="15"/>
              </w:rPr>
              <w:t>8–48</w:t>
            </w:r>
          </w:p>
        </w:tc>
        <w:tc>
          <w:tcPr>
            <w:tcW w:type="dxa" w:w="850"/>
          </w:tcPr>
          <w:p>
            <w:pPr>
              <w:spacing w:after="20" w:before="20"/>
            </w:pPr>
            <w:r/>
            <w:r>
              <w:rPr>
                <w:b w:val="0"/>
                <w:sz w:val="15"/>
              </w:rPr>
              <w:t>48.0</w:t>
            </w:r>
          </w:p>
        </w:tc>
        <w:tc>
          <w:tcPr>
            <w:tcW w:type="dxa" w:w="850"/>
          </w:tcPr>
          <w:p>
            <w:pPr>
              <w:spacing w:after="20" w:before="20"/>
            </w:pPr>
            <w:r/>
            <w:r>
              <w:rPr>
                <w:b w:val="0"/>
                <w:sz w:val="15"/>
              </w:rPr>
              <w:t>12.0</w:t>
            </w:r>
          </w:p>
        </w:tc>
        <w:tc>
          <w:tcPr>
            <w:tcW w:type="dxa" w:w="964"/>
          </w:tcPr>
          <w:p>
            <w:pPr>
              <w:spacing w:after="20" w:before="20"/>
            </w:pPr>
            <w:r/>
            <w:r>
              <w:rPr>
                <w:b/>
                <w:sz w:val="15"/>
              </w:rPr>
              <w:t>40.0</w:t>
            </w:r>
          </w:p>
        </w:tc>
        <w:tc>
          <w:tcPr>
            <w:tcW w:type="dxa" w:w="794"/>
          </w:tcPr>
          <w:p>
            <w:pPr>
              <w:spacing w:after="20" w:before="20"/>
            </w:pPr>
            <w:r/>
            <w:r>
              <w:rPr>
                <w:b w:val="0"/>
                <w:sz w:val="15"/>
              </w:rPr>
              <w:t>0.25</w:t>
            </w:r>
          </w:p>
        </w:tc>
        <w:tc>
          <w:tcPr>
            <w:tcW w:type="dxa" w:w="1134"/>
          </w:tcPr>
          <w:p>
            <w:pPr>
              <w:spacing w:after="20" w:before="20"/>
            </w:pPr>
            <w:r/>
            <w:r>
              <w:rPr>
                <w:b w:val="0"/>
                <w:sz w:val="15"/>
              </w:rPr>
              <w:t>9</w:t>
            </w:r>
          </w:p>
        </w:tc>
        <w:tc>
          <w:tcPr>
            <w:tcW w:type="dxa" w:w="964"/>
          </w:tcPr>
          <w:p>
            <w:pPr>
              <w:spacing w:after="20" w:before="20"/>
            </w:pPr>
            <w:r/>
            <w:r>
              <w:rPr>
                <w:b w:val="0"/>
                <w:sz w:val="15"/>
              </w:rPr>
              <w:t>5.0</w:t>
            </w:r>
          </w:p>
        </w:tc>
        <w:tc>
          <w:tcPr>
            <w:tcW w:type="dxa" w:w="680"/>
          </w:tcPr>
          <w:p>
            <w:pPr>
              <w:spacing w:after="20" w:before="20"/>
            </w:pPr>
            <w:r/>
            <w:r>
              <w:rPr>
                <w:b w:val="0"/>
                <w:sz w:val="15"/>
              </w:rPr>
              <w:t>0.13</w:t>
            </w:r>
          </w:p>
        </w:tc>
      </w:tr>
      <w:tr>
        <w:tc>
          <w:tcPr>
            <w:tcW w:type="dxa" w:w="1020"/>
            <w:shd w:val="clear" w:color="auto" w:fill="F2F5F9"/>
          </w:tcPr>
          <w:p>
            <w:pPr>
              <w:spacing w:after="20" w:before="20"/>
            </w:pPr>
            <w:r/>
            <w:r>
              <w:rPr>
                <w:b w:val="0"/>
                <w:sz w:val="15"/>
              </w:rPr>
              <w:t>Pacolet</w:t>
            </w:r>
          </w:p>
        </w:tc>
        <w:tc>
          <w:tcPr>
            <w:tcW w:type="dxa" w:w="1134"/>
            <w:shd w:val="clear" w:color="auto" w:fill="F2F5F9"/>
          </w:tcPr>
          <w:p>
            <w:pPr>
              <w:spacing w:after="20" w:before="20"/>
            </w:pPr>
            <w:r/>
            <w:r>
              <w:rPr>
                <w:b w:val="0"/>
                <w:sz w:val="15"/>
              </w:rPr>
              <w:t>48–203</w:t>
            </w:r>
          </w:p>
        </w:tc>
        <w:tc>
          <w:tcPr>
            <w:tcW w:type="dxa" w:w="850"/>
            <w:shd w:val="clear" w:color="auto" w:fill="F2F5F9"/>
          </w:tcPr>
          <w:p>
            <w:pPr>
              <w:spacing w:after="20" w:before="20"/>
            </w:pPr>
            <w:r/>
            <w:r>
              <w:rPr>
                <w:b w:val="0"/>
                <w:sz w:val="15"/>
              </w:rPr>
              <w:t>60–65</w:t>
            </w:r>
          </w:p>
        </w:tc>
        <w:tc>
          <w:tcPr>
            <w:tcW w:type="dxa" w:w="850"/>
            <w:shd w:val="clear" w:color="auto" w:fill="F2F5F9"/>
          </w:tcPr>
          <w:p>
            <w:pPr>
              <w:spacing w:after="20" w:before="20"/>
            </w:pPr>
            <w:r/>
            <w:r>
              <w:rPr>
                <w:b w:val="0"/>
                <w:sz w:val="15"/>
              </w:rPr>
              <w:t>15–20</w:t>
            </w:r>
          </w:p>
        </w:tc>
        <w:tc>
          <w:tcPr>
            <w:tcW w:type="dxa" w:w="964"/>
            <w:shd w:val="clear" w:color="auto" w:fill="F2F5F9"/>
          </w:tcPr>
          <w:p>
            <w:pPr>
              <w:spacing w:after="20" w:before="20"/>
            </w:pPr>
            <w:r/>
            <w:r>
              <w:rPr>
                <w:b w:val="0"/>
                <w:sz w:val="15"/>
              </w:rPr>
              <w:t>15–25</w:t>
            </w:r>
          </w:p>
        </w:tc>
        <w:tc>
          <w:tcPr>
            <w:tcW w:type="dxa" w:w="794"/>
            <w:shd w:val="clear" w:color="auto" w:fill="F2F5F9"/>
          </w:tcPr>
          <w:p>
            <w:pPr>
              <w:spacing w:after="20" w:before="20"/>
            </w:pPr>
            <w:r/>
            <w:r>
              <w:rPr>
                <w:b w:val="0"/>
                <w:sz w:val="15"/>
              </w:rPr>
              <w:t>0.25</w:t>
            </w:r>
          </w:p>
        </w:tc>
        <w:tc>
          <w:tcPr>
            <w:tcW w:type="dxa" w:w="1134"/>
            <w:shd w:val="clear" w:color="auto" w:fill="F2F5F9"/>
          </w:tcPr>
          <w:p>
            <w:pPr>
              <w:spacing w:after="20" w:before="20"/>
            </w:pPr>
            <w:r/>
            <w:r>
              <w:rPr>
                <w:b w:val="0"/>
                <w:sz w:val="15"/>
              </w:rPr>
              <w:t>9</w:t>
            </w:r>
          </w:p>
        </w:tc>
        <w:tc>
          <w:tcPr>
            <w:tcW w:type="dxa" w:w="964"/>
            <w:shd w:val="clear" w:color="auto" w:fill="F2F5F9"/>
          </w:tcPr>
          <w:p>
            <w:pPr>
              <w:spacing w:after="20" w:before="20"/>
            </w:pPr>
            <w:r/>
            <w:r>
              <w:rPr>
                <w:b w:val="0"/>
                <w:sz w:val="15"/>
              </w:rPr>
              <w:t>5.0</w:t>
            </w:r>
          </w:p>
        </w:tc>
        <w:tc>
          <w:tcPr>
            <w:tcW w:type="dxa" w:w="680"/>
            <w:shd w:val="clear" w:color="auto" w:fill="F2F5F9"/>
          </w:tcPr>
          <w:p>
            <w:pPr>
              <w:spacing w:after="20" w:before="20"/>
            </w:pPr>
            <w:r/>
            <w:r>
              <w:rPr>
                <w:b w:val="0"/>
                <w:sz w:val="15"/>
              </w:rPr>
              <w:t>0.12</w:t>
            </w:r>
          </w:p>
        </w:tc>
      </w:tr>
      <w:tr>
        <w:tc>
          <w:tcPr>
            <w:tcW w:type="dxa" w:w="1020"/>
          </w:tcPr>
          <w:p>
            <w:pPr>
              <w:spacing w:after="20" w:before="20"/>
            </w:pPr>
            <w:r/>
            <w:r>
              <w:rPr>
                <w:b w:val="0"/>
                <w:sz w:val="15"/>
              </w:rPr>
              <w:t>Madison</w:t>
            </w:r>
          </w:p>
        </w:tc>
        <w:tc>
          <w:tcPr>
            <w:tcW w:type="dxa" w:w="1134"/>
          </w:tcPr>
          <w:p>
            <w:pPr>
              <w:spacing w:after="20" w:before="20"/>
            </w:pPr>
            <w:r/>
            <w:r>
              <w:rPr>
                <w:b w:val="0"/>
                <w:sz w:val="15"/>
              </w:rPr>
              <w:t>0–13</w:t>
            </w:r>
          </w:p>
        </w:tc>
        <w:tc>
          <w:tcPr>
            <w:tcW w:type="dxa" w:w="850"/>
          </w:tcPr>
          <w:p>
            <w:pPr>
              <w:spacing w:after="20" w:before="20"/>
            </w:pPr>
            <w:r/>
            <w:r>
              <w:rPr>
                <w:b w:val="0"/>
                <w:sz w:val="15"/>
              </w:rPr>
              <w:t>67.9</w:t>
            </w:r>
          </w:p>
        </w:tc>
        <w:tc>
          <w:tcPr>
            <w:tcW w:type="dxa" w:w="850"/>
          </w:tcPr>
          <w:p>
            <w:pPr>
              <w:spacing w:after="20" w:before="20"/>
            </w:pPr>
            <w:r/>
            <w:r>
              <w:rPr>
                <w:b w:val="0"/>
                <w:sz w:val="15"/>
              </w:rPr>
              <w:t>19.6</w:t>
            </w:r>
          </w:p>
        </w:tc>
        <w:tc>
          <w:tcPr>
            <w:tcW w:type="dxa" w:w="964"/>
          </w:tcPr>
          <w:p>
            <w:pPr>
              <w:spacing w:after="20" w:before="20"/>
            </w:pPr>
            <w:r/>
            <w:r>
              <w:rPr>
                <w:b w:val="0"/>
                <w:sz w:val="15"/>
              </w:rPr>
              <w:t>12.5</w:t>
            </w:r>
          </w:p>
        </w:tc>
        <w:tc>
          <w:tcPr>
            <w:tcW w:type="dxa" w:w="794"/>
          </w:tcPr>
          <w:p>
            <w:pPr>
              <w:spacing w:after="20" w:before="20"/>
            </w:pPr>
            <w:r/>
            <w:r>
              <w:rPr>
                <w:b w:val="0"/>
                <w:sz w:val="15"/>
              </w:rPr>
              <w:t>1.25</w:t>
            </w:r>
          </w:p>
        </w:tc>
        <w:tc>
          <w:tcPr>
            <w:tcW w:type="dxa" w:w="1134"/>
          </w:tcPr>
          <w:p>
            <w:pPr>
              <w:spacing w:after="20" w:before="20"/>
            </w:pPr>
            <w:r/>
            <w:r>
              <w:rPr>
                <w:b w:val="0"/>
                <w:sz w:val="15"/>
              </w:rPr>
              <w:t>28</w:t>
            </w:r>
          </w:p>
        </w:tc>
        <w:tc>
          <w:tcPr>
            <w:tcW w:type="dxa" w:w="964"/>
          </w:tcPr>
          <w:p>
            <w:pPr>
              <w:spacing w:after="20" w:before="20"/>
            </w:pPr>
            <w:r/>
            <w:r>
              <w:rPr>
                <w:b/>
                <w:sz w:val="15"/>
              </w:rPr>
              <w:t>4.8</w:t>
            </w:r>
          </w:p>
        </w:tc>
        <w:tc>
          <w:tcPr>
            <w:tcW w:type="dxa" w:w="680"/>
          </w:tcPr>
          <w:p>
            <w:pPr>
              <w:spacing w:after="20" w:before="20"/>
            </w:pPr>
            <w:r/>
            <w:r>
              <w:rPr>
                <w:b w:val="0"/>
                <w:sz w:val="15"/>
              </w:rPr>
              <w:t>0.13</w:t>
            </w:r>
          </w:p>
        </w:tc>
      </w:tr>
      <w:tr>
        <w:tc>
          <w:tcPr>
            <w:tcW w:type="dxa" w:w="1020"/>
            <w:shd w:val="clear" w:color="auto" w:fill="F2F5F9"/>
          </w:tcPr>
          <w:p>
            <w:pPr>
              <w:spacing w:after="20" w:before="20"/>
            </w:pPr>
            <w:r/>
            <w:r>
              <w:rPr>
                <w:b w:val="0"/>
                <w:sz w:val="15"/>
              </w:rPr>
              <w:t>Madison</w:t>
            </w:r>
          </w:p>
        </w:tc>
        <w:tc>
          <w:tcPr>
            <w:tcW w:type="dxa" w:w="1134"/>
            <w:shd w:val="clear" w:color="auto" w:fill="F2F5F9"/>
          </w:tcPr>
          <w:p>
            <w:pPr>
              <w:spacing w:after="20" w:before="20"/>
            </w:pPr>
            <w:r/>
            <w:r>
              <w:rPr>
                <w:b w:val="0"/>
                <w:sz w:val="15"/>
              </w:rPr>
              <w:t>13–64</w:t>
            </w:r>
          </w:p>
        </w:tc>
        <w:tc>
          <w:tcPr>
            <w:tcW w:type="dxa" w:w="850"/>
            <w:shd w:val="clear" w:color="auto" w:fill="F2F5F9"/>
          </w:tcPr>
          <w:p>
            <w:pPr>
              <w:spacing w:after="20" w:before="20"/>
            </w:pPr>
            <w:r/>
            <w:r>
              <w:rPr>
                <w:b w:val="0"/>
                <w:sz w:val="15"/>
              </w:rPr>
              <w:t>51.8</w:t>
            </w:r>
          </w:p>
        </w:tc>
        <w:tc>
          <w:tcPr>
            <w:tcW w:type="dxa" w:w="850"/>
            <w:shd w:val="clear" w:color="auto" w:fill="F2F5F9"/>
          </w:tcPr>
          <w:p>
            <w:pPr>
              <w:spacing w:after="20" w:before="20"/>
            </w:pPr>
            <w:r/>
            <w:r>
              <w:rPr>
                <w:b w:val="0"/>
                <w:sz w:val="15"/>
              </w:rPr>
              <w:t>8.2</w:t>
            </w:r>
          </w:p>
        </w:tc>
        <w:tc>
          <w:tcPr>
            <w:tcW w:type="dxa" w:w="964"/>
            <w:shd w:val="clear" w:color="auto" w:fill="F2F5F9"/>
          </w:tcPr>
          <w:p>
            <w:pPr>
              <w:spacing w:after="20" w:before="20"/>
            </w:pPr>
            <w:r/>
            <w:r>
              <w:rPr>
                <w:b w:val="0"/>
                <w:sz w:val="15"/>
              </w:rPr>
              <w:t>40.0</w:t>
            </w:r>
          </w:p>
        </w:tc>
        <w:tc>
          <w:tcPr>
            <w:tcW w:type="dxa" w:w="794"/>
            <w:shd w:val="clear" w:color="auto" w:fill="F2F5F9"/>
          </w:tcPr>
          <w:p>
            <w:pPr>
              <w:spacing w:after="20" w:before="20"/>
            </w:pPr>
            <w:r/>
            <w:r>
              <w:rPr>
                <w:b w:val="0"/>
                <w:sz w:val="15"/>
              </w:rPr>
              <w:t>0.25</w:t>
            </w:r>
          </w:p>
        </w:tc>
        <w:tc>
          <w:tcPr>
            <w:tcW w:type="dxa" w:w="1134"/>
            <w:shd w:val="clear" w:color="auto" w:fill="F2F5F9"/>
          </w:tcPr>
          <w:p>
            <w:pPr>
              <w:spacing w:after="20" w:before="20"/>
            </w:pPr>
            <w:r/>
            <w:r>
              <w:rPr>
                <w:b w:val="0"/>
                <w:sz w:val="15"/>
              </w:rPr>
              <w:t>9</w:t>
            </w:r>
          </w:p>
        </w:tc>
        <w:tc>
          <w:tcPr>
            <w:tcW w:type="dxa" w:w="964"/>
            <w:shd w:val="clear" w:color="auto" w:fill="F2F5F9"/>
          </w:tcPr>
          <w:p>
            <w:pPr>
              <w:spacing w:after="20" w:before="20"/>
            </w:pPr>
            <w:r/>
            <w:r>
              <w:rPr>
                <w:b/>
                <w:sz w:val="15"/>
              </w:rPr>
              <w:t>4.8</w:t>
            </w:r>
          </w:p>
        </w:tc>
        <w:tc>
          <w:tcPr>
            <w:tcW w:type="dxa" w:w="680"/>
            <w:shd w:val="clear" w:color="auto" w:fill="F2F5F9"/>
          </w:tcPr>
          <w:p>
            <w:pPr>
              <w:spacing w:after="20" w:before="20"/>
            </w:pPr>
            <w:r/>
            <w:r>
              <w:rPr>
                <w:b w:val="0"/>
                <w:sz w:val="15"/>
              </w:rPr>
              <w:t>0.16</w:t>
            </w:r>
          </w:p>
        </w:tc>
      </w:tr>
      <w:tr>
        <w:tc>
          <w:tcPr>
            <w:tcW w:type="dxa" w:w="1020"/>
          </w:tcPr>
          <w:p>
            <w:pPr>
              <w:spacing w:after="20" w:before="20"/>
            </w:pPr>
            <w:r/>
            <w:r>
              <w:rPr>
                <w:b w:val="0"/>
                <w:sz w:val="15"/>
              </w:rPr>
              <w:t>Zion</w:t>
            </w:r>
          </w:p>
        </w:tc>
        <w:tc>
          <w:tcPr>
            <w:tcW w:type="dxa" w:w="1134"/>
          </w:tcPr>
          <w:p>
            <w:pPr>
              <w:spacing w:after="20" w:before="20"/>
            </w:pPr>
            <w:r/>
            <w:r>
              <w:rPr>
                <w:b w:val="0"/>
                <w:sz w:val="15"/>
              </w:rPr>
              <w:t>0–25</w:t>
            </w:r>
          </w:p>
        </w:tc>
        <w:tc>
          <w:tcPr>
            <w:tcW w:type="dxa" w:w="850"/>
          </w:tcPr>
          <w:p>
            <w:pPr>
              <w:spacing w:after="20" w:before="20"/>
            </w:pPr>
            <w:r/>
            <w:r>
              <w:rPr>
                <w:b w:val="0"/>
                <w:sz w:val="15"/>
              </w:rPr>
              <w:t>29.1</w:t>
            </w:r>
          </w:p>
        </w:tc>
        <w:tc>
          <w:tcPr>
            <w:tcW w:type="dxa" w:w="850"/>
          </w:tcPr>
          <w:p>
            <w:pPr>
              <w:spacing w:after="20" w:before="20"/>
            </w:pPr>
            <w:r/>
            <w:r>
              <w:rPr>
                <w:b/>
                <w:sz w:val="15"/>
              </w:rPr>
              <w:t>53.4</w:t>
            </w:r>
          </w:p>
        </w:tc>
        <w:tc>
          <w:tcPr>
            <w:tcW w:type="dxa" w:w="964"/>
          </w:tcPr>
          <w:p>
            <w:pPr>
              <w:spacing w:after="20" w:before="20"/>
            </w:pPr>
            <w:r/>
            <w:r>
              <w:rPr>
                <w:b w:val="0"/>
                <w:sz w:val="15"/>
              </w:rPr>
              <w:t>17.5</w:t>
            </w:r>
          </w:p>
        </w:tc>
        <w:tc>
          <w:tcPr>
            <w:tcW w:type="dxa" w:w="794"/>
          </w:tcPr>
          <w:p>
            <w:pPr>
              <w:spacing w:after="20" w:before="20"/>
            </w:pPr>
            <w:r/>
            <w:r>
              <w:rPr>
                <w:b w:val="0"/>
                <w:sz w:val="15"/>
              </w:rPr>
              <w:t>1.25</w:t>
            </w:r>
          </w:p>
        </w:tc>
        <w:tc>
          <w:tcPr>
            <w:tcW w:type="dxa" w:w="1134"/>
          </w:tcPr>
          <w:p>
            <w:pPr>
              <w:spacing w:after="20" w:before="20"/>
            </w:pPr>
            <w:r/>
            <w:r>
              <w:rPr>
                <w:b w:val="0"/>
                <w:sz w:val="15"/>
              </w:rPr>
              <w:t>9</w:t>
            </w:r>
          </w:p>
        </w:tc>
        <w:tc>
          <w:tcPr>
            <w:tcW w:type="dxa" w:w="964"/>
          </w:tcPr>
          <w:p>
            <w:pPr>
              <w:spacing w:after="20" w:before="20"/>
            </w:pPr>
            <w:r/>
            <w:r>
              <w:rPr>
                <w:b w:val="0"/>
                <w:sz w:val="15"/>
              </w:rPr>
              <w:t>5.3</w:t>
            </w:r>
          </w:p>
        </w:tc>
        <w:tc>
          <w:tcPr>
            <w:tcW w:type="dxa" w:w="680"/>
          </w:tcPr>
          <w:p>
            <w:pPr>
              <w:spacing w:after="20" w:before="20"/>
            </w:pPr>
            <w:r/>
            <w:r>
              <w:rPr>
                <w:b w:val="0"/>
                <w:sz w:val="15"/>
              </w:rPr>
              <w:t>0.17</w:t>
            </w:r>
          </w:p>
        </w:tc>
      </w:tr>
      <w:tr>
        <w:tc>
          <w:tcPr>
            <w:tcW w:type="dxa" w:w="1020"/>
            <w:shd w:val="clear" w:color="auto" w:fill="F2F5F9"/>
          </w:tcPr>
          <w:p>
            <w:pPr>
              <w:spacing w:after="20" w:before="20"/>
            </w:pPr>
            <w:r/>
            <w:r>
              <w:rPr>
                <w:b w:val="0"/>
                <w:sz w:val="15"/>
              </w:rPr>
              <w:t>Zion</w:t>
            </w:r>
          </w:p>
        </w:tc>
        <w:tc>
          <w:tcPr>
            <w:tcW w:type="dxa" w:w="1134"/>
            <w:shd w:val="clear" w:color="auto" w:fill="F2F5F9"/>
          </w:tcPr>
          <w:p>
            <w:pPr>
              <w:spacing w:after="20" w:before="20"/>
            </w:pPr>
            <w:r/>
            <w:r>
              <w:rPr>
                <w:b w:val="0"/>
                <w:sz w:val="15"/>
              </w:rPr>
              <w:t>25–56</w:t>
            </w:r>
          </w:p>
        </w:tc>
        <w:tc>
          <w:tcPr>
            <w:tcW w:type="dxa" w:w="850"/>
            <w:shd w:val="clear" w:color="auto" w:fill="F2F5F9"/>
          </w:tcPr>
          <w:p>
            <w:pPr>
              <w:spacing w:after="20" w:before="20"/>
            </w:pPr>
            <w:r/>
            <w:r>
              <w:rPr>
                <w:b w:val="0"/>
                <w:sz w:val="15"/>
              </w:rPr>
              <w:t>23.3</w:t>
            </w:r>
          </w:p>
        </w:tc>
        <w:tc>
          <w:tcPr>
            <w:tcW w:type="dxa" w:w="850"/>
            <w:shd w:val="clear" w:color="auto" w:fill="F2F5F9"/>
          </w:tcPr>
          <w:p>
            <w:pPr>
              <w:spacing w:after="20" w:before="20"/>
            </w:pPr>
            <w:r/>
            <w:r>
              <w:rPr>
                <w:b w:val="0"/>
                <w:sz w:val="15"/>
              </w:rPr>
              <w:t>29.2</w:t>
            </w:r>
          </w:p>
        </w:tc>
        <w:tc>
          <w:tcPr>
            <w:tcW w:type="dxa" w:w="964"/>
            <w:shd w:val="clear" w:color="auto" w:fill="F2F5F9"/>
          </w:tcPr>
          <w:p>
            <w:pPr>
              <w:spacing w:after="20" w:before="20"/>
            </w:pPr>
            <w:r/>
            <w:r>
              <w:rPr>
                <w:b/>
                <w:sz w:val="15"/>
              </w:rPr>
              <w:t>47.5</w:t>
            </w:r>
          </w:p>
        </w:tc>
        <w:tc>
          <w:tcPr>
            <w:tcW w:type="dxa" w:w="794"/>
            <w:shd w:val="clear" w:color="auto" w:fill="F2F5F9"/>
          </w:tcPr>
          <w:p>
            <w:pPr>
              <w:spacing w:after="20" w:before="20"/>
            </w:pPr>
            <w:r/>
            <w:r>
              <w:rPr>
                <w:b w:val="0"/>
                <w:sz w:val="15"/>
              </w:rPr>
              <w:t>0.25</w:t>
            </w:r>
          </w:p>
        </w:tc>
        <w:tc>
          <w:tcPr>
            <w:tcW w:type="dxa" w:w="1134"/>
            <w:shd w:val="clear" w:color="auto" w:fill="F2F5F9"/>
          </w:tcPr>
          <w:p>
            <w:pPr>
              <w:spacing w:after="20" w:before="20"/>
            </w:pPr>
            <w:r/>
            <w:r>
              <w:rPr>
                <w:b/>
                <w:sz w:val="15"/>
              </w:rPr>
              <w:t>2</w:t>
            </w:r>
          </w:p>
        </w:tc>
        <w:tc>
          <w:tcPr>
            <w:tcW w:type="dxa" w:w="964"/>
            <w:shd w:val="clear" w:color="auto" w:fill="F2F5F9"/>
          </w:tcPr>
          <w:p>
            <w:pPr>
              <w:spacing w:after="20" w:before="20"/>
            </w:pPr>
            <w:r/>
            <w:r>
              <w:rPr>
                <w:b w:val="0"/>
                <w:sz w:val="15"/>
              </w:rPr>
              <w:t>5.9</w:t>
            </w:r>
          </w:p>
        </w:tc>
        <w:tc>
          <w:tcPr>
            <w:tcW w:type="dxa" w:w="680"/>
            <w:shd w:val="clear" w:color="auto" w:fill="F2F5F9"/>
          </w:tcPr>
          <w:p>
            <w:pPr>
              <w:spacing w:after="20" w:before="20"/>
            </w:pPr>
            <w:r/>
            <w:r>
              <w:rPr>
                <w:b w:val="0"/>
                <w:sz w:val="15"/>
              </w:rPr>
              <w:t>0.15</w:t>
            </w:r>
          </w:p>
        </w:tc>
      </w:tr>
      <w:tr>
        <w:tc>
          <w:tcPr>
            <w:tcW w:type="dxa" w:w="1020"/>
          </w:tcPr>
          <w:p>
            <w:pPr>
              <w:spacing w:after="20" w:before="20"/>
            </w:pPr>
            <w:r/>
            <w:r>
              <w:rPr>
                <w:b w:val="0"/>
                <w:sz w:val="15"/>
              </w:rPr>
              <w:t>Zion</w:t>
            </w:r>
          </w:p>
        </w:tc>
        <w:tc>
          <w:tcPr>
            <w:tcW w:type="dxa" w:w="1134"/>
          </w:tcPr>
          <w:p>
            <w:pPr>
              <w:spacing w:after="20" w:before="20"/>
            </w:pPr>
            <w:r/>
            <w:r>
              <w:rPr>
                <w:b w:val="0"/>
                <w:sz w:val="15"/>
              </w:rPr>
              <w:t>56–89</w:t>
            </w:r>
          </w:p>
        </w:tc>
        <w:tc>
          <w:tcPr>
            <w:tcW w:type="dxa" w:w="850"/>
          </w:tcPr>
          <w:p>
            <w:pPr>
              <w:spacing w:after="20" w:before="20"/>
            </w:pPr>
            <w:r/>
            <w:r>
              <w:rPr>
                <w:b w:val="0"/>
                <w:sz w:val="15"/>
              </w:rPr>
              <w:t>29.5</w:t>
            </w:r>
          </w:p>
        </w:tc>
        <w:tc>
          <w:tcPr>
            <w:tcW w:type="dxa" w:w="850"/>
          </w:tcPr>
          <w:p>
            <w:pPr>
              <w:spacing w:after="20" w:before="20"/>
            </w:pPr>
            <w:r/>
            <w:r>
              <w:rPr>
                <w:b w:val="0"/>
                <w:sz w:val="15"/>
              </w:rPr>
              <w:t>28.0</w:t>
            </w:r>
          </w:p>
        </w:tc>
        <w:tc>
          <w:tcPr>
            <w:tcW w:type="dxa" w:w="964"/>
          </w:tcPr>
          <w:p>
            <w:pPr>
              <w:spacing w:after="20" w:before="20"/>
            </w:pPr>
            <w:r/>
            <w:r>
              <w:rPr>
                <w:b w:val="0"/>
                <w:sz w:val="15"/>
              </w:rPr>
              <w:t>42.5</w:t>
            </w:r>
          </w:p>
        </w:tc>
        <w:tc>
          <w:tcPr>
            <w:tcW w:type="dxa" w:w="794"/>
          </w:tcPr>
          <w:p>
            <w:pPr>
              <w:spacing w:after="20" w:before="20"/>
            </w:pPr>
            <w:r/>
            <w:r>
              <w:rPr>
                <w:b w:val="0"/>
                <w:sz w:val="15"/>
              </w:rPr>
              <w:t>0.25</w:t>
            </w:r>
          </w:p>
        </w:tc>
        <w:tc>
          <w:tcPr>
            <w:tcW w:type="dxa" w:w="1134"/>
          </w:tcPr>
          <w:p>
            <w:pPr>
              <w:spacing w:after="20" w:before="20"/>
            </w:pPr>
            <w:r/>
            <w:r>
              <w:rPr>
                <w:b w:val="0"/>
                <w:sz w:val="15"/>
              </w:rPr>
              <w:t>8</w:t>
            </w:r>
          </w:p>
        </w:tc>
        <w:tc>
          <w:tcPr>
            <w:tcW w:type="dxa" w:w="964"/>
          </w:tcPr>
          <w:p>
            <w:pPr>
              <w:spacing w:after="20" w:before="20"/>
            </w:pPr>
            <w:r/>
            <w:r>
              <w:rPr>
                <w:b w:val="0"/>
                <w:sz w:val="15"/>
              </w:rPr>
              <w:t>6.2</w:t>
            </w:r>
          </w:p>
        </w:tc>
        <w:tc>
          <w:tcPr>
            <w:tcW w:type="dxa" w:w="680"/>
          </w:tcPr>
          <w:p>
            <w:pPr>
              <w:spacing w:after="20" w:before="20"/>
            </w:pPr>
            <w:r/>
            <w:r>
              <w:rPr>
                <w:b w:val="0"/>
                <w:sz w:val="15"/>
              </w:rPr>
              <w:t>0.11</w:t>
            </w:r>
          </w:p>
        </w:tc>
      </w:tr>
    </w:tbl>
    <w:p>
      <w:pPr>
        <w:spacing w:after="40"/>
      </w:pP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6"/>
              </w:rPr>
              <w:t>Property</w:t>
            </w:r>
          </w:p>
        </w:tc>
        <w:tc>
          <w:tcPr>
            <w:tcW w:type="dxa" w:w="6803"/>
            <w:shd w:val="clear" w:color="auto" w:fill="1F4E79"/>
          </w:tcPr>
          <w:p>
            <w:pPr>
              <w:spacing w:after="20" w:before="20"/>
            </w:pPr>
            <w:r/>
            <w:r>
              <w:rPr>
                <w:b/>
                <w:color w:val="FFFFFF"/>
                <w:sz w:val="16"/>
              </w:rPr>
              <w:t>Finding</w:t>
            </w:r>
          </w:p>
        </w:tc>
      </w:tr>
      <w:tr>
        <w:tc>
          <w:tcPr>
            <w:tcW w:type="dxa" w:w="2608"/>
          </w:tcPr>
          <w:p>
            <w:pPr>
              <w:spacing w:after="20" w:before="20"/>
            </w:pPr>
            <w:r/>
            <w:r>
              <w:rPr>
                <w:b w:val="0"/>
                <w:sz w:val="16"/>
              </w:rPr>
              <w:t>Soil series present</w:t>
            </w:r>
          </w:p>
        </w:tc>
        <w:tc>
          <w:tcPr>
            <w:tcW w:type="dxa" w:w="6803"/>
          </w:tcPr>
          <w:p>
            <w:pPr>
              <w:spacing w:after="20" w:before="20"/>
            </w:pPr>
            <w:r/>
            <w:r>
              <w:rPr>
                <w:b w:val="0"/>
                <w:sz w:val="16"/>
              </w:rPr>
              <w:t>Cecil, Pacolet, Madison (all Typic Kanhapludults, fine/kaolinitic, thermic) and Zion (Ultic Hapludalfs, fine, mixed, active)</w:t>
            </w:r>
          </w:p>
        </w:tc>
      </w:tr>
      <w:tr>
        <w:tc>
          <w:tcPr>
            <w:tcW w:type="dxa" w:w="2608"/>
            <w:shd w:val="clear" w:color="auto" w:fill="F2F5F9"/>
          </w:tcPr>
          <w:p>
            <w:pPr>
              <w:spacing w:after="20" w:before="20"/>
            </w:pPr>
            <w:r/>
            <w:r>
              <w:rPr>
                <w:b w:val="0"/>
                <w:sz w:val="16"/>
              </w:rPr>
              <w:t>Texture</w:t>
            </w:r>
          </w:p>
        </w:tc>
        <w:tc>
          <w:tcPr>
            <w:tcW w:type="dxa" w:w="6803"/>
            <w:shd w:val="clear" w:color="auto" w:fill="F2F5F9"/>
          </w:tcPr>
          <w:p>
            <w:pPr>
              <w:spacing w:after="20" w:before="20"/>
            </w:pPr>
            <w:r/>
            <w:r>
              <w:rPr>
                <w:b w:val="0"/>
                <w:sz w:val="16"/>
              </w:rPr>
              <w:t>Sandy loam to sandy clay loam surfaces over clay-rich subsoils (40–55 % clay). Zion has a silt loam surface.</w:t>
            </w:r>
          </w:p>
        </w:tc>
      </w:tr>
      <w:tr>
        <w:tc>
          <w:tcPr>
            <w:tcW w:type="dxa" w:w="2608"/>
          </w:tcPr>
          <w:p>
            <w:pPr>
              <w:spacing w:after="20" w:before="20"/>
            </w:pPr>
            <w:r/>
            <w:r>
              <w:rPr>
                <w:b w:val="0"/>
                <w:sz w:val="16"/>
              </w:rPr>
              <w:t>Drainage class</w:t>
            </w:r>
          </w:p>
        </w:tc>
        <w:tc>
          <w:tcPr>
            <w:tcW w:type="dxa" w:w="6803"/>
          </w:tcPr>
          <w:p>
            <w:pPr>
              <w:spacing w:after="20" w:before="20"/>
            </w:pPr>
            <w:r/>
            <w:r>
              <w:rPr>
                <w:b w:val="0"/>
                <w:sz w:val="16"/>
              </w:rPr>
              <w:t>All major components **well drained**. None hydric.</w:t>
            </w:r>
          </w:p>
        </w:tc>
      </w:tr>
      <w:tr>
        <w:tc>
          <w:tcPr>
            <w:tcW w:type="dxa" w:w="2608"/>
            <w:shd w:val="clear" w:color="auto" w:fill="F2F5F9"/>
          </w:tcPr>
          <w:p>
            <w:pPr>
              <w:spacing w:after="20" w:before="20"/>
            </w:pPr>
            <w:r/>
            <w:r>
              <w:rPr>
                <w:b w:val="0"/>
                <w:sz w:val="16"/>
              </w:rPr>
              <w:t>Permeability (Ksat)</w:t>
            </w:r>
          </w:p>
        </w:tc>
        <w:tc>
          <w:tcPr>
            <w:tcW w:type="dxa" w:w="6803"/>
            <w:shd w:val="clear" w:color="auto" w:fill="F2F5F9"/>
          </w:tcPr>
          <w:p>
            <w:pPr>
              <w:spacing w:after="20" w:before="20"/>
            </w:pPr>
            <w:r/>
            <w:r>
              <w:rPr>
                <w:b w:val="0"/>
                <w:sz w:val="16"/>
              </w:rPr>
              <w:t>Surface 28 um/s in Cecil/Madison, dropping to 9 um/s in subsoils. **Zion's 25–56 cm horizon is 2 um/s — very slow.**</w:t>
            </w:r>
          </w:p>
        </w:tc>
      </w:tr>
      <w:tr>
        <w:tc>
          <w:tcPr>
            <w:tcW w:type="dxa" w:w="2608"/>
          </w:tcPr>
          <w:p>
            <w:pPr>
              <w:spacing w:after="20" w:before="20"/>
            </w:pPr>
            <w:r/>
            <w:r>
              <w:rPr>
                <w:b w:val="0"/>
                <w:sz w:val="16"/>
              </w:rPr>
              <w:t>Bearing characteristics</w:t>
            </w:r>
          </w:p>
        </w:tc>
        <w:tc>
          <w:tcPr>
            <w:tcW w:type="dxa" w:w="6803"/>
          </w:tcPr>
          <w:p>
            <w:pPr>
              <w:spacing w:after="20" w:before="20"/>
            </w:pPr>
            <w:r/>
            <w:r>
              <w:rPr>
                <w:b w:val="0"/>
                <w:sz w:val="16"/>
              </w:rPr>
              <w:t>Kaolinitic clays give moderate, generally adequate bearing for residential loads; Zion's mixed/active mineralogy is less favourable.</w:t>
            </w:r>
          </w:p>
        </w:tc>
      </w:tr>
      <w:tr>
        <w:tc>
          <w:tcPr>
            <w:tcW w:type="dxa" w:w="2608"/>
            <w:shd w:val="clear" w:color="auto" w:fill="F2F5F9"/>
          </w:tcPr>
          <w:p>
            <w:pPr>
              <w:spacing w:after="20" w:before="20"/>
            </w:pPr>
            <w:r/>
            <w:r>
              <w:rPr>
                <w:b w:val="0"/>
                <w:sz w:val="16"/>
              </w:rPr>
              <w:t>Shrink/swell potential</w:t>
            </w:r>
          </w:p>
        </w:tc>
        <w:tc>
          <w:tcPr>
            <w:tcW w:type="dxa" w:w="6803"/>
            <w:shd w:val="clear" w:color="auto" w:fill="F2F5F9"/>
          </w:tcPr>
          <w:p>
            <w:pPr>
              <w:spacing w:after="20" w:before="20"/>
            </w:pPr>
            <w:r/>
            <w:r>
              <w:rPr>
                <w:b w:val="0"/>
                <w:sz w:val="16"/>
              </w:rPr>
              <w:t>**Low** in Cecil, Pacolet and Madison (kaolinitic). **Higher in Zion** (mixed, active clay mineralogy).</w:t>
            </w:r>
          </w:p>
        </w:tc>
      </w:tr>
      <w:tr>
        <w:tc>
          <w:tcPr>
            <w:tcW w:type="dxa" w:w="2608"/>
          </w:tcPr>
          <w:p>
            <w:pPr>
              <w:spacing w:after="20" w:before="20"/>
            </w:pPr>
            <w:r/>
            <w:r>
              <w:rPr>
                <w:b w:val="0"/>
                <w:sz w:val="16"/>
              </w:rPr>
              <w:t>Depth to restrictive layer</w:t>
            </w:r>
          </w:p>
        </w:tc>
        <w:tc>
          <w:tcPr>
            <w:tcW w:type="dxa" w:w="6803"/>
          </w:tcPr>
          <w:p>
            <w:pPr>
              <w:spacing w:after="20" w:before="20"/>
            </w:pPr>
            <w:r/>
            <w:r>
              <w:rPr>
                <w:b w:val="0"/>
                <w:sz w:val="16"/>
              </w:rPr>
              <w:t>None recorded for Cecil, Pacolet or Madison. **Zion: lithic (indurated) bedrock at 77 cm — about 2.5 ft.**</w:t>
            </w:r>
          </w:p>
        </w:tc>
      </w:tr>
      <w:tr>
        <w:tc>
          <w:tcPr>
            <w:tcW w:type="dxa" w:w="2608"/>
            <w:shd w:val="clear" w:color="auto" w:fill="F2F5F9"/>
          </w:tcPr>
          <w:p>
            <w:pPr>
              <w:spacing w:after="20" w:before="20"/>
            </w:pPr>
            <w:r/>
            <w:r>
              <w:rPr>
                <w:b w:val="0"/>
                <w:sz w:val="16"/>
              </w:rPr>
              <w:t>Depth to groundwater</w:t>
            </w:r>
          </w:p>
        </w:tc>
        <w:tc>
          <w:tcPr>
            <w:tcW w:type="dxa" w:w="6803"/>
            <w:shd w:val="clear" w:color="auto" w:fill="F2F5F9"/>
          </w:tcPr>
          <w:p>
            <w:pPr>
              <w:spacing w:after="20" w:before="20"/>
            </w:pPr>
            <w:r/>
            <w:r>
              <w:rPr>
                <w:b w:val="0"/>
                <w:sz w:val="16"/>
              </w:rPr>
              <w:t>No seasonal high water table recorded for the major components (consistent with well-drained upland Piedmont soils).</w:t>
            </w:r>
          </w:p>
        </w:tc>
      </w:tr>
      <w:tr>
        <w:tc>
          <w:tcPr>
            <w:tcW w:type="dxa" w:w="2608"/>
          </w:tcPr>
          <w:p>
            <w:pPr>
              <w:spacing w:after="20" w:before="20"/>
            </w:pPr>
            <w:r/>
            <w:r>
              <w:rPr>
                <w:b w:val="0"/>
                <w:sz w:val="16"/>
              </w:rPr>
              <w:t>Erosion potential</w:t>
            </w:r>
          </w:p>
        </w:tc>
        <w:tc>
          <w:tcPr>
            <w:tcW w:type="dxa" w:w="6803"/>
          </w:tcPr>
          <w:p>
            <w:pPr>
              <w:spacing w:after="20" w:before="20"/>
            </w:pPr>
            <w:r/>
            <w:r>
              <w:rPr>
                <w:b w:val="0"/>
                <w:sz w:val="16"/>
              </w:rPr>
              <w:t>**High.** The Pacolet unit is explicitly mapped as "severely eroded" on 10–25 % slopes, and surface organic matter is low (0.25–1.25 %).</w:t>
            </w:r>
          </w:p>
        </w:tc>
      </w:tr>
      <w:tr>
        <w:tc>
          <w:tcPr>
            <w:tcW w:type="dxa" w:w="2608"/>
            <w:shd w:val="clear" w:color="auto" w:fill="F2F5F9"/>
          </w:tcPr>
          <w:p>
            <w:pPr>
              <w:spacing w:after="20" w:before="20"/>
            </w:pPr>
            <w:r/>
            <w:r>
              <w:rPr>
                <w:b w:val="0"/>
                <w:sz w:val="16"/>
              </w:rPr>
              <w:t>Suitability for residential construction</w:t>
            </w:r>
          </w:p>
        </w:tc>
        <w:tc>
          <w:tcPr>
            <w:tcW w:type="dxa" w:w="6803"/>
            <w:shd w:val="clear" w:color="auto" w:fill="F2F5F9"/>
          </w:tcPr>
          <w:p>
            <w:pPr>
              <w:spacing w:after="20" w:before="20"/>
            </w:pPr>
            <w:r/>
            <w:r>
              <w:rPr>
                <w:b w:val="0"/>
                <w:sz w:val="16"/>
              </w:rPr>
              <w:t>Mixed — see the ratings table immediately below.</w:t>
            </w:r>
          </w:p>
        </w:tc>
      </w:tr>
    </w:tbl>
    <w:p>
      <w:pPr>
        <w:spacing w:after="40"/>
      </w:pPr>
    </w:p>
    <w:p>
      <w:pPr>
        <w:spacing w:after="80" w:before="0"/>
      </w:pPr>
      <w:r>
        <w:rPr>
          <w:b/>
          <w:i w:val="0"/>
          <w:sz w:val="18"/>
        </w:rPr>
        <w:t>NRCS engineering interpretations (the most decision-relevant table in this section):</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2041"/>
            <w:shd w:val="clear" w:color="auto" w:fill="1F4E79"/>
          </w:tcPr>
          <w:p>
            <w:pPr>
              <w:spacing w:after="20" w:before="20"/>
            </w:pPr>
            <w:r/>
            <w:r>
              <w:rPr>
                <w:b/>
                <w:color w:val="FFFFFF"/>
                <w:sz w:val="15"/>
              </w:rPr>
              <w:t>Soil / map unit</w:t>
            </w:r>
          </w:p>
        </w:tc>
        <w:tc>
          <w:tcPr>
            <w:tcW w:type="dxa" w:w="1474"/>
            <w:shd w:val="clear" w:color="auto" w:fill="1F4E79"/>
          </w:tcPr>
          <w:p>
            <w:pPr>
              <w:spacing w:after="20" w:before="20"/>
            </w:pPr>
            <w:r/>
            <w:r>
              <w:rPr>
                <w:b/>
                <w:color w:val="FFFFFF"/>
                <w:sz w:val="15"/>
              </w:rPr>
              <w:t>Dwellings w/o basement</w:t>
            </w:r>
          </w:p>
        </w:tc>
        <w:tc>
          <w:tcPr>
            <w:tcW w:type="dxa" w:w="1474"/>
            <w:shd w:val="clear" w:color="auto" w:fill="1F4E79"/>
          </w:tcPr>
          <w:p>
            <w:pPr>
              <w:spacing w:after="20" w:before="20"/>
            </w:pPr>
            <w:r/>
            <w:r>
              <w:rPr>
                <w:b/>
                <w:color w:val="FFFFFF"/>
                <w:sz w:val="15"/>
              </w:rPr>
              <w:t>Dwellings w/ basement</w:t>
            </w:r>
          </w:p>
        </w:tc>
        <w:tc>
          <w:tcPr>
            <w:tcW w:type="dxa" w:w="1474"/>
            <w:shd w:val="clear" w:color="auto" w:fill="1F4E79"/>
          </w:tcPr>
          <w:p>
            <w:pPr>
              <w:spacing w:after="20" w:before="20"/>
            </w:pPr>
            <w:r/>
            <w:r>
              <w:rPr>
                <w:b/>
                <w:color w:val="FFFFFF"/>
                <w:sz w:val="15"/>
              </w:rPr>
              <w:t>Septic absorption fields</w:t>
            </w:r>
          </w:p>
        </w:tc>
        <w:tc>
          <w:tcPr>
            <w:tcW w:type="dxa" w:w="1474"/>
            <w:shd w:val="clear" w:color="auto" w:fill="1F4E79"/>
          </w:tcPr>
          <w:p>
            <w:pPr>
              <w:spacing w:after="20" w:before="20"/>
            </w:pPr>
            <w:r/>
            <w:r>
              <w:rPr>
                <w:b/>
                <w:color w:val="FFFFFF"/>
                <w:sz w:val="15"/>
              </w:rPr>
              <w:t>Shallow excavations</w:t>
            </w:r>
          </w:p>
        </w:tc>
        <w:tc>
          <w:tcPr>
            <w:tcW w:type="dxa" w:w="1474"/>
            <w:shd w:val="clear" w:color="auto" w:fill="1F4E79"/>
          </w:tcPr>
          <w:p>
            <w:pPr>
              <w:spacing w:after="20" w:before="20"/>
            </w:pPr>
            <w:r/>
            <w:r>
              <w:rPr>
                <w:b/>
                <w:color w:val="FFFFFF"/>
                <w:sz w:val="15"/>
              </w:rPr>
              <w:t>Local roads &amp; streets</w:t>
            </w:r>
          </w:p>
        </w:tc>
      </w:tr>
      <w:tr>
        <w:tc>
          <w:tcPr>
            <w:tcW w:type="dxa" w:w="2041"/>
          </w:tcPr>
          <w:p>
            <w:pPr>
              <w:spacing w:after="20" w:before="20"/>
            </w:pPr>
            <w:r/>
            <w:r>
              <w:rPr>
                <w:b/>
                <w:sz w:val="15"/>
              </w:rPr>
              <w:t>Cecil, 2–6 %</w:t>
            </w:r>
          </w:p>
        </w:tc>
        <w:tc>
          <w:tcPr>
            <w:tcW w:type="dxa" w:w="1474"/>
          </w:tcPr>
          <w:p>
            <w:pPr>
              <w:spacing w:after="20" w:before="20"/>
            </w:pPr>
            <w:r/>
            <w:r>
              <w:rPr>
                <w:b w:val="0"/>
                <w:sz w:val="15"/>
              </w:rPr>
              <w:t>Not limited</w:t>
            </w:r>
          </w:p>
        </w:tc>
        <w:tc>
          <w:tcPr>
            <w:tcW w:type="dxa" w:w="1474"/>
          </w:tcPr>
          <w:p>
            <w:pPr>
              <w:spacing w:after="20" w:before="20"/>
            </w:pPr>
            <w:r/>
            <w:r>
              <w:rPr>
                <w:b w:val="0"/>
                <w:sz w:val="15"/>
              </w:rPr>
              <w:t>Not limited</w:t>
            </w:r>
          </w:p>
        </w:tc>
        <w:tc>
          <w:tcPr>
            <w:tcW w:type="dxa" w:w="1474"/>
          </w:tcPr>
          <w:p>
            <w:pPr>
              <w:spacing w:after="20" w:before="20"/>
            </w:pPr>
            <w:r/>
            <w:r>
              <w:rPr>
                <w:b w:val="0"/>
                <w:sz w:val="15"/>
              </w:rPr>
              <w:t>Somewhat limited</w:t>
            </w:r>
          </w:p>
        </w:tc>
        <w:tc>
          <w:tcPr>
            <w:tcW w:type="dxa" w:w="1474"/>
          </w:tcPr>
          <w:p>
            <w:pPr>
              <w:spacing w:after="20" w:before="20"/>
            </w:pPr>
            <w:r/>
            <w:r>
              <w:rPr>
                <w:b w:val="0"/>
                <w:sz w:val="15"/>
              </w:rPr>
              <w:t>Somewhat limited</w:t>
            </w:r>
          </w:p>
        </w:tc>
        <w:tc>
          <w:tcPr>
            <w:tcW w:type="dxa" w:w="1474"/>
          </w:tcPr>
          <w:p>
            <w:pPr>
              <w:spacing w:after="20" w:before="20"/>
            </w:pPr>
            <w:r/>
            <w:r>
              <w:rPr>
                <w:b w:val="0"/>
                <w:sz w:val="15"/>
              </w:rPr>
              <w:t>Somewhat limited (GA)</w:t>
            </w:r>
          </w:p>
        </w:tc>
      </w:tr>
      <w:tr>
        <w:tc>
          <w:tcPr>
            <w:tcW w:type="dxa" w:w="2041"/>
            <w:shd w:val="clear" w:color="auto" w:fill="F2F5F9"/>
          </w:tcPr>
          <w:p>
            <w:pPr>
              <w:spacing w:after="20" w:before="20"/>
            </w:pPr>
            <w:r/>
            <w:r>
              <w:rPr>
                <w:b/>
                <w:sz w:val="15"/>
              </w:rPr>
              <w:t>Madison, 2–6 %</w:t>
            </w:r>
          </w:p>
        </w:tc>
        <w:tc>
          <w:tcPr>
            <w:tcW w:type="dxa" w:w="1474"/>
            <w:shd w:val="clear" w:color="auto" w:fill="F2F5F9"/>
          </w:tcPr>
          <w:p>
            <w:pPr>
              <w:spacing w:after="20" w:before="20"/>
            </w:pPr>
            <w:r/>
            <w:r>
              <w:rPr>
                <w:b w:val="0"/>
                <w:sz w:val="15"/>
              </w:rPr>
              <w:t>Not limited</w:t>
            </w:r>
          </w:p>
        </w:tc>
        <w:tc>
          <w:tcPr>
            <w:tcW w:type="dxa" w:w="1474"/>
            <w:shd w:val="clear" w:color="auto" w:fill="F2F5F9"/>
          </w:tcPr>
          <w:p>
            <w:pPr>
              <w:spacing w:after="20" w:before="20"/>
            </w:pPr>
            <w:r/>
            <w:r>
              <w:rPr>
                <w:b w:val="0"/>
                <w:sz w:val="15"/>
              </w:rPr>
              <w:t>Not limited</w:t>
            </w:r>
          </w:p>
        </w:tc>
        <w:tc>
          <w:tcPr>
            <w:tcW w:type="dxa" w:w="1474"/>
            <w:shd w:val="clear" w:color="auto" w:fill="F2F5F9"/>
          </w:tcPr>
          <w:p>
            <w:pPr>
              <w:spacing w:after="20" w:before="20"/>
            </w:pPr>
            <w:r/>
            <w:r>
              <w:rPr>
                <w:b w:val="0"/>
                <w:sz w:val="15"/>
              </w:rPr>
              <w:t>Somewhat limited</w:t>
            </w:r>
          </w:p>
        </w:tc>
        <w:tc>
          <w:tcPr>
            <w:tcW w:type="dxa" w:w="1474"/>
            <w:shd w:val="clear" w:color="auto" w:fill="F2F5F9"/>
          </w:tcPr>
          <w:p>
            <w:pPr>
              <w:spacing w:after="20" w:before="20"/>
            </w:pPr>
            <w:r/>
            <w:r>
              <w:rPr>
                <w:b w:val="0"/>
                <w:sz w:val="15"/>
              </w:rPr>
              <w:t>Somewhat limited</w:t>
            </w:r>
          </w:p>
        </w:tc>
        <w:tc>
          <w:tcPr>
            <w:tcW w:type="dxa" w:w="1474"/>
            <w:shd w:val="clear" w:color="auto" w:fill="F2F5F9"/>
          </w:tcPr>
          <w:p>
            <w:pPr>
              <w:spacing w:after="20" w:before="20"/>
            </w:pPr>
            <w:r/>
            <w:r>
              <w:rPr>
                <w:b w:val="0"/>
                <w:sz w:val="15"/>
              </w:rPr>
              <w:t>Somewhat limited (GA)</w:t>
            </w:r>
          </w:p>
        </w:tc>
      </w:tr>
      <w:tr>
        <w:tc>
          <w:tcPr>
            <w:tcW w:type="dxa" w:w="2041"/>
          </w:tcPr>
          <w:p>
            <w:pPr>
              <w:spacing w:after="20" w:before="20"/>
            </w:pPr>
            <w:r/>
            <w:r>
              <w:rPr>
                <w:b/>
                <w:sz w:val="15"/>
              </w:rPr>
              <w:t>Madison, 10–25 %</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r>
      <w:tr>
        <w:tc>
          <w:tcPr>
            <w:tcW w:type="dxa" w:w="2041"/>
            <w:shd w:val="clear" w:color="auto" w:fill="F2F5F9"/>
          </w:tcPr>
          <w:p>
            <w:pPr>
              <w:spacing w:after="20" w:before="20"/>
            </w:pPr>
            <w:r/>
            <w:r>
              <w:rPr>
                <w:b/>
                <w:sz w:val="15"/>
              </w:rPr>
              <w:t>Pacolet, 10–25 %, severely eroded</w:t>
            </w:r>
          </w:p>
        </w:tc>
        <w:tc>
          <w:tcPr>
            <w:tcW w:type="dxa" w:w="1474"/>
            <w:shd w:val="clear" w:color="auto" w:fill="F2F5F9"/>
          </w:tcPr>
          <w:p>
            <w:pPr>
              <w:spacing w:after="20" w:before="20"/>
            </w:pPr>
            <w:r/>
            <w:r>
              <w:rPr>
                <w:b/>
                <w:sz w:val="15"/>
              </w:rPr>
              <w:t>Very limited</w:t>
            </w:r>
          </w:p>
        </w:tc>
        <w:tc>
          <w:tcPr>
            <w:tcW w:type="dxa" w:w="1474"/>
            <w:shd w:val="clear" w:color="auto" w:fill="F2F5F9"/>
          </w:tcPr>
          <w:p>
            <w:pPr>
              <w:spacing w:after="20" w:before="20"/>
            </w:pPr>
            <w:r/>
            <w:r>
              <w:rPr>
                <w:b/>
                <w:sz w:val="15"/>
              </w:rPr>
              <w:t>Very limited</w:t>
            </w:r>
          </w:p>
        </w:tc>
        <w:tc>
          <w:tcPr>
            <w:tcW w:type="dxa" w:w="1474"/>
            <w:shd w:val="clear" w:color="auto" w:fill="F2F5F9"/>
          </w:tcPr>
          <w:p>
            <w:pPr>
              <w:spacing w:after="20" w:before="20"/>
            </w:pPr>
            <w:r/>
            <w:r>
              <w:rPr>
                <w:b/>
                <w:sz w:val="15"/>
              </w:rPr>
              <w:t>Very limited</w:t>
            </w:r>
          </w:p>
        </w:tc>
        <w:tc>
          <w:tcPr>
            <w:tcW w:type="dxa" w:w="1474"/>
            <w:shd w:val="clear" w:color="auto" w:fill="F2F5F9"/>
          </w:tcPr>
          <w:p>
            <w:pPr>
              <w:spacing w:after="20" w:before="20"/>
            </w:pPr>
            <w:r/>
            <w:r>
              <w:rPr>
                <w:b/>
                <w:sz w:val="15"/>
              </w:rPr>
              <w:t>Very limited</w:t>
            </w:r>
          </w:p>
        </w:tc>
        <w:tc>
          <w:tcPr>
            <w:tcW w:type="dxa" w:w="1474"/>
            <w:shd w:val="clear" w:color="auto" w:fill="F2F5F9"/>
          </w:tcPr>
          <w:p>
            <w:pPr>
              <w:spacing w:after="20" w:before="20"/>
            </w:pPr>
            <w:r/>
            <w:r>
              <w:rPr>
                <w:b/>
                <w:sz w:val="15"/>
              </w:rPr>
              <w:t>Very limited</w:t>
            </w:r>
          </w:p>
        </w:tc>
      </w:tr>
      <w:tr>
        <w:tc>
          <w:tcPr>
            <w:tcW w:type="dxa" w:w="2041"/>
          </w:tcPr>
          <w:p>
            <w:pPr>
              <w:spacing w:after="20" w:before="20"/>
            </w:pPr>
            <w:r/>
            <w:r>
              <w:rPr>
                <w:b/>
                <w:sz w:val="15"/>
              </w:rPr>
              <w:t>Zion, 10–25 %</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c>
          <w:tcPr>
            <w:tcW w:type="dxa" w:w="1474"/>
          </w:tcPr>
          <w:p>
            <w:pPr>
              <w:spacing w:after="20" w:before="20"/>
            </w:pPr>
            <w:r/>
            <w:r>
              <w:rPr>
                <w:b/>
                <w:sz w:val="15"/>
              </w:rPr>
              <w:t>Very limited</w:t>
            </w:r>
          </w:p>
        </w:tc>
      </w:tr>
    </w:tbl>
    <w:p>
      <w:pPr>
        <w:spacing w:after="40"/>
      </w:pPr>
    </w:p>
    <w:p>
      <w:pPr>
        <w:spacing w:after="80" w:before="0"/>
      </w:pPr>
      <w:r>
        <w:rPr>
          <w:b/>
          <w:i w:val="0"/>
          <w:sz w:val="18"/>
        </w:rPr>
        <w:t>Translation: the gentler Cecil and Madison units near the road are good building ground. Everything on the 10–25 % slope — which is where the lots extend toward the lake — carries the worst NRCS rating for houses, septic fields, excavations and roads simultaneously. The practical effect is to compress the usable part of each lot toward the road.</w:t>
      </w:r>
    </w:p>
    <w:p>
      <w:pPr>
        <w:spacing w:before="20" w:after="80"/>
      </w:pPr>
      <w:r>
        <w:rPr>
          <w:b/>
          <w:color w:val="1E6B3A"/>
          <w:sz w:val="15"/>
        </w:rPr>
        <w:t>[DOCUMENTED]</w:t>
      </w:r>
      <w:r>
        <w:rPr>
          <w:i/>
          <w:color w:val="555555"/>
          <w:sz w:val="15"/>
        </w:rPr>
        <w:t xml:space="preserve">  USDA NRCS SSURGO via Soil Data Access, queried 7 October 2026. NRCS itself states survey-scale maps are insufficient for septic approval.</w:t>
      </w:r>
    </w:p>
    <w:p>
      <w:pPr>
        <w:pStyle w:val="Heading2"/>
      </w:pPr>
      <w:r>
        <w:t>15. Foundation suitability</w:t>
      </w:r>
    </w:p>
    <w:tbl>
      <w:tblPr>
        <w:tblStyle w:val="TableGrid"/>
        <w:tblW w:type="auto" w:w="0"/>
        <w:jc w:val="center"/>
        <w:tblLook w:firstColumn="1" w:firstRow="1" w:lastColumn="0" w:lastRow="0" w:noHBand="0" w:noVBand="1" w:val="04A0"/>
      </w:tblPr>
      <w:tblGrid>
        <w:gridCol w:w="3288"/>
        <w:gridCol w:w="3288"/>
        <w:gridCol w:w="3288"/>
      </w:tblGrid>
      <w:tr>
        <w:tc>
          <w:tcPr>
            <w:tcW w:type="dxa" w:w="1701"/>
            <w:shd w:val="clear" w:color="auto" w:fill="1F4E79"/>
          </w:tcPr>
          <w:p>
            <w:pPr>
              <w:spacing w:after="20" w:before="20"/>
            </w:pPr>
            <w:r/>
            <w:r>
              <w:rPr>
                <w:b/>
                <w:color w:val="FFFFFF"/>
                <w:sz w:val="16"/>
              </w:rPr>
              <w:t>Foundation type</w:t>
            </w:r>
          </w:p>
        </w:tc>
        <w:tc>
          <w:tcPr>
            <w:tcW w:type="dxa" w:w="2948"/>
            <w:shd w:val="clear" w:color="auto" w:fill="1F4E79"/>
          </w:tcPr>
          <w:p>
            <w:pPr>
              <w:spacing w:after="20" w:before="20"/>
            </w:pPr>
            <w:r/>
            <w:r>
              <w:rPr>
                <w:b/>
                <w:color w:val="FFFFFF"/>
                <w:sz w:val="16"/>
              </w:rPr>
              <w:t>Assessment on this site</w:t>
            </w:r>
          </w:p>
        </w:tc>
        <w:tc>
          <w:tcPr>
            <w:tcW w:type="dxa" w:w="4762"/>
            <w:shd w:val="clear" w:color="auto" w:fill="1F4E79"/>
          </w:tcPr>
          <w:p>
            <w:pPr>
              <w:spacing w:after="20" w:before="20"/>
            </w:pPr>
            <w:r/>
            <w:r>
              <w:rPr>
                <w:b/>
                <w:color w:val="FFFFFF"/>
                <w:sz w:val="16"/>
              </w:rPr>
              <w:t>Comment</w:t>
            </w:r>
          </w:p>
        </w:tc>
      </w:tr>
      <w:tr>
        <w:tc>
          <w:tcPr>
            <w:tcW w:type="dxa" w:w="1701"/>
          </w:tcPr>
          <w:p>
            <w:pPr>
              <w:spacing w:after="20" w:before="20"/>
            </w:pPr>
            <w:r/>
            <w:r>
              <w:rPr>
                <w:b w:val="0"/>
                <w:sz w:val="16"/>
              </w:rPr>
              <w:t>Slab-on-grade</w:t>
            </w:r>
          </w:p>
        </w:tc>
        <w:tc>
          <w:tcPr>
            <w:tcW w:type="dxa" w:w="2948"/>
          </w:tcPr>
          <w:p>
            <w:pPr>
              <w:spacing w:after="20" w:before="20"/>
            </w:pPr>
            <w:r/>
            <w:r>
              <w:rPr>
                <w:b w:val="0"/>
                <w:sz w:val="16"/>
              </w:rPr>
              <w:t>Feasible only on the flatter near-road bench</w:t>
            </w:r>
          </w:p>
        </w:tc>
        <w:tc>
          <w:tcPr>
            <w:tcW w:type="dxa" w:w="4762"/>
          </w:tcPr>
          <w:p>
            <w:pPr>
              <w:spacing w:after="20" w:before="20"/>
            </w:pPr>
            <w:r/>
            <w:r>
              <w:rPr>
                <w:b w:val="0"/>
                <w:sz w:val="16"/>
              </w:rPr>
              <w:t>On 10–13 % ground a slab needs a cut-and-fill pad; expect 6–7 ft of grade change across a 56 ft-deep footprint.</w:t>
            </w:r>
          </w:p>
        </w:tc>
      </w:tr>
      <w:tr>
        <w:tc>
          <w:tcPr>
            <w:tcW w:type="dxa" w:w="1701"/>
            <w:shd w:val="clear" w:color="auto" w:fill="F2F5F9"/>
          </w:tcPr>
          <w:p>
            <w:pPr>
              <w:spacing w:after="20" w:before="20"/>
            </w:pPr>
            <w:r/>
            <w:r>
              <w:rPr>
                <w:b w:val="0"/>
                <w:sz w:val="16"/>
              </w:rPr>
              <w:t>Crawlspace</w:t>
            </w:r>
          </w:p>
        </w:tc>
        <w:tc>
          <w:tcPr>
            <w:tcW w:type="dxa" w:w="2948"/>
            <w:shd w:val="clear" w:color="auto" w:fill="F2F5F9"/>
          </w:tcPr>
          <w:p>
            <w:pPr>
              <w:spacing w:after="20" w:before="20"/>
            </w:pPr>
            <w:r/>
            <w:r>
              <w:rPr>
                <w:b/>
                <w:sz w:val="16"/>
              </w:rPr>
              <w:t>Likely the most economical fit</w:t>
            </w:r>
          </w:p>
        </w:tc>
        <w:tc>
          <w:tcPr>
            <w:tcW w:type="dxa" w:w="4762"/>
            <w:shd w:val="clear" w:color="auto" w:fill="F2F5F9"/>
          </w:tcPr>
          <w:p>
            <w:pPr>
              <w:spacing w:after="20" w:before="20"/>
            </w:pPr>
            <w:r/>
            <w:r>
              <w:rPr>
                <w:b w:val="0"/>
                <w:sz w:val="16"/>
              </w:rPr>
              <w:t>Absorbs moderate slope cheaply, keeps floor framing above grade, and suits the well-drained soils. Requires vented, properly graded perimeter.</w:t>
            </w:r>
          </w:p>
        </w:tc>
      </w:tr>
      <w:tr>
        <w:tc>
          <w:tcPr>
            <w:tcW w:type="dxa" w:w="1701"/>
          </w:tcPr>
          <w:p>
            <w:pPr>
              <w:spacing w:after="20" w:before="20"/>
            </w:pPr>
            <w:r/>
            <w:r>
              <w:rPr>
                <w:b w:val="0"/>
                <w:sz w:val="16"/>
              </w:rPr>
              <w:t>Pier / beam</w:t>
            </w:r>
          </w:p>
        </w:tc>
        <w:tc>
          <w:tcPr>
            <w:tcW w:type="dxa" w:w="2948"/>
          </w:tcPr>
          <w:p>
            <w:pPr>
              <w:spacing w:after="20" w:before="20"/>
            </w:pPr>
            <w:r/>
            <w:r>
              <w:rPr>
                <w:b w:val="0"/>
                <w:sz w:val="16"/>
              </w:rPr>
              <w:t>Feasible</w:t>
            </w:r>
          </w:p>
        </w:tc>
        <w:tc>
          <w:tcPr>
            <w:tcW w:type="dxa" w:w="4762"/>
          </w:tcPr>
          <w:p>
            <w:pPr>
              <w:spacing w:after="20" w:before="20"/>
            </w:pPr>
            <w:r/>
            <w:r>
              <w:rPr>
                <w:b w:val="0"/>
                <w:sz w:val="16"/>
              </w:rPr>
              <w:t>Good on the steeper rear portion if the house is pushed back; minimises cut and preserves trees.</w:t>
            </w:r>
          </w:p>
        </w:tc>
      </w:tr>
      <w:tr>
        <w:tc>
          <w:tcPr>
            <w:tcW w:type="dxa" w:w="1701"/>
            <w:shd w:val="clear" w:color="auto" w:fill="F2F5F9"/>
          </w:tcPr>
          <w:p>
            <w:pPr>
              <w:spacing w:after="20" w:before="20"/>
            </w:pPr>
            <w:r/>
            <w:r>
              <w:rPr>
                <w:b w:val="0"/>
                <w:sz w:val="16"/>
              </w:rPr>
              <w:t>Basement (walk-out)</w:t>
            </w:r>
          </w:p>
        </w:tc>
        <w:tc>
          <w:tcPr>
            <w:tcW w:type="dxa" w:w="2948"/>
            <w:shd w:val="clear" w:color="auto" w:fill="F2F5F9"/>
          </w:tcPr>
          <w:p>
            <w:pPr>
              <w:spacing w:after="20" w:before="20"/>
            </w:pPr>
            <w:r/>
            <w:r>
              <w:rPr>
                <w:b w:val="0"/>
                <w:sz w:val="16"/>
              </w:rPr>
              <w:t>Feasible and attractive on 10–13 % north-facing slope</w:t>
            </w:r>
          </w:p>
        </w:tc>
        <w:tc>
          <w:tcPr>
            <w:tcW w:type="dxa" w:w="4762"/>
            <w:shd w:val="clear" w:color="auto" w:fill="F2F5F9"/>
          </w:tcPr>
          <w:p>
            <w:pPr>
              <w:spacing w:after="20" w:before="20"/>
            </w:pPr>
            <w:r/>
            <w:r>
              <w:rPr>
                <w:b w:val="0"/>
                <w:sz w:val="16"/>
              </w:rPr>
              <w:t>**But** NRCS rates the slope units "Very limited" for basements, and Cecil/Pacolet subsoils are 40–55 % clay — drainage and waterproofing must be engineered.</w:t>
            </w:r>
          </w:p>
        </w:tc>
      </w:tr>
      <w:tr>
        <w:tc>
          <w:tcPr>
            <w:tcW w:type="dxa" w:w="1701"/>
          </w:tcPr>
          <w:p>
            <w:pPr>
              <w:spacing w:after="20" w:before="20"/>
            </w:pPr>
            <w:r/>
            <w:r>
              <w:rPr>
                <w:b w:val="0"/>
                <w:sz w:val="16"/>
              </w:rPr>
              <w:t>Stepped foundation</w:t>
            </w:r>
          </w:p>
        </w:tc>
        <w:tc>
          <w:tcPr>
            <w:tcW w:type="dxa" w:w="2948"/>
          </w:tcPr>
          <w:p>
            <w:pPr>
              <w:spacing w:after="20" w:before="20"/>
            </w:pPr>
            <w:r/>
            <w:r>
              <w:rPr>
                <w:b w:val="0"/>
                <w:sz w:val="16"/>
              </w:rPr>
              <w:t>Likely required if the footprint runs across the contour</w:t>
            </w:r>
          </w:p>
        </w:tc>
        <w:tc>
          <w:tcPr>
            <w:tcW w:type="dxa" w:w="4762"/>
          </w:tcPr>
          <w:p>
            <w:pPr>
              <w:spacing w:after="20" w:before="20"/>
            </w:pPr>
            <w:r/>
            <w:r>
              <w:rPr>
                <w:b w:val="0"/>
                <w:sz w:val="16"/>
              </w:rPr>
              <w:t>Orienting the long axis parallel to the contour reduces this substantially.</w:t>
            </w:r>
          </w:p>
        </w:tc>
      </w:tr>
      <w:tr>
        <w:tc>
          <w:tcPr>
            <w:tcW w:type="dxa" w:w="1701"/>
            <w:shd w:val="clear" w:color="auto" w:fill="F2F5F9"/>
          </w:tcPr>
          <w:p>
            <w:pPr>
              <w:spacing w:after="20" w:before="20"/>
            </w:pPr>
            <w:r/>
            <w:r>
              <w:rPr>
                <w:b w:val="0"/>
                <w:sz w:val="16"/>
              </w:rPr>
              <w:t>Retaining walls</w:t>
            </w:r>
          </w:p>
        </w:tc>
        <w:tc>
          <w:tcPr>
            <w:tcW w:type="dxa" w:w="2948"/>
            <w:shd w:val="clear" w:color="auto" w:fill="F2F5F9"/>
          </w:tcPr>
          <w:p>
            <w:pPr>
              <w:spacing w:after="20" w:before="20"/>
            </w:pPr>
            <w:r/>
            <w:r>
              <w:rPr>
                <w:b w:val="0"/>
                <w:sz w:val="16"/>
              </w:rPr>
              <w:t>Probable on the west frontage, possibly avoidable on the east</w:t>
            </w:r>
          </w:p>
        </w:tc>
        <w:tc>
          <w:tcPr>
            <w:tcW w:type="dxa" w:w="4762"/>
            <w:shd w:val="clear" w:color="auto" w:fill="F2F5F9"/>
          </w:tcPr>
          <w:p>
            <w:pPr>
              <w:spacing w:after="20" w:before="20"/>
            </w:pPr>
            <w:r/>
            <w:r>
              <w:rPr>
                <w:b w:val="0"/>
                <w:sz w:val="16"/>
              </w:rPr>
              <w:t>Walls over 4 ft generally require engineered design and a permit.</w:t>
            </w:r>
          </w:p>
        </w:tc>
      </w:tr>
    </w:tbl>
    <w:p>
      <w:pPr>
        <w:spacing w:after="40"/>
      </w:pPr>
    </w:p>
    <w:p>
      <w:pPr>
        <w:spacing w:after="80" w:before="0"/>
      </w:pPr>
      <w:r>
        <w:rPr>
          <w:b w:val="0"/>
          <w:i w:val="0"/>
          <w:sz w:val="18"/>
        </w:rPr>
        <w:t>A professional geotechnical investigation is advisable, and arguably necessary, for three specific reasons: (a) the Pacolet unit is severely eroded, so the residual horizon sequence on site may differ from the survey description; (b) Zion's lithic bedrock at about 2.5 ft would change both excavation cost and septic feasibility if it extends into the lot; and (c) the 40–55 % clay subsoils control both bearing and drainage design.</w:t>
      </w:r>
    </w:p>
    <w:p>
      <w:pPr>
        <w:spacing w:before="20" w:after="80"/>
      </w:pPr>
      <w:r>
        <w:rPr>
          <w:b/>
          <w:color w:val="C01F2B"/>
          <w:sz w:val="15"/>
        </w:rPr>
        <w:t>[REQUIRES PROFESSIONAL / OFFICIAL VERIFICATION]</w:t>
      </w:r>
      <w:r>
        <w:rPr>
          <w:i/>
          <w:color w:val="555555"/>
          <w:sz w:val="15"/>
        </w:rPr>
        <w:t xml:space="preserve">  Foundation design requires a licensed geotechnical engineer and a site-specific soil report.</w:t>
      </w:r>
    </w:p>
    <w:p>
      <w:pPr>
        <w:pStyle w:val="Heading2"/>
      </w:pPr>
      <w:r>
        <w:t>16. Septic suitability</w:t>
      </w: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6"/>
              </w:rPr>
              <w:t>Question</w:t>
            </w:r>
          </w:p>
        </w:tc>
        <w:tc>
          <w:tcPr>
            <w:tcW w:type="dxa" w:w="6803"/>
            <w:shd w:val="clear" w:color="auto" w:fill="1F4E79"/>
          </w:tcPr>
          <w:p>
            <w:pPr>
              <w:spacing w:after="20" w:before="20"/>
            </w:pPr>
            <w:r/>
            <w:r>
              <w:rPr>
                <w:b/>
                <w:color w:val="FFFFFF"/>
                <w:sz w:val="16"/>
              </w:rPr>
              <w:t>Finding</w:t>
            </w:r>
          </w:p>
        </w:tc>
      </w:tr>
      <w:tr>
        <w:tc>
          <w:tcPr>
            <w:tcW w:type="dxa" w:w="2608"/>
          </w:tcPr>
          <w:p>
            <w:pPr>
              <w:spacing w:after="20" w:before="20"/>
            </w:pPr>
            <w:r/>
            <w:r>
              <w:rPr>
                <w:b w:val="0"/>
                <w:sz w:val="16"/>
              </w:rPr>
              <w:t>Is public sewer available?</w:t>
            </w:r>
          </w:p>
        </w:tc>
        <w:tc>
          <w:tcPr>
            <w:tcW w:type="dxa" w:w="6803"/>
          </w:tcPr>
          <w:p>
            <w:pPr>
              <w:spacing w:after="20" w:before="20"/>
            </w:pPr>
            <w:r/>
            <w:r>
              <w:rPr>
                <w:b w:val="0"/>
                <w:sz w:val="16"/>
              </w:rPr>
              <w:t>**No.** No sewer is reported for Stillwater Coves; listings describe public water only.</w:t>
            </w:r>
          </w:p>
        </w:tc>
      </w:tr>
      <w:tr>
        <w:tc>
          <w:tcPr>
            <w:tcW w:type="dxa" w:w="2608"/>
            <w:shd w:val="clear" w:color="auto" w:fill="F2F5F9"/>
          </w:tcPr>
          <w:p>
            <w:pPr>
              <w:spacing w:after="20" w:before="20"/>
            </w:pPr>
            <w:r/>
            <w:r>
              <w:rPr>
                <w:b w:val="0"/>
                <w:sz w:val="16"/>
              </w:rPr>
              <w:t>Is septic required?</w:t>
            </w:r>
          </w:p>
        </w:tc>
        <w:tc>
          <w:tcPr>
            <w:tcW w:type="dxa" w:w="6803"/>
            <w:shd w:val="clear" w:color="auto" w:fill="F2F5F9"/>
          </w:tcPr>
          <w:p>
            <w:pPr>
              <w:spacing w:after="20" w:before="20"/>
            </w:pPr>
            <w:r/>
            <w:r>
              <w:rPr>
                <w:b w:val="0"/>
                <w:sz w:val="16"/>
              </w:rPr>
              <w:t>**Yes** — an on-site sewage management system is the only option.</w:t>
            </w:r>
          </w:p>
        </w:tc>
      </w:tr>
      <w:tr>
        <w:tc>
          <w:tcPr>
            <w:tcW w:type="dxa" w:w="2608"/>
          </w:tcPr>
          <w:p>
            <w:pPr>
              <w:spacing w:after="20" w:before="20"/>
            </w:pPr>
            <w:r/>
            <w:r>
              <w:rPr>
                <w:b w:val="0"/>
                <w:sz w:val="16"/>
              </w:rPr>
              <w:t>Governing rules</w:t>
            </w:r>
          </w:p>
        </w:tc>
        <w:tc>
          <w:tcPr>
            <w:tcW w:type="dxa" w:w="6803"/>
          </w:tcPr>
          <w:p>
            <w:pPr>
              <w:spacing w:after="20" w:before="20"/>
            </w:pPr>
            <w:r/>
            <w:r>
              <w:rPr>
                <w:b w:val="0"/>
                <w:sz w:val="16"/>
              </w:rPr>
              <w:t>Georgia Rules for On-Site Sewage Management Systems, Chapter 511-3-1, administered by the county environmental health office under the Georgia DPH manual.</w:t>
            </w:r>
          </w:p>
        </w:tc>
      </w:tr>
      <w:tr>
        <w:tc>
          <w:tcPr>
            <w:tcW w:type="dxa" w:w="2608"/>
            <w:shd w:val="clear" w:color="auto" w:fill="F2F5F9"/>
          </w:tcPr>
          <w:p>
            <w:pPr>
              <w:spacing w:after="20" w:before="20"/>
            </w:pPr>
            <w:r/>
            <w:r>
              <w:rPr>
                <w:b w:val="0"/>
                <w:sz w:val="16"/>
              </w:rPr>
              <w:t>Soil suitability</w:t>
            </w:r>
          </w:p>
        </w:tc>
        <w:tc>
          <w:tcPr>
            <w:tcW w:type="dxa" w:w="6803"/>
            <w:shd w:val="clear" w:color="auto" w:fill="F2F5F9"/>
          </w:tcPr>
          <w:p>
            <w:pPr>
              <w:spacing w:after="20" w:before="20"/>
            </w:pPr>
            <w:r/>
            <w:r>
              <w:rPr>
                <w:b w:val="0"/>
                <w:sz w:val="16"/>
              </w:rPr>
              <w:t>**Poor to marginal over most of the slope.** Pacolet, Zion and Madison 10–25 % all rate "Very limited" for absorption fields. Cecil 2–6 % and Madison 2–6 % rate "Somewhat limited".</w:t>
            </w:r>
          </w:p>
        </w:tc>
      </w:tr>
      <w:tr>
        <w:tc>
          <w:tcPr>
            <w:tcW w:type="dxa" w:w="2608"/>
          </w:tcPr>
          <w:p>
            <w:pPr>
              <w:spacing w:after="20" w:before="20"/>
            </w:pPr>
            <w:r/>
            <w:r>
              <w:rPr>
                <w:b w:val="0"/>
                <w:sz w:val="16"/>
              </w:rPr>
              <w:t>Perc / soil evaluation requirement</w:t>
            </w:r>
          </w:p>
        </w:tc>
        <w:tc>
          <w:tcPr>
            <w:tcW w:type="dxa" w:w="6803"/>
          </w:tcPr>
          <w:p>
            <w:pPr>
              <w:spacing w:after="20" w:before="20"/>
            </w:pPr>
            <w:r/>
            <w:r>
              <w:rPr>
                <w:b w:val="0"/>
                <w:sz w:val="16"/>
              </w:rPr>
              <w:t>A site-specific soil evaluation is mandatory. Georgia practice requires an original, stamped Level 3 or Level 4 soil report; NRCS survey maps are explicitly stated to be insufficient for approval.</w:t>
            </w:r>
          </w:p>
        </w:tc>
      </w:tr>
      <w:tr>
        <w:tc>
          <w:tcPr>
            <w:tcW w:type="dxa" w:w="2608"/>
            <w:shd w:val="clear" w:color="auto" w:fill="F2F5F9"/>
          </w:tcPr>
          <w:p>
            <w:pPr>
              <w:spacing w:after="20" w:before="20"/>
            </w:pPr>
            <w:r/>
            <w:r>
              <w:rPr>
                <w:b w:val="0"/>
                <w:sz w:val="16"/>
              </w:rPr>
              <w:t>Statutory disqualifiers</w:t>
            </w:r>
          </w:p>
        </w:tc>
        <w:tc>
          <w:tcPr>
            <w:tcW w:type="dxa" w:w="6803"/>
            <w:shd w:val="clear" w:color="auto" w:fill="F2F5F9"/>
          </w:tcPr>
          <w:p>
            <w:pPr>
              <w:spacing w:after="20" w:before="20"/>
            </w:pPr>
            <w:r/>
            <w:r>
              <w:rPr>
                <w:b w:val="0"/>
                <w:sz w:val="16"/>
              </w:rPr>
              <w:t>Permits for conventional or chamber systems are **denied** where bedrock or impervious strata lie less than 2 ft below the absorption-field bottom, or where seasonal high groundwater is less than 2 ft below it (1 ft if Class I aerobic pretreatment is used).</w:t>
            </w:r>
          </w:p>
        </w:tc>
      </w:tr>
      <w:tr>
        <w:tc>
          <w:tcPr>
            <w:tcW w:type="dxa" w:w="2608"/>
          </w:tcPr>
          <w:p>
            <w:pPr>
              <w:spacing w:after="20" w:before="20"/>
            </w:pPr>
            <w:r/>
            <w:r>
              <w:rPr>
                <w:b w:val="0"/>
                <w:sz w:val="16"/>
              </w:rPr>
              <w:t>Specific risk here</w:t>
            </w:r>
          </w:p>
        </w:tc>
        <w:tc>
          <w:tcPr>
            <w:tcW w:type="dxa" w:w="6803"/>
          </w:tcPr>
          <w:p>
            <w:pPr>
              <w:spacing w:after="20" w:before="20"/>
            </w:pPr>
            <w:r/>
            <w:r>
              <w:rPr>
                <w:b w:val="0"/>
                <w:sz w:val="16"/>
              </w:rPr>
              <w:t>**Zion's indurated bedrock at 77 cm (2.5 ft)** would leave essentially no compliant depth beneath a field. If Zion extends into the rear of the lots, that ground is unusable for a conventional field.</w:t>
            </w:r>
          </w:p>
        </w:tc>
      </w:tr>
      <w:tr>
        <w:tc>
          <w:tcPr>
            <w:tcW w:type="dxa" w:w="2608"/>
            <w:shd w:val="clear" w:color="auto" w:fill="F2F5F9"/>
          </w:tcPr>
          <w:p>
            <w:pPr>
              <w:spacing w:after="20" w:before="20"/>
            </w:pPr>
            <w:r/>
            <w:r>
              <w:rPr>
                <w:b w:val="0"/>
                <w:sz w:val="16"/>
              </w:rPr>
              <w:t>Slow-permeability risk</w:t>
            </w:r>
          </w:p>
        </w:tc>
        <w:tc>
          <w:tcPr>
            <w:tcW w:type="dxa" w:w="6803"/>
            <w:shd w:val="clear" w:color="auto" w:fill="F2F5F9"/>
          </w:tcPr>
          <w:p>
            <w:pPr>
              <w:spacing w:after="20" w:before="20"/>
            </w:pPr>
            <w:r/>
            <w:r>
              <w:rPr>
                <w:b w:val="0"/>
                <w:sz w:val="16"/>
              </w:rPr>
              <w:t>Zion's 25–56 cm horizon at Ksat 2 um/s is very slow; clay subsoils elsewhere sit at 9 um/s.</w:t>
            </w:r>
          </w:p>
        </w:tc>
      </w:tr>
      <w:tr>
        <w:tc>
          <w:tcPr>
            <w:tcW w:type="dxa" w:w="2608"/>
          </w:tcPr>
          <w:p>
            <w:pPr>
              <w:spacing w:after="20" w:before="20"/>
            </w:pPr>
            <w:r/>
            <w:r>
              <w:rPr>
                <w:b w:val="0"/>
                <w:sz w:val="16"/>
              </w:rPr>
              <w:t>Does slope create problems?</w:t>
            </w:r>
          </w:p>
        </w:tc>
        <w:tc>
          <w:tcPr>
            <w:tcW w:type="dxa" w:w="6803"/>
          </w:tcPr>
          <w:p>
            <w:pPr>
              <w:spacing w:after="20" w:before="20"/>
            </w:pPr>
            <w:r/>
            <w:r>
              <w:rPr>
                <w:b w:val="0"/>
                <w:sz w:val="16"/>
              </w:rPr>
              <w:t>**Yes.** Absorption fields on 10–25 % slopes risk lateral breakout downslope, and the "Very limited" rating reflects exactly this.</w:t>
            </w:r>
          </w:p>
        </w:tc>
      </w:tr>
      <w:tr>
        <w:tc>
          <w:tcPr>
            <w:tcW w:type="dxa" w:w="2608"/>
            <w:shd w:val="clear" w:color="auto" w:fill="F2F5F9"/>
          </w:tcPr>
          <w:p>
            <w:pPr>
              <w:spacing w:after="20" w:before="20"/>
            </w:pPr>
            <w:r/>
            <w:r>
              <w:rPr>
                <w:b w:val="0"/>
                <w:sz w:val="16"/>
              </w:rPr>
              <w:t>Setback from the lake / water</w:t>
            </w:r>
          </w:p>
        </w:tc>
        <w:tc>
          <w:tcPr>
            <w:tcW w:type="dxa" w:w="6803"/>
            <w:shd w:val="clear" w:color="auto" w:fill="F2F5F9"/>
          </w:tcPr>
          <w:p>
            <w:pPr>
              <w:spacing w:after="20" w:before="20"/>
            </w:pPr>
            <w:r/>
            <w:r>
              <w:rPr>
                <w:b w:val="0"/>
                <w:sz w:val="16"/>
              </w:rPr>
              <w:t>A substantial setback from the shoreline and from the USACE boundary will apply, in addition to well and property-line setbacks. The specific distances must be confirmed with county environmental health.</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BEDROOM COUNT IS A SOIL QUESTION, NOT AN ARCHITECTURAL ONE</w:t>
            </w:r>
          </w:p>
          <w:p>
            <w:pPr>
              <w:spacing w:after="40"/>
            </w:pPr>
            <w:r>
              <w:rPr>
                <w:sz w:val="17"/>
              </w:rPr>
              <w:t>Georgia sizes absorption fields by bedroom count and soil group. A common county standard is roughly 3,000 sq ft of usable soil area per bedroom for the primary field plus the same again for a reserve field — about 24,000 sq ft of usable soil for a 4-bedroom house. A 1.07-acre lot contains 46,609 sq ft gross, so a 4-bedroom conventional system is arithmetically possible on a single lot but leaves little margin once the house, driveway, setbacks and the "Very limited" slope areas are excluded. THIS IS THE STRONGEST ARGUMENT FOR BUYING BOTH LOTS TOGETHER. A Level 3/4 soil report will give the real answer, and it may come back at 2 or 3 bedrooms for a conventional system, with 4 bedrooms achievable only via an engineered or advanced-treatment system at materially higher cost.</w:t>
            </w:r>
          </w:p>
        </w:tc>
      </w:tr>
    </w:tbl>
    <w:p>
      <w:pPr>
        <w:spacing w:after="60"/>
      </w:pPr>
    </w:p>
    <w:p>
      <w:pPr>
        <w:spacing w:before="20" w:after="80"/>
      </w:pPr>
      <w:r>
        <w:rPr>
          <w:b/>
          <w:color w:val="C01F2B"/>
          <w:sz w:val="15"/>
        </w:rPr>
        <w:t>[REQUIRES PROFESSIONAL / OFFICIAL VERIFICATION]</w:t>
      </w:r>
      <w:r>
        <w:rPr>
          <w:i/>
          <w:color w:val="555555"/>
          <w:sz w:val="15"/>
        </w:rPr>
        <w:t xml:space="preserve">  Permittable bedroom count requires a stamped Level 3/4 soil report and county environmental health approval. Any number quoted before that is speculation.</w:t>
      </w:r>
    </w:p>
    <w:p>
      <w:pPr>
        <w:pStyle w:val="Heading2"/>
      </w:pPr>
      <w:r>
        <w:t>17. Gardening suitability</w:t>
      </w:r>
    </w:p>
    <w:tbl>
      <w:tblPr>
        <w:tblStyle w:val="TableGrid"/>
        <w:tblW w:type="auto" w:w="0"/>
        <w:jc w:val="center"/>
        <w:tblLook w:firstColumn="1" w:firstRow="1" w:lastColumn="0" w:lastRow="0" w:noHBand="0" w:noVBand="1" w:val="04A0"/>
      </w:tblPr>
      <w:tblGrid>
        <w:gridCol w:w="3288"/>
        <w:gridCol w:w="3288"/>
        <w:gridCol w:w="3288"/>
      </w:tblGrid>
      <w:tr>
        <w:tc>
          <w:tcPr>
            <w:tcW w:type="dxa" w:w="1814"/>
            <w:shd w:val="clear" w:color="auto" w:fill="1F4E79"/>
          </w:tcPr>
          <w:p>
            <w:pPr>
              <w:spacing w:after="20" w:before="20"/>
            </w:pPr>
            <w:r/>
            <w:r>
              <w:rPr>
                <w:b/>
                <w:color w:val="FFFFFF"/>
                <w:sz w:val="16"/>
              </w:rPr>
              <w:t>Property</w:t>
            </w:r>
          </w:p>
        </w:tc>
        <w:tc>
          <w:tcPr>
            <w:tcW w:type="dxa" w:w="2721"/>
            <w:shd w:val="clear" w:color="auto" w:fill="1F4E79"/>
          </w:tcPr>
          <w:p>
            <w:pPr>
              <w:spacing w:after="20" w:before="20"/>
            </w:pPr>
            <w:r/>
            <w:r>
              <w:rPr>
                <w:b/>
                <w:color w:val="FFFFFF"/>
                <w:sz w:val="16"/>
              </w:rPr>
              <w:t>Measured value</w:t>
            </w:r>
          </w:p>
        </w:tc>
        <w:tc>
          <w:tcPr>
            <w:tcW w:type="dxa" w:w="4876"/>
            <w:shd w:val="clear" w:color="auto" w:fill="1F4E79"/>
          </w:tcPr>
          <w:p>
            <w:pPr>
              <w:spacing w:after="20" w:before="20"/>
            </w:pPr>
            <w:r/>
            <w:r>
              <w:rPr>
                <w:b/>
                <w:color w:val="FFFFFF"/>
                <w:sz w:val="16"/>
              </w:rPr>
              <w:t>Gardening implication</w:t>
            </w:r>
          </w:p>
        </w:tc>
      </w:tr>
      <w:tr>
        <w:tc>
          <w:tcPr>
            <w:tcW w:type="dxa" w:w="1814"/>
          </w:tcPr>
          <w:p>
            <w:pPr>
              <w:spacing w:after="20" w:before="20"/>
            </w:pPr>
            <w:r/>
            <w:r>
              <w:rPr>
                <w:b w:val="0"/>
                <w:sz w:val="16"/>
              </w:rPr>
              <w:t>Surface pH</w:t>
            </w:r>
          </w:p>
        </w:tc>
        <w:tc>
          <w:tcPr>
            <w:tcW w:type="dxa" w:w="2721"/>
          </w:tcPr>
          <w:p>
            <w:pPr>
              <w:spacing w:after="20" w:before="20"/>
            </w:pPr>
            <w:r/>
            <w:r>
              <w:rPr>
                <w:b w:val="0"/>
                <w:sz w:val="16"/>
              </w:rPr>
              <w:t>4.8 (Madison) to 5.5 (Pacolet); 5.3 (Cecil, Zion)</w:t>
            </w:r>
          </w:p>
        </w:tc>
        <w:tc>
          <w:tcPr>
            <w:tcW w:type="dxa" w:w="4876"/>
          </w:tcPr>
          <w:p>
            <w:pPr>
              <w:spacing w:after="20" w:before="20"/>
            </w:pPr>
            <w:r/>
            <w:r>
              <w:rPr>
                <w:b w:val="0"/>
                <w:sz w:val="16"/>
              </w:rPr>
              <w:t>**Strongly to moderately acidic.** Most vegetables want 6.0–6.8. Liming is essential.</w:t>
            </w:r>
          </w:p>
        </w:tc>
      </w:tr>
      <w:tr>
        <w:tc>
          <w:tcPr>
            <w:tcW w:type="dxa" w:w="1814"/>
            <w:shd w:val="clear" w:color="auto" w:fill="F2F5F9"/>
          </w:tcPr>
          <w:p>
            <w:pPr>
              <w:spacing w:after="20" w:before="20"/>
            </w:pPr>
            <w:r/>
            <w:r>
              <w:rPr>
                <w:b w:val="0"/>
                <w:sz w:val="16"/>
              </w:rPr>
              <w:t>Surface organic matter</w:t>
            </w:r>
          </w:p>
        </w:tc>
        <w:tc>
          <w:tcPr>
            <w:tcW w:type="dxa" w:w="2721"/>
            <w:shd w:val="clear" w:color="auto" w:fill="F2F5F9"/>
          </w:tcPr>
          <w:p>
            <w:pPr>
              <w:spacing w:after="20" w:before="20"/>
            </w:pPr>
            <w:r/>
            <w:r>
              <w:rPr>
                <w:b w:val="0"/>
                <w:sz w:val="16"/>
              </w:rPr>
              <w:t>0.50 % (Cecil), 1.00 % (Pacolet), 1.25 % (Madison, Zion)</w:t>
            </w:r>
          </w:p>
        </w:tc>
        <w:tc>
          <w:tcPr>
            <w:tcW w:type="dxa" w:w="4876"/>
            <w:shd w:val="clear" w:color="auto" w:fill="F2F5F9"/>
          </w:tcPr>
          <w:p>
            <w:pPr>
              <w:spacing w:after="20" w:before="20"/>
            </w:pPr>
            <w:r/>
            <w:r>
              <w:rPr>
                <w:b w:val="0"/>
                <w:sz w:val="16"/>
              </w:rPr>
              <w:t>**Very low.** Target for productive beds is 3–5 %. Heavy compost addition needed.</w:t>
            </w:r>
          </w:p>
        </w:tc>
      </w:tr>
      <w:tr>
        <w:tc>
          <w:tcPr>
            <w:tcW w:type="dxa" w:w="1814"/>
          </w:tcPr>
          <w:p>
            <w:pPr>
              <w:spacing w:after="20" w:before="20"/>
            </w:pPr>
            <w:r/>
            <w:r>
              <w:rPr>
                <w:b w:val="0"/>
                <w:sz w:val="16"/>
              </w:rPr>
              <w:t>Surface texture</w:t>
            </w:r>
          </w:p>
        </w:tc>
        <w:tc>
          <w:tcPr>
            <w:tcW w:type="dxa" w:w="2721"/>
          </w:tcPr>
          <w:p>
            <w:pPr>
              <w:spacing w:after="20" w:before="20"/>
            </w:pPr>
            <w:r/>
            <w:r>
              <w:rPr>
                <w:b w:val="0"/>
                <w:sz w:val="16"/>
              </w:rPr>
              <w:t>Sandy loam (Cecil, Madison, Pacolet); silt loam (Zion)</w:t>
            </w:r>
          </w:p>
        </w:tc>
        <w:tc>
          <w:tcPr>
            <w:tcW w:type="dxa" w:w="4876"/>
          </w:tcPr>
          <w:p>
            <w:pPr>
              <w:spacing w:after="20" w:before="20"/>
            </w:pPr>
            <w:r/>
            <w:r>
              <w:rPr>
                <w:b w:val="0"/>
                <w:sz w:val="16"/>
              </w:rPr>
              <w:t>Workable surface, easy to cultivate.</w:t>
            </w:r>
          </w:p>
        </w:tc>
      </w:tr>
      <w:tr>
        <w:tc>
          <w:tcPr>
            <w:tcW w:type="dxa" w:w="1814"/>
            <w:shd w:val="clear" w:color="auto" w:fill="F2F5F9"/>
          </w:tcPr>
          <w:p>
            <w:pPr>
              <w:spacing w:after="20" w:before="20"/>
            </w:pPr>
            <w:r/>
            <w:r>
              <w:rPr>
                <w:b w:val="0"/>
                <w:sz w:val="16"/>
              </w:rPr>
              <w:t>Subsoil clay</w:t>
            </w:r>
          </w:p>
        </w:tc>
        <w:tc>
          <w:tcPr>
            <w:tcW w:type="dxa" w:w="2721"/>
            <w:shd w:val="clear" w:color="auto" w:fill="F2F5F9"/>
          </w:tcPr>
          <w:p>
            <w:pPr>
              <w:spacing w:after="20" w:before="20"/>
            </w:pPr>
            <w:r/>
            <w:r>
              <w:rPr>
                <w:b w:val="0"/>
                <w:sz w:val="16"/>
              </w:rPr>
              <w:t>40–55 % at 15–64 cm</w:t>
            </w:r>
          </w:p>
        </w:tc>
        <w:tc>
          <w:tcPr>
            <w:tcW w:type="dxa" w:w="4876"/>
            <w:shd w:val="clear" w:color="auto" w:fill="F2F5F9"/>
          </w:tcPr>
          <w:p>
            <w:pPr>
              <w:spacing w:after="20" w:before="20"/>
            </w:pPr>
            <w:r/>
            <w:r>
              <w:rPr>
                <w:b w:val="0"/>
                <w:sz w:val="16"/>
              </w:rPr>
              <w:t>Root restriction and perched moisture below the surface horizon.</w:t>
            </w:r>
          </w:p>
        </w:tc>
      </w:tr>
      <w:tr>
        <w:tc>
          <w:tcPr>
            <w:tcW w:type="dxa" w:w="1814"/>
          </w:tcPr>
          <w:p>
            <w:pPr>
              <w:spacing w:after="20" w:before="20"/>
            </w:pPr>
            <w:r/>
            <w:r>
              <w:rPr>
                <w:b w:val="0"/>
                <w:sz w:val="16"/>
              </w:rPr>
              <w:t>Available water capacity</w:t>
            </w:r>
          </w:p>
        </w:tc>
        <w:tc>
          <w:tcPr>
            <w:tcW w:type="dxa" w:w="2721"/>
          </w:tcPr>
          <w:p>
            <w:pPr>
              <w:spacing w:after="20" w:before="20"/>
            </w:pPr>
            <w:r/>
            <w:r>
              <w:rPr>
                <w:b w:val="0"/>
                <w:sz w:val="16"/>
              </w:rPr>
              <w:t>0.10–0.17 (low to moderate)</w:t>
            </w:r>
          </w:p>
        </w:tc>
        <w:tc>
          <w:tcPr>
            <w:tcW w:type="dxa" w:w="4876"/>
          </w:tcPr>
          <w:p>
            <w:pPr>
              <w:spacing w:after="20" w:before="20"/>
            </w:pPr>
            <w:r/>
            <w:r>
              <w:rPr>
                <w:b w:val="0"/>
                <w:sz w:val="16"/>
              </w:rPr>
              <w:t>Sandy surfaces drain fast; irrigation will be needed in summer.</w:t>
            </w:r>
          </w:p>
        </w:tc>
      </w:tr>
      <w:tr>
        <w:tc>
          <w:tcPr>
            <w:tcW w:type="dxa" w:w="1814"/>
            <w:shd w:val="clear" w:color="auto" w:fill="F2F5F9"/>
          </w:tcPr>
          <w:p>
            <w:pPr>
              <w:spacing w:after="20" w:before="20"/>
            </w:pPr>
            <w:r/>
            <w:r>
              <w:rPr>
                <w:b w:val="0"/>
                <w:sz w:val="16"/>
              </w:rPr>
              <w:t>Drainage</w:t>
            </w:r>
          </w:p>
        </w:tc>
        <w:tc>
          <w:tcPr>
            <w:tcW w:type="dxa" w:w="2721"/>
            <w:shd w:val="clear" w:color="auto" w:fill="F2F5F9"/>
          </w:tcPr>
          <w:p>
            <w:pPr>
              <w:spacing w:after="20" w:before="20"/>
            </w:pPr>
            <w:r/>
            <w:r>
              <w:rPr>
                <w:b w:val="0"/>
                <w:sz w:val="16"/>
              </w:rPr>
              <w:t>Well drained throughout</w:t>
            </w:r>
          </w:p>
        </w:tc>
        <w:tc>
          <w:tcPr>
            <w:tcW w:type="dxa" w:w="4876"/>
            <w:shd w:val="clear" w:color="auto" w:fill="F2F5F9"/>
          </w:tcPr>
          <w:p>
            <w:pPr>
              <w:spacing w:after="20" w:before="20"/>
            </w:pPr>
            <w:r/>
            <w:r>
              <w:rPr>
                <w:b w:val="0"/>
                <w:sz w:val="16"/>
              </w:rPr>
              <w:t>Good — no waterlogging risk on the upland.</w:t>
            </w:r>
          </w:p>
        </w:tc>
      </w:tr>
      <w:tr>
        <w:tc>
          <w:tcPr>
            <w:tcW w:type="dxa" w:w="1814"/>
          </w:tcPr>
          <w:p>
            <w:pPr>
              <w:spacing w:after="20" w:before="20"/>
            </w:pPr>
            <w:r/>
            <w:r>
              <w:rPr>
                <w:b w:val="0"/>
                <w:sz w:val="16"/>
              </w:rPr>
              <w:t>Erosion</w:t>
            </w:r>
          </w:p>
        </w:tc>
        <w:tc>
          <w:tcPr>
            <w:tcW w:type="dxa" w:w="2721"/>
          </w:tcPr>
          <w:p>
            <w:pPr>
              <w:spacing w:after="20" w:before="20"/>
            </w:pPr>
            <w:r/>
            <w:r>
              <w:rPr>
                <w:b w:val="0"/>
                <w:sz w:val="16"/>
              </w:rPr>
              <w:t>Severely eroded Pacolet on 10–25 % slopes</w:t>
            </w:r>
          </w:p>
        </w:tc>
        <w:tc>
          <w:tcPr>
            <w:tcW w:type="dxa" w:w="4876"/>
          </w:tcPr>
          <w:p>
            <w:pPr>
              <w:spacing w:after="20" w:before="20"/>
            </w:pPr>
            <w:r/>
            <w:r>
              <w:rPr>
                <w:b w:val="0"/>
                <w:sz w:val="16"/>
              </w:rPr>
              <w:t>Bare cultivated soil on slope will erode. Terrace, mulch or use beds.</w:t>
            </w:r>
          </w:p>
        </w:tc>
      </w:tr>
    </w:tbl>
    <w:p>
      <w:pPr>
        <w:spacing w:after="40"/>
      </w:pPr>
    </w:p>
    <w:p>
      <w:pPr>
        <w:spacing w:after="80" w:before="0"/>
      </w:pPr>
      <w:r>
        <w:rPr>
          <w:b w:val="0"/>
          <w:i w:val="0"/>
          <w:sz w:val="18"/>
        </w:rPr>
        <w:t>Raised beds are advisable, for three converging reasons: the native surface organic matter is under 1.3 %, the subsoil is clay-rich and root-restricting, and the ground slopes enough that level beds also serve as erosion control. Imported topsoil and compost should be budgeted — do not plan on amending the native profile alone to vegetable-garden standard in one season.</w:t>
      </w:r>
    </w:p>
    <w:p>
      <w:pPr>
        <w:spacing w:before="20" w:after="80"/>
      </w:pPr>
      <w:r>
        <w:rPr>
          <w:b/>
          <w:color w:val="1E6B3A"/>
          <w:sz w:val="15"/>
        </w:rPr>
        <w:t>[DOCUMENTED]</w:t>
      </w:r>
      <w:r>
        <w:rPr>
          <w:i/>
          <w:color w:val="555555"/>
          <w:sz w:val="15"/>
        </w:rPr>
        <w:t xml:space="preserve">  Soil chemistry from SSURGO. A laboratory soil test through UGA Extension is the necessary next step before any amendment is purchased.</w:t>
      </w:r>
    </w:p>
    <w:p>
      <w:pPr>
        <w:pStyle w:val="Heading2"/>
      </w:pPr>
      <w:r>
        <w:t>18. Gardening and farming — what will actually grow</w:t>
      </w:r>
    </w:p>
    <w:p>
      <w:pPr>
        <w:spacing w:after="80" w:before="0"/>
      </w:pPr>
      <w:r>
        <w:rPr>
          <w:b w:val="0"/>
          <w:i w:val="0"/>
          <w:sz w:val="18"/>
        </w:rPr>
        <w:t>Site climate, computed from ERA5 reanalysis at the exact coordinates for 1995–2024: annual mean 18.2 deg C, mean daily maximum 22.9 deg C, mean daily minimum 13.4 deg C, about 283 frost-free days, mean last spring frost 26 February and mean first autumn frost 5 December, annual rainfall 1,070 mm. This is a long, hot, humid growing season with a mild winter — consistent with USDA hardiness zone 8a/8b.</w:t>
      </w:r>
    </w:p>
    <w:p>
      <w:pPr>
        <w:spacing w:before="120" w:after="40"/>
        <w:jc w:val="center"/>
      </w:pPr>
      <w:r>
        <w:drawing>
          <wp:inline xmlns:a="http://schemas.openxmlformats.org/drawingml/2006/main" xmlns:pic="http://schemas.openxmlformats.org/drawingml/2006/picture">
            <wp:extent cx="5400000" cy="2872340"/>
            <wp:docPr id="6" name="Picture 6"/>
            <wp:cNvGraphicFramePr>
              <a:graphicFrameLocks noChangeAspect="1"/>
            </wp:cNvGraphicFramePr>
            <a:graphic>
              <a:graphicData uri="http://schemas.openxmlformats.org/drawingml/2006/picture">
                <pic:pic>
                  <pic:nvPicPr>
                    <pic:cNvPr id="0" name="fig8_climate.png"/>
                    <pic:cNvPicPr/>
                  </pic:nvPicPr>
                  <pic:blipFill>
                    <a:blip r:embed="rId15"/>
                    <a:stretch>
                      <a:fillRect/>
                    </a:stretch>
                  </pic:blipFill>
                  <pic:spPr>
                    <a:xfrm>
                      <a:off x="0" y="0"/>
                      <a:ext cx="5400000" cy="2872340"/>
                    </a:xfrm>
                    <a:prstGeom prst="rect"/>
                  </pic:spPr>
                </pic:pic>
              </a:graphicData>
            </a:graphic>
          </wp:inline>
        </w:drawing>
      </w:r>
    </w:p>
    <w:p>
      <w:pPr>
        <w:spacing w:after="160"/>
        <w:jc w:val="center"/>
      </w:pPr>
      <w:r>
        <w:rPr>
          <w:i/>
          <w:color w:val="555555"/>
          <w:sz w:val="15"/>
        </w:rPr>
        <w:t>Fig. 8 — Monthly temperature and precipitation at the site, ERA5 reanalysis 1995–2024.</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587"/>
            <w:shd w:val="clear" w:color="auto" w:fill="1F4E79"/>
          </w:tcPr>
          <w:p>
            <w:pPr>
              <w:spacing w:after="20" w:before="20"/>
            </w:pPr>
            <w:r/>
            <w:r>
              <w:rPr>
                <w:b/>
                <w:color w:val="FFFFFF"/>
                <w:sz w:val="15"/>
              </w:rPr>
              <w:t>Category</w:t>
            </w:r>
          </w:p>
        </w:tc>
        <w:tc>
          <w:tcPr>
            <w:tcW w:type="dxa" w:w="3061"/>
            <w:shd w:val="clear" w:color="auto" w:fill="1F4E79"/>
          </w:tcPr>
          <w:p>
            <w:pPr>
              <w:spacing w:after="20" w:before="20"/>
            </w:pPr>
            <w:r/>
            <w:r>
              <w:rPr>
                <w:b/>
                <w:color w:val="FFFFFF"/>
                <w:sz w:val="15"/>
              </w:rPr>
              <w:t>Suitable plants</w:t>
            </w:r>
          </w:p>
        </w:tc>
        <w:tc>
          <w:tcPr>
            <w:tcW w:type="dxa" w:w="1928"/>
            <w:shd w:val="clear" w:color="auto" w:fill="1F4E79"/>
          </w:tcPr>
          <w:p>
            <w:pPr>
              <w:spacing w:after="20" w:before="20"/>
            </w:pPr>
            <w:r/>
            <w:r>
              <w:rPr>
                <w:b/>
                <w:color w:val="FFFFFF"/>
                <w:sz w:val="15"/>
              </w:rPr>
              <w:t>Planting season</w:t>
            </w:r>
          </w:p>
        </w:tc>
        <w:tc>
          <w:tcPr>
            <w:tcW w:type="dxa" w:w="2835"/>
            <w:shd w:val="clear" w:color="auto" w:fill="1F4E79"/>
          </w:tcPr>
          <w:p>
            <w:pPr>
              <w:spacing w:after="20" w:before="20"/>
            </w:pPr>
            <w:r/>
            <w:r>
              <w:rPr>
                <w:b/>
                <w:color w:val="FFFFFF"/>
                <w:sz w:val="15"/>
              </w:rPr>
              <w:t>Soil requirements</w:t>
            </w:r>
          </w:p>
        </w:tc>
      </w:tr>
      <w:tr>
        <w:tc>
          <w:tcPr>
            <w:tcW w:type="dxa" w:w="1587"/>
          </w:tcPr>
          <w:p>
            <w:pPr>
              <w:spacing w:after="20" w:before="20"/>
            </w:pPr>
            <w:r/>
            <w:r>
              <w:rPr>
                <w:b/>
                <w:sz w:val="15"/>
              </w:rPr>
              <w:t>Vegetables (cool season)</w:t>
            </w:r>
          </w:p>
        </w:tc>
        <w:tc>
          <w:tcPr>
            <w:tcW w:type="dxa" w:w="3061"/>
          </w:tcPr>
          <w:p>
            <w:pPr>
              <w:spacing w:after="20" w:before="20"/>
            </w:pPr>
            <w:r/>
            <w:r>
              <w:rPr>
                <w:b w:val="0"/>
                <w:sz w:val="15"/>
              </w:rPr>
              <w:t>Collards, kale, cabbage, broccoli, turnip, mustard, spinach, lettuce, carrot, beet, English pea, onion, garlic</w:t>
            </w:r>
          </w:p>
        </w:tc>
        <w:tc>
          <w:tcPr>
            <w:tcW w:type="dxa" w:w="1928"/>
          </w:tcPr>
          <w:p>
            <w:pPr>
              <w:spacing w:after="20" w:before="20"/>
            </w:pPr>
            <w:r/>
            <w:r>
              <w:rPr>
                <w:b w:val="0"/>
                <w:sz w:val="15"/>
              </w:rPr>
              <w:t>Late Aug – Oct for autumn/winter; Feb – Mar for spring</w:t>
            </w:r>
          </w:p>
        </w:tc>
        <w:tc>
          <w:tcPr>
            <w:tcW w:type="dxa" w:w="2835"/>
          </w:tcPr>
          <w:p>
            <w:pPr>
              <w:spacing w:after="20" w:before="20"/>
            </w:pPr>
            <w:r/>
            <w:r>
              <w:rPr>
                <w:b w:val="0"/>
                <w:sz w:val="15"/>
              </w:rPr>
              <w:t>Lime to pH 6.0–6.5; 5 cm compost; raised beds on slope</w:t>
            </w:r>
          </w:p>
        </w:tc>
      </w:tr>
      <w:tr>
        <w:tc>
          <w:tcPr>
            <w:tcW w:type="dxa" w:w="1587"/>
            <w:shd w:val="clear" w:color="auto" w:fill="F2F5F9"/>
          </w:tcPr>
          <w:p>
            <w:pPr>
              <w:spacing w:after="20" w:before="20"/>
            </w:pPr>
            <w:r/>
            <w:r>
              <w:rPr>
                <w:b/>
                <w:sz w:val="15"/>
              </w:rPr>
              <w:t>Vegetables (warm season)</w:t>
            </w:r>
          </w:p>
        </w:tc>
        <w:tc>
          <w:tcPr>
            <w:tcW w:type="dxa" w:w="3061"/>
            <w:shd w:val="clear" w:color="auto" w:fill="F2F5F9"/>
          </w:tcPr>
          <w:p>
            <w:pPr>
              <w:spacing w:after="20" w:before="20"/>
            </w:pPr>
            <w:r/>
            <w:r>
              <w:rPr>
                <w:b w:val="0"/>
                <w:sz w:val="15"/>
              </w:rPr>
              <w:t>Tomato, pepper, aubergine, okra, sweet potato, field pea, pole/bush bean, squash, cucumber, melon, sweetcorn</w:t>
            </w:r>
          </w:p>
        </w:tc>
        <w:tc>
          <w:tcPr>
            <w:tcW w:type="dxa" w:w="1928"/>
            <w:shd w:val="clear" w:color="auto" w:fill="F2F5F9"/>
          </w:tcPr>
          <w:p>
            <w:pPr>
              <w:spacing w:after="20" w:before="20"/>
            </w:pPr>
            <w:r/>
            <w:r>
              <w:rPr>
                <w:b w:val="0"/>
                <w:sz w:val="15"/>
              </w:rPr>
              <w:t>After mid-Apr (soil above 15 deg C) through Jul</w:t>
            </w:r>
          </w:p>
        </w:tc>
        <w:tc>
          <w:tcPr>
            <w:tcW w:type="dxa" w:w="2835"/>
            <w:shd w:val="clear" w:color="auto" w:fill="F2F5F9"/>
          </w:tcPr>
          <w:p>
            <w:pPr>
              <w:spacing w:after="20" w:before="20"/>
            </w:pPr>
            <w:r/>
            <w:r>
              <w:rPr>
                <w:b w:val="0"/>
                <w:sz w:val="15"/>
              </w:rPr>
              <w:t>pH 6.0–6.8; heavy compost; mulch and irrigation essential in Jun–Aug</w:t>
            </w:r>
          </w:p>
        </w:tc>
      </w:tr>
      <w:tr>
        <w:tc>
          <w:tcPr>
            <w:tcW w:type="dxa" w:w="1587"/>
          </w:tcPr>
          <w:p>
            <w:pPr>
              <w:spacing w:after="20" w:before="20"/>
            </w:pPr>
            <w:r/>
            <w:r>
              <w:rPr>
                <w:b/>
                <w:sz w:val="15"/>
              </w:rPr>
              <w:t>Fruits</w:t>
            </w:r>
          </w:p>
        </w:tc>
        <w:tc>
          <w:tcPr>
            <w:tcW w:type="dxa" w:w="3061"/>
          </w:tcPr>
          <w:p>
            <w:pPr>
              <w:spacing w:after="20" w:before="20"/>
            </w:pPr>
            <w:r/>
            <w:r>
              <w:rPr>
                <w:b w:val="0"/>
                <w:sz w:val="15"/>
              </w:rPr>
              <w:t>Rabbiteye blueberry (thrives at native pH 4.8–5.3), muscadine grape, fig, blackberry, persimmon, pomegranate; peach and plum with spray programme</w:t>
            </w:r>
          </w:p>
        </w:tc>
        <w:tc>
          <w:tcPr>
            <w:tcW w:type="dxa" w:w="1928"/>
          </w:tcPr>
          <w:p>
            <w:pPr>
              <w:spacing w:after="20" w:before="20"/>
            </w:pPr>
            <w:r/>
            <w:r>
              <w:rPr>
                <w:b w:val="0"/>
                <w:sz w:val="15"/>
              </w:rPr>
              <w:t>Dormant planting Dec – Feb</w:t>
            </w:r>
          </w:p>
        </w:tc>
        <w:tc>
          <w:tcPr>
            <w:tcW w:type="dxa" w:w="2835"/>
          </w:tcPr>
          <w:p>
            <w:pPr>
              <w:spacing w:after="20" w:before="20"/>
            </w:pPr>
            <w:r/>
            <w:r>
              <w:rPr>
                <w:b w:val="0"/>
                <w:sz w:val="15"/>
              </w:rPr>
              <w:t>**Blueberry is the standout — it wants the acid soil you already have.** Others need liming.</w:t>
            </w:r>
          </w:p>
        </w:tc>
      </w:tr>
      <w:tr>
        <w:tc>
          <w:tcPr>
            <w:tcW w:type="dxa" w:w="1587"/>
            <w:shd w:val="clear" w:color="auto" w:fill="F2F5F9"/>
          </w:tcPr>
          <w:p>
            <w:pPr>
              <w:spacing w:after="20" w:before="20"/>
            </w:pPr>
            <w:r/>
            <w:r>
              <w:rPr>
                <w:b/>
                <w:sz w:val="15"/>
              </w:rPr>
              <w:t>Herbs</w:t>
            </w:r>
          </w:p>
        </w:tc>
        <w:tc>
          <w:tcPr>
            <w:tcW w:type="dxa" w:w="3061"/>
            <w:shd w:val="clear" w:color="auto" w:fill="F2F5F9"/>
          </w:tcPr>
          <w:p>
            <w:pPr>
              <w:spacing w:after="20" w:before="20"/>
            </w:pPr>
            <w:r/>
            <w:r>
              <w:rPr>
                <w:b w:val="0"/>
                <w:sz w:val="15"/>
              </w:rPr>
              <w:t>Rosemary, thyme, oregano, sage, basil (summer), parsley, chives, mint, lemongrass</w:t>
            </w:r>
          </w:p>
        </w:tc>
        <w:tc>
          <w:tcPr>
            <w:tcW w:type="dxa" w:w="1928"/>
            <w:shd w:val="clear" w:color="auto" w:fill="F2F5F9"/>
          </w:tcPr>
          <w:p>
            <w:pPr>
              <w:spacing w:after="20" w:before="20"/>
            </w:pPr>
            <w:r/>
            <w:r>
              <w:rPr>
                <w:b w:val="0"/>
                <w:sz w:val="15"/>
              </w:rPr>
              <w:t>Spring after frost; perennials in autumn</w:t>
            </w:r>
          </w:p>
        </w:tc>
        <w:tc>
          <w:tcPr>
            <w:tcW w:type="dxa" w:w="2835"/>
            <w:shd w:val="clear" w:color="auto" w:fill="F2F5F9"/>
          </w:tcPr>
          <w:p>
            <w:pPr>
              <w:spacing w:after="20" w:before="20"/>
            </w:pPr>
            <w:r/>
            <w:r>
              <w:rPr>
                <w:b w:val="0"/>
                <w:sz w:val="15"/>
              </w:rPr>
              <w:t>Sharp drainage; the sandy loam surface suits Mediterranean herbs well</w:t>
            </w:r>
          </w:p>
        </w:tc>
      </w:tr>
      <w:tr>
        <w:tc>
          <w:tcPr>
            <w:tcW w:type="dxa" w:w="1587"/>
          </w:tcPr>
          <w:p>
            <w:pPr>
              <w:spacing w:after="20" w:before="20"/>
            </w:pPr>
            <w:r/>
            <w:r>
              <w:rPr>
                <w:b/>
                <w:sz w:val="15"/>
              </w:rPr>
              <w:t>Trees (shade / ornamental / nut)</w:t>
            </w:r>
          </w:p>
        </w:tc>
        <w:tc>
          <w:tcPr>
            <w:tcW w:type="dxa" w:w="3061"/>
          </w:tcPr>
          <w:p>
            <w:pPr>
              <w:spacing w:after="20" w:before="20"/>
            </w:pPr>
            <w:r/>
            <w:r>
              <w:rPr>
                <w:b w:val="0"/>
                <w:sz w:val="15"/>
              </w:rPr>
              <w:t>Native oak, hickory, tulip poplar (already present), dogwood, redbud, crape myrtle, pecan, Chinese chestnut</w:t>
            </w:r>
          </w:p>
        </w:tc>
        <w:tc>
          <w:tcPr>
            <w:tcW w:type="dxa" w:w="1928"/>
          </w:tcPr>
          <w:p>
            <w:pPr>
              <w:spacing w:after="20" w:before="20"/>
            </w:pPr>
            <w:r/>
            <w:r>
              <w:rPr>
                <w:b w:val="0"/>
                <w:sz w:val="15"/>
              </w:rPr>
              <w:t>Dormant season Nov – Mar</w:t>
            </w:r>
          </w:p>
        </w:tc>
        <w:tc>
          <w:tcPr>
            <w:tcW w:type="dxa" w:w="2835"/>
          </w:tcPr>
          <w:p>
            <w:pPr>
              <w:spacing w:after="20" w:before="20"/>
            </w:pPr>
            <w:r/>
            <w:r>
              <w:rPr>
                <w:b w:val="0"/>
                <w:sz w:val="15"/>
              </w:rPr>
              <w:t>Tolerant of native acidity; preserve existing hardwoods for shade and erosion control</w:t>
            </w:r>
          </w:p>
        </w:tc>
      </w:tr>
      <w:tr>
        <w:tc>
          <w:tcPr>
            <w:tcW w:type="dxa" w:w="1587"/>
            <w:shd w:val="clear" w:color="auto" w:fill="F2F5F9"/>
          </w:tcPr>
          <w:p>
            <w:pPr>
              <w:spacing w:after="20" w:before="20"/>
            </w:pPr>
            <w:r/>
            <w:r>
              <w:rPr>
                <w:b/>
                <w:sz w:val="15"/>
              </w:rPr>
              <w:t>Not recommended</w:t>
            </w:r>
          </w:p>
        </w:tc>
        <w:tc>
          <w:tcPr>
            <w:tcW w:type="dxa" w:w="3061"/>
            <w:shd w:val="clear" w:color="auto" w:fill="F2F5F9"/>
          </w:tcPr>
          <w:p>
            <w:pPr>
              <w:spacing w:after="20" w:before="20"/>
            </w:pPr>
            <w:r/>
            <w:r>
              <w:rPr>
                <w:b w:val="0"/>
                <w:sz w:val="15"/>
              </w:rPr>
              <w:t>Apple and sweet cherry (insufficient winter chill, high disease pressure), most cool-climate brassica cultivars in summer</w:t>
            </w:r>
          </w:p>
        </w:tc>
        <w:tc>
          <w:tcPr>
            <w:tcW w:type="dxa" w:w="1928"/>
            <w:shd w:val="clear" w:color="auto" w:fill="F2F5F9"/>
          </w:tcPr>
          <w:p>
            <w:pPr>
              <w:spacing w:after="20" w:before="20"/>
            </w:pPr>
            <w:r/>
            <w:r>
              <w:rPr>
                <w:b w:val="0"/>
                <w:sz w:val="15"/>
              </w:rPr>
              <w:t>—</w:t>
            </w:r>
          </w:p>
        </w:tc>
        <w:tc>
          <w:tcPr>
            <w:tcW w:type="dxa" w:w="2835"/>
            <w:shd w:val="clear" w:color="auto" w:fill="F2F5F9"/>
          </w:tcPr>
          <w:p>
            <w:pPr>
              <w:spacing w:after="20" w:before="20"/>
            </w:pPr>
            <w:r/>
            <w:r>
              <w:rPr>
                <w:b w:val="0"/>
                <w:sz w:val="15"/>
              </w:rPr>
              <w:t>—</w:t>
            </w:r>
          </w:p>
        </w:tc>
      </w:tr>
    </w:tbl>
    <w:p>
      <w:pPr>
        <w:spacing w:after="40"/>
      </w:pPr>
    </w:p>
    <w:p>
      <w:pPr>
        <w:spacing w:after="80" w:before="0"/>
      </w:pPr>
      <w:r>
        <w:rPr>
          <w:b/>
          <w:i w:val="0"/>
          <w:sz w:val="18"/>
        </w:rPr>
        <w:t>Likely amendments, in priority order, based on the measured soil data:</w:t>
      </w:r>
    </w:p>
    <w:tbl>
      <w:tblPr>
        <w:tblStyle w:val="TableGrid"/>
        <w:tblW w:type="auto" w:w="0"/>
        <w:jc w:val="center"/>
        <w:tblLook w:firstColumn="1" w:firstRow="1" w:lastColumn="0" w:lastRow="0" w:noHBand="0" w:noVBand="1" w:val="04A0"/>
      </w:tblPr>
      <w:tblGrid>
        <w:gridCol w:w="3288"/>
        <w:gridCol w:w="3288"/>
        <w:gridCol w:w="3288"/>
      </w:tblGrid>
      <w:tr>
        <w:tc>
          <w:tcPr>
            <w:tcW w:type="dxa" w:w="1814"/>
            <w:shd w:val="clear" w:color="auto" w:fill="1F4E79"/>
          </w:tcPr>
          <w:p>
            <w:pPr>
              <w:spacing w:after="20" w:before="20"/>
            </w:pPr>
            <w:r/>
            <w:r>
              <w:rPr>
                <w:b/>
                <w:color w:val="FFFFFF"/>
                <w:sz w:val="16"/>
              </w:rPr>
              <w:t>Amendment</w:t>
            </w:r>
          </w:p>
        </w:tc>
        <w:tc>
          <w:tcPr>
            <w:tcW w:type="dxa" w:w="5329"/>
            <w:shd w:val="clear" w:color="auto" w:fill="1F4E79"/>
          </w:tcPr>
          <w:p>
            <w:pPr>
              <w:spacing w:after="20" w:before="20"/>
            </w:pPr>
            <w:r/>
            <w:r>
              <w:rPr>
                <w:b/>
                <w:color w:val="FFFFFF"/>
                <w:sz w:val="16"/>
              </w:rPr>
              <w:t>Why this site needs it</w:t>
            </w:r>
          </w:p>
        </w:tc>
        <w:tc>
          <w:tcPr>
            <w:tcW w:type="dxa" w:w="2268"/>
            <w:shd w:val="clear" w:color="auto" w:fill="1F4E79"/>
          </w:tcPr>
          <w:p>
            <w:pPr>
              <w:spacing w:after="20" w:before="20"/>
            </w:pPr>
            <w:r/>
            <w:r>
              <w:rPr>
                <w:b/>
                <w:color w:val="FFFFFF"/>
                <w:sz w:val="16"/>
              </w:rPr>
              <w:t>Priority</w:t>
            </w:r>
          </w:p>
        </w:tc>
      </w:tr>
      <w:tr>
        <w:tc>
          <w:tcPr>
            <w:tcW w:type="dxa" w:w="1814"/>
          </w:tcPr>
          <w:p>
            <w:pPr>
              <w:spacing w:after="20" w:before="20"/>
            </w:pPr>
            <w:r/>
            <w:r>
              <w:rPr>
                <w:b/>
                <w:sz w:val="16"/>
              </w:rPr>
              <w:t>Agricultural lime</w:t>
            </w:r>
          </w:p>
        </w:tc>
        <w:tc>
          <w:tcPr>
            <w:tcW w:type="dxa" w:w="5329"/>
          </w:tcPr>
          <w:p>
            <w:pPr>
              <w:spacing w:after="20" w:before="20"/>
            </w:pPr>
            <w:r/>
            <w:r>
              <w:rPr>
                <w:b w:val="0"/>
                <w:sz w:val="16"/>
              </w:rPr>
              <w:t>Surface pH 4.8–5.5 against a 6.0–6.8 target for most vegetables. Dolomitic lime also supplies magnesium.</w:t>
            </w:r>
          </w:p>
        </w:tc>
        <w:tc>
          <w:tcPr>
            <w:tcW w:type="dxa" w:w="2268"/>
          </w:tcPr>
          <w:p>
            <w:pPr>
              <w:spacing w:after="20" w:before="20"/>
            </w:pPr>
            <w:r/>
            <w:r>
              <w:rPr>
                <w:b w:val="0"/>
                <w:sz w:val="16"/>
              </w:rPr>
              <w:t>**Highest** — but rate MUST come from a soil test</w:t>
            </w:r>
          </w:p>
        </w:tc>
      </w:tr>
      <w:tr>
        <w:tc>
          <w:tcPr>
            <w:tcW w:type="dxa" w:w="1814"/>
            <w:shd w:val="clear" w:color="auto" w:fill="F2F5F9"/>
          </w:tcPr>
          <w:p>
            <w:pPr>
              <w:spacing w:after="20" w:before="20"/>
            </w:pPr>
            <w:r/>
            <w:r>
              <w:rPr>
                <w:b/>
                <w:sz w:val="16"/>
              </w:rPr>
              <w:t>Compost / organic matter</w:t>
            </w:r>
          </w:p>
        </w:tc>
        <w:tc>
          <w:tcPr>
            <w:tcW w:type="dxa" w:w="5329"/>
            <w:shd w:val="clear" w:color="auto" w:fill="F2F5F9"/>
          </w:tcPr>
          <w:p>
            <w:pPr>
              <w:spacing w:after="20" w:before="20"/>
            </w:pPr>
            <w:r/>
            <w:r>
              <w:rPr>
                <w:b w:val="0"/>
                <w:sz w:val="16"/>
              </w:rPr>
              <w:t>Surface OM is 0.50–1.25 % against a 3–5 % target.</w:t>
            </w:r>
          </w:p>
        </w:tc>
        <w:tc>
          <w:tcPr>
            <w:tcW w:type="dxa" w:w="2268"/>
            <w:shd w:val="clear" w:color="auto" w:fill="F2F5F9"/>
          </w:tcPr>
          <w:p>
            <w:pPr>
              <w:spacing w:after="20" w:before="20"/>
            </w:pPr>
            <w:r/>
            <w:r>
              <w:rPr>
                <w:b/>
                <w:sz w:val="16"/>
              </w:rPr>
              <w:t>Highest</w:t>
            </w:r>
          </w:p>
        </w:tc>
      </w:tr>
      <w:tr>
        <w:tc>
          <w:tcPr>
            <w:tcW w:type="dxa" w:w="1814"/>
          </w:tcPr>
          <w:p>
            <w:pPr>
              <w:spacing w:after="20" w:before="20"/>
            </w:pPr>
            <w:r/>
            <w:r>
              <w:rPr>
                <w:b w:val="0"/>
                <w:sz w:val="16"/>
              </w:rPr>
              <w:t>Imported topsoil</w:t>
            </w:r>
          </w:p>
        </w:tc>
        <w:tc>
          <w:tcPr>
            <w:tcW w:type="dxa" w:w="5329"/>
          </w:tcPr>
          <w:p>
            <w:pPr>
              <w:spacing w:after="20" w:before="20"/>
            </w:pPr>
            <w:r/>
            <w:r>
              <w:rPr>
                <w:b w:val="0"/>
                <w:sz w:val="16"/>
              </w:rPr>
              <w:t>For raised beds, given the thin, eroded, low-OM native surface</w:t>
            </w:r>
          </w:p>
        </w:tc>
        <w:tc>
          <w:tcPr>
            <w:tcW w:type="dxa" w:w="2268"/>
          </w:tcPr>
          <w:p>
            <w:pPr>
              <w:spacing w:after="20" w:before="20"/>
            </w:pPr>
            <w:r/>
            <w:r>
              <w:rPr>
                <w:b w:val="0"/>
                <w:sz w:val="16"/>
              </w:rPr>
              <w:t>High</w:t>
            </w:r>
          </w:p>
        </w:tc>
      </w:tr>
      <w:tr>
        <w:tc>
          <w:tcPr>
            <w:tcW w:type="dxa" w:w="1814"/>
            <w:shd w:val="clear" w:color="auto" w:fill="F2F5F9"/>
          </w:tcPr>
          <w:p>
            <w:pPr>
              <w:spacing w:after="20" w:before="20"/>
            </w:pPr>
            <w:r/>
            <w:r>
              <w:rPr>
                <w:b w:val="0"/>
                <w:sz w:val="16"/>
              </w:rPr>
              <w:t>Mulch</w:t>
            </w:r>
          </w:p>
        </w:tc>
        <w:tc>
          <w:tcPr>
            <w:tcW w:type="dxa" w:w="5329"/>
            <w:shd w:val="clear" w:color="auto" w:fill="F2F5F9"/>
          </w:tcPr>
          <w:p>
            <w:pPr>
              <w:spacing w:after="20" w:before="20"/>
            </w:pPr>
            <w:r/>
            <w:r>
              <w:rPr>
                <w:b w:val="0"/>
                <w:sz w:val="16"/>
              </w:rPr>
              <w:t>Erosion control on 10–25 % slopes, plus summer moisture retention (52 days/yr above 32 deg C)</w:t>
            </w:r>
          </w:p>
        </w:tc>
        <w:tc>
          <w:tcPr>
            <w:tcW w:type="dxa" w:w="2268"/>
            <w:shd w:val="clear" w:color="auto" w:fill="F2F5F9"/>
          </w:tcPr>
          <w:p>
            <w:pPr>
              <w:spacing w:after="20" w:before="20"/>
            </w:pPr>
            <w:r/>
            <w:r>
              <w:rPr>
                <w:b w:val="0"/>
                <w:sz w:val="16"/>
              </w:rPr>
              <w:t>High</w:t>
            </w:r>
          </w:p>
        </w:tc>
      </w:tr>
      <w:tr>
        <w:tc>
          <w:tcPr>
            <w:tcW w:type="dxa" w:w="1814"/>
          </w:tcPr>
          <w:p>
            <w:pPr>
              <w:spacing w:after="20" w:before="20"/>
            </w:pPr>
            <w:r/>
            <w:r>
              <w:rPr>
                <w:b w:val="0"/>
                <w:sz w:val="16"/>
              </w:rPr>
              <w:t>Balanced fertiliser</w:t>
            </w:r>
          </w:p>
        </w:tc>
        <w:tc>
          <w:tcPr>
            <w:tcW w:type="dxa" w:w="5329"/>
          </w:tcPr>
          <w:p>
            <w:pPr>
              <w:spacing w:after="20" w:before="20"/>
            </w:pPr>
            <w:r/>
            <w:r>
              <w:rPr>
                <w:b w:val="0"/>
                <w:sz w:val="16"/>
              </w:rPr>
              <w:t>Low native OM means low nutrient reserve and low CEC</w:t>
            </w:r>
          </w:p>
        </w:tc>
        <w:tc>
          <w:tcPr>
            <w:tcW w:type="dxa" w:w="2268"/>
          </w:tcPr>
          <w:p>
            <w:pPr>
              <w:spacing w:after="20" w:before="20"/>
            </w:pPr>
            <w:r/>
            <w:r>
              <w:rPr>
                <w:b w:val="0"/>
                <w:sz w:val="16"/>
              </w:rPr>
              <w:t>Moderate</w:t>
            </w:r>
          </w:p>
        </w:tc>
      </w:tr>
      <w:tr>
        <w:tc>
          <w:tcPr>
            <w:tcW w:type="dxa" w:w="1814"/>
            <w:shd w:val="clear" w:color="auto" w:fill="F2F5F9"/>
          </w:tcPr>
          <w:p>
            <w:pPr>
              <w:spacing w:after="20" w:before="20"/>
            </w:pPr>
            <w:r/>
            <w:r>
              <w:rPr>
                <w:b w:val="0"/>
                <w:sz w:val="16"/>
              </w:rPr>
              <w:t>Sulphur</w:t>
            </w:r>
          </w:p>
        </w:tc>
        <w:tc>
          <w:tcPr>
            <w:tcW w:type="dxa" w:w="5329"/>
            <w:shd w:val="clear" w:color="auto" w:fill="F2F5F9"/>
          </w:tcPr>
          <w:p>
            <w:pPr>
              <w:spacing w:after="20" w:before="20"/>
            </w:pPr>
            <w:r/>
            <w:r>
              <w:rPr>
                <w:b w:val="0"/>
                <w:sz w:val="16"/>
              </w:rPr>
              <w:t>**Only** for blueberry beds, to hold pH down near 4.5–5.5. Do not apply site-wide — the soil is already too acidic.</w:t>
            </w:r>
          </w:p>
        </w:tc>
        <w:tc>
          <w:tcPr>
            <w:tcW w:type="dxa" w:w="2268"/>
            <w:shd w:val="clear" w:color="auto" w:fill="F2F5F9"/>
          </w:tcPr>
          <w:p>
            <w:pPr>
              <w:spacing w:after="20" w:before="20"/>
            </w:pPr>
            <w:r/>
            <w:r>
              <w:rPr>
                <w:b w:val="0"/>
                <w:sz w:val="16"/>
              </w:rPr>
              <w:t>Selective / low</w:t>
            </w:r>
          </w:p>
        </w:tc>
      </w:tr>
    </w:tbl>
    <w:p>
      <w:pPr>
        <w:spacing w:after="40"/>
      </w:pPr>
    </w:p>
    <w:p>
      <w:pPr>
        <w:spacing w:after="80" w:before="0"/>
      </w:pPr>
      <w:r>
        <w:rPr>
          <w:b w:val="0"/>
          <w:i/>
          <w:sz w:val="18"/>
        </w:rPr>
        <w:t>Do not buy amendments on the strength of this table alone. The lime requirement in particular depends on buffer pH, which only a laboratory test can supply. UGA Extension soil testing is inexpensive and is the correct first expenditure.</w:t>
      </w:r>
    </w:p>
    <w:p>
      <w:pPr>
        <w:spacing w:before="20" w:after="80"/>
      </w:pPr>
      <w:r>
        <w:rPr>
          <w:b/>
          <w:color w:val="B46B00"/>
          <w:sz w:val="15"/>
        </w:rPr>
        <w:t>[MODEL-DERIVED ESTIMATE]</w:t>
      </w:r>
      <w:r>
        <w:rPr>
          <w:i/>
          <w:color w:val="555555"/>
          <w:sz w:val="15"/>
        </w:rPr>
        <w:t xml:space="preserve">  Plant lists are inferred from measured site climate and soil chemistry, cross-checked against standard Georgia Piedmont practice. Confirm with UGA Extension for Lincoln County.</w:t>
      </w:r>
    </w:p>
    <w:p>
      <w:r>
        <w:br w:type="page"/>
      </w:r>
    </w:p>
    <w:p>
      <w:pPr>
        <w:pStyle w:val="Heading1"/>
      </w:pPr>
      <w:r>
        <w:t>E. Utilities &amp; Infrastructure</w:t>
      </w: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UTILITY SECTION HEALTH WARNING</w:t>
            </w:r>
          </w:p>
          <w:p>
            <w:pPr>
              <w:spacing w:after="40"/>
            </w:pPr>
            <w:r>
              <w:rPr>
                <w:sz w:val="17"/>
              </w:rPr>
              <w:t>Every utility statement below rests on marketing copy for OTHER lots in Stillwater Coves, not on a utility-company confirmation for Lot 130/131. Note also that several listing descriptions in this ZIP code describe POINTE SHORES, a different community with different infrastructure ("underground fiber, power, county garbage and water"). Do not transfer Pointe Shores amenities to Stillwater Coves. Written availability letters from each provider, addressed to the specific parcel, are the only reliable evidence.</w:t>
            </w:r>
          </w:p>
        </w:tc>
      </w:tr>
    </w:tbl>
    <w:p>
      <w:pPr>
        <w:spacing w:after="60"/>
      </w:pPr>
    </w:p>
    <w:p>
      <w:pPr>
        <w:pStyle w:val="Heading2"/>
      </w:pPr>
      <w:r>
        <w:t>19. Water</w:t>
      </w:r>
    </w:p>
    <w:tbl>
      <w:tblPr>
        <w:tblStyle w:val="TableGrid"/>
        <w:tblW w:type="auto" w:w="0"/>
        <w:jc w:val="center"/>
        <w:tblLook w:firstColumn="1" w:firstRow="1" w:lastColumn="0" w:lastRow="0" w:noHBand="0" w:noVBand="1" w:val="04A0"/>
      </w:tblPr>
      <w:tblGrid>
        <w:gridCol w:w="3288"/>
        <w:gridCol w:w="3288"/>
        <w:gridCol w:w="3288"/>
      </w:tblGrid>
      <w:tr>
        <w:tc>
          <w:tcPr>
            <w:tcW w:type="dxa" w:w="2268"/>
            <w:shd w:val="clear" w:color="auto" w:fill="1F4E79"/>
          </w:tcPr>
          <w:p>
            <w:pPr>
              <w:spacing w:after="20" w:before="20"/>
            </w:pPr>
            <w:r/>
            <w:r>
              <w:rPr>
                <w:b/>
                <w:color w:val="FFFFFF"/>
                <w:sz w:val="16"/>
              </w:rPr>
              <w:t>Question</w:t>
            </w:r>
          </w:p>
        </w:tc>
        <w:tc>
          <w:tcPr>
            <w:tcW w:type="dxa" w:w="6576"/>
            <w:shd w:val="clear" w:color="auto" w:fill="1F4E79"/>
          </w:tcPr>
          <w:p>
            <w:pPr>
              <w:spacing w:after="20" w:before="20"/>
            </w:pPr>
            <w:r/>
            <w:r>
              <w:rPr>
                <w:b/>
                <w:color w:val="FFFFFF"/>
                <w:sz w:val="16"/>
              </w:rPr>
              <w:t>Finding</w:t>
            </w:r>
          </w:p>
        </w:tc>
        <w:tc>
          <w:tcPr>
            <w:tcW w:type="dxa" w:w="567"/>
            <w:shd w:val="clear" w:color="auto" w:fill="1F4E79"/>
          </w:tcPr>
          <w:p>
            <w:pPr>
              <w:spacing w:after="20" w:before="20"/>
            </w:pPr>
            <w:r/>
            <w:r>
              <w:rPr>
                <w:b/>
                <w:color w:val="FFFFFF"/>
                <w:sz w:val="16"/>
              </w:rPr>
              <w:t>Tier</w:t>
            </w:r>
          </w:p>
        </w:tc>
      </w:tr>
      <w:tr>
        <w:tc>
          <w:tcPr>
            <w:tcW w:type="dxa" w:w="2268"/>
          </w:tcPr>
          <w:p>
            <w:pPr>
              <w:spacing w:after="20" w:before="20"/>
            </w:pPr>
            <w:r/>
            <w:r>
              <w:rPr>
                <w:b w:val="0"/>
                <w:sz w:val="16"/>
              </w:rPr>
              <w:t>Municipal water</w:t>
            </w:r>
          </w:p>
        </w:tc>
        <w:tc>
          <w:tcPr>
            <w:tcW w:type="dxa" w:w="6576"/>
          </w:tcPr>
          <w:p>
            <w:pPr>
              <w:spacing w:after="20" w:before="20"/>
            </w:pPr>
            <w:r/>
            <w:r>
              <w:rPr>
                <w:b w:val="0"/>
                <w:sz w:val="16"/>
              </w:rPr>
              <w:t>Not applicable — outside Lincolnton city limits</w:t>
            </w:r>
          </w:p>
        </w:tc>
        <w:tc>
          <w:tcPr>
            <w:tcW w:type="dxa" w:w="567"/>
          </w:tcPr>
          <w:p>
            <w:pPr>
              <w:spacing w:after="20" w:before="20"/>
            </w:pPr>
            <w:r/>
            <w:r>
              <w:rPr>
                <w:b w:val="0"/>
                <w:sz w:val="16"/>
              </w:rPr>
              <w:t>D</w:t>
            </w:r>
          </w:p>
        </w:tc>
      </w:tr>
      <w:tr>
        <w:tc>
          <w:tcPr>
            <w:tcW w:type="dxa" w:w="2268"/>
            <w:shd w:val="clear" w:color="auto" w:fill="F2F5F9"/>
          </w:tcPr>
          <w:p>
            <w:pPr>
              <w:spacing w:after="20" w:before="20"/>
            </w:pPr>
            <w:r/>
            <w:r>
              <w:rPr>
                <w:b w:val="0"/>
                <w:sz w:val="16"/>
              </w:rPr>
              <w:t>Community / public water</w:t>
            </w:r>
          </w:p>
        </w:tc>
        <w:tc>
          <w:tcPr>
            <w:tcW w:type="dxa" w:w="6576"/>
            <w:shd w:val="clear" w:color="auto" w:fill="F2F5F9"/>
          </w:tcPr>
          <w:p>
            <w:pPr>
              <w:spacing w:after="20" w:before="20"/>
            </w:pPr>
            <w:r/>
            <w:r>
              <w:rPr>
                <w:b w:val="0"/>
                <w:sz w:val="16"/>
              </w:rPr>
              <w:t>**Reported available.** Stillwater Coves marketing for other lots describes the community as having "paved roads, underground utilities, public water".</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Private well</w:t>
            </w:r>
          </w:p>
        </w:tc>
        <w:tc>
          <w:tcPr>
            <w:tcW w:type="dxa" w:w="6576"/>
          </w:tcPr>
          <w:p>
            <w:pPr>
              <w:spacing w:after="20" w:before="20"/>
            </w:pPr>
            <w:r/>
            <w:r>
              <w:rPr>
                <w:b w:val="0"/>
                <w:sz w:val="16"/>
              </w:rPr>
              <w:t>Would be the fallback if public water does not actually reach the lot</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Connection at the road</w:t>
            </w:r>
          </w:p>
        </w:tc>
        <w:tc>
          <w:tcPr>
            <w:tcW w:type="dxa" w:w="6576"/>
            <w:shd w:val="clear" w:color="auto" w:fill="F2F5F9"/>
          </w:tcPr>
          <w:p>
            <w:pPr>
              <w:spacing w:after="20" w:before="20"/>
            </w:pPr>
            <w:r/>
            <w:r>
              <w:rPr>
                <w:b w:val="0"/>
                <w:sz w:val="16"/>
              </w:rPr>
              <w:t>Unconfirmed for this parcel</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Connection requirements / cost</w:t>
            </w:r>
          </w:p>
        </w:tc>
        <w:tc>
          <w:tcPr>
            <w:tcW w:type="dxa" w:w="6576"/>
          </w:tcPr>
          <w:p>
            <w:pPr>
              <w:spacing w:after="20" w:before="20"/>
            </w:pPr>
            <w:r/>
            <w:r>
              <w:rPr>
                <w:b w:val="0"/>
                <w:sz w:val="16"/>
              </w:rPr>
              <w:t>Not published — tap fee, meter fee and service-line cost must be quoted by the water provider</w:t>
            </w:r>
          </w:p>
        </w:tc>
        <w:tc>
          <w:tcPr>
            <w:tcW w:type="dxa" w:w="567"/>
          </w:tcPr>
          <w:p>
            <w:pPr>
              <w:spacing w:after="20" w:before="20"/>
            </w:pPr>
            <w:r/>
            <w:r>
              <w:rPr>
                <w:b w:val="0"/>
                <w:sz w:val="16"/>
              </w:rPr>
              <w:t>V</w:t>
            </w:r>
          </w:p>
        </w:tc>
      </w:tr>
    </w:tbl>
    <w:p>
      <w:pPr>
        <w:spacing w:after="40"/>
      </w:pPr>
    </w:p>
    <w:p>
      <w:pPr>
        <w:spacing w:after="80" w:before="0"/>
      </w:pPr>
      <w:r>
        <w:rPr>
          <w:b w:val="0"/>
          <w:i w:val="0"/>
          <w:sz w:val="18"/>
        </w:rPr>
        <w:t>If a well were required instead, the measured geology gives a reasonable expectation: this is Georgia Piedmont terrain with residual kaolinitic soils over saprolite and crystalline bedrock (the Zion unit records indurated lithic bedrock at 77 cm, confirming shallow rock in places). Piedmont domestic wells typically draw from fractured-rock aquifers, and yield depends on intersecting fracture zones rather than on a continuous water table. Shallow saprolite water is more vulnerable to seasonal decline and to contamination from a nearby septic field; deeper fractured-bedrock completion generally gives better water quality and more reliable yield. A local licensed well driller should set the target depth — this is not determinable from desk data.</w:t>
      </w:r>
    </w:p>
    <w:p>
      <w:pPr>
        <w:spacing w:before="20" w:after="80"/>
      </w:pPr>
      <w:r>
        <w:rPr>
          <w:b/>
          <w:color w:val="C01F2B"/>
          <w:sz w:val="15"/>
        </w:rPr>
        <w:t>[REQUIRES PROFESSIONAL / OFFICIAL VERIFICATION]</w:t>
      </w:r>
      <w:r>
        <w:rPr>
          <w:i/>
          <w:color w:val="555555"/>
          <w:sz w:val="15"/>
        </w:rPr>
        <w:t xml:space="preserve">  Well depth and yield require a licensed driller and, ideally, neighbouring well logs from the Georgia EPD well-log database.</w:t>
      </w:r>
    </w:p>
    <w:p>
      <w:pPr>
        <w:pStyle w:val="Heading2"/>
      </w:pPr>
      <w:r>
        <w:t>20. Sewer</w:t>
      </w:r>
    </w:p>
    <w:tbl>
      <w:tblPr>
        <w:tblStyle w:val="TableGrid"/>
        <w:tblW w:type="auto" w:w="0"/>
        <w:jc w:val="center"/>
        <w:tblLook w:firstColumn="1" w:firstRow="1" w:lastColumn="0" w:lastRow="0" w:noHBand="0" w:noVBand="1" w:val="04A0"/>
      </w:tblPr>
      <w:tblGrid>
        <w:gridCol w:w="4932"/>
        <w:gridCol w:w="4932"/>
      </w:tblGrid>
      <w:tr>
        <w:tc>
          <w:tcPr>
            <w:tcW w:type="dxa" w:w="2835"/>
            <w:shd w:val="clear" w:color="auto" w:fill="1F4E79"/>
          </w:tcPr>
          <w:p>
            <w:pPr>
              <w:spacing w:after="20" w:before="20"/>
            </w:pPr>
            <w:r/>
            <w:r>
              <w:rPr>
                <w:b/>
                <w:color w:val="FFFFFF"/>
                <w:sz w:val="16"/>
              </w:rPr>
              <w:t>Question</w:t>
            </w:r>
          </w:p>
        </w:tc>
        <w:tc>
          <w:tcPr>
            <w:tcW w:type="dxa" w:w="6576"/>
            <w:shd w:val="clear" w:color="auto" w:fill="1F4E79"/>
          </w:tcPr>
          <w:p>
            <w:pPr>
              <w:spacing w:after="20" w:before="20"/>
            </w:pPr>
            <w:r/>
            <w:r>
              <w:rPr>
                <w:b/>
                <w:color w:val="FFFFFF"/>
                <w:sz w:val="16"/>
              </w:rPr>
              <w:t>Finding</w:t>
            </w:r>
          </w:p>
        </w:tc>
      </w:tr>
      <w:tr>
        <w:tc>
          <w:tcPr>
            <w:tcW w:type="dxa" w:w="2835"/>
          </w:tcPr>
          <w:p>
            <w:pPr>
              <w:spacing w:after="20" w:before="20"/>
            </w:pPr>
            <w:r/>
            <w:r>
              <w:rPr>
                <w:b w:val="0"/>
                <w:sz w:val="16"/>
              </w:rPr>
              <w:t>Municipal sewer availability</w:t>
            </w:r>
          </w:p>
        </w:tc>
        <w:tc>
          <w:tcPr>
            <w:tcW w:type="dxa" w:w="6576"/>
          </w:tcPr>
          <w:p>
            <w:pPr>
              <w:spacing w:after="20" w:before="20"/>
            </w:pPr>
            <w:r/>
            <w:r>
              <w:rPr>
                <w:b w:val="0"/>
                <w:sz w:val="16"/>
              </w:rPr>
              <w:t>**None.** No public sewer serves this area.</w:t>
            </w:r>
          </w:p>
        </w:tc>
      </w:tr>
      <w:tr>
        <w:tc>
          <w:tcPr>
            <w:tcW w:type="dxa" w:w="2835"/>
            <w:shd w:val="clear" w:color="auto" w:fill="F2F5F9"/>
          </w:tcPr>
          <w:p>
            <w:pPr>
              <w:spacing w:after="20" w:before="20"/>
            </w:pPr>
            <w:r/>
            <w:r>
              <w:rPr>
                <w:b w:val="0"/>
                <w:sz w:val="16"/>
              </w:rPr>
              <w:t>Sewer connection</w:t>
            </w:r>
          </w:p>
        </w:tc>
        <w:tc>
          <w:tcPr>
            <w:tcW w:type="dxa" w:w="6576"/>
            <w:shd w:val="clear" w:color="auto" w:fill="F2F5F9"/>
          </w:tcPr>
          <w:p>
            <w:pPr>
              <w:spacing w:after="20" w:before="20"/>
            </w:pPr>
            <w:r/>
            <w:r>
              <w:rPr>
                <w:b w:val="0"/>
                <w:sz w:val="16"/>
              </w:rPr>
              <w:t>Not possible</w:t>
            </w:r>
          </w:p>
        </w:tc>
      </w:tr>
      <w:tr>
        <w:tc>
          <w:tcPr>
            <w:tcW w:type="dxa" w:w="2835"/>
          </w:tcPr>
          <w:p>
            <w:pPr>
              <w:spacing w:after="20" w:before="20"/>
            </w:pPr>
            <w:r/>
            <w:r>
              <w:rPr>
                <w:b w:val="0"/>
                <w:sz w:val="16"/>
              </w:rPr>
              <w:t>Septic requirement</w:t>
            </w:r>
          </w:p>
        </w:tc>
        <w:tc>
          <w:tcPr>
            <w:tcW w:type="dxa" w:w="6576"/>
          </w:tcPr>
          <w:p>
            <w:pPr>
              <w:spacing w:after="20" w:before="20"/>
            </w:pPr>
            <w:r/>
            <w:r>
              <w:rPr>
                <w:b w:val="0"/>
                <w:sz w:val="16"/>
              </w:rPr>
              <w:t>**Mandatory** — see Section D.16</w:t>
            </w:r>
          </w:p>
        </w:tc>
      </w:tr>
      <w:tr>
        <w:tc>
          <w:tcPr>
            <w:tcW w:type="dxa" w:w="2835"/>
            <w:shd w:val="clear" w:color="auto" w:fill="F2F5F9"/>
          </w:tcPr>
          <w:p>
            <w:pPr>
              <w:spacing w:after="20" w:before="20"/>
            </w:pPr>
            <w:r/>
            <w:r>
              <w:rPr>
                <w:b w:val="0"/>
                <w:sz w:val="16"/>
              </w:rPr>
              <w:t>Distance to nearest sewer</w:t>
            </w:r>
          </w:p>
        </w:tc>
        <w:tc>
          <w:tcPr>
            <w:tcW w:type="dxa" w:w="6576"/>
            <w:shd w:val="clear" w:color="auto" w:fill="F2F5F9"/>
          </w:tcPr>
          <w:p>
            <w:pPr>
              <w:spacing w:after="20" w:before="20"/>
            </w:pPr>
            <w:r/>
            <w:r>
              <w:rPr>
                <w:b w:val="0"/>
                <w:sz w:val="16"/>
              </w:rPr>
              <w:t>Lincolnton, approximately 17 miles by road. Extension is not a realistic option.</w:t>
            </w:r>
          </w:p>
        </w:tc>
      </w:tr>
    </w:tbl>
    <w:p>
      <w:pPr>
        <w:spacing w:after="40"/>
      </w:pPr>
    </w:p>
    <w:p>
      <w:pPr>
        <w:spacing w:before="20" w:after="80"/>
      </w:pPr>
      <w:r>
        <w:rPr>
          <w:b/>
          <w:color w:val="1E6B3A"/>
          <w:sz w:val="15"/>
        </w:rPr>
        <w:t>[DOCUMENTED]</w:t>
      </w:r>
      <w:r>
        <w:rPr>
          <w:i/>
          <w:color w:val="555555"/>
          <w:sz w:val="15"/>
        </w:rPr>
        <w:t xml:space="preserve">  Confirmed by the absence of any sewer provider and by listing descriptions.</w:t>
      </w:r>
    </w:p>
    <w:p>
      <w:pPr>
        <w:pStyle w:val="Heading2"/>
      </w:pPr>
      <w:r>
        <w:t>21. Electricity</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Question</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Electric provider</w:t>
            </w:r>
          </w:p>
        </w:tc>
        <w:tc>
          <w:tcPr>
            <w:tcW w:type="dxa" w:w="6917"/>
          </w:tcPr>
          <w:p>
            <w:pPr>
              <w:spacing w:after="20" w:before="20"/>
            </w:pPr>
            <w:r/>
            <w:r>
              <w:rPr>
                <w:b/>
                <w:sz w:val="16"/>
              </w:rPr>
              <w:t>Two serve Lincoln County: Rayle EMC and Georgia Power.** The county's economic-development page states that which provider applies depends on where the property sits. **The provider for this parcel is not established.</w:t>
            </w:r>
          </w:p>
        </w:tc>
      </w:tr>
      <w:tr>
        <w:tc>
          <w:tcPr>
            <w:tcW w:type="dxa" w:w="2494"/>
            <w:shd w:val="clear" w:color="auto" w:fill="F2F5F9"/>
          </w:tcPr>
          <w:p>
            <w:pPr>
              <w:spacing w:after="20" w:before="20"/>
            </w:pPr>
            <w:r/>
            <w:r>
              <w:rPr>
                <w:b w:val="0"/>
                <w:sz w:val="16"/>
              </w:rPr>
              <w:t>Market structure</w:t>
            </w:r>
          </w:p>
        </w:tc>
        <w:tc>
          <w:tcPr>
            <w:tcW w:type="dxa" w:w="6917"/>
            <w:shd w:val="clear" w:color="auto" w:fill="F2F5F9"/>
          </w:tcPr>
          <w:p>
            <w:pPr>
              <w:spacing w:after="20" w:before="20"/>
            </w:pPr>
            <w:r/>
            <w:r>
              <w:rPr>
                <w:b w:val="0"/>
                <w:sz w:val="16"/>
              </w:rPr>
              <w:t>Georgia is a regulated market — the provider is fixed by address under the 1973 Territorial Service Act. There is no supplier choice.</w:t>
            </w:r>
          </w:p>
        </w:tc>
      </w:tr>
      <w:tr>
        <w:tc>
          <w:tcPr>
            <w:tcW w:type="dxa" w:w="2494"/>
          </w:tcPr>
          <w:p>
            <w:pPr>
              <w:spacing w:after="20" w:before="20"/>
            </w:pPr>
            <w:r/>
            <w:r>
              <w:rPr>
                <w:b w:val="0"/>
                <w:sz w:val="16"/>
              </w:rPr>
              <w:t>Existing service to the lot</w:t>
            </w:r>
          </w:p>
        </w:tc>
        <w:tc>
          <w:tcPr>
            <w:tcW w:type="dxa" w:w="6917"/>
          </w:tcPr>
          <w:p>
            <w:pPr>
              <w:spacing w:after="20" w:before="20"/>
            </w:pPr>
            <w:r/>
            <w:r>
              <w:rPr>
                <w:b w:val="0"/>
                <w:sz w:val="16"/>
              </w:rPr>
              <w:t>Unconfirmed</w:t>
            </w:r>
          </w:p>
        </w:tc>
      </w:tr>
      <w:tr>
        <w:tc>
          <w:tcPr>
            <w:tcW w:type="dxa" w:w="2494"/>
            <w:shd w:val="clear" w:color="auto" w:fill="F2F5F9"/>
          </w:tcPr>
          <w:p>
            <w:pPr>
              <w:spacing w:after="20" w:before="20"/>
            </w:pPr>
            <w:r/>
            <w:r>
              <w:rPr>
                <w:b w:val="0"/>
                <w:sz w:val="16"/>
              </w:rPr>
              <w:t>Power lines nearby</w:t>
            </w:r>
          </w:p>
        </w:tc>
        <w:tc>
          <w:tcPr>
            <w:tcW w:type="dxa" w:w="6917"/>
            <w:shd w:val="clear" w:color="auto" w:fill="F2F5F9"/>
          </w:tcPr>
          <w:p>
            <w:pPr>
              <w:spacing w:after="20" w:before="20"/>
            </w:pPr>
            <w:r/>
            <w:r>
              <w:rPr>
                <w:b w:val="0"/>
                <w:sz w:val="16"/>
              </w:rPr>
              <w:t>The subdivision is described as having underground utilities, implying distribution is already in place along Watersedge Cove</w:t>
            </w:r>
          </w:p>
        </w:tc>
      </w:tr>
      <w:tr>
        <w:tc>
          <w:tcPr>
            <w:tcW w:type="dxa" w:w="2494"/>
          </w:tcPr>
          <w:p>
            <w:pPr>
              <w:spacing w:after="20" w:before="20"/>
            </w:pPr>
            <w:r/>
            <w:r>
              <w:rPr>
                <w:b w:val="0"/>
                <w:sz w:val="16"/>
              </w:rPr>
              <w:t>Underground vs. overhead</w:t>
            </w:r>
          </w:p>
        </w:tc>
        <w:tc>
          <w:tcPr>
            <w:tcW w:type="dxa" w:w="6917"/>
          </w:tcPr>
          <w:p>
            <w:pPr>
              <w:spacing w:after="20" w:before="20"/>
            </w:pPr>
            <w:r/>
            <w:r>
              <w:rPr>
                <w:b w:val="0"/>
                <w:sz w:val="16"/>
              </w:rPr>
              <w:t>Underground reported for the community; service drop arrangement for an individual lot must be confirmed</w:t>
            </w:r>
          </w:p>
        </w:tc>
      </w:tr>
      <w:tr>
        <w:tc>
          <w:tcPr>
            <w:tcW w:type="dxa" w:w="2494"/>
            <w:shd w:val="clear" w:color="auto" w:fill="F2F5F9"/>
          </w:tcPr>
          <w:p>
            <w:pPr>
              <w:spacing w:after="20" w:before="20"/>
            </w:pPr>
            <w:r/>
            <w:r>
              <w:rPr>
                <w:b w:val="0"/>
                <w:sz w:val="16"/>
              </w:rPr>
              <w:t>Connection availability and cost</w:t>
            </w:r>
          </w:p>
        </w:tc>
        <w:tc>
          <w:tcPr>
            <w:tcW w:type="dxa" w:w="6917"/>
            <w:shd w:val="clear" w:color="auto" w:fill="F2F5F9"/>
          </w:tcPr>
          <w:p>
            <w:pPr>
              <w:spacing w:after="20" w:before="20"/>
            </w:pPr>
            <w:r/>
            <w:r>
              <w:rPr>
                <w:b w:val="0"/>
                <w:sz w:val="16"/>
              </w:rPr>
              <w:t>Must be quoted by whichever of Rayle EMC or Georgia Power serves the parcel</w:t>
            </w:r>
          </w:p>
        </w:tc>
      </w:tr>
    </w:tbl>
    <w:p>
      <w:pPr>
        <w:spacing w:after="40"/>
      </w:pPr>
    </w:p>
    <w:p>
      <w:pPr>
        <w:spacing w:before="20" w:after="80"/>
      </w:pPr>
      <w:r>
        <w:rPr>
          <w:b/>
          <w:color w:val="C01F2B"/>
          <w:sz w:val="15"/>
        </w:rPr>
        <w:t>[REQUIRES PROFESSIONAL / OFFICIAL VERIFICATION]</w:t>
      </w:r>
      <w:r>
        <w:rPr>
          <w:i/>
          <w:color w:val="555555"/>
          <w:sz w:val="15"/>
        </w:rPr>
        <w:t xml:space="preserve">  Identify the serving utility from the deed address and obtain a written service availability letter.</w:t>
      </w:r>
    </w:p>
    <w:p>
      <w:pPr>
        <w:pStyle w:val="Heading2"/>
      </w:pPr>
      <w:r>
        <w:t>22. Natural gas / propane</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Question</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Natural gas availability</w:t>
            </w:r>
          </w:p>
        </w:tc>
        <w:tc>
          <w:tcPr>
            <w:tcW w:type="dxa" w:w="6917"/>
          </w:tcPr>
          <w:p>
            <w:pPr>
              <w:spacing w:after="20" w:before="20"/>
            </w:pPr>
            <w:r/>
            <w:r>
              <w:rPr>
                <w:b w:val="0"/>
                <w:sz w:val="16"/>
              </w:rPr>
              <w:t>**Very unlikely.** No natural-gas distribution is indicated for this rural part of Lincoln County. Note that while Georgia's natural-gas market is deregulated at the supply level, that is irrelevant without physical distribution mains.</w:t>
            </w:r>
          </w:p>
        </w:tc>
      </w:tr>
      <w:tr>
        <w:tc>
          <w:tcPr>
            <w:tcW w:type="dxa" w:w="2494"/>
            <w:shd w:val="clear" w:color="auto" w:fill="F2F5F9"/>
          </w:tcPr>
          <w:p>
            <w:pPr>
              <w:spacing w:after="20" w:before="20"/>
            </w:pPr>
            <w:r/>
            <w:r>
              <w:rPr>
                <w:b w:val="0"/>
                <w:sz w:val="16"/>
              </w:rPr>
              <w:t>Propane availability</w:t>
            </w:r>
          </w:p>
        </w:tc>
        <w:tc>
          <w:tcPr>
            <w:tcW w:type="dxa" w:w="6917"/>
            <w:shd w:val="clear" w:color="auto" w:fill="F2F5F9"/>
          </w:tcPr>
          <w:p>
            <w:pPr>
              <w:spacing w:after="20" w:before="20"/>
            </w:pPr>
            <w:r/>
            <w:r>
              <w:rPr>
                <w:b w:val="0"/>
                <w:sz w:val="16"/>
              </w:rPr>
              <w:t>**Expected to be the practical option** — standard for rural north-east Georgia. Served by regional propane dealers with owned or leased tanks.</w:t>
            </w:r>
          </w:p>
        </w:tc>
      </w:tr>
      <w:tr>
        <w:tc>
          <w:tcPr>
            <w:tcW w:type="dxa" w:w="2494"/>
          </w:tcPr>
          <w:p>
            <w:pPr>
              <w:spacing w:after="20" w:before="20"/>
            </w:pPr>
            <w:r/>
            <w:r>
              <w:rPr>
                <w:b w:val="0"/>
                <w:sz w:val="16"/>
              </w:rPr>
              <w:t>Existing gas infrastructure</w:t>
            </w:r>
          </w:p>
        </w:tc>
        <w:tc>
          <w:tcPr>
            <w:tcW w:type="dxa" w:w="6917"/>
          </w:tcPr>
          <w:p>
            <w:pPr>
              <w:spacing w:after="20" w:before="20"/>
            </w:pPr>
            <w:r/>
            <w:r>
              <w:rPr>
                <w:b w:val="0"/>
                <w:sz w:val="16"/>
              </w:rPr>
              <w:t>None indicated on the lot</w:t>
            </w:r>
          </w:p>
        </w:tc>
      </w:tr>
      <w:tr>
        <w:tc>
          <w:tcPr>
            <w:tcW w:type="dxa" w:w="2494"/>
            <w:shd w:val="clear" w:color="auto" w:fill="F2F5F9"/>
          </w:tcPr>
          <w:p>
            <w:pPr>
              <w:spacing w:after="20" w:before="20"/>
            </w:pPr>
            <w:r/>
            <w:r>
              <w:rPr>
                <w:b w:val="0"/>
                <w:sz w:val="16"/>
              </w:rPr>
              <w:t>Design implication</w:t>
            </w:r>
          </w:p>
        </w:tc>
        <w:tc>
          <w:tcPr>
            <w:tcW w:type="dxa" w:w="6917"/>
            <w:shd w:val="clear" w:color="auto" w:fill="F2F5F9"/>
          </w:tcPr>
          <w:p>
            <w:pPr>
              <w:spacing w:after="20" w:before="20"/>
            </w:pPr>
            <w:r/>
            <w:r>
              <w:rPr>
                <w:b w:val="0"/>
                <w:sz w:val="16"/>
              </w:rPr>
              <w:t>Budget for a propane tank (above or below ground, subject to HOA architectural approval) if gas cooking, gas heating or a generator is wanted. Alternatively an all-electric design with a heat pump suits this mild climate well.</w:t>
            </w:r>
          </w:p>
        </w:tc>
      </w:tr>
    </w:tbl>
    <w:p>
      <w:pPr>
        <w:spacing w:after="40"/>
      </w:pPr>
    </w:p>
    <w:p>
      <w:pPr>
        <w:spacing w:before="20" w:after="80"/>
      </w:pPr>
      <w:r>
        <w:rPr>
          <w:b/>
          <w:color w:val="C01F2B"/>
          <w:sz w:val="15"/>
        </w:rPr>
        <w:t>[REQUIRES PROFESSIONAL / OFFICIAL VERIFICATION]</w:t>
      </w:r>
      <w:r>
        <w:rPr>
          <w:i/>
          <w:color w:val="555555"/>
          <w:sz w:val="15"/>
        </w:rPr>
        <w:t xml:space="preserve">  Confirm with local propane dealers and check HOA rules on tank placement and screening.</w:t>
      </w:r>
    </w:p>
    <w:p>
      <w:pPr>
        <w:pStyle w:val="Heading2"/>
      </w:pPr>
      <w:r>
        <w:t>23. Internet</w:t>
      </w:r>
    </w:p>
    <w:tbl>
      <w:tblPr>
        <w:tblStyle w:val="TableGrid"/>
        <w:tblW w:type="auto" w:w="0"/>
        <w:jc w:val="center"/>
        <w:tblLook w:firstColumn="1" w:firstRow="1" w:lastColumn="0" w:lastRow="0" w:noHBand="0" w:noVBand="1" w:val="04A0"/>
      </w:tblPr>
      <w:tblGrid>
        <w:gridCol w:w="3288"/>
        <w:gridCol w:w="3288"/>
        <w:gridCol w:w="3288"/>
      </w:tblGrid>
      <w:tr>
        <w:tc>
          <w:tcPr>
            <w:tcW w:type="dxa" w:w="1474"/>
            <w:shd w:val="clear" w:color="auto" w:fill="1F4E79"/>
          </w:tcPr>
          <w:p>
            <w:pPr>
              <w:spacing w:after="20" w:before="20"/>
            </w:pPr>
            <w:r/>
            <w:r>
              <w:rPr>
                <w:b/>
                <w:color w:val="FFFFFF"/>
                <w:sz w:val="16"/>
              </w:rPr>
              <w:t>Technology</w:t>
            </w:r>
          </w:p>
        </w:tc>
        <w:tc>
          <w:tcPr>
            <w:tcW w:type="dxa" w:w="4195"/>
            <w:shd w:val="clear" w:color="auto" w:fill="1F4E79"/>
          </w:tcPr>
          <w:p>
            <w:pPr>
              <w:spacing w:after="20" w:before="20"/>
            </w:pPr>
            <w:r/>
            <w:r>
              <w:rPr>
                <w:b/>
                <w:color w:val="FFFFFF"/>
                <w:sz w:val="16"/>
              </w:rPr>
              <w:t>Availability in Tignall / 30668</w:t>
            </w:r>
          </w:p>
        </w:tc>
        <w:tc>
          <w:tcPr>
            <w:tcW w:type="dxa" w:w="3742"/>
            <w:shd w:val="clear" w:color="auto" w:fill="1F4E79"/>
          </w:tcPr>
          <w:p>
            <w:pPr>
              <w:spacing w:after="20" w:before="20"/>
            </w:pPr>
            <w:r/>
            <w:r>
              <w:rPr>
                <w:b/>
                <w:color w:val="FFFFFF"/>
                <w:sz w:val="16"/>
              </w:rPr>
              <w:t>Notes</w:t>
            </w:r>
          </w:p>
        </w:tc>
      </w:tr>
      <w:tr>
        <w:tc>
          <w:tcPr>
            <w:tcW w:type="dxa" w:w="1474"/>
          </w:tcPr>
          <w:p>
            <w:pPr>
              <w:spacing w:after="20" w:before="20"/>
            </w:pPr>
            <w:r/>
            <w:r>
              <w:rPr>
                <w:b/>
                <w:sz w:val="16"/>
              </w:rPr>
              <w:t>Fiber</w:t>
            </w:r>
          </w:p>
        </w:tc>
        <w:tc>
          <w:tcPr>
            <w:tcW w:type="dxa" w:w="4195"/>
          </w:tcPr>
          <w:p>
            <w:pPr>
              <w:spacing w:after="20" w:before="20"/>
            </w:pPr>
            <w:r/>
            <w:r>
              <w:rPr>
                <w:b w:val="0"/>
                <w:sz w:val="16"/>
              </w:rPr>
              <w:t>**Yes, in parts** — Relyant Communications is reported as the fiber provider, with speeds up to about 1,000 Mbps</w:t>
            </w:r>
          </w:p>
        </w:tc>
        <w:tc>
          <w:tcPr>
            <w:tcW w:type="dxa" w:w="3742"/>
          </w:tcPr>
          <w:p>
            <w:pPr>
              <w:spacing w:after="20" w:before="20"/>
            </w:pPr>
            <w:r/>
            <w:r>
              <w:rPr>
                <w:b w:val="0"/>
                <w:sz w:val="16"/>
              </w:rPr>
              <w:t>**Parcel-level availability must be confirmed.** Fiber coverage in rural ZIP codes is patchy by road.</w:t>
            </w:r>
          </w:p>
        </w:tc>
      </w:tr>
      <w:tr>
        <w:tc>
          <w:tcPr>
            <w:tcW w:type="dxa" w:w="1474"/>
            <w:shd w:val="clear" w:color="auto" w:fill="F2F5F9"/>
          </w:tcPr>
          <w:p>
            <w:pPr>
              <w:spacing w:after="20" w:before="20"/>
            </w:pPr>
            <w:r/>
            <w:r>
              <w:rPr>
                <w:b w:val="0"/>
                <w:sz w:val="16"/>
              </w:rPr>
              <w:t>Cable</w:t>
            </w:r>
          </w:p>
        </w:tc>
        <w:tc>
          <w:tcPr>
            <w:tcW w:type="dxa" w:w="4195"/>
            <w:shd w:val="clear" w:color="auto" w:fill="F2F5F9"/>
          </w:tcPr>
          <w:p>
            <w:pPr>
              <w:spacing w:after="20" w:before="20"/>
            </w:pPr>
            <w:r/>
            <w:r>
              <w:rPr>
                <w:b w:val="0"/>
                <w:sz w:val="16"/>
              </w:rPr>
              <w:t>Xfinity is reported as serving the Tignall area</w:t>
            </w:r>
          </w:p>
        </w:tc>
        <w:tc>
          <w:tcPr>
            <w:tcW w:type="dxa" w:w="3742"/>
            <w:shd w:val="clear" w:color="auto" w:fill="F2F5F9"/>
          </w:tcPr>
          <w:p>
            <w:pPr>
              <w:spacing w:after="20" w:before="20"/>
            </w:pPr>
            <w:r/>
            <w:r>
              <w:rPr>
                <w:b w:val="0"/>
                <w:sz w:val="16"/>
              </w:rPr>
              <w:t>Coverage at the parcel unconfirmed</w:t>
            </w:r>
          </w:p>
        </w:tc>
      </w:tr>
      <w:tr>
        <w:tc>
          <w:tcPr>
            <w:tcW w:type="dxa" w:w="1474"/>
          </w:tcPr>
          <w:p>
            <w:pPr>
              <w:spacing w:after="20" w:before="20"/>
            </w:pPr>
            <w:r/>
            <w:r>
              <w:rPr>
                <w:b w:val="0"/>
                <w:sz w:val="16"/>
              </w:rPr>
              <w:t>DSL</w:t>
            </w:r>
          </w:p>
        </w:tc>
        <w:tc>
          <w:tcPr>
            <w:tcW w:type="dxa" w:w="4195"/>
          </w:tcPr>
          <w:p>
            <w:pPr>
              <w:spacing w:after="20" w:before="20"/>
            </w:pPr>
            <w:r/>
            <w:r>
              <w:rPr>
                <w:b w:val="0"/>
                <w:sz w:val="16"/>
              </w:rPr>
              <w:t>Available in only about 1.8 % of Tignall; AT&amp;T is the main DSL provider</w:t>
            </w:r>
          </w:p>
        </w:tc>
        <w:tc>
          <w:tcPr>
            <w:tcW w:type="dxa" w:w="3742"/>
          </w:tcPr>
          <w:p>
            <w:pPr>
              <w:spacing w:after="20" w:before="20"/>
            </w:pPr>
            <w:r/>
            <w:r>
              <w:rPr>
                <w:b w:val="0"/>
                <w:sz w:val="16"/>
              </w:rPr>
              <w:t>Effectively not an option</w:t>
            </w:r>
          </w:p>
        </w:tc>
      </w:tr>
      <w:tr>
        <w:tc>
          <w:tcPr>
            <w:tcW w:type="dxa" w:w="1474"/>
            <w:shd w:val="clear" w:color="auto" w:fill="F2F5F9"/>
          </w:tcPr>
          <w:p>
            <w:pPr>
              <w:spacing w:after="20" w:before="20"/>
            </w:pPr>
            <w:r/>
            <w:r>
              <w:rPr>
                <w:b w:val="0"/>
                <w:sz w:val="16"/>
              </w:rPr>
              <w:t>Fixed wireless</w:t>
            </w:r>
          </w:p>
        </w:tc>
        <w:tc>
          <w:tcPr>
            <w:tcW w:type="dxa" w:w="4195"/>
            <w:shd w:val="clear" w:color="auto" w:fill="F2F5F9"/>
          </w:tcPr>
          <w:p>
            <w:pPr>
              <w:spacing w:after="20" w:before="20"/>
            </w:pPr>
            <w:r/>
            <w:r>
              <w:rPr>
                <w:b w:val="0"/>
                <w:sz w:val="16"/>
              </w:rPr>
              <w:t>T-Mobile Home Internet via 5G is listed as available</w:t>
            </w:r>
          </w:p>
        </w:tc>
        <w:tc>
          <w:tcPr>
            <w:tcW w:type="dxa" w:w="3742"/>
            <w:shd w:val="clear" w:color="auto" w:fill="F2F5F9"/>
          </w:tcPr>
          <w:p>
            <w:pPr>
              <w:spacing w:after="20" w:before="20"/>
            </w:pPr>
            <w:r/>
            <w:r>
              <w:rPr>
                <w:b w:val="0"/>
                <w:sz w:val="16"/>
              </w:rPr>
              <w:t>Speeds vary with cellular conditions and tower distance</w:t>
            </w:r>
          </w:p>
        </w:tc>
      </w:tr>
      <w:tr>
        <w:tc>
          <w:tcPr>
            <w:tcW w:type="dxa" w:w="1474"/>
          </w:tcPr>
          <w:p>
            <w:pPr>
              <w:spacing w:after="20" w:before="20"/>
            </w:pPr>
            <w:r/>
            <w:r>
              <w:rPr>
                <w:b w:val="0"/>
                <w:sz w:val="16"/>
              </w:rPr>
              <w:t>Satellite</w:t>
            </w:r>
          </w:p>
        </w:tc>
        <w:tc>
          <w:tcPr>
            <w:tcW w:type="dxa" w:w="4195"/>
          </w:tcPr>
          <w:p>
            <w:pPr>
              <w:spacing w:after="20" w:before="20"/>
            </w:pPr>
            <w:r/>
            <w:r>
              <w:rPr>
                <w:b w:val="0"/>
                <w:sz w:val="16"/>
              </w:rPr>
              <w:t>Available (nationwide coverage)</w:t>
            </w:r>
          </w:p>
        </w:tc>
        <w:tc>
          <w:tcPr>
            <w:tcW w:type="dxa" w:w="3742"/>
          </w:tcPr>
          <w:p>
            <w:pPr>
              <w:spacing w:after="20" w:before="20"/>
            </w:pPr>
            <w:r/>
            <w:r>
              <w:rPr>
                <w:b w:val="0"/>
                <w:sz w:val="16"/>
              </w:rPr>
              <w:t>Usable fallback; higher latency</w:t>
            </w:r>
          </w:p>
        </w:tc>
      </w:tr>
      <w:tr>
        <w:tc>
          <w:tcPr>
            <w:tcW w:type="dxa" w:w="1474"/>
            <w:shd w:val="clear" w:color="auto" w:fill="F2F5F9"/>
          </w:tcPr>
          <w:p>
            <w:pPr>
              <w:spacing w:after="20" w:before="20"/>
            </w:pPr>
            <w:r/>
            <w:r>
              <w:rPr>
                <w:b w:val="0"/>
                <w:sz w:val="16"/>
              </w:rPr>
              <w:t>Provider count</w:t>
            </w:r>
          </w:p>
        </w:tc>
        <w:tc>
          <w:tcPr>
            <w:tcW w:type="dxa" w:w="4195"/>
            <w:shd w:val="clear" w:color="auto" w:fill="F2F5F9"/>
          </w:tcPr>
          <w:p>
            <w:pPr>
              <w:spacing w:after="20" w:before="20"/>
            </w:pPr>
            <w:r/>
            <w:r>
              <w:rPr>
                <w:b w:val="0"/>
                <w:sz w:val="16"/>
              </w:rPr>
              <w:t>Around 8–9 residential providers reported for the ZIP code, with roughly 98–99 % of the town covered by at least one</w:t>
            </w:r>
          </w:p>
        </w:tc>
        <w:tc>
          <w:tcPr>
            <w:tcW w:type="dxa" w:w="3742"/>
            <w:shd w:val="clear" w:color="auto" w:fill="F2F5F9"/>
          </w:tcPr>
          <w:p>
            <w:pPr>
              <w:spacing w:after="20" w:before="20"/>
            </w:pPr>
            <w:r/>
            <w:r>
              <w:rPr>
                <w:b w:val="0"/>
                <w:sz w:val="16"/>
              </w:rPr>
              <w:t>Town-level, not parcel-level</w:t>
            </w:r>
          </w:p>
        </w:tc>
      </w:tr>
      <w:tr>
        <w:tc>
          <w:tcPr>
            <w:tcW w:type="dxa" w:w="1474"/>
          </w:tcPr>
          <w:p>
            <w:pPr>
              <w:spacing w:after="20" w:before="20"/>
            </w:pPr>
            <w:r/>
            <w:r>
              <w:rPr>
                <w:b w:val="0"/>
                <w:sz w:val="16"/>
              </w:rPr>
              <w:t>Reported maximum speed</w:t>
            </w:r>
          </w:p>
        </w:tc>
        <w:tc>
          <w:tcPr>
            <w:tcW w:type="dxa" w:w="4195"/>
          </w:tcPr>
          <w:p>
            <w:pPr>
              <w:spacing w:after="20" w:before="20"/>
            </w:pPr>
            <w:r/>
            <w:r>
              <w:rPr>
                <w:b w:val="0"/>
                <w:sz w:val="16"/>
              </w:rPr>
              <w:t>Up to about 963–1,000 Mbps in covered areas</w:t>
            </w:r>
          </w:p>
        </w:tc>
        <w:tc>
          <w:tcPr>
            <w:tcW w:type="dxa" w:w="3742"/>
          </w:tcPr>
          <w:p>
            <w:pPr>
              <w:spacing w:after="20" w:before="20"/>
            </w:pPr>
            <w:r/>
            <w:r>
              <w:rPr>
                <w:b w:val="0"/>
                <w:sz w:val="16"/>
              </w:rPr>
              <w:t>Advertised, not guaranteed</w:t>
            </w:r>
          </w:p>
        </w:tc>
      </w:tr>
    </w:tbl>
    <w:p>
      <w:pPr>
        <w:spacing w:after="40"/>
      </w:pPr>
    </w:p>
    <w:p>
      <w:pPr>
        <w:spacing w:after="80" w:before="0"/>
      </w:pPr>
      <w:r>
        <w:rPr>
          <w:b w:val="0"/>
          <w:i w:val="0"/>
          <w:sz w:val="18"/>
        </w:rPr>
        <w:t>This matters more than usual here. The site is 44 miles from a Walmart and 55 miles from a full-service hospital; remote work, telehealth and online ordering substitute for physical proximity. Fiber at the parcel would meaningfully change the liveability calculus, and its absence would equally meaningfully reduce it. Verify by entering the exact address on each provider's availability checker and on the FCC National Broadband Map before committing.</w:t>
      </w:r>
    </w:p>
    <w:p>
      <w:pPr>
        <w:spacing w:before="20" w:after="80"/>
      </w:pPr>
      <w:r>
        <w:rPr>
          <w:b/>
          <w:color w:val="C01F2B"/>
          <w:sz w:val="15"/>
        </w:rPr>
        <w:t>[REQUIRES PROFESSIONAL / OFFICIAL VERIFICATION]</w:t>
      </w:r>
      <w:r>
        <w:rPr>
          <w:i/>
          <w:color w:val="555555"/>
          <w:sz w:val="15"/>
        </w:rPr>
        <w:t xml:space="preserve">  All broadband figures are ZIP-code aggregates from commercial comparison sites. Parcel-level confirmation required.</w:t>
      </w:r>
    </w:p>
    <w:p>
      <w:r>
        <w:br w:type="page"/>
      </w:r>
    </w:p>
    <w:p>
      <w:pPr>
        <w:pStyle w:val="Heading1"/>
      </w:pPr>
      <w:r>
        <w:t>F. Lake, Dock &amp; Waterfront</w:t>
      </w:r>
    </w:p>
    <w:p>
      <w:pPr>
        <w:spacing w:after="80" w:before="0"/>
      </w:pPr>
      <w:r>
        <w:rPr>
          <w:b/>
          <w:i w:val="0"/>
          <w:sz w:val="18"/>
        </w:rPr>
        <w:t>This section contains the most consequential findings in the report, because the waterfront and dock claims are what distinguish this listing from ordinary rural acreage.</w:t>
      </w:r>
    </w:p>
    <w:p>
      <w:pPr>
        <w:pStyle w:val="Heading2"/>
      </w:pPr>
      <w:r>
        <w:t>The lake itself — reference data</w:t>
      </w:r>
    </w:p>
    <w:tbl>
      <w:tblPr>
        <w:tblStyle w:val="TableGrid"/>
        <w:tblW w:type="auto" w:w="0"/>
        <w:jc w:val="center"/>
        <w:tblLook w:firstColumn="1" w:firstRow="1" w:lastColumn="0" w:lastRow="0" w:noHBand="0" w:noVBand="1" w:val="04A0"/>
      </w:tblPr>
      <w:tblGrid>
        <w:gridCol w:w="3288"/>
        <w:gridCol w:w="3288"/>
        <w:gridCol w:w="3288"/>
      </w:tblGrid>
      <w:tr>
        <w:tc>
          <w:tcPr>
            <w:tcW w:type="dxa" w:w="2608"/>
            <w:shd w:val="clear" w:color="auto" w:fill="1F4E79"/>
          </w:tcPr>
          <w:p>
            <w:pPr>
              <w:spacing w:after="20" w:before="20"/>
            </w:pPr>
            <w:r/>
            <w:r>
              <w:rPr>
                <w:b/>
                <w:color w:val="FFFFFF"/>
                <w:sz w:val="16"/>
              </w:rPr>
              <w:t>Attribute</w:t>
            </w:r>
          </w:p>
        </w:tc>
        <w:tc>
          <w:tcPr>
            <w:tcW w:type="dxa" w:w="3969"/>
            <w:shd w:val="clear" w:color="auto" w:fill="1F4E79"/>
          </w:tcPr>
          <w:p>
            <w:pPr>
              <w:spacing w:after="20" w:before="20"/>
            </w:pPr>
            <w:r/>
            <w:r>
              <w:rPr>
                <w:b/>
                <w:color w:val="FFFFFF"/>
                <w:sz w:val="16"/>
              </w:rPr>
              <w:t>Value</w:t>
            </w:r>
          </w:p>
        </w:tc>
        <w:tc>
          <w:tcPr>
            <w:tcW w:type="dxa" w:w="2835"/>
            <w:shd w:val="clear" w:color="auto" w:fill="1F4E79"/>
          </w:tcPr>
          <w:p>
            <w:pPr>
              <w:spacing w:after="20" w:before="20"/>
            </w:pPr>
            <w:r/>
            <w:r>
              <w:rPr>
                <w:b/>
                <w:color w:val="FFFFFF"/>
                <w:sz w:val="16"/>
              </w:rPr>
              <w:t>Source</w:t>
            </w:r>
          </w:p>
        </w:tc>
      </w:tr>
      <w:tr>
        <w:tc>
          <w:tcPr>
            <w:tcW w:type="dxa" w:w="2608"/>
          </w:tcPr>
          <w:p>
            <w:pPr>
              <w:spacing w:after="20" w:before="20"/>
            </w:pPr>
            <w:r/>
            <w:r>
              <w:rPr>
                <w:b w:val="0"/>
                <w:sz w:val="16"/>
              </w:rPr>
              <w:t>Official name</w:t>
            </w:r>
          </w:p>
        </w:tc>
        <w:tc>
          <w:tcPr>
            <w:tcW w:type="dxa" w:w="3969"/>
          </w:tcPr>
          <w:p>
            <w:pPr>
              <w:spacing w:after="20" w:before="20"/>
            </w:pPr>
            <w:r/>
            <w:r>
              <w:rPr>
                <w:b w:val="0"/>
                <w:sz w:val="16"/>
              </w:rPr>
              <w:t>J. Strom Thurmond Lake (locally Clarks Hill Lake)</w:t>
            </w:r>
          </w:p>
        </w:tc>
        <w:tc>
          <w:tcPr>
            <w:tcW w:type="dxa" w:w="2835"/>
          </w:tcPr>
          <w:p>
            <w:pPr>
              <w:spacing w:after="20" w:before="20"/>
            </w:pPr>
            <w:r/>
            <w:r>
              <w:rPr>
                <w:b w:val="0"/>
                <w:sz w:val="16"/>
              </w:rPr>
              <w:t>USACE</w:t>
            </w:r>
          </w:p>
        </w:tc>
      </w:tr>
      <w:tr>
        <w:tc>
          <w:tcPr>
            <w:tcW w:type="dxa" w:w="2608"/>
            <w:shd w:val="clear" w:color="auto" w:fill="F2F5F9"/>
          </w:tcPr>
          <w:p>
            <w:pPr>
              <w:spacing w:after="20" w:before="20"/>
            </w:pPr>
            <w:r/>
            <w:r>
              <w:rPr>
                <w:b w:val="0"/>
                <w:sz w:val="16"/>
              </w:rPr>
              <w:t>Operator</w:t>
            </w:r>
          </w:p>
        </w:tc>
        <w:tc>
          <w:tcPr>
            <w:tcW w:type="dxa" w:w="3969"/>
            <w:shd w:val="clear" w:color="auto" w:fill="F2F5F9"/>
          </w:tcPr>
          <w:p>
            <w:pPr>
              <w:spacing w:after="20" w:before="20"/>
            </w:pPr>
            <w:r/>
            <w:r>
              <w:rPr>
                <w:b w:val="0"/>
                <w:sz w:val="16"/>
              </w:rPr>
              <w:t>US Army Corps of Engineers, Savannah District</w:t>
            </w:r>
          </w:p>
        </w:tc>
        <w:tc>
          <w:tcPr>
            <w:tcW w:type="dxa" w:w="2835"/>
            <w:shd w:val="clear" w:color="auto" w:fill="F2F5F9"/>
          </w:tcPr>
          <w:p>
            <w:pPr>
              <w:spacing w:after="20" w:before="20"/>
            </w:pPr>
            <w:r/>
            <w:r>
              <w:rPr>
                <w:b w:val="0"/>
                <w:sz w:val="16"/>
              </w:rPr>
              <w:t>USACE</w:t>
            </w:r>
          </w:p>
        </w:tc>
      </w:tr>
      <w:tr>
        <w:tc>
          <w:tcPr>
            <w:tcW w:type="dxa" w:w="2608"/>
          </w:tcPr>
          <w:p>
            <w:pPr>
              <w:spacing w:after="20" w:before="20"/>
            </w:pPr>
            <w:r/>
            <w:r>
              <w:rPr>
                <w:b w:val="0"/>
                <w:sz w:val="16"/>
              </w:rPr>
              <w:t>Surface area</w:t>
            </w:r>
          </w:p>
        </w:tc>
        <w:tc>
          <w:tcPr>
            <w:tcW w:type="dxa" w:w="3969"/>
          </w:tcPr>
          <w:p>
            <w:pPr>
              <w:spacing w:after="20" w:before="20"/>
            </w:pPr>
            <w:r/>
            <w:r>
              <w:rPr>
                <w:b w:val="0"/>
                <w:sz w:val="16"/>
              </w:rPr>
              <w:t>approx. 71,100 acres</w:t>
            </w:r>
          </w:p>
        </w:tc>
        <w:tc>
          <w:tcPr>
            <w:tcW w:type="dxa" w:w="2835"/>
          </w:tcPr>
          <w:p>
            <w:pPr>
              <w:spacing w:after="20" w:before="20"/>
            </w:pPr>
            <w:r/>
            <w:r>
              <w:rPr>
                <w:b w:val="0"/>
                <w:sz w:val="16"/>
              </w:rPr>
              <w:t>Published</w:t>
            </w:r>
          </w:p>
        </w:tc>
      </w:tr>
      <w:tr>
        <w:tc>
          <w:tcPr>
            <w:tcW w:type="dxa" w:w="2608"/>
            <w:shd w:val="clear" w:color="auto" w:fill="F2F5F9"/>
          </w:tcPr>
          <w:p>
            <w:pPr>
              <w:spacing w:after="20" w:before="20"/>
            </w:pPr>
            <w:r/>
            <w:r>
              <w:rPr>
                <w:b w:val="0"/>
                <w:sz w:val="16"/>
              </w:rPr>
              <w:t>Shoreline length</w:t>
            </w:r>
          </w:p>
        </w:tc>
        <w:tc>
          <w:tcPr>
            <w:tcW w:type="dxa" w:w="3969"/>
            <w:shd w:val="clear" w:color="auto" w:fill="F2F5F9"/>
          </w:tcPr>
          <w:p>
            <w:pPr>
              <w:spacing w:after="20" w:before="20"/>
            </w:pPr>
            <w:r/>
            <w:r>
              <w:rPr>
                <w:b w:val="0"/>
                <w:sz w:val="16"/>
              </w:rPr>
              <w:t>approx. 1,200 miles</w:t>
            </w:r>
          </w:p>
        </w:tc>
        <w:tc>
          <w:tcPr>
            <w:tcW w:type="dxa" w:w="2835"/>
            <w:shd w:val="clear" w:color="auto" w:fill="F2F5F9"/>
          </w:tcPr>
          <w:p>
            <w:pPr>
              <w:spacing w:after="20" w:before="20"/>
            </w:pPr>
            <w:r/>
            <w:r>
              <w:rPr>
                <w:b w:val="0"/>
                <w:sz w:val="16"/>
              </w:rPr>
              <w:t>USACE / HOA</w:t>
            </w:r>
          </w:p>
        </w:tc>
      </w:tr>
      <w:tr>
        <w:tc>
          <w:tcPr>
            <w:tcW w:type="dxa" w:w="2608"/>
          </w:tcPr>
          <w:p>
            <w:pPr>
              <w:spacing w:after="20" w:before="20"/>
            </w:pPr>
            <w:r/>
            <w:r>
              <w:rPr>
                <w:b w:val="0"/>
                <w:sz w:val="16"/>
              </w:rPr>
              <w:t>Standing</w:t>
            </w:r>
          </w:p>
        </w:tc>
        <w:tc>
          <w:tcPr>
            <w:tcW w:type="dxa" w:w="3969"/>
          </w:tcPr>
          <w:p>
            <w:pPr>
              <w:spacing w:after="20" w:before="20"/>
            </w:pPr>
            <w:r/>
            <w:r>
              <w:rPr>
                <w:b w:val="0"/>
                <w:sz w:val="16"/>
              </w:rPr>
              <w:t>Largest USACE lake east of the Mississippi River</w:t>
            </w:r>
          </w:p>
        </w:tc>
        <w:tc>
          <w:tcPr>
            <w:tcW w:type="dxa" w:w="2835"/>
          </w:tcPr>
          <w:p>
            <w:pPr>
              <w:spacing w:after="20" w:before="20"/>
            </w:pPr>
            <w:r/>
            <w:r>
              <w:rPr>
                <w:b w:val="0"/>
                <w:sz w:val="16"/>
              </w:rPr>
              <w:t>Published</w:t>
            </w:r>
          </w:p>
        </w:tc>
      </w:tr>
      <w:tr>
        <w:tc>
          <w:tcPr>
            <w:tcW w:type="dxa" w:w="2608"/>
            <w:shd w:val="clear" w:color="auto" w:fill="F2F5F9"/>
          </w:tcPr>
          <w:p>
            <w:pPr>
              <w:spacing w:after="20" w:before="20"/>
            </w:pPr>
            <w:r/>
            <w:r>
              <w:rPr>
                <w:b/>
                <w:sz w:val="16"/>
              </w:rPr>
              <w:t>Full pool</w:t>
            </w:r>
          </w:p>
        </w:tc>
        <w:tc>
          <w:tcPr>
            <w:tcW w:type="dxa" w:w="3969"/>
            <w:shd w:val="clear" w:color="auto" w:fill="F2F5F9"/>
          </w:tcPr>
          <w:p>
            <w:pPr>
              <w:spacing w:after="20" w:before="20"/>
            </w:pPr>
            <w:r/>
            <w:r>
              <w:rPr>
                <w:b/>
                <w:sz w:val="16"/>
              </w:rPr>
              <w:t>330 ft-msl</w:t>
            </w:r>
          </w:p>
        </w:tc>
        <w:tc>
          <w:tcPr>
            <w:tcW w:type="dxa" w:w="2835"/>
            <w:shd w:val="clear" w:color="auto" w:fill="F2F5F9"/>
          </w:tcPr>
          <w:p>
            <w:pPr>
              <w:spacing w:after="20" w:before="20"/>
            </w:pPr>
            <w:r/>
            <w:r>
              <w:rPr>
                <w:b/>
                <w:sz w:val="16"/>
              </w:rPr>
              <w:t>USACE Savannah District</w:t>
            </w:r>
          </w:p>
        </w:tc>
      </w:tr>
      <w:tr>
        <w:tc>
          <w:tcPr>
            <w:tcW w:type="dxa" w:w="2608"/>
          </w:tcPr>
          <w:p>
            <w:pPr>
              <w:spacing w:after="20" w:before="20"/>
            </w:pPr>
            <w:r/>
            <w:r>
              <w:rPr>
                <w:b w:val="0"/>
                <w:sz w:val="16"/>
              </w:rPr>
              <w:t>Conservation storage</w:t>
            </w:r>
          </w:p>
        </w:tc>
        <w:tc>
          <w:tcPr>
            <w:tcW w:type="dxa" w:w="3969"/>
          </w:tcPr>
          <w:p>
            <w:pPr>
              <w:spacing w:after="20" w:before="20"/>
            </w:pPr>
            <w:r/>
            <w:r>
              <w:rPr>
                <w:b w:val="0"/>
                <w:sz w:val="16"/>
              </w:rPr>
              <w:t>Elevation 312 to 330 ft (1,045,000 acre-feet)</w:t>
            </w:r>
          </w:p>
        </w:tc>
        <w:tc>
          <w:tcPr>
            <w:tcW w:type="dxa" w:w="2835"/>
          </w:tcPr>
          <w:p>
            <w:pPr>
              <w:spacing w:after="20" w:before="20"/>
            </w:pPr>
            <w:r/>
            <w:r>
              <w:rPr>
                <w:b w:val="0"/>
                <w:sz w:val="16"/>
              </w:rPr>
              <w:t>USACE</w:t>
            </w:r>
          </w:p>
        </w:tc>
      </w:tr>
      <w:tr>
        <w:tc>
          <w:tcPr>
            <w:tcW w:type="dxa" w:w="2608"/>
            <w:shd w:val="clear" w:color="auto" w:fill="F2F5F9"/>
          </w:tcPr>
          <w:p>
            <w:pPr>
              <w:spacing w:after="20" w:before="20"/>
            </w:pPr>
            <w:r/>
            <w:r>
              <w:rPr>
                <w:b w:val="0"/>
                <w:sz w:val="16"/>
              </w:rPr>
              <w:t>Flood-control storage</w:t>
            </w:r>
          </w:p>
        </w:tc>
        <w:tc>
          <w:tcPr>
            <w:tcW w:type="dxa" w:w="3969"/>
            <w:shd w:val="clear" w:color="auto" w:fill="F2F5F9"/>
          </w:tcPr>
          <w:p>
            <w:pPr>
              <w:spacing w:after="20" w:before="20"/>
            </w:pPr>
            <w:r/>
            <w:r>
              <w:rPr>
                <w:b w:val="0"/>
                <w:sz w:val="16"/>
              </w:rPr>
              <w:t>Elevation 330 to 335 ft (390,000 acre-feet)</w:t>
            </w:r>
          </w:p>
        </w:tc>
        <w:tc>
          <w:tcPr>
            <w:tcW w:type="dxa" w:w="2835"/>
            <w:shd w:val="clear" w:color="auto" w:fill="F2F5F9"/>
          </w:tcPr>
          <w:p>
            <w:pPr>
              <w:spacing w:after="20" w:before="20"/>
            </w:pPr>
            <w:r/>
            <w:r>
              <w:rPr>
                <w:b w:val="0"/>
                <w:sz w:val="16"/>
              </w:rPr>
              <w:t>USACE</w:t>
            </w:r>
          </w:p>
        </w:tc>
      </w:tr>
      <w:tr>
        <w:tc>
          <w:tcPr>
            <w:tcW w:type="dxa" w:w="2608"/>
          </w:tcPr>
          <w:p>
            <w:pPr>
              <w:spacing w:after="20" w:before="20"/>
            </w:pPr>
            <w:r/>
            <w:r>
              <w:rPr>
                <w:b w:val="0"/>
                <w:sz w:val="16"/>
              </w:rPr>
              <w:t>Top of spillway gates</w:t>
            </w:r>
          </w:p>
        </w:tc>
        <w:tc>
          <w:tcPr>
            <w:tcW w:type="dxa" w:w="3969"/>
          </w:tcPr>
          <w:p>
            <w:pPr>
              <w:spacing w:after="20" w:before="20"/>
            </w:pPr>
            <w:r/>
            <w:r>
              <w:rPr>
                <w:b w:val="0"/>
                <w:sz w:val="16"/>
              </w:rPr>
              <w:t>335 ft</w:t>
            </w:r>
          </w:p>
        </w:tc>
        <w:tc>
          <w:tcPr>
            <w:tcW w:type="dxa" w:w="2835"/>
          </w:tcPr>
          <w:p>
            <w:pPr>
              <w:spacing w:after="20" w:before="20"/>
            </w:pPr>
            <w:r/>
            <w:r>
              <w:rPr>
                <w:b w:val="0"/>
                <w:sz w:val="16"/>
              </w:rPr>
              <w:t>USACE</w:t>
            </w:r>
          </w:p>
        </w:tc>
      </w:tr>
      <w:tr>
        <w:tc>
          <w:tcPr>
            <w:tcW w:type="dxa" w:w="2608"/>
            <w:shd w:val="clear" w:color="auto" w:fill="F2F5F9"/>
          </w:tcPr>
          <w:p>
            <w:pPr>
              <w:spacing w:after="20" w:before="20"/>
            </w:pPr>
            <w:r/>
            <w:r>
              <w:rPr>
                <w:b w:val="0"/>
                <w:sz w:val="16"/>
              </w:rPr>
              <w:t>Normal limit of drawdown</w:t>
            </w:r>
          </w:p>
        </w:tc>
        <w:tc>
          <w:tcPr>
            <w:tcW w:type="dxa" w:w="3969"/>
            <w:shd w:val="clear" w:color="auto" w:fill="F2F5F9"/>
          </w:tcPr>
          <w:p>
            <w:pPr>
              <w:spacing w:after="20" w:before="20"/>
            </w:pPr>
            <w:r/>
            <w:r>
              <w:rPr>
                <w:b w:val="0"/>
                <w:sz w:val="16"/>
              </w:rPr>
              <w:t>305 ft</w:t>
            </w:r>
          </w:p>
        </w:tc>
        <w:tc>
          <w:tcPr>
            <w:tcW w:type="dxa" w:w="2835"/>
            <w:shd w:val="clear" w:color="auto" w:fill="F2F5F9"/>
          </w:tcPr>
          <w:p>
            <w:pPr>
              <w:spacing w:after="20" w:before="20"/>
            </w:pPr>
            <w:r/>
            <w:r>
              <w:rPr>
                <w:b w:val="0"/>
                <w:sz w:val="16"/>
              </w:rPr>
              <w:t>USGS</w:t>
            </w:r>
          </w:p>
        </w:tc>
      </w:tr>
      <w:tr>
        <w:tc>
          <w:tcPr>
            <w:tcW w:type="dxa" w:w="2608"/>
          </w:tcPr>
          <w:p>
            <w:pPr>
              <w:spacing w:after="20" w:before="20"/>
            </w:pPr>
            <w:r/>
            <w:r>
              <w:rPr>
                <w:b w:val="0"/>
                <w:sz w:val="16"/>
              </w:rPr>
              <w:t>Spillway crest</w:t>
            </w:r>
          </w:p>
        </w:tc>
        <w:tc>
          <w:tcPr>
            <w:tcW w:type="dxa" w:w="3969"/>
          </w:tcPr>
          <w:p>
            <w:pPr>
              <w:spacing w:after="20" w:before="20"/>
            </w:pPr>
            <w:r/>
            <w:r>
              <w:rPr>
                <w:b w:val="0"/>
                <w:sz w:val="16"/>
              </w:rPr>
              <w:t>300 ft</w:t>
            </w:r>
          </w:p>
        </w:tc>
        <w:tc>
          <w:tcPr>
            <w:tcW w:type="dxa" w:w="2835"/>
          </w:tcPr>
          <w:p>
            <w:pPr>
              <w:spacing w:after="20" w:before="20"/>
            </w:pPr>
            <w:r/>
            <w:r>
              <w:rPr>
                <w:b w:val="0"/>
                <w:sz w:val="16"/>
              </w:rPr>
              <w:t>USGS</w:t>
            </w:r>
          </w:p>
        </w:tc>
      </w:tr>
      <w:tr>
        <w:tc>
          <w:tcPr>
            <w:tcW w:type="dxa" w:w="2608"/>
            <w:shd w:val="clear" w:color="auto" w:fill="F2F5F9"/>
          </w:tcPr>
          <w:p>
            <w:pPr>
              <w:spacing w:after="20" w:before="20"/>
            </w:pPr>
            <w:r/>
            <w:r>
              <w:rPr>
                <w:b w:val="0"/>
                <w:sz w:val="16"/>
              </w:rPr>
              <w:t>Seasonal drawdown</w:t>
            </w:r>
          </w:p>
        </w:tc>
        <w:tc>
          <w:tcPr>
            <w:tcW w:type="dxa" w:w="3969"/>
            <w:shd w:val="clear" w:color="auto" w:fill="F2F5F9"/>
          </w:tcPr>
          <w:p>
            <w:pPr>
              <w:spacing w:after="20" w:before="20"/>
            </w:pPr>
            <w:r/>
            <w:r>
              <w:rPr>
                <w:b w:val="0"/>
                <w:sz w:val="16"/>
              </w:rPr>
              <w:t>The project has a seasonal drawdown of the flood-control pool</w:t>
            </w:r>
          </w:p>
        </w:tc>
        <w:tc>
          <w:tcPr>
            <w:tcW w:type="dxa" w:w="2835"/>
            <w:shd w:val="clear" w:color="auto" w:fill="F2F5F9"/>
          </w:tcPr>
          <w:p>
            <w:pPr>
              <w:spacing w:after="20" w:before="20"/>
            </w:pPr>
            <w:r/>
            <w:r>
              <w:rPr>
                <w:b w:val="0"/>
                <w:sz w:val="16"/>
              </w:rPr>
              <w:t>USACE</w:t>
            </w:r>
          </w:p>
        </w:tc>
      </w:tr>
      <w:tr>
        <w:tc>
          <w:tcPr>
            <w:tcW w:type="dxa" w:w="2608"/>
          </w:tcPr>
          <w:p>
            <w:pPr>
              <w:spacing w:after="20" w:before="20"/>
            </w:pPr>
            <w:r/>
            <w:r>
              <w:rPr>
                <w:b w:val="0"/>
                <w:sz w:val="16"/>
              </w:rPr>
              <w:t>Average depth</w:t>
            </w:r>
          </w:p>
        </w:tc>
        <w:tc>
          <w:tcPr>
            <w:tcW w:type="dxa" w:w="3969"/>
          </w:tcPr>
          <w:p>
            <w:pPr>
              <w:spacing w:after="20" w:before="20"/>
            </w:pPr>
            <w:r/>
            <w:r>
              <w:rPr>
                <w:b w:val="0"/>
                <w:sz w:val="16"/>
              </w:rPr>
              <w:t>approx. 37 ft</w:t>
            </w:r>
          </w:p>
        </w:tc>
        <w:tc>
          <w:tcPr>
            <w:tcW w:type="dxa" w:w="2835"/>
          </w:tcPr>
          <w:p>
            <w:pPr>
              <w:spacing w:after="20" w:before="20"/>
            </w:pPr>
            <w:r/>
            <w:r>
              <w:rPr>
                <w:b w:val="0"/>
                <w:sz w:val="16"/>
              </w:rPr>
              <w:t>Published</w:t>
            </w:r>
          </w:p>
        </w:tc>
      </w:tr>
      <w:tr>
        <w:tc>
          <w:tcPr>
            <w:tcW w:type="dxa" w:w="2608"/>
            <w:shd w:val="clear" w:color="auto" w:fill="F2F5F9"/>
          </w:tcPr>
          <w:p>
            <w:pPr>
              <w:spacing w:after="20" w:before="20"/>
            </w:pPr>
            <w:r/>
            <w:r>
              <w:rPr>
                <w:b w:val="0"/>
                <w:sz w:val="16"/>
              </w:rPr>
              <w:t>Maximum depth</w:t>
            </w:r>
          </w:p>
        </w:tc>
        <w:tc>
          <w:tcPr>
            <w:tcW w:type="dxa" w:w="3969"/>
            <w:shd w:val="clear" w:color="auto" w:fill="F2F5F9"/>
          </w:tcPr>
          <w:p>
            <w:pPr>
              <w:spacing w:after="20" w:before="20"/>
            </w:pPr>
            <w:r/>
            <w:r>
              <w:rPr>
                <w:b w:val="0"/>
                <w:sz w:val="16"/>
              </w:rPr>
              <w:t>approx. 180 ft (some sources cite 110 ft)</w:t>
            </w:r>
          </w:p>
        </w:tc>
        <w:tc>
          <w:tcPr>
            <w:tcW w:type="dxa" w:w="2835"/>
            <w:shd w:val="clear" w:color="auto" w:fill="F2F5F9"/>
          </w:tcPr>
          <w:p>
            <w:pPr>
              <w:spacing w:after="20" w:before="20"/>
            </w:pPr>
            <w:r/>
            <w:r>
              <w:rPr>
                <w:b w:val="0"/>
                <w:sz w:val="16"/>
              </w:rPr>
              <w:t>Published — varies</w:t>
            </w:r>
          </w:p>
        </w:tc>
      </w:tr>
    </w:tbl>
    <w:p>
      <w:pPr>
        <w:spacing w:after="40"/>
      </w:pPr>
    </w:p>
    <w:p>
      <w:pPr>
        <w:pStyle w:val="Heading2"/>
      </w:pPr>
      <w:r>
        <w:t>24. Waterfront access</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Access type</w:t>
            </w:r>
          </w:p>
        </w:tc>
        <w:tc>
          <w:tcPr>
            <w:tcW w:type="dxa" w:w="6917"/>
            <w:shd w:val="clear" w:color="auto" w:fill="1F4E79"/>
          </w:tcPr>
          <w:p>
            <w:pPr>
              <w:spacing w:after="20" w:before="20"/>
            </w:pPr>
            <w:r/>
            <w:r>
              <w:rPr>
                <w:b/>
                <w:color w:val="FFFFFF"/>
                <w:sz w:val="16"/>
              </w:rPr>
              <w:t>Assessment</w:t>
            </w:r>
          </w:p>
        </w:tc>
      </w:tr>
      <w:tr>
        <w:tc>
          <w:tcPr>
            <w:tcW w:type="dxa" w:w="2494"/>
          </w:tcPr>
          <w:p>
            <w:pPr>
              <w:spacing w:after="20" w:before="20"/>
            </w:pPr>
            <w:r/>
            <w:r>
              <w:rPr>
                <w:b w:val="0"/>
                <w:sz w:val="16"/>
              </w:rPr>
              <w:t>Direct lake frontage in fee</w:t>
            </w:r>
          </w:p>
        </w:tc>
        <w:tc>
          <w:tcPr>
            <w:tcW w:type="dxa" w:w="6917"/>
          </w:tcPr>
          <w:p>
            <w:pPr>
              <w:spacing w:after="20" w:before="20"/>
            </w:pPr>
            <w:r/>
            <w:r>
              <w:rPr>
                <w:b w:val="0"/>
                <w:sz w:val="16"/>
              </w:rPr>
              <w:t>**Not supported by the terrain data.** Full pool (330 ft) lies 467–688 ft horizontally from the road and 53–65 ft below it; a 1.07-acre lot of ordinary proportions cannot span that distance (Section B.6).</w:t>
            </w:r>
          </w:p>
        </w:tc>
      </w:tr>
      <w:tr>
        <w:tc>
          <w:tcPr>
            <w:tcW w:type="dxa" w:w="2494"/>
            <w:shd w:val="clear" w:color="auto" w:fill="F2F5F9"/>
          </w:tcPr>
          <w:p>
            <w:pPr>
              <w:spacing w:after="20" w:before="20"/>
            </w:pPr>
            <w:r/>
            <w:r>
              <w:rPr>
                <w:b w:val="0"/>
                <w:sz w:val="16"/>
              </w:rPr>
              <w:t>Frontage on the USACE boundary</w:t>
            </w:r>
          </w:p>
        </w:tc>
        <w:tc>
          <w:tcPr>
            <w:tcW w:type="dxa" w:w="6917"/>
            <w:shd w:val="clear" w:color="auto" w:fill="F2F5F9"/>
          </w:tcPr>
          <w:p>
            <w:pPr>
              <w:spacing w:after="20" w:before="20"/>
            </w:pPr>
            <w:r/>
            <w:r>
              <w:rPr>
                <w:b w:val="0"/>
                <w:sz w:val="16"/>
              </w:rPr>
              <w:t>**This is the most probable configuration.** The listing's own wording — "gradual slope to the lake once you get to the back corps line" — concedes a Corps boundary at the rear of the lot.</w:t>
            </w:r>
          </w:p>
        </w:tc>
      </w:tr>
      <w:tr>
        <w:tc>
          <w:tcPr>
            <w:tcW w:type="dxa" w:w="2494"/>
          </w:tcPr>
          <w:p>
            <w:pPr>
              <w:spacing w:after="20" w:before="20"/>
            </w:pPr>
            <w:r/>
            <w:r>
              <w:rPr>
                <w:b w:val="0"/>
                <w:sz w:val="16"/>
              </w:rPr>
              <w:t>Deeded lake access</w:t>
            </w:r>
          </w:p>
        </w:tc>
        <w:tc>
          <w:tcPr>
            <w:tcW w:type="dxa" w:w="6917"/>
          </w:tcPr>
          <w:p>
            <w:pPr>
              <w:spacing w:after="20" w:before="20"/>
            </w:pPr>
            <w:r/>
            <w:r>
              <w:rPr>
                <w:b w:val="0"/>
                <w:sz w:val="16"/>
              </w:rPr>
              <w:t>Unknown; would appear in the plat or CC&amp;Rs</w:t>
            </w:r>
          </w:p>
        </w:tc>
      </w:tr>
      <w:tr>
        <w:tc>
          <w:tcPr>
            <w:tcW w:type="dxa" w:w="2494"/>
            <w:shd w:val="clear" w:color="auto" w:fill="F2F5F9"/>
          </w:tcPr>
          <w:p>
            <w:pPr>
              <w:spacing w:after="20" w:before="20"/>
            </w:pPr>
            <w:r/>
            <w:r>
              <w:rPr>
                <w:b w:val="0"/>
                <w:sz w:val="16"/>
              </w:rPr>
              <w:t>Shared / community access</w:t>
            </w:r>
          </w:p>
        </w:tc>
        <w:tc>
          <w:tcPr>
            <w:tcW w:type="dxa" w:w="6917"/>
            <w:shd w:val="clear" w:color="auto" w:fill="F2F5F9"/>
          </w:tcPr>
          <w:p>
            <w:pPr>
              <w:spacing w:after="20" w:before="20"/>
            </w:pPr>
            <w:r/>
            <w:r>
              <w:rPr>
                <w:b w:val="0"/>
                <w:sz w:val="16"/>
              </w:rPr>
              <w:t>Unknown for Stillwater Coves. Note that community docks are the only new-dock mechanism available to post-May-2018 subdivisions, so a community access point may be the actual amenity.</w:t>
            </w:r>
          </w:p>
        </w:tc>
      </w:tr>
      <w:tr>
        <w:tc>
          <w:tcPr>
            <w:tcW w:type="dxa" w:w="2494"/>
          </w:tcPr>
          <w:p>
            <w:pPr>
              <w:spacing w:after="20" w:before="20"/>
            </w:pPr>
            <w:r/>
            <w:r>
              <w:rPr>
                <w:b w:val="0"/>
                <w:sz w:val="16"/>
              </w:rPr>
              <w:t>Easement access</w:t>
            </w:r>
          </w:p>
        </w:tc>
        <w:tc>
          <w:tcPr>
            <w:tcW w:type="dxa" w:w="6917"/>
          </w:tcPr>
          <w:p>
            <w:pPr>
              <w:spacing w:after="20" w:before="20"/>
            </w:pPr>
            <w:r/>
            <w:r>
              <w:rPr>
                <w:b w:val="0"/>
                <w:sz w:val="16"/>
              </w:rPr>
              <w:t>Unknown; check the title commitment</w:t>
            </w:r>
          </w:p>
        </w:tc>
      </w:tr>
      <w:tr>
        <w:tc>
          <w:tcPr>
            <w:tcW w:type="dxa" w:w="2494"/>
            <w:shd w:val="clear" w:color="auto" w:fill="F2F5F9"/>
          </w:tcPr>
          <w:p>
            <w:pPr>
              <w:spacing w:after="20" w:before="20"/>
            </w:pPr>
            <w:r/>
            <w:r>
              <w:rPr>
                <w:b w:val="0"/>
                <w:sz w:val="16"/>
              </w:rPr>
              <w:t>Public access</w:t>
            </w:r>
          </w:p>
        </w:tc>
        <w:tc>
          <w:tcPr>
            <w:tcW w:type="dxa" w:w="6917"/>
            <w:shd w:val="clear" w:color="auto" w:fill="F2F5F9"/>
          </w:tcPr>
          <w:p>
            <w:pPr>
              <w:spacing w:after="20" w:before="20"/>
            </w:pPr>
            <w:r/>
            <w:r>
              <w:rPr>
                <w:b w:val="0"/>
                <w:sz w:val="16"/>
              </w:rPr>
              <w:t>**Definitely available.** Hesters Ferry Campground is a county-managed former Corps park on Fishing Creek where it joins Thurmond Lake, close to the subdivision. Elijah Clark State Park is 21 miles by road.</w:t>
            </w:r>
          </w:p>
        </w:tc>
      </w:tr>
      <w:tr>
        <w:tc>
          <w:tcPr>
            <w:tcW w:type="dxa" w:w="2494"/>
          </w:tcPr>
          <w:p>
            <w:pPr>
              <w:spacing w:after="20" w:before="20"/>
            </w:pPr>
            <w:r/>
            <w:r>
              <w:rPr>
                <w:b w:val="0"/>
                <w:sz w:val="16"/>
              </w:rPr>
              <w:t>Public right to use the shoreline</w:t>
            </w:r>
          </w:p>
        </w:tc>
        <w:tc>
          <w:tcPr>
            <w:tcW w:type="dxa" w:w="6917"/>
          </w:tcPr>
          <w:p>
            <w:pPr>
              <w:spacing w:after="20" w:before="20"/>
            </w:pPr>
            <w:r/>
            <w:r>
              <w:rPr>
                <w:b w:val="0"/>
                <w:sz w:val="16"/>
              </w:rPr>
              <w:t>**Important:** USACE states the Thurmond Lake shoreline is open to use by the general public. Even an adjacent owner with a dock permit gets no exclusive-use rights over the federal shoreline.</w:t>
            </w:r>
          </w:p>
        </w:tc>
      </w:tr>
    </w:tbl>
    <w:p>
      <w:pPr>
        <w:spacing w:after="40"/>
      </w:pPr>
    </w:p>
    <w:p>
      <w:pPr>
        <w:spacing w:before="20" w:after="80"/>
      </w:pPr>
      <w:r>
        <w:rPr>
          <w:b/>
          <w:color w:val="B46B00"/>
          <w:sz w:val="15"/>
        </w:rPr>
        <w:t>[MODEL-DERIVED ESTIMATE]</w:t>
      </w:r>
      <w:r>
        <w:rPr>
          <w:i/>
          <w:color w:val="555555"/>
          <w:sz w:val="15"/>
        </w:rPr>
        <w:t xml:space="preserve">  Conclusion derived from 1 m lidar geometry. The recorded plat and the USACE boundary survey will settle it definitively.</w:t>
      </w:r>
    </w:p>
    <w:p>
      <w:pPr>
        <w:pStyle w:val="Heading2"/>
      </w:pPr>
      <w:r>
        <w:t>25. Lakeside terrain — road to house to lake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721"/>
            <w:shd w:val="clear" w:color="auto" w:fill="1F4E79"/>
          </w:tcPr>
          <w:p>
            <w:pPr>
              <w:spacing w:after="20" w:before="20"/>
            </w:pPr>
            <w:r/>
            <w:r>
              <w:rPr>
                <w:b/>
                <w:color w:val="FFFFFF"/>
                <w:sz w:val="16"/>
              </w:rPr>
              <w:t>Segment</w:t>
            </w:r>
          </w:p>
        </w:tc>
        <w:tc>
          <w:tcPr>
            <w:tcW w:type="dxa" w:w="1814"/>
            <w:shd w:val="clear" w:color="auto" w:fill="1F4E79"/>
          </w:tcPr>
          <w:p>
            <w:pPr>
              <w:spacing w:after="20" w:before="20"/>
            </w:pPr>
            <w:r/>
            <w:r>
              <w:rPr>
                <w:b/>
                <w:color w:val="FFFFFF"/>
                <w:sz w:val="16"/>
              </w:rPr>
              <w:t>Distance</w:t>
            </w:r>
          </w:p>
        </w:tc>
        <w:tc>
          <w:tcPr>
            <w:tcW w:type="dxa" w:w="2041"/>
            <w:shd w:val="clear" w:color="auto" w:fill="1F4E79"/>
          </w:tcPr>
          <w:p>
            <w:pPr>
              <w:spacing w:after="20" w:before="20"/>
            </w:pPr>
            <w:r/>
            <w:r>
              <w:rPr>
                <w:b/>
                <w:color w:val="FFFFFF"/>
                <w:sz w:val="16"/>
              </w:rPr>
              <w:t>Grade</w:t>
            </w:r>
          </w:p>
        </w:tc>
        <w:tc>
          <w:tcPr>
            <w:tcW w:type="dxa" w:w="2835"/>
            <w:shd w:val="clear" w:color="auto" w:fill="1F4E79"/>
          </w:tcPr>
          <w:p>
            <w:pPr>
              <w:spacing w:after="20" w:before="20"/>
            </w:pPr>
            <w:r/>
            <w:r>
              <w:rPr>
                <w:b/>
                <w:color w:val="FFFFFF"/>
                <w:sz w:val="16"/>
              </w:rPr>
              <w:t>Character</w:t>
            </w:r>
          </w:p>
        </w:tc>
      </w:tr>
      <w:tr>
        <w:tc>
          <w:tcPr>
            <w:tcW w:type="dxa" w:w="2721"/>
          </w:tcPr>
          <w:p>
            <w:pPr>
              <w:spacing w:after="20" w:before="20"/>
            </w:pPr>
            <w:r/>
            <w:r>
              <w:rPr>
                <w:b w:val="0"/>
                <w:sz w:val="16"/>
              </w:rPr>
              <w:t>Road to house pad (first ~100 ft)</w:t>
            </w:r>
          </w:p>
        </w:tc>
        <w:tc>
          <w:tcPr>
            <w:tcW w:type="dxa" w:w="1814"/>
          </w:tcPr>
          <w:p>
            <w:pPr>
              <w:spacing w:after="20" w:before="20"/>
            </w:pPr>
            <w:r/>
            <w:r>
              <w:rPr>
                <w:b w:val="0"/>
                <w:sz w:val="16"/>
              </w:rPr>
              <w:t>approx. 100 ft</w:t>
            </w:r>
          </w:p>
        </w:tc>
        <w:tc>
          <w:tcPr>
            <w:tcW w:type="dxa" w:w="2041"/>
          </w:tcPr>
          <w:p>
            <w:pPr>
              <w:spacing w:after="20" w:before="20"/>
            </w:pPr>
            <w:r/>
            <w:r>
              <w:rPr>
                <w:b w:val="0"/>
                <w:sz w:val="16"/>
              </w:rPr>
              <w:t>6–13 %</w:t>
            </w:r>
          </w:p>
        </w:tc>
        <w:tc>
          <w:tcPr>
            <w:tcW w:type="dxa" w:w="2835"/>
          </w:tcPr>
          <w:p>
            <w:pPr>
              <w:spacing w:after="20" w:before="20"/>
            </w:pPr>
            <w:r/>
            <w:r>
              <w:rPr>
                <w:b w:val="0"/>
                <w:sz w:val="16"/>
              </w:rPr>
              <w:t>Gentle; driveway feasible without switchbacks</w:t>
            </w:r>
          </w:p>
        </w:tc>
      </w:tr>
      <w:tr>
        <w:tc>
          <w:tcPr>
            <w:tcW w:type="dxa" w:w="2721"/>
            <w:shd w:val="clear" w:color="auto" w:fill="F2F5F9"/>
          </w:tcPr>
          <w:p>
            <w:pPr>
              <w:spacing w:after="20" w:before="20"/>
            </w:pPr>
            <w:r/>
            <w:r>
              <w:rPr>
                <w:b w:val="0"/>
                <w:sz w:val="16"/>
              </w:rPr>
              <w:t>House pad to rear lot line (to ~310 ft)</w:t>
            </w:r>
          </w:p>
        </w:tc>
        <w:tc>
          <w:tcPr>
            <w:tcW w:type="dxa" w:w="1814"/>
            <w:shd w:val="clear" w:color="auto" w:fill="F2F5F9"/>
          </w:tcPr>
          <w:p>
            <w:pPr>
              <w:spacing w:after="20" w:before="20"/>
            </w:pPr>
            <w:r/>
            <w:r>
              <w:rPr>
                <w:b w:val="0"/>
                <w:sz w:val="16"/>
              </w:rPr>
              <w:t>approx. 210 ft</w:t>
            </w:r>
          </w:p>
        </w:tc>
        <w:tc>
          <w:tcPr>
            <w:tcW w:type="dxa" w:w="2041"/>
            <w:shd w:val="clear" w:color="auto" w:fill="F2F5F9"/>
          </w:tcPr>
          <w:p>
            <w:pPr>
              <w:spacing w:after="20" w:before="20"/>
            </w:pPr>
            <w:r/>
            <w:r>
              <w:rPr>
                <w:b w:val="0"/>
                <w:sz w:val="16"/>
              </w:rPr>
              <w:t>6–13 %</w:t>
            </w:r>
          </w:p>
        </w:tc>
        <w:tc>
          <w:tcPr>
            <w:tcW w:type="dxa" w:w="2835"/>
            <w:shd w:val="clear" w:color="auto" w:fill="F2F5F9"/>
          </w:tcPr>
          <w:p>
            <w:pPr>
              <w:spacing w:after="20" w:before="20"/>
            </w:pPr>
            <w:r/>
            <w:r>
              <w:rPr>
                <w:b w:val="0"/>
                <w:sz w:val="16"/>
              </w:rPr>
              <w:t>Gentle to moderate; walkable garden slope</w:t>
            </w:r>
          </w:p>
        </w:tc>
      </w:tr>
      <w:tr>
        <w:tc>
          <w:tcPr>
            <w:tcW w:type="dxa" w:w="2721"/>
          </w:tcPr>
          <w:p>
            <w:pPr>
              <w:spacing w:after="20" w:before="20"/>
            </w:pPr>
            <w:r/>
            <w:r>
              <w:rPr>
                <w:b w:val="0"/>
                <w:sz w:val="16"/>
              </w:rPr>
              <w:t>Rear lot line to full pool</w:t>
            </w:r>
          </w:p>
        </w:tc>
        <w:tc>
          <w:tcPr>
            <w:tcW w:type="dxa" w:w="1814"/>
          </w:tcPr>
          <w:p>
            <w:pPr>
              <w:spacing w:after="20" w:before="20"/>
            </w:pPr>
            <w:r/>
            <w:r>
              <w:rPr>
                <w:b w:val="0"/>
                <w:sz w:val="16"/>
              </w:rPr>
              <w:t>approx. 160–380 ft</w:t>
            </w:r>
          </w:p>
        </w:tc>
        <w:tc>
          <w:tcPr>
            <w:tcW w:type="dxa" w:w="2041"/>
          </w:tcPr>
          <w:p>
            <w:pPr>
              <w:spacing w:after="20" w:before="20"/>
            </w:pPr>
            <w:r/>
            <w:r>
              <w:rPr>
                <w:b w:val="0"/>
                <w:sz w:val="16"/>
              </w:rPr>
              <w:t>9–12 % average, up to 24.5 % in places</w:t>
            </w:r>
          </w:p>
        </w:tc>
        <w:tc>
          <w:tcPr>
            <w:tcW w:type="dxa" w:w="2835"/>
          </w:tcPr>
          <w:p>
            <w:pPr>
              <w:spacing w:after="20" w:before="20"/>
            </w:pPr>
            <w:r/>
            <w:r>
              <w:rPr>
                <w:b w:val="0"/>
                <w:sz w:val="16"/>
              </w:rPr>
              <w:t>**On USACE land.** Moderate, with steeper pitches</w:t>
            </w:r>
          </w:p>
        </w:tc>
      </w:tr>
      <w:tr>
        <w:tc>
          <w:tcPr>
            <w:tcW w:type="dxa" w:w="2721"/>
            <w:shd w:val="clear" w:color="auto" w:fill="F2F5F9"/>
          </w:tcPr>
          <w:p>
            <w:pPr>
              <w:spacing w:after="20" w:before="20"/>
            </w:pPr>
            <w:r/>
            <w:r>
              <w:rPr>
                <w:b/>
                <w:sz w:val="16"/>
              </w:rPr>
              <w:t>Total, road to water</w:t>
            </w:r>
          </w:p>
        </w:tc>
        <w:tc>
          <w:tcPr>
            <w:tcW w:type="dxa" w:w="1814"/>
            <w:shd w:val="clear" w:color="auto" w:fill="F2F5F9"/>
          </w:tcPr>
          <w:p>
            <w:pPr>
              <w:spacing w:after="20" w:before="20"/>
            </w:pPr>
            <w:r/>
            <w:r>
              <w:rPr>
                <w:b/>
                <w:sz w:val="16"/>
              </w:rPr>
              <w:t>467–688 ft</w:t>
            </w:r>
          </w:p>
        </w:tc>
        <w:tc>
          <w:tcPr>
            <w:tcW w:type="dxa" w:w="2041"/>
            <w:shd w:val="clear" w:color="auto" w:fill="F2F5F9"/>
          </w:tcPr>
          <w:p>
            <w:pPr>
              <w:spacing w:after="20" w:before="20"/>
            </w:pPr>
            <w:r/>
            <w:r>
              <w:rPr>
                <w:b/>
                <w:sz w:val="16"/>
              </w:rPr>
              <w:t>9.0–11.7 % average</w:t>
            </w:r>
          </w:p>
        </w:tc>
        <w:tc>
          <w:tcPr>
            <w:tcW w:type="dxa" w:w="2835"/>
            <w:shd w:val="clear" w:color="auto" w:fill="F2F5F9"/>
          </w:tcPr>
          <w:p>
            <w:pPr>
              <w:spacing w:after="20" w:before="20"/>
            </w:pPr>
            <w:r/>
            <w:r>
              <w:rPr>
                <w:b/>
                <w:sz w:val="16"/>
              </w:rPr>
              <w:t>53–65 ft of vertical descent</w:t>
            </w:r>
          </w:p>
        </w:tc>
      </w:tr>
    </w:tbl>
    <w:p>
      <w:pPr>
        <w:spacing w:after="40"/>
      </w:pPr>
    </w:p>
    <w:p>
      <w:pPr>
        <w:spacing w:after="80" w:before="0"/>
      </w:pPr>
      <w:r>
        <w:rPr>
          <w:b/>
          <w:i w:val="0"/>
          <w:sz w:val="18"/>
        </w:rPr>
        <w:t>Classification of lake access:</w:t>
      </w:r>
    </w:p>
    <w:p>
      <w:pPr>
        <w:pStyle w:val="ListBullet"/>
        <w:spacing w:after="30"/>
        <w:ind w:left="369"/>
      </w:pPr>
      <w:r>
        <w:rPr>
          <w:b/>
          <w:sz w:val="19"/>
        </w:rPr>
        <w:t xml:space="preserve">Gentle — </w:t>
      </w:r>
      <w:r>
        <w:rPr>
          <w:sz w:val="19"/>
        </w:rPr>
        <w:t>yes, in gradient terms: 9–12 % average is a comfortable walking slope.</w:t>
      </w:r>
    </w:p>
    <w:p>
      <w:pPr>
        <w:pStyle w:val="ListBullet"/>
        <w:spacing w:after="30"/>
        <w:ind w:left="369"/>
      </w:pPr>
      <w:r>
        <w:rPr>
          <w:b/>
          <w:sz w:val="19"/>
        </w:rPr>
        <w:t xml:space="preserve">Moderate — </w:t>
      </w:r>
      <w:r>
        <w:rPr>
          <w:sz w:val="19"/>
        </w:rPr>
        <w:t>yes, in the localised 50 ft windows reaching 18.6–24.5 %.</w:t>
      </w:r>
    </w:p>
    <w:p>
      <w:pPr>
        <w:pStyle w:val="ListBullet"/>
        <w:spacing w:after="30"/>
        <w:ind w:left="369"/>
      </w:pPr>
      <w:r>
        <w:rPr>
          <w:b/>
          <w:sz w:val="19"/>
        </w:rPr>
        <w:t xml:space="preserve">Steep — </w:t>
      </w:r>
      <w:r>
        <w:rPr>
          <w:sz w:val="19"/>
        </w:rPr>
        <w:t>no. Nothing above 25 % was measured.</w:t>
      </w:r>
    </w:p>
    <w:p>
      <w:pPr>
        <w:pStyle w:val="ListBullet"/>
        <w:spacing w:after="30"/>
        <w:ind w:left="369"/>
      </w:pPr>
      <w:r>
        <w:rPr>
          <w:b/>
          <w:sz w:val="19"/>
        </w:rPr>
        <w:t xml:space="preserve">Requires stairs — </w:t>
      </w:r>
      <w:r>
        <w:rPr>
          <w:sz w:val="19"/>
        </w:rPr>
        <w:t>**not for gradient, but plausibly for length.** The issue is not steepness, it is that the walk to the water is 470–690 ft each way with a 53–65 ft climb on return — roughly equivalent to five storeys. Carrying coolers, fishing gear or small children up that is a daily-life consideration, not a trivial one.</w:t>
      </w:r>
    </w:p>
    <w:p>
      <w:pPr>
        <w:pStyle w:val="ListBullet"/>
        <w:spacing w:after="30"/>
        <w:ind w:left="369"/>
      </w:pPr>
      <w:r>
        <w:rPr>
          <w:b/>
          <w:sz w:val="19"/>
        </w:rPr>
        <w:t xml:space="preserve">Requires retaining wall — </w:t>
      </w:r>
      <w:r>
        <w:rPr>
          <w:sz w:val="19"/>
        </w:rPr>
        <w:t>possibly for the driveway and pad; not for lake access.</w:t>
      </w:r>
    </w:p>
    <w:p>
      <w:pPr>
        <w:pStyle w:val="ListBullet"/>
        <w:spacing w:after="30"/>
        <w:ind w:left="369"/>
      </w:pPr>
      <w:r>
        <w:rPr>
          <w:b/>
          <w:sz w:val="19"/>
        </w:rPr>
        <w:t xml:space="preserve">Requires significant grading — </w:t>
      </w:r>
      <w:r>
        <w:rPr>
          <w:sz w:val="19"/>
        </w:rPr>
        <w:t>for the building pad on the west frontage, yes; for lake access, no — a path would suffice.</w:t>
      </w:r>
    </w:p>
    <w:p>
      <w:pPr>
        <w:pStyle w:val="ListBullet"/>
        <w:spacing w:after="30"/>
        <w:ind w:left="369"/>
      </w:pPr>
      <w:r>
        <w:rPr>
          <w:b/>
          <w:sz w:val="19"/>
        </w:rPr>
        <w:t xml:space="preserve">Golf-cart or ATV access — </w:t>
      </w:r>
      <w:r>
        <w:rPr>
          <w:sz w:val="19"/>
        </w:rPr>
        <w:t>would materially improve usability, but any improvement on federal land requires a USACE permit.</w:t>
      </w:r>
    </w:p>
    <w:p>
      <w:pPr>
        <w:spacing w:before="20" w:after="80"/>
      </w:pPr>
      <w:r>
        <w:rPr>
          <w:b/>
          <w:color w:val="B46B00"/>
          <w:sz w:val="15"/>
        </w:rPr>
        <w:t>[MODEL-DERIVED ESTIMATE]</w:t>
      </w:r>
      <w:r>
        <w:rPr>
          <w:i/>
          <w:color w:val="555555"/>
          <w:sz w:val="15"/>
        </w:rPr>
        <w:t xml:space="preserve">  Distances and grades from 1 m lidar.</w:t>
      </w:r>
    </w:p>
    <w:p>
      <w:pPr>
        <w:pStyle w:val="Heading2"/>
      </w:pPr>
      <w:r>
        <w:t>26. Dock feasibility — THE CRITICAL ITEM</w:t>
      </w:r>
    </w:p>
    <w:tbl>
      <w:tblPr>
        <w:tblStyle w:val="TableGrid"/>
        <w:tblW w:type="auto" w:w="0"/>
        <w:tblLook w:firstColumn="1" w:firstRow="1" w:lastColumn="0" w:lastRow="0" w:noHBand="0" w:noVBand="1" w:val="04A0"/>
      </w:tblPr>
      <w:tblGrid>
        <w:gridCol w:w="9865"/>
      </w:tblGrid>
      <w:tr>
        <w:tc>
          <w:tcPr>
            <w:tcW w:type="dxa" w:w="9865"/>
            <w:shd w:val="clear" w:color="auto" w:fill="FDE7E9"/>
          </w:tcPr>
          <w:p>
            <w:pPr>
              <w:spacing w:before="40" w:after="20"/>
            </w:pPr>
            <w:r/>
            <w:r>
              <w:rPr>
                <w:b/>
                <w:color w:val="8A4100"/>
                <w:sz w:val="18"/>
              </w:rPr>
              <w:t>THE 2018 RULE CHANGE THAT GOVERNS THIS PURCHASE</w:t>
            </w:r>
          </w:p>
          <w:p>
            <w:pPr>
              <w:spacing w:after="40"/>
            </w:pPr>
            <w:r>
              <w:rPr>
                <w:sz w:val="17"/>
              </w:rPr>
              <w:t>The J. Strom Thurmond Lake Shoreline Management Plan was revised effective 1 May 2018. Two substantive changes bear directly on these lots: (1) a 20-FOOT MINIMUM SHARED BOUNDARY with federal land is now required to be eligible for new dock placement; and (2) FOR SUBDIVISIONS PLATTED AFTER 1 MAY 2018, ONLY COMMUNITY DOCKS WILL BE AUTHORISED, via agreements with the developer or the homeowners association. If Stillwater Coves — or the specific phase containing Lots 130 and 131 — was platted after that date, A PRIVATE INDIVIDUAL DOCK IS NOT AVAILABLE AT ANY PRICE. Establishing the plat recording date is therefore the single highest-value piece of due diligence on this property.</w:t>
            </w:r>
          </w:p>
        </w:tc>
      </w:tr>
    </w:tbl>
    <w:p>
      <w:pPr>
        <w:spacing w:after="60"/>
      </w:pPr>
    </w:p>
    <w:tbl>
      <w:tblPr>
        <w:tblStyle w:val="TableGrid"/>
        <w:tblW w:type="auto" w:w="0"/>
        <w:jc w:val="center"/>
        <w:tblLook w:firstColumn="1" w:firstRow="1" w:lastColumn="0" w:lastRow="0" w:noHBand="0" w:noVBand="1" w:val="04A0"/>
      </w:tblPr>
      <w:tblGrid>
        <w:gridCol w:w="4932"/>
        <w:gridCol w:w="4932"/>
      </w:tblGrid>
      <w:tr>
        <w:tc>
          <w:tcPr>
            <w:tcW w:type="dxa" w:w="2721"/>
            <w:shd w:val="clear" w:color="auto" w:fill="1F4E79"/>
          </w:tcPr>
          <w:p>
            <w:pPr>
              <w:spacing w:after="20" w:before="20"/>
            </w:pPr>
            <w:r/>
            <w:r>
              <w:rPr>
                <w:b/>
                <w:color w:val="FFFFFF"/>
                <w:sz w:val="16"/>
              </w:rPr>
              <w:t>Requirement / restriction</w:t>
            </w:r>
          </w:p>
        </w:tc>
        <w:tc>
          <w:tcPr>
            <w:tcW w:type="dxa" w:w="6690"/>
            <w:shd w:val="clear" w:color="auto" w:fill="1F4E79"/>
          </w:tcPr>
          <w:p>
            <w:pPr>
              <w:spacing w:after="20" w:before="20"/>
            </w:pPr>
            <w:r/>
            <w:r>
              <w:rPr>
                <w:b/>
                <w:color w:val="FFFFFF"/>
                <w:sz w:val="16"/>
              </w:rPr>
              <w:t>What the record shows</w:t>
            </w:r>
          </w:p>
        </w:tc>
      </w:tr>
      <w:tr>
        <w:tc>
          <w:tcPr>
            <w:tcW w:type="dxa" w:w="2721"/>
          </w:tcPr>
          <w:p>
            <w:pPr>
              <w:spacing w:after="20" w:before="20"/>
            </w:pPr>
            <w:r/>
            <w:r>
              <w:rPr>
                <w:b/>
                <w:sz w:val="16"/>
              </w:rPr>
              <w:t>Who authorises a dock</w:t>
            </w:r>
          </w:p>
        </w:tc>
        <w:tc>
          <w:tcPr>
            <w:tcW w:type="dxa" w:w="6690"/>
          </w:tcPr>
          <w:p>
            <w:pPr>
              <w:spacing w:after="20" w:before="20"/>
            </w:pPr>
            <w:r/>
            <w:r>
              <w:rPr>
                <w:b w:val="0"/>
                <w:sz w:val="16"/>
              </w:rPr>
              <w:t>The US Army Corps of Engineers, Savannah District, through a Shoreline Use Permit. **Not** the seller, the HOA, the county or the listing agent.</w:t>
            </w:r>
          </w:p>
        </w:tc>
      </w:tr>
      <w:tr>
        <w:tc>
          <w:tcPr>
            <w:tcW w:type="dxa" w:w="2721"/>
            <w:shd w:val="clear" w:color="auto" w:fill="F2F5F9"/>
          </w:tcPr>
          <w:p>
            <w:pPr>
              <w:spacing w:after="20" w:before="20"/>
            </w:pPr>
            <w:r/>
            <w:r>
              <w:rPr>
                <w:b/>
                <w:sz w:val="16"/>
              </w:rPr>
              <w:t>Shoreline allocation</w:t>
            </w:r>
          </w:p>
        </w:tc>
        <w:tc>
          <w:tcPr>
            <w:tcW w:type="dxa" w:w="6690"/>
            <w:shd w:val="clear" w:color="auto" w:fill="F2F5F9"/>
          </w:tcPr>
          <w:p>
            <w:pPr>
              <w:spacing w:after="20" w:before="20"/>
            </w:pPr>
            <w:r/>
            <w:r>
              <w:rPr>
                <w:b w:val="0"/>
                <w:sz w:val="16"/>
              </w:rPr>
              <w:t>Permits are possible only where the adjacent shoreline is allocated as a Limited Development Area. Approximately 18 % of the shoreline (about 211 miles) carries that allocation. **Permits are prohibited in some areas.** Allocation for this specific frontage is **unverified**.</w:t>
            </w:r>
          </w:p>
        </w:tc>
      </w:tr>
      <w:tr>
        <w:tc>
          <w:tcPr>
            <w:tcW w:type="dxa" w:w="2721"/>
          </w:tcPr>
          <w:p>
            <w:pPr>
              <w:spacing w:after="20" w:before="20"/>
            </w:pPr>
            <w:r/>
            <w:r>
              <w:rPr>
                <w:b/>
                <w:sz w:val="16"/>
              </w:rPr>
              <w:t>How to verify allocation</w:t>
            </w:r>
          </w:p>
        </w:tc>
        <w:tc>
          <w:tcPr>
            <w:tcW w:type="dxa" w:w="6690"/>
          </w:tcPr>
          <w:p>
            <w:pPr>
              <w:spacing w:after="20" w:before="20"/>
            </w:pPr>
            <w:r/>
            <w:r>
              <w:rPr>
                <w:b w:val="0"/>
                <w:sz w:val="16"/>
              </w:rPr>
              <w:t>Contact the Thurmond Project Office, toll free 800-533-3478. Rangers will determine zoning and permit possibility for a specific site.</w:t>
            </w:r>
          </w:p>
        </w:tc>
      </w:tr>
      <w:tr>
        <w:tc>
          <w:tcPr>
            <w:tcW w:type="dxa" w:w="2721"/>
            <w:shd w:val="clear" w:color="auto" w:fill="F2F5F9"/>
          </w:tcPr>
          <w:p>
            <w:pPr>
              <w:spacing w:after="20" w:before="20"/>
            </w:pPr>
            <w:r/>
            <w:r>
              <w:rPr>
                <w:b/>
                <w:sz w:val="16"/>
              </w:rPr>
              <w:t>Access requirement</w:t>
            </w:r>
          </w:p>
        </w:tc>
        <w:tc>
          <w:tcPr>
            <w:tcW w:type="dxa" w:w="6690"/>
            <w:shd w:val="clear" w:color="auto" w:fill="F2F5F9"/>
          </w:tcPr>
          <w:p>
            <w:pPr>
              <w:spacing w:after="20" w:before="20"/>
            </w:pPr>
            <w:r/>
            <w:r>
              <w:rPr>
                <w:b w:val="0"/>
                <w:sz w:val="16"/>
              </w:rPr>
              <w:t>20 ft minimum shared boundary with federal land for new docks (2018 SMP).</w:t>
            </w:r>
          </w:p>
        </w:tc>
      </w:tr>
      <w:tr>
        <w:tc>
          <w:tcPr>
            <w:tcW w:type="dxa" w:w="2721"/>
          </w:tcPr>
          <w:p>
            <w:pPr>
              <w:spacing w:after="20" w:before="20"/>
            </w:pPr>
            <w:r/>
            <w:r>
              <w:rPr>
                <w:b/>
                <w:sz w:val="16"/>
              </w:rPr>
              <w:t>Post-2018 plats</w:t>
            </w:r>
          </w:p>
        </w:tc>
        <w:tc>
          <w:tcPr>
            <w:tcW w:type="dxa" w:w="6690"/>
          </w:tcPr>
          <w:p>
            <w:pPr>
              <w:spacing w:after="20" w:before="20"/>
            </w:pPr>
            <w:r/>
            <w:r>
              <w:rPr>
                <w:b w:val="0"/>
                <w:sz w:val="16"/>
              </w:rPr>
              <w:t>Community docks only.</w:t>
            </w:r>
          </w:p>
        </w:tc>
      </w:tr>
      <w:tr>
        <w:tc>
          <w:tcPr>
            <w:tcW w:type="dxa" w:w="2721"/>
            <w:shd w:val="clear" w:color="auto" w:fill="F2F5F9"/>
          </w:tcPr>
          <w:p>
            <w:pPr>
              <w:spacing w:after="20" w:before="20"/>
            </w:pPr>
            <w:r/>
            <w:r>
              <w:rPr>
                <w:b/>
                <w:sz w:val="16"/>
              </w:rPr>
              <w:t>Permit term</w:t>
            </w:r>
          </w:p>
        </w:tc>
        <w:tc>
          <w:tcPr>
            <w:tcW w:type="dxa" w:w="6690"/>
            <w:shd w:val="clear" w:color="auto" w:fill="F2F5F9"/>
          </w:tcPr>
          <w:p>
            <w:pPr>
              <w:spacing w:after="20" w:before="20"/>
            </w:pPr>
            <w:r/>
            <w:r>
              <w:rPr>
                <w:b w:val="0"/>
                <w:sz w:val="16"/>
              </w:rPr>
              <w:t>Maximum five years.</w:t>
            </w:r>
          </w:p>
        </w:tc>
      </w:tr>
      <w:tr>
        <w:tc>
          <w:tcPr>
            <w:tcW w:type="dxa" w:w="2721"/>
          </w:tcPr>
          <w:p>
            <w:pPr>
              <w:spacing w:after="20" w:before="20"/>
            </w:pPr>
            <w:r/>
            <w:r>
              <w:rPr>
                <w:b/>
                <w:sz w:val="16"/>
              </w:rPr>
              <w:t>Transferability</w:t>
            </w:r>
          </w:p>
        </w:tc>
        <w:tc>
          <w:tcPr>
            <w:tcW w:type="dxa" w:w="6690"/>
          </w:tcPr>
          <w:p>
            <w:pPr>
              <w:spacing w:after="20" w:before="20"/>
            </w:pPr>
            <w:r/>
            <w:r>
              <w:rPr>
                <w:b w:val="0"/>
                <w:sz w:val="16"/>
              </w:rPr>
              <w:t>**Non-transferable.** A permit becomes null and void at the moment the adjacent private property is sold or transferred. The new owner must contact the Thurmond Project Office to obtain a fresh five-year permit.</w:t>
            </w:r>
          </w:p>
        </w:tc>
      </w:tr>
      <w:tr>
        <w:tc>
          <w:tcPr>
            <w:tcW w:type="dxa" w:w="2721"/>
            <w:shd w:val="clear" w:color="auto" w:fill="F2F5F9"/>
          </w:tcPr>
          <w:p>
            <w:pPr>
              <w:spacing w:after="20" w:before="20"/>
            </w:pPr>
            <w:r/>
            <w:r>
              <w:rPr>
                <w:b/>
                <w:sz w:val="16"/>
              </w:rPr>
              <w:t>Property rights conveyed</w:t>
            </w:r>
          </w:p>
        </w:tc>
        <w:tc>
          <w:tcPr>
            <w:tcW w:type="dxa" w:w="6690"/>
            <w:shd w:val="clear" w:color="auto" w:fill="F2F5F9"/>
          </w:tcPr>
          <w:p>
            <w:pPr>
              <w:spacing w:after="20" w:before="20"/>
            </w:pPr>
            <w:r/>
            <w:r>
              <w:rPr>
                <w:b w:val="0"/>
                <w:sz w:val="16"/>
              </w:rPr>
              <w:t>**None.** Permits grant no real estate rights and convey no private exclusive-use privileges on government property.</w:t>
            </w:r>
          </w:p>
        </w:tc>
      </w:tr>
      <w:tr>
        <w:tc>
          <w:tcPr>
            <w:tcW w:type="dxa" w:w="2721"/>
          </w:tcPr>
          <w:p>
            <w:pPr>
              <w:spacing w:after="20" w:before="20"/>
            </w:pPr>
            <w:r/>
            <w:r>
              <w:rPr>
                <w:b/>
                <w:sz w:val="16"/>
              </w:rPr>
              <w:t>Public access over the shoreline</w:t>
            </w:r>
          </w:p>
        </w:tc>
        <w:tc>
          <w:tcPr>
            <w:tcW w:type="dxa" w:w="6690"/>
          </w:tcPr>
          <w:p>
            <w:pPr>
              <w:spacing w:after="20" w:before="20"/>
            </w:pPr>
            <w:r/>
            <w:r>
              <w:rPr>
                <w:b w:val="0"/>
                <w:sz w:val="16"/>
              </w:rPr>
              <w:t>Retained — the shoreline remains open to the general public.</w:t>
            </w:r>
          </w:p>
        </w:tc>
      </w:tr>
      <w:tr>
        <w:tc>
          <w:tcPr>
            <w:tcW w:type="dxa" w:w="2721"/>
            <w:shd w:val="clear" w:color="auto" w:fill="F2F5F9"/>
          </w:tcPr>
          <w:p>
            <w:pPr>
              <w:spacing w:after="20" w:before="20"/>
            </w:pPr>
            <w:r/>
            <w:r>
              <w:rPr>
                <w:b/>
                <w:sz w:val="16"/>
              </w:rPr>
              <w:t>Other applicable law</w:t>
            </w:r>
          </w:p>
        </w:tc>
        <w:tc>
          <w:tcPr>
            <w:tcW w:type="dxa" w:w="6690"/>
            <w:shd w:val="clear" w:color="auto" w:fill="F2F5F9"/>
          </w:tcPr>
          <w:p>
            <w:pPr>
              <w:spacing w:after="20" w:before="20"/>
            </w:pPr>
            <w:r/>
            <w:r>
              <w:rPr>
                <w:b w:val="0"/>
                <w:sz w:val="16"/>
              </w:rPr>
              <w:t>Ownership, construction, operation, use and maintenance of a permitted facility remain subject to all applicable federal, state and local laws. Failure to comply may cause revocation.</w:t>
            </w:r>
          </w:p>
        </w:tc>
      </w:tr>
      <w:tr>
        <w:tc>
          <w:tcPr>
            <w:tcW w:type="dxa" w:w="2721"/>
          </w:tcPr>
          <w:p>
            <w:pPr>
              <w:spacing w:after="20" w:before="20"/>
            </w:pPr>
            <w:r/>
            <w:r>
              <w:rPr>
                <w:b/>
                <w:sz w:val="16"/>
              </w:rPr>
              <w:t>Dock size limitations</w:t>
            </w:r>
          </w:p>
        </w:tc>
        <w:tc>
          <w:tcPr>
            <w:tcW w:type="dxa" w:w="6690"/>
          </w:tcPr>
          <w:p>
            <w:pPr>
              <w:spacing w:after="20" w:before="20"/>
            </w:pPr>
            <w:r/>
            <w:r>
              <w:rPr>
                <w:b w:val="0"/>
                <w:sz w:val="16"/>
              </w:rPr>
              <w:t>Governed by the SMP's dock facilities and requirements provisions. **Specific dimensions not retrieved** — the USACE PDFs returned HTTP 403.</w:t>
            </w:r>
          </w:p>
        </w:tc>
      </w:tr>
      <w:tr>
        <w:tc>
          <w:tcPr>
            <w:tcW w:type="dxa" w:w="2721"/>
            <w:shd w:val="clear" w:color="auto" w:fill="F2F5F9"/>
          </w:tcPr>
          <w:p>
            <w:pPr>
              <w:spacing w:after="20" w:before="20"/>
            </w:pPr>
            <w:r/>
            <w:r>
              <w:rPr>
                <w:b/>
                <w:sz w:val="16"/>
              </w:rPr>
              <w:t>HOA restrictions</w:t>
            </w:r>
          </w:p>
        </w:tc>
        <w:tc>
          <w:tcPr>
            <w:tcW w:type="dxa" w:w="6690"/>
            <w:shd w:val="clear" w:color="auto" w:fill="F2F5F9"/>
          </w:tcPr>
          <w:p>
            <w:pPr>
              <w:spacing w:after="20" w:before="20"/>
            </w:pPr>
            <w:r/>
            <w:r>
              <w:rPr>
                <w:b w:val="0"/>
                <w:sz w:val="16"/>
              </w:rPr>
              <w:t>Stillwater Coves has an architectural approval process. Any dock-related covenant is **unverified** — obtain the CC&amp;Rs.</w:t>
            </w:r>
          </w:p>
        </w:tc>
      </w:tr>
      <w:tr>
        <w:tc>
          <w:tcPr>
            <w:tcW w:type="dxa" w:w="2721"/>
          </w:tcPr>
          <w:p>
            <w:pPr>
              <w:spacing w:after="20" w:before="20"/>
            </w:pPr>
            <w:r/>
            <w:r>
              <w:rPr>
                <w:b/>
                <w:sz w:val="16"/>
              </w:rPr>
              <w:t>County / state regulations</w:t>
            </w:r>
          </w:p>
        </w:tc>
        <w:tc>
          <w:tcPr>
            <w:tcW w:type="dxa" w:w="6690"/>
          </w:tcPr>
          <w:p>
            <w:pPr>
              <w:spacing w:after="20" w:before="20"/>
            </w:pPr>
            <w:r/>
            <w:r>
              <w:rPr>
                <w:b w:val="0"/>
                <w:sz w:val="16"/>
              </w:rPr>
              <w:t>Additional state (Georgia DNR) and county requirements may apply to shoreline work. **Unverified for this site.**</w:t>
            </w:r>
          </w:p>
        </w:tc>
      </w:tr>
      <w:tr>
        <w:tc>
          <w:tcPr>
            <w:tcW w:type="dxa" w:w="2721"/>
            <w:shd w:val="clear" w:color="auto" w:fill="F2F5F9"/>
          </w:tcPr>
          <w:p>
            <w:pPr>
              <w:spacing w:after="20" w:before="20"/>
            </w:pPr>
            <w:r/>
            <w:r>
              <w:rPr>
                <w:b/>
                <w:sz w:val="16"/>
              </w:rPr>
              <w:t>Riparian rights</w:t>
            </w:r>
          </w:p>
        </w:tc>
        <w:tc>
          <w:tcPr>
            <w:tcW w:type="dxa" w:w="6690"/>
            <w:shd w:val="clear" w:color="auto" w:fill="F2F5F9"/>
          </w:tcPr>
          <w:p>
            <w:pPr>
              <w:spacing w:after="20" w:before="20"/>
            </w:pPr>
            <w:r/>
            <w:r>
              <w:rPr>
                <w:b w:val="0"/>
                <w:sz w:val="16"/>
              </w:rPr>
              <w:t>Effectively displaced by federal ownership of the shoreline. This is a permit regime, not a riparian-rights regime.</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"DOCKABLE" AND "VERBAL APPROVAL" ARE NOT PERMITS</w:t>
            </w:r>
          </w:p>
          <w:p>
            <w:pPr>
              <w:spacing w:after="40"/>
            </w:pPr>
            <w:r>
              <w:rPr>
                <w:sz w:val="17"/>
              </w:rPr>
              <w:t>The marketing for these lots asserts both are "DOCKABLE". A neighbouring Stillwater Coves listing goes further and cites "Corps of Engineers verbal approval". Treat both as unverified sales claims. A verbal indication from a ranger is not a Shoreline Use Permit, is not binding, and would in any event expire and need re-issuing on transfer of the property. Require written confirmation of (a) the shoreline allocation class for this frontage, (b) eligibility under the 20 ft shared-boundary rule, and (c) whether the plat date limits you to a community dock. Make the contingency specific and in writing.</w:t>
            </w:r>
          </w:p>
        </w:tc>
      </w:tr>
    </w:tbl>
    <w:p>
      <w:pPr>
        <w:spacing w:after="60"/>
      </w:pPr>
    </w:p>
    <w:p>
      <w:pPr>
        <w:spacing w:before="20" w:after="80"/>
      </w:pPr>
      <w:r>
        <w:rPr>
          <w:b/>
          <w:color w:val="1E6B3A"/>
          <w:sz w:val="15"/>
        </w:rPr>
        <w:t>[DOCUMENTED]</w:t>
      </w:r>
      <w:r>
        <w:rPr>
          <w:i/>
          <w:color w:val="555555"/>
          <w:sz w:val="15"/>
        </w:rPr>
        <w:t xml:space="preserve">  USACE Savannah District published policy and the 2018 SMP news release. Site-specific eligibility is UNVERIFIED and must come from the Thurmond Project Office.</w:t>
      </w:r>
    </w:p>
    <w:p>
      <w:pPr>
        <w:pStyle w:val="Heading2"/>
      </w:pPr>
      <w:r>
        <w:t>27. Lake depth</w:t>
      </w:r>
    </w:p>
    <w:tbl>
      <w:tblPr>
        <w:tblStyle w:val="TableGrid"/>
        <w:tblW w:type="auto" w:w="0"/>
        <w:jc w:val="center"/>
        <w:tblLook w:firstColumn="1" w:firstRow="1" w:lastColumn="0" w:lastRow="0" w:noHBand="0" w:noVBand="1" w:val="04A0"/>
      </w:tblPr>
      <w:tblGrid>
        <w:gridCol w:w="3288"/>
        <w:gridCol w:w="3288"/>
        <w:gridCol w:w="3288"/>
      </w:tblGrid>
      <w:tr>
        <w:tc>
          <w:tcPr>
            <w:tcW w:type="dxa" w:w="2381"/>
            <w:shd w:val="clear" w:color="auto" w:fill="1F4E79"/>
          </w:tcPr>
          <w:p>
            <w:pPr>
              <w:spacing w:after="20" w:before="20"/>
            </w:pPr>
            <w:r/>
            <w:r>
              <w:rPr>
                <w:b/>
                <w:color w:val="FFFFFF"/>
                <w:sz w:val="16"/>
              </w:rPr>
              <w:t>Measure</w:t>
            </w:r>
          </w:p>
        </w:tc>
        <w:tc>
          <w:tcPr>
            <w:tcW w:type="dxa" w:w="5329"/>
            <w:shd w:val="clear" w:color="auto" w:fill="1F4E79"/>
          </w:tcPr>
          <w:p>
            <w:pPr>
              <w:spacing w:after="20" w:before="20"/>
            </w:pPr>
            <w:r/>
            <w:r>
              <w:rPr>
                <w:b/>
                <w:color w:val="FFFFFF"/>
                <w:sz w:val="16"/>
              </w:rPr>
              <w:t>Value</w:t>
            </w:r>
          </w:p>
        </w:tc>
        <w:tc>
          <w:tcPr>
            <w:tcW w:type="dxa" w:w="1701"/>
            <w:shd w:val="clear" w:color="auto" w:fill="1F4E79"/>
          </w:tcPr>
          <w:p>
            <w:pPr>
              <w:spacing w:after="20" w:before="20"/>
            </w:pPr>
            <w:r/>
            <w:r>
              <w:rPr>
                <w:b/>
                <w:color w:val="FFFFFF"/>
                <w:sz w:val="16"/>
              </w:rPr>
              <w:t>Confidence</w:t>
            </w:r>
          </w:p>
        </w:tc>
      </w:tr>
      <w:tr>
        <w:tc>
          <w:tcPr>
            <w:tcW w:type="dxa" w:w="2381"/>
          </w:tcPr>
          <w:p>
            <w:pPr>
              <w:spacing w:after="20" w:before="20"/>
            </w:pPr>
            <w:r/>
            <w:r>
              <w:rPr>
                <w:b w:val="0"/>
                <w:sz w:val="16"/>
              </w:rPr>
              <w:t>Average depth, whole lake</w:t>
            </w:r>
          </w:p>
        </w:tc>
        <w:tc>
          <w:tcPr>
            <w:tcW w:type="dxa" w:w="5329"/>
          </w:tcPr>
          <w:p>
            <w:pPr>
              <w:spacing w:after="20" w:before="20"/>
            </w:pPr>
            <w:r/>
            <w:r>
              <w:rPr>
                <w:b w:val="0"/>
                <w:sz w:val="16"/>
              </w:rPr>
              <w:t>approx. 37 ft</w:t>
            </w:r>
          </w:p>
        </w:tc>
        <w:tc>
          <w:tcPr>
            <w:tcW w:type="dxa" w:w="1701"/>
          </w:tcPr>
          <w:p>
            <w:pPr>
              <w:spacing w:after="20" w:before="20"/>
            </w:pPr>
            <w:r/>
            <w:r>
              <w:rPr>
                <w:b w:val="0"/>
                <w:sz w:val="16"/>
              </w:rPr>
              <w:t>Published</w:t>
            </w:r>
          </w:p>
        </w:tc>
      </w:tr>
      <w:tr>
        <w:tc>
          <w:tcPr>
            <w:tcW w:type="dxa" w:w="2381"/>
            <w:shd w:val="clear" w:color="auto" w:fill="F2F5F9"/>
          </w:tcPr>
          <w:p>
            <w:pPr>
              <w:spacing w:after="20" w:before="20"/>
            </w:pPr>
            <w:r/>
            <w:r>
              <w:rPr>
                <w:b w:val="0"/>
                <w:sz w:val="16"/>
              </w:rPr>
              <w:t>Maximum depth, whole lake</w:t>
            </w:r>
          </w:p>
        </w:tc>
        <w:tc>
          <w:tcPr>
            <w:tcW w:type="dxa" w:w="5329"/>
            <w:shd w:val="clear" w:color="auto" w:fill="F2F5F9"/>
          </w:tcPr>
          <w:p>
            <w:pPr>
              <w:spacing w:after="20" w:before="20"/>
            </w:pPr>
            <w:r/>
            <w:r>
              <w:rPr>
                <w:b w:val="0"/>
                <w:sz w:val="16"/>
              </w:rPr>
              <w:t>approx. 180 ft (lower figures of 110 ft also cited)</w:t>
            </w:r>
          </w:p>
        </w:tc>
        <w:tc>
          <w:tcPr>
            <w:tcW w:type="dxa" w:w="1701"/>
            <w:shd w:val="clear" w:color="auto" w:fill="F2F5F9"/>
          </w:tcPr>
          <w:p>
            <w:pPr>
              <w:spacing w:after="20" w:before="20"/>
            </w:pPr>
            <w:r/>
            <w:r>
              <w:rPr>
                <w:b w:val="0"/>
                <w:sz w:val="16"/>
              </w:rPr>
              <w:t>Published — sources disagree</w:t>
            </w:r>
          </w:p>
        </w:tc>
      </w:tr>
      <w:tr>
        <w:tc>
          <w:tcPr>
            <w:tcW w:type="dxa" w:w="2381"/>
          </w:tcPr>
          <w:p>
            <w:pPr>
              <w:spacing w:after="20" w:before="20"/>
            </w:pPr>
            <w:r/>
            <w:r>
              <w:rPr>
                <w:b w:val="0"/>
                <w:sz w:val="16"/>
              </w:rPr>
              <w:t>Depth adjacent to the property</w:t>
            </w:r>
          </w:p>
        </w:tc>
        <w:tc>
          <w:tcPr>
            <w:tcW w:type="dxa" w:w="5329"/>
          </w:tcPr>
          <w:p>
            <w:pPr>
              <w:spacing w:after="20" w:before="20"/>
            </w:pPr>
            <w:r/>
            <w:r>
              <w:rPr>
                <w:b w:val="0"/>
                <w:sz w:val="16"/>
              </w:rPr>
              <w:t>**NOT DETERMINED.** No bathymetric survey of the Fishing Creek arm at this location was obtained.</w:t>
            </w:r>
          </w:p>
        </w:tc>
        <w:tc>
          <w:tcPr>
            <w:tcW w:type="dxa" w:w="1701"/>
          </w:tcPr>
          <w:p>
            <w:pPr>
              <w:spacing w:after="20" w:before="20"/>
            </w:pPr>
            <w:r/>
            <w:r>
              <w:rPr>
                <w:b w:val="0"/>
                <w:sz w:val="16"/>
              </w:rPr>
              <w:t>Not available</w:t>
            </w:r>
          </w:p>
        </w:tc>
      </w:tr>
      <w:tr>
        <w:tc>
          <w:tcPr>
            <w:tcW w:type="dxa" w:w="2381"/>
            <w:shd w:val="clear" w:color="auto" w:fill="F2F5F9"/>
          </w:tcPr>
          <w:p>
            <w:pPr>
              <w:spacing w:after="20" w:before="20"/>
            </w:pPr>
            <w:r/>
            <w:r>
              <w:rPr>
                <w:b w:val="0"/>
                <w:sz w:val="16"/>
              </w:rPr>
              <w:t>Seasonal water-level variation</w:t>
            </w:r>
          </w:p>
        </w:tc>
        <w:tc>
          <w:tcPr>
            <w:tcW w:type="dxa" w:w="5329"/>
            <w:shd w:val="clear" w:color="auto" w:fill="F2F5F9"/>
          </w:tcPr>
          <w:p>
            <w:pPr>
              <w:spacing w:after="20" w:before="20"/>
            </w:pPr>
            <w:r/>
            <w:r>
              <w:rPr>
                <w:b w:val="0"/>
                <w:sz w:val="16"/>
              </w:rPr>
              <w:t>Conservation pool spans 312–330 ft, i.e. **up to 18 ft** of operating range, and the project runs a seasonal drawdown of the flood-control pool. Normal drawdown limit is 305 ft.</w:t>
            </w:r>
          </w:p>
        </w:tc>
        <w:tc>
          <w:tcPr>
            <w:tcW w:type="dxa" w:w="1701"/>
            <w:shd w:val="clear" w:color="auto" w:fill="F2F5F9"/>
          </w:tcPr>
          <w:p>
            <w:pPr>
              <w:spacing w:after="20" w:before="20"/>
            </w:pPr>
            <w:r/>
            <w:r>
              <w:rPr>
                <w:b w:val="0"/>
                <w:sz w:val="16"/>
              </w:rPr>
              <w:t>Documented (USACE)</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THE DRAWDOWN QUESTION — A COVE-SPECIFIC RISK</w:t>
            </w:r>
          </w:p>
          <w:p>
            <w:pPr>
              <w:spacing w:after="40"/>
            </w:pPr>
            <w:r>
              <w:rPr>
                <w:sz w:val="17"/>
              </w:rPr>
              <w:t>An 18 ft conservation-pool range is a lot of vertical movement in a shallow cove at the head of a creek arm. In drought years, coves of this type at Thurmond routinely go dry or become mudflat, stranding docks and eliminating boat access for months. Because this lot sits on a creek-arm cove rather than the main lake body, this risk is above average. Obtain bathymetry near the frontage and ask the Thurmond Project Office and existing neighbours what the water does at elevation 320, 315 and 312 ft. USACE publishes boat-ramp bottom elevations, which is a useful proxy for when access fails.</w:t>
            </w:r>
          </w:p>
        </w:tc>
      </w:tr>
    </w:tbl>
    <w:p>
      <w:pPr>
        <w:spacing w:after="60"/>
      </w:pPr>
    </w:p>
    <w:p>
      <w:pPr>
        <w:spacing w:before="20" w:after="80"/>
      </w:pPr>
      <w:r>
        <w:rPr>
          <w:b/>
          <w:color w:val="C01F2B"/>
          <w:sz w:val="15"/>
        </w:rPr>
        <w:t>[REQUIRES PROFESSIONAL / OFFICIAL VERIFICATION]</w:t>
      </w:r>
      <w:r>
        <w:rPr>
          <w:i/>
          <w:color w:val="555555"/>
          <w:sz w:val="15"/>
        </w:rPr>
        <w:t xml:space="preserve">  Site-specific depth and drawdown behaviour require bathymetric data and local knowledge.</w:t>
      </w:r>
    </w:p>
    <w:p>
      <w:pPr>
        <w:pStyle w:val="Heading2"/>
      </w:pPr>
      <w:r>
        <w:t>28. Boating</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Question</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Are boats permitted?</w:t>
            </w:r>
          </w:p>
        </w:tc>
        <w:tc>
          <w:tcPr>
            <w:tcW w:type="dxa" w:w="6917"/>
          </w:tcPr>
          <w:p>
            <w:pPr>
              <w:spacing w:after="20" w:before="20"/>
            </w:pPr>
            <w:r/>
            <w:r>
              <w:rPr>
                <w:b w:val="0"/>
                <w:sz w:val="16"/>
              </w:rPr>
              <w:t>**Yes** — Thurmond is a major recreational boating lake</w:t>
            </w:r>
          </w:p>
        </w:tc>
      </w:tr>
      <w:tr>
        <w:tc>
          <w:tcPr>
            <w:tcW w:type="dxa" w:w="2494"/>
            <w:shd w:val="clear" w:color="auto" w:fill="F2F5F9"/>
          </w:tcPr>
          <w:p>
            <w:pPr>
              <w:spacing w:after="20" w:before="20"/>
            </w:pPr>
            <w:r/>
            <w:r>
              <w:rPr>
                <w:b w:val="0"/>
                <w:sz w:val="16"/>
              </w:rPr>
              <w:t>Motorised boating</w:t>
            </w:r>
          </w:p>
        </w:tc>
        <w:tc>
          <w:tcPr>
            <w:tcW w:type="dxa" w:w="6917"/>
            <w:shd w:val="clear" w:color="auto" w:fill="F2F5F9"/>
          </w:tcPr>
          <w:p>
            <w:pPr>
              <w:spacing w:after="20" w:before="20"/>
            </w:pPr>
            <w:r/>
            <w:r>
              <w:rPr>
                <w:b w:val="0"/>
                <w:sz w:val="16"/>
              </w:rPr>
              <w:t>Permitted</w:t>
            </w:r>
          </w:p>
        </w:tc>
      </w:tr>
      <w:tr>
        <w:tc>
          <w:tcPr>
            <w:tcW w:type="dxa" w:w="2494"/>
          </w:tcPr>
          <w:p>
            <w:pPr>
              <w:spacing w:after="20" w:before="20"/>
            </w:pPr>
            <w:r/>
            <w:r>
              <w:rPr>
                <w:b w:val="0"/>
                <w:sz w:val="16"/>
              </w:rPr>
              <w:t>Boat types</w:t>
            </w:r>
          </w:p>
        </w:tc>
        <w:tc>
          <w:tcPr>
            <w:tcW w:type="dxa" w:w="6917"/>
          </w:tcPr>
          <w:p>
            <w:pPr>
              <w:spacing w:after="20" w:before="20"/>
            </w:pPr>
            <w:r/>
            <w:r>
              <w:rPr>
                <w:b w:val="0"/>
                <w:sz w:val="16"/>
              </w:rPr>
              <w:t>Full range: powerboats, pontoons, sailing craft, personal watercraft, kayaks and canoes</w:t>
            </w:r>
          </w:p>
        </w:tc>
      </w:tr>
      <w:tr>
        <w:tc>
          <w:tcPr>
            <w:tcW w:type="dxa" w:w="2494"/>
            <w:shd w:val="clear" w:color="auto" w:fill="F2F5F9"/>
          </w:tcPr>
          <w:p>
            <w:pPr>
              <w:spacing w:after="20" w:before="20"/>
            </w:pPr>
            <w:r/>
            <w:r>
              <w:rPr>
                <w:b w:val="0"/>
                <w:sz w:val="16"/>
              </w:rPr>
              <w:t>Wake boats</w:t>
            </w:r>
          </w:p>
        </w:tc>
        <w:tc>
          <w:tcPr>
            <w:tcW w:type="dxa" w:w="6917"/>
            <w:shd w:val="clear" w:color="auto" w:fill="F2F5F9"/>
          </w:tcPr>
          <w:p>
            <w:pPr>
              <w:spacing w:after="20" w:before="20"/>
            </w:pPr>
            <w:r/>
            <w:r>
              <w:rPr>
                <w:b w:val="0"/>
                <w:sz w:val="16"/>
              </w:rPr>
              <w:t>No lake-wide prohibition identified; local wake, no-wake and idle zones apply near ramps, marinas, docks and swim areas — **verify current rules**</w:t>
            </w:r>
          </w:p>
        </w:tc>
      </w:tr>
      <w:tr>
        <w:tc>
          <w:tcPr>
            <w:tcW w:type="dxa" w:w="2494"/>
          </w:tcPr>
          <w:p>
            <w:pPr>
              <w:spacing w:after="20" w:before="20"/>
            </w:pPr>
            <w:r/>
            <w:r>
              <w:rPr>
                <w:b w:val="0"/>
                <w:sz w:val="16"/>
              </w:rPr>
              <w:t>Speed restrictions</w:t>
            </w:r>
          </w:p>
        </w:tc>
        <w:tc>
          <w:tcPr>
            <w:tcW w:type="dxa" w:w="6917"/>
          </w:tcPr>
          <w:p>
            <w:pPr>
              <w:spacing w:after="20" w:before="20"/>
            </w:pPr>
            <w:r/>
            <w:r>
              <w:rPr>
                <w:b w:val="0"/>
                <w:sz w:val="16"/>
              </w:rPr>
              <w:t>Zone-specific rather than lake-wide; no-wake zones apply in coves, around structures and in designated areas</w:t>
            </w:r>
          </w:p>
        </w:tc>
      </w:tr>
      <w:tr>
        <w:tc>
          <w:tcPr>
            <w:tcW w:type="dxa" w:w="2494"/>
            <w:shd w:val="clear" w:color="auto" w:fill="F2F5F9"/>
          </w:tcPr>
          <w:p>
            <w:pPr>
              <w:spacing w:after="20" w:before="20"/>
            </w:pPr>
            <w:r/>
            <w:r>
              <w:rPr>
                <w:b w:val="0"/>
                <w:sz w:val="16"/>
              </w:rPr>
              <w:t>Boat ramps</w:t>
            </w:r>
          </w:p>
        </w:tc>
        <w:tc>
          <w:tcPr>
            <w:tcW w:type="dxa" w:w="6917"/>
            <w:shd w:val="clear" w:color="auto" w:fill="F2F5F9"/>
          </w:tcPr>
          <w:p>
            <w:pPr>
              <w:spacing w:after="20" w:before="20"/>
            </w:pPr>
            <w:r/>
            <w:r>
              <w:rPr>
                <w:b w:val="0"/>
                <w:sz w:val="16"/>
              </w:rPr>
              <w:t>Numerous USACE and county ramps. Hesters Ferry (county-managed, close by) and Elijah Clark State Park (21 mi) are the nearest. **USACE publishes boat-ramp bottom elevations — essential reading for drought years.**</w:t>
            </w:r>
          </w:p>
        </w:tc>
      </w:tr>
      <w:tr>
        <w:tc>
          <w:tcPr>
            <w:tcW w:type="dxa" w:w="2494"/>
          </w:tcPr>
          <w:p>
            <w:pPr>
              <w:spacing w:after="20" w:before="20"/>
            </w:pPr>
            <w:r/>
            <w:r>
              <w:rPr>
                <w:b w:val="0"/>
                <w:sz w:val="16"/>
              </w:rPr>
              <w:t>Marina facilities</w:t>
            </w:r>
          </w:p>
        </w:tc>
        <w:tc>
          <w:tcPr>
            <w:tcW w:type="dxa" w:w="6917"/>
          </w:tcPr>
          <w:p>
            <w:pPr>
              <w:spacing w:after="20" w:before="20"/>
            </w:pPr>
            <w:r/>
            <w:r>
              <w:rPr>
                <w:b w:val="0"/>
                <w:sz w:val="16"/>
              </w:rPr>
              <w:t>Present on the lake; none identified immediately adjacent to Stillwater Coves</w:t>
            </w:r>
          </w:p>
        </w:tc>
      </w:tr>
      <w:tr>
        <w:tc>
          <w:tcPr>
            <w:tcW w:type="dxa" w:w="2494"/>
            <w:shd w:val="clear" w:color="auto" w:fill="F2F5F9"/>
          </w:tcPr>
          <w:p>
            <w:pPr>
              <w:spacing w:after="20" w:before="20"/>
            </w:pPr>
            <w:r/>
            <w:r>
              <w:rPr>
                <w:b w:val="0"/>
                <w:sz w:val="16"/>
              </w:rPr>
              <w:t>Registration</w:t>
            </w:r>
          </w:p>
        </w:tc>
        <w:tc>
          <w:tcPr>
            <w:tcW w:type="dxa" w:w="6917"/>
            <w:shd w:val="clear" w:color="auto" w:fill="F2F5F9"/>
          </w:tcPr>
          <w:p>
            <w:pPr>
              <w:spacing w:after="20" w:before="20"/>
            </w:pPr>
            <w:r/>
            <w:r>
              <w:rPr>
                <w:b w:val="0"/>
                <w:sz w:val="16"/>
              </w:rPr>
              <w:t>Vessels must be registered; Georgia or South Carolina registration applies depending on principal use — this is a boundary-water lake</w:t>
            </w:r>
          </w:p>
        </w:tc>
      </w:tr>
      <w:tr>
        <w:tc>
          <w:tcPr>
            <w:tcW w:type="dxa" w:w="2494"/>
          </w:tcPr>
          <w:p>
            <w:pPr>
              <w:spacing w:after="20" w:before="20"/>
            </w:pPr>
            <w:r/>
            <w:r>
              <w:rPr>
                <w:b w:val="0"/>
                <w:sz w:val="16"/>
              </w:rPr>
              <w:t>Practical constraint</w:t>
            </w:r>
          </w:p>
        </w:tc>
        <w:tc>
          <w:tcPr>
            <w:tcW w:type="dxa" w:w="6917"/>
          </w:tcPr>
          <w:p>
            <w:pPr>
              <w:spacing w:after="20" w:before="20"/>
            </w:pPr>
            <w:r/>
            <w:r>
              <w:rPr>
                <w:b w:val="0"/>
                <w:sz w:val="16"/>
              </w:rPr>
              <w:t>With no confirmed private dock and a 470–690 ft walk to the water, realistic boating access is by trailer to a public ramp, or via a community dock if Stillwater Coves has one</w:t>
            </w:r>
          </w:p>
        </w:tc>
      </w:tr>
    </w:tbl>
    <w:p>
      <w:pPr>
        <w:spacing w:after="40"/>
      </w:pPr>
    </w:p>
    <w:p>
      <w:pPr>
        <w:spacing w:before="20" w:after="80"/>
      </w:pPr>
      <w:r>
        <w:rPr>
          <w:b/>
          <w:color w:val="1E6B3A"/>
          <w:sz w:val="15"/>
        </w:rPr>
        <w:t>[DOCUMENTED]</w:t>
      </w:r>
      <w:r>
        <w:rPr>
          <w:i/>
          <w:color w:val="555555"/>
          <w:sz w:val="15"/>
        </w:rPr>
        <w:t xml:space="preserve">  Lake and ramp facts documented. Current speed/wake rules require confirmation with USACE and the relevant state DNR.</w:t>
      </w:r>
    </w:p>
    <w:p>
      <w:pPr>
        <w:pStyle w:val="Heading2"/>
      </w:pPr>
      <w:r>
        <w:t>29. Fishing</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Question</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Fish species present</w:t>
            </w:r>
          </w:p>
        </w:tc>
        <w:tc>
          <w:tcPr>
            <w:tcW w:type="dxa" w:w="6917"/>
          </w:tcPr>
          <w:p>
            <w:pPr>
              <w:spacing w:after="20" w:before="20"/>
            </w:pPr>
            <w:r/>
            <w:r>
              <w:rPr>
                <w:b w:val="0"/>
                <w:sz w:val="16"/>
              </w:rPr>
              <w:t>Largemouth bass, hybrid bass and striped bass, black crappie, white perch and yellow perch, chain pickerel, bluegill, shellcracker (redear sunfish), redbreast sunfish, white bass, and channel, blue and flathead catfish</w:t>
            </w:r>
          </w:p>
        </w:tc>
      </w:tr>
      <w:tr>
        <w:tc>
          <w:tcPr>
            <w:tcW w:type="dxa" w:w="2494"/>
            <w:shd w:val="clear" w:color="auto" w:fill="F2F5F9"/>
          </w:tcPr>
          <w:p>
            <w:pPr>
              <w:spacing w:after="20" w:before="20"/>
            </w:pPr>
            <w:r/>
            <w:r>
              <w:rPr>
                <w:b w:val="0"/>
                <w:sz w:val="16"/>
              </w:rPr>
              <w:t>Invasive species</w:t>
            </w:r>
          </w:p>
        </w:tc>
        <w:tc>
          <w:tcPr>
            <w:tcW w:type="dxa" w:w="6917"/>
            <w:shd w:val="clear" w:color="auto" w:fill="F2F5F9"/>
          </w:tcPr>
          <w:p>
            <w:pPr>
              <w:spacing w:after="20" w:before="20"/>
            </w:pPr>
            <w:r/>
            <w:r>
              <w:rPr>
                <w:b w:val="0"/>
                <w:sz w:val="16"/>
              </w:rPr>
              <w:t>**Spotted bass** are now present; Georgia DNR actively encourages harvesting them</w:t>
            </w:r>
          </w:p>
        </w:tc>
      </w:tr>
      <w:tr>
        <w:tc>
          <w:tcPr>
            <w:tcW w:type="dxa" w:w="2494"/>
          </w:tcPr>
          <w:p>
            <w:pPr>
              <w:spacing w:after="20" w:before="20"/>
            </w:pPr>
            <w:r/>
            <w:r>
              <w:rPr>
                <w:b w:val="0"/>
                <w:sz w:val="16"/>
              </w:rPr>
              <w:t>Are fish stocked?</w:t>
            </w:r>
          </w:p>
        </w:tc>
        <w:tc>
          <w:tcPr>
            <w:tcW w:type="dxa" w:w="6917"/>
          </w:tcPr>
          <w:p>
            <w:pPr>
              <w:spacing w:after="20" w:before="20"/>
            </w:pPr>
            <w:r/>
            <w:r>
              <w:rPr>
                <w:b w:val="0"/>
                <w:sz w:val="16"/>
              </w:rPr>
              <w:t>Striped and hybrid bass fisheries in this reservoir system are maintained by stocking — **confirm the current programme with Georgia DNR**</w:t>
            </w:r>
          </w:p>
        </w:tc>
      </w:tr>
      <w:tr>
        <w:tc>
          <w:tcPr>
            <w:tcW w:type="dxa" w:w="2494"/>
            <w:shd w:val="clear" w:color="auto" w:fill="F2F5F9"/>
          </w:tcPr>
          <w:p>
            <w:pPr>
              <w:spacing w:after="20" w:before="20"/>
            </w:pPr>
            <w:r/>
            <w:r>
              <w:rPr>
                <w:b w:val="0"/>
                <w:sz w:val="16"/>
              </w:rPr>
              <w:t>Local reputation</w:t>
            </w:r>
          </w:p>
        </w:tc>
        <w:tc>
          <w:tcPr>
            <w:tcW w:type="dxa" w:w="6917"/>
            <w:shd w:val="clear" w:color="auto" w:fill="F2F5F9"/>
          </w:tcPr>
          <w:p>
            <w:pPr>
              <w:spacing w:after="20" w:before="20"/>
            </w:pPr>
            <w:r/>
            <w:r>
              <w:rPr>
                <w:b w:val="0"/>
                <w:sz w:val="16"/>
              </w:rPr>
              <w:t>The Fishing Creek arm, where Hesters Ferry sits, is described as holding some of the best fishing on the lake — this is the arm adjoining the subdivision</w:t>
            </w:r>
          </w:p>
        </w:tc>
      </w:tr>
      <w:tr>
        <w:tc>
          <w:tcPr>
            <w:tcW w:type="dxa" w:w="2494"/>
          </w:tcPr>
          <w:p>
            <w:pPr>
              <w:spacing w:after="20" w:before="20"/>
            </w:pPr>
            <w:r/>
            <w:r>
              <w:rPr>
                <w:b w:val="0"/>
                <w:sz w:val="16"/>
              </w:rPr>
              <w:t>Seasonal pattern</w:t>
            </w:r>
          </w:p>
        </w:tc>
        <w:tc>
          <w:tcPr>
            <w:tcW w:type="dxa" w:w="6917"/>
          </w:tcPr>
          <w:p>
            <w:pPr>
              <w:spacing w:after="20" w:before="20"/>
            </w:pPr>
            <w:r/>
            <w:r>
              <w:rPr>
                <w:b w:val="0"/>
                <w:sz w:val="16"/>
              </w:rPr>
              <w:t>Crappie is the most frequently caught species in spring; largemouth also peak in spring; striped bass have overtaken largemouth in popularity</w:t>
            </w:r>
          </w:p>
        </w:tc>
      </w:tr>
      <w:tr>
        <w:tc>
          <w:tcPr>
            <w:tcW w:type="dxa" w:w="2494"/>
            <w:shd w:val="clear" w:color="auto" w:fill="F2F5F9"/>
          </w:tcPr>
          <w:p>
            <w:pPr>
              <w:spacing w:after="20" w:before="20"/>
            </w:pPr>
            <w:r/>
            <w:r>
              <w:rPr>
                <w:b w:val="0"/>
                <w:sz w:val="16"/>
              </w:rPr>
              <w:t>Licence requirement</w:t>
            </w:r>
          </w:p>
        </w:tc>
        <w:tc>
          <w:tcPr>
            <w:tcW w:type="dxa" w:w="6917"/>
            <w:shd w:val="clear" w:color="auto" w:fill="F2F5F9"/>
          </w:tcPr>
          <w:p>
            <w:pPr>
              <w:spacing w:after="20" w:before="20"/>
            </w:pPr>
            <w:r/>
            <w:r>
              <w:rPr>
                <w:b/>
                <w:sz w:val="16"/>
              </w:rPr>
              <w:t>Yes.** A fishing licence is required. Because Thurmond is a Georgia–South Carolina boundary water, check which state's licence covers the water you intend to fish, and whether reciprocity applies — **verify before fishing</w:t>
            </w:r>
          </w:p>
        </w:tc>
      </w:tr>
      <w:tr>
        <w:tc>
          <w:tcPr>
            <w:tcW w:type="dxa" w:w="2494"/>
          </w:tcPr>
          <w:p>
            <w:pPr>
              <w:spacing w:after="20" w:before="20"/>
            </w:pPr>
            <w:r/>
            <w:r>
              <w:rPr>
                <w:b w:val="0"/>
                <w:sz w:val="16"/>
              </w:rPr>
              <w:t>Example creel limits</w:t>
            </w:r>
          </w:p>
        </w:tc>
        <w:tc>
          <w:tcPr>
            <w:tcW w:type="dxa" w:w="6917"/>
          </w:tcPr>
          <w:p>
            <w:pPr>
              <w:spacing w:after="20" w:before="20"/>
            </w:pPr>
            <w:r/>
            <w:r>
              <w:rPr>
                <w:b w:val="0"/>
                <w:sz w:val="16"/>
              </w:rPr>
              <w:t>South Carolina: on Hartwell and Thurmond, no more than 10 striped or hybrid bass (or a combination) per day, of which only 3 may exceed 26 inches. Georgia: possession of more than 50 total individuals of listed game fish is unlawful, excepting channel and flathead catfish.</w:t>
            </w:r>
          </w:p>
        </w:tc>
      </w:tr>
      <w:tr>
        <w:tc>
          <w:tcPr>
            <w:tcW w:type="dxa" w:w="2494"/>
            <w:shd w:val="clear" w:color="auto" w:fill="F2F5F9"/>
          </w:tcPr>
          <w:p>
            <w:pPr>
              <w:spacing w:after="20" w:before="20"/>
            </w:pPr>
            <w:r/>
            <w:r>
              <w:rPr>
                <w:b w:val="0"/>
                <w:sz w:val="16"/>
              </w:rPr>
              <w:t>Seasonal restrictions and methods</w:t>
            </w:r>
          </w:p>
        </w:tc>
        <w:tc>
          <w:tcPr>
            <w:tcW w:type="dxa" w:w="6917"/>
            <w:shd w:val="clear" w:color="auto" w:fill="F2F5F9"/>
          </w:tcPr>
          <w:p>
            <w:pPr>
              <w:spacing w:after="20" w:before="20"/>
            </w:pPr>
            <w:r/>
            <w:r>
              <w:rPr>
                <w:b w:val="0"/>
                <w:sz w:val="16"/>
              </w:rPr>
              <w:t>Species-specific; consult the current Georgia and South Carolina regulations</w:t>
            </w:r>
          </w:p>
        </w:tc>
      </w:tr>
      <w:tr>
        <w:tc>
          <w:tcPr>
            <w:tcW w:type="dxa" w:w="2494"/>
          </w:tcPr>
          <w:p>
            <w:pPr>
              <w:spacing w:after="20" w:before="20"/>
            </w:pPr>
            <w:r/>
            <w:r>
              <w:rPr>
                <w:b w:val="0"/>
                <w:sz w:val="16"/>
              </w:rPr>
              <w:t>Fishing from the property's shoreline</w:t>
            </w:r>
          </w:p>
        </w:tc>
        <w:tc>
          <w:tcPr>
            <w:tcW w:type="dxa" w:w="6917"/>
          </w:tcPr>
          <w:p>
            <w:pPr>
              <w:spacing w:after="20" w:before="20"/>
            </w:pPr>
            <w:r/>
            <w:r>
              <w:rPr>
                <w:b w:val="0"/>
                <w:sz w:val="16"/>
              </w:rPr>
              <w:t>**The shoreline is federal land open to the public, so it is not "your" shoreline.** Bank fishing is available, but subject to USACE rules and without exclusivity.</w:t>
            </w:r>
          </w:p>
        </w:tc>
      </w:tr>
    </w:tbl>
    <w:p>
      <w:pPr>
        <w:spacing w:after="40"/>
      </w:pPr>
    </w:p>
    <w:p>
      <w:pPr>
        <w:spacing w:before="20" w:after="80"/>
      </w:pPr>
      <w:r>
        <w:rPr>
          <w:b/>
          <w:color w:val="1E6B3A"/>
          <w:sz w:val="15"/>
        </w:rPr>
        <w:t>[DOCUMENTED]</w:t>
      </w:r>
      <w:r>
        <w:rPr>
          <w:i/>
          <w:color w:val="555555"/>
          <w:sz w:val="15"/>
        </w:rPr>
        <w:t xml:space="preserve">  Species and example limits from Georgia DNR and South Carolina DNR. Limits change annually — always read the current year's regulations.</w:t>
      </w:r>
    </w:p>
    <w:p>
      <w:r>
        <w:br w:type="page"/>
      </w:r>
    </w:p>
    <w:p>
      <w:pPr>
        <w:pStyle w:val="Heading1"/>
      </w:pPr>
      <w:r>
        <w:t>G. HOA, Covenants &amp; Land Use</w:t>
      </w:r>
    </w:p>
    <w:p>
      <w:pPr>
        <w:pStyle w:val="Heading2"/>
      </w:pPr>
      <w:r>
        <w:t>30. HOA</w:t>
      </w:r>
    </w:p>
    <w:tbl>
      <w:tblPr>
        <w:tblStyle w:val="TableGrid"/>
        <w:tblW w:type="auto" w:w="0"/>
        <w:jc w:val="center"/>
        <w:tblLook w:firstColumn="1" w:firstRow="1" w:lastColumn="0" w:lastRow="0" w:noHBand="0" w:noVBand="1" w:val="04A0"/>
      </w:tblPr>
      <w:tblGrid>
        <w:gridCol w:w="3288"/>
        <w:gridCol w:w="3288"/>
        <w:gridCol w:w="3288"/>
      </w:tblGrid>
      <w:tr>
        <w:tc>
          <w:tcPr>
            <w:tcW w:type="dxa" w:w="2268"/>
            <w:shd w:val="clear" w:color="auto" w:fill="1F4E79"/>
          </w:tcPr>
          <w:p>
            <w:pPr>
              <w:spacing w:after="20" w:before="20"/>
            </w:pPr>
            <w:r/>
            <w:r>
              <w:rPr>
                <w:b/>
                <w:color w:val="FFFFFF"/>
                <w:sz w:val="16"/>
              </w:rPr>
              <w:t>Question</w:t>
            </w:r>
          </w:p>
        </w:tc>
        <w:tc>
          <w:tcPr>
            <w:tcW w:type="dxa" w:w="6576"/>
            <w:shd w:val="clear" w:color="auto" w:fill="1F4E79"/>
          </w:tcPr>
          <w:p>
            <w:pPr>
              <w:spacing w:after="20" w:before="20"/>
            </w:pPr>
            <w:r/>
            <w:r>
              <w:rPr>
                <w:b/>
                <w:color w:val="FFFFFF"/>
                <w:sz w:val="16"/>
              </w:rPr>
              <w:t>Finding</w:t>
            </w:r>
          </w:p>
        </w:tc>
        <w:tc>
          <w:tcPr>
            <w:tcW w:type="dxa" w:w="567"/>
            <w:shd w:val="clear" w:color="auto" w:fill="1F4E79"/>
          </w:tcPr>
          <w:p>
            <w:pPr>
              <w:spacing w:after="20" w:before="20"/>
            </w:pPr>
            <w:r/>
            <w:r>
              <w:rPr>
                <w:b/>
                <w:color w:val="FFFFFF"/>
                <w:sz w:val="16"/>
              </w:rPr>
              <w:t>Tier</w:t>
            </w:r>
          </w:p>
        </w:tc>
      </w:tr>
      <w:tr>
        <w:tc>
          <w:tcPr>
            <w:tcW w:type="dxa" w:w="2268"/>
          </w:tcPr>
          <w:p>
            <w:pPr>
              <w:spacing w:after="20" w:before="20"/>
            </w:pPr>
            <w:r/>
            <w:r>
              <w:rPr>
                <w:b w:val="0"/>
                <w:sz w:val="16"/>
              </w:rPr>
              <w:t>Is the property subject to an HOA?</w:t>
            </w:r>
          </w:p>
        </w:tc>
        <w:tc>
          <w:tcPr>
            <w:tcW w:type="dxa" w:w="6576"/>
          </w:tcPr>
          <w:p>
            <w:pPr>
              <w:spacing w:after="20" w:before="20"/>
            </w:pPr>
            <w:r/>
            <w:r>
              <w:rPr>
                <w:b w:val="0"/>
                <w:sz w:val="16"/>
              </w:rPr>
              <w:t>**Yes.** Stillwater Coves operates a homeowners association with a Board and standing Committees, and maintains a website (stillwatercovesgeorgia.com, hosted on an HOA-sites platform).</w:t>
            </w:r>
          </w:p>
        </w:tc>
        <w:tc>
          <w:tcPr>
            <w:tcW w:type="dxa" w:w="567"/>
          </w:tcPr>
          <w:p>
            <w:pPr>
              <w:spacing w:after="20" w:before="20"/>
            </w:pPr>
            <w:r/>
            <w:r>
              <w:rPr>
                <w:b w:val="0"/>
                <w:sz w:val="16"/>
              </w:rPr>
              <w:t>D</w:t>
            </w:r>
          </w:p>
        </w:tc>
      </w:tr>
      <w:tr>
        <w:tc>
          <w:tcPr>
            <w:tcW w:type="dxa" w:w="2268"/>
            <w:shd w:val="clear" w:color="auto" w:fill="F2F5F9"/>
          </w:tcPr>
          <w:p>
            <w:pPr>
              <w:spacing w:after="20" w:before="20"/>
            </w:pPr>
            <w:r/>
            <w:r>
              <w:rPr>
                <w:b w:val="0"/>
                <w:sz w:val="16"/>
              </w:rPr>
              <w:t>HOA name</w:t>
            </w:r>
          </w:p>
        </w:tc>
        <w:tc>
          <w:tcPr>
            <w:tcW w:type="dxa" w:w="6576"/>
            <w:shd w:val="clear" w:color="auto" w:fill="F2F5F9"/>
          </w:tcPr>
          <w:p>
            <w:pPr>
              <w:spacing w:after="20" w:before="20"/>
            </w:pPr>
            <w:r/>
            <w:r>
              <w:rPr>
                <w:b w:val="0"/>
                <w:sz w:val="16"/>
              </w:rPr>
              <w:t>Stillwater Coves (property owners association)</w:t>
            </w:r>
          </w:p>
        </w:tc>
        <w:tc>
          <w:tcPr>
            <w:tcW w:type="dxa" w:w="567"/>
            <w:shd w:val="clear" w:color="auto" w:fill="F2F5F9"/>
          </w:tcPr>
          <w:p>
            <w:pPr>
              <w:spacing w:after="20" w:before="20"/>
            </w:pPr>
            <w:r/>
            <w:r>
              <w:rPr>
                <w:b w:val="0"/>
                <w:sz w:val="16"/>
              </w:rPr>
              <w:t>D</w:t>
            </w:r>
          </w:p>
        </w:tc>
      </w:tr>
      <w:tr>
        <w:tc>
          <w:tcPr>
            <w:tcW w:type="dxa" w:w="2268"/>
          </w:tcPr>
          <w:p>
            <w:pPr>
              <w:spacing w:after="20" w:before="20"/>
            </w:pPr>
            <w:r/>
            <w:r>
              <w:rPr>
                <w:b w:val="0"/>
                <w:sz w:val="16"/>
              </w:rPr>
              <w:t>Annual dues</w:t>
            </w:r>
          </w:p>
        </w:tc>
        <w:tc>
          <w:tcPr>
            <w:tcW w:type="dxa" w:w="6576"/>
          </w:tcPr>
          <w:p>
            <w:pPr>
              <w:spacing w:after="20" w:before="20"/>
            </w:pPr>
            <w:r/>
            <w:r>
              <w:rPr>
                <w:b w:val="0"/>
                <w:sz w:val="16"/>
              </w:rPr>
              <w:t>**NOT PUBLISHED.** No dues figure appears on the public site or in any listing retrieved.</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Monthly equivalent</w:t>
            </w:r>
          </w:p>
        </w:tc>
        <w:tc>
          <w:tcPr>
            <w:tcW w:type="dxa" w:w="6576"/>
            <w:shd w:val="clear" w:color="auto" w:fill="F2F5F9"/>
          </w:tcPr>
          <w:p>
            <w:pPr>
              <w:spacing w:after="20" w:before="20"/>
            </w:pPr>
            <w:r/>
            <w:r>
              <w:rPr>
                <w:b w:val="0"/>
                <w:sz w:val="16"/>
              </w:rPr>
              <w:t>Cannot be computed without the dues figure</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Transfer fees</w:t>
            </w:r>
          </w:p>
        </w:tc>
        <w:tc>
          <w:tcPr>
            <w:tcW w:type="dxa" w:w="6576"/>
          </w:tcPr>
          <w:p>
            <w:pPr>
              <w:spacing w:after="20" w:before="20"/>
            </w:pPr>
            <w:r/>
            <w:r>
              <w:rPr>
                <w:b w:val="0"/>
                <w:sz w:val="16"/>
              </w:rPr>
              <w:t>Not published</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Special assessments</w:t>
            </w:r>
          </w:p>
        </w:tc>
        <w:tc>
          <w:tcPr>
            <w:tcW w:type="dxa" w:w="6576"/>
            <w:shd w:val="clear" w:color="auto" w:fill="F2F5F9"/>
          </w:tcPr>
          <w:p>
            <w:pPr>
              <w:spacing w:after="20" w:before="20"/>
            </w:pPr>
            <w:r/>
            <w:r>
              <w:rPr>
                <w:b w:val="0"/>
                <w:sz w:val="16"/>
              </w:rPr>
              <w:t>Not published — **ask specifically** whether any are pending, and request the last two years of minutes and budgets</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Community character</w:t>
            </w:r>
          </w:p>
        </w:tc>
        <w:tc>
          <w:tcPr>
            <w:tcW w:type="dxa" w:w="6576"/>
          </w:tcPr>
          <w:p>
            <w:pPr>
              <w:spacing w:after="20" w:before="20"/>
            </w:pPr>
            <w:r/>
            <w:r>
              <w:rPr>
                <w:b w:val="0"/>
                <w:sz w:val="16"/>
              </w:rPr>
              <w:t>Gated, paved roads, underground utilities, public water; approximately 1,000 acres of wooded ridges and hilltops; generously sized homesites</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Clubhouse / pool / tennis / fitness</w:t>
            </w:r>
          </w:p>
        </w:tc>
        <w:tc>
          <w:tcPr>
            <w:tcW w:type="dxa" w:w="6576"/>
            <w:shd w:val="clear" w:color="auto" w:fill="F2F5F9"/>
          </w:tcPr>
          <w:p>
            <w:pPr>
              <w:spacing w:after="20" w:before="20"/>
            </w:pPr>
            <w:r/>
            <w:r>
              <w:rPr>
                <w:b w:val="0"/>
                <w:sz w:val="16"/>
              </w:rPr>
              <w:t>**No evidence of any.** None mentioned in HOA material or listings.</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Parks / trails</w:t>
            </w:r>
          </w:p>
        </w:tc>
        <w:tc>
          <w:tcPr>
            <w:tcW w:type="dxa" w:w="6576"/>
          </w:tcPr>
          <w:p>
            <w:pPr>
              <w:spacing w:after="20" w:before="20"/>
            </w:pPr>
            <w:r/>
            <w:r>
              <w:rPr>
                <w:b w:val="0"/>
                <w:sz w:val="16"/>
              </w:rPr>
              <w:t>Not identified</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Lake facilities / community dock</w:t>
            </w:r>
          </w:p>
        </w:tc>
        <w:tc>
          <w:tcPr>
            <w:tcW w:type="dxa" w:w="6576"/>
            <w:shd w:val="clear" w:color="auto" w:fill="F2F5F9"/>
          </w:tcPr>
          <w:p>
            <w:pPr>
              <w:spacing w:after="20" w:before="20"/>
            </w:pPr>
            <w:r/>
            <w:r>
              <w:rPr>
                <w:b w:val="0"/>
                <w:sz w:val="16"/>
              </w:rPr>
              <w:t>**Not confirmed either way — and this is important.** Because post-May-2018 plats are limited to community docks, the existence or absence of a Stillwater Coves community dock may be the determining factor in lake access.</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Boat / RV storage</w:t>
            </w:r>
          </w:p>
        </w:tc>
        <w:tc>
          <w:tcPr>
            <w:tcW w:type="dxa" w:w="6576"/>
          </w:tcPr>
          <w:p>
            <w:pPr>
              <w:spacing w:after="20" w:before="20"/>
            </w:pPr>
            <w:r/>
            <w:r>
              <w:rPr>
                <w:b w:val="0"/>
                <w:sz w:val="16"/>
              </w:rPr>
              <w:t>Not identified for Stillwater Coves. (Gated boat/RV storage is an amenity of POINTE SHORES, a different community — do not conflate.)</w:t>
            </w:r>
          </w:p>
        </w:tc>
        <w:tc>
          <w:tcPr>
            <w:tcW w:type="dxa" w:w="567"/>
          </w:tcPr>
          <w:p>
            <w:pPr>
              <w:spacing w:after="20" w:before="20"/>
            </w:pPr>
            <w:r/>
            <w:r>
              <w:rPr>
                <w:b w:val="0"/>
                <w:sz w:val="16"/>
              </w:rPr>
              <w:t>V</w:t>
            </w:r>
          </w:p>
        </w:tc>
      </w:tr>
    </w:tbl>
    <w:p>
      <w:pPr>
        <w:spacing w:after="40"/>
      </w:pPr>
    </w:p>
    <w:p>
      <w:pPr>
        <w:spacing w:after="80" w:before="0"/>
      </w:pPr>
      <w:r>
        <w:rPr>
          <w:b w:val="0"/>
          <w:i/>
          <w:sz w:val="18"/>
        </w:rPr>
        <w:t>A note on the HOA website: it is served over HTTP and presented an invalid TLS certificate on HTTPS. Content was readable but should not be treated as an authoritative legal source. Request documents directly from the association in writing.</w:t>
      </w:r>
    </w:p>
    <w:p>
      <w:pPr>
        <w:pStyle w:val="Heading2"/>
      </w:pPr>
      <w:r>
        <w:t>31. HOA covenants</w:t>
      </w:r>
    </w:p>
    <w:p>
      <w:pPr>
        <w:spacing w:after="80" w:before="0"/>
      </w:pPr>
      <w:r>
        <w:rPr>
          <w:b w:val="0"/>
          <w:i w:val="0"/>
          <w:sz w:val="18"/>
        </w:rPr>
        <w:t>One concrete piece of evidence was recovered: Stillwater Coves publishes a **Plan Approval Checklist** requiring submission of owner, builder and house-plan details, and stating that **no clearing, grading or construction should commence before written approval is obtained**. An architectural review regime therefore exists and has teeth.</w:t>
      </w:r>
    </w:p>
    <w:p>
      <w:pPr>
        <w:spacing w:after="80" w:before="0"/>
      </w:pPr>
      <w:r>
        <w:rPr>
          <w:b/>
          <w:i w:val="0"/>
          <w:sz w:val="18"/>
        </w:rPr>
        <w:t>Governing documents to obtain in full before closing:</w:t>
      </w:r>
    </w:p>
    <w:tbl>
      <w:tblPr>
        <w:tblStyle w:val="TableGrid"/>
        <w:tblW w:type="auto" w:w="0"/>
        <w:jc w:val="center"/>
        <w:tblLook w:firstColumn="1" w:firstRow="1" w:lastColumn="0" w:lastRow="0" w:noHBand="0" w:noVBand="1" w:val="04A0"/>
      </w:tblPr>
      <w:tblGrid>
        <w:gridCol w:w="4932"/>
        <w:gridCol w:w="4932"/>
      </w:tblGrid>
      <w:tr>
        <w:tc>
          <w:tcPr>
            <w:tcW w:type="dxa" w:w="2835"/>
            <w:shd w:val="clear" w:color="auto" w:fill="1F4E79"/>
          </w:tcPr>
          <w:p>
            <w:pPr>
              <w:spacing w:after="20" w:before="20"/>
            </w:pPr>
            <w:r/>
            <w:r>
              <w:rPr>
                <w:b/>
                <w:color w:val="FFFFFF"/>
                <w:sz w:val="16"/>
              </w:rPr>
              <w:t>Document / provision</w:t>
            </w:r>
          </w:p>
        </w:tc>
        <w:tc>
          <w:tcPr>
            <w:tcW w:type="dxa" w:w="6576"/>
            <w:shd w:val="clear" w:color="auto" w:fill="1F4E79"/>
          </w:tcPr>
          <w:p>
            <w:pPr>
              <w:spacing w:after="20" w:before="20"/>
            </w:pPr>
            <w:r/>
            <w:r>
              <w:rPr>
                <w:b/>
                <w:color w:val="FFFFFF"/>
                <w:sz w:val="16"/>
              </w:rPr>
              <w:t>Why it matters here specifically</w:t>
            </w:r>
          </w:p>
        </w:tc>
      </w:tr>
      <w:tr>
        <w:tc>
          <w:tcPr>
            <w:tcW w:type="dxa" w:w="2835"/>
          </w:tcPr>
          <w:p>
            <w:pPr>
              <w:spacing w:after="20" w:before="20"/>
            </w:pPr>
            <w:r/>
            <w:r>
              <w:rPr>
                <w:b w:val="0"/>
                <w:sz w:val="16"/>
              </w:rPr>
              <w:t>Declaration and CC&amp;Rs</w:t>
            </w:r>
          </w:p>
        </w:tc>
        <w:tc>
          <w:tcPr>
            <w:tcW w:type="dxa" w:w="6576"/>
          </w:tcPr>
          <w:p>
            <w:pPr>
              <w:spacing w:after="20" w:before="20"/>
            </w:pPr>
            <w:r/>
            <w:r>
              <w:rPr>
                <w:b w:val="0"/>
                <w:sz w:val="16"/>
              </w:rPr>
              <w:t>The master document; establishes all other restrictions</w:t>
            </w:r>
          </w:p>
        </w:tc>
      </w:tr>
      <w:tr>
        <w:tc>
          <w:tcPr>
            <w:tcW w:type="dxa" w:w="2835"/>
            <w:shd w:val="clear" w:color="auto" w:fill="F2F5F9"/>
          </w:tcPr>
          <w:p>
            <w:pPr>
              <w:spacing w:after="20" w:before="20"/>
            </w:pPr>
            <w:r/>
            <w:r>
              <w:rPr>
                <w:b w:val="0"/>
                <w:sz w:val="16"/>
              </w:rPr>
              <w:t>Architectural guidelines</w:t>
            </w:r>
          </w:p>
        </w:tc>
        <w:tc>
          <w:tcPr>
            <w:tcW w:type="dxa" w:w="6576"/>
            <w:shd w:val="clear" w:color="auto" w:fill="F2F5F9"/>
          </w:tcPr>
          <w:p>
            <w:pPr>
              <w:spacing w:after="20" w:before="20"/>
            </w:pPr>
            <w:r/>
            <w:r>
              <w:rPr>
                <w:b w:val="0"/>
                <w:sz w:val="16"/>
              </w:rPr>
              <w:t>Confirmed to exist. Will drive minimum square footage, exterior materials, roof pitch, colours and plan approval timeline — all of which affect the build cost estimated in Section K.43</w:t>
            </w:r>
          </w:p>
        </w:tc>
      </w:tr>
      <w:tr>
        <w:tc>
          <w:tcPr>
            <w:tcW w:type="dxa" w:w="2835"/>
          </w:tcPr>
          <w:p>
            <w:pPr>
              <w:spacing w:after="20" w:before="20"/>
            </w:pPr>
            <w:r/>
            <w:r>
              <w:rPr>
                <w:b w:val="0"/>
                <w:sz w:val="16"/>
              </w:rPr>
              <w:t>Rules and regulations, plus all amendments</w:t>
            </w:r>
          </w:p>
        </w:tc>
        <w:tc>
          <w:tcPr>
            <w:tcW w:type="dxa" w:w="6576"/>
          </w:tcPr>
          <w:p>
            <w:pPr>
              <w:spacing w:after="20" w:before="20"/>
            </w:pPr>
            <w:r/>
            <w:r>
              <w:rPr>
                <w:b w:val="0"/>
                <w:sz w:val="16"/>
              </w:rPr>
              <w:t>Restrictions are frequently added by amendment</w:t>
            </w:r>
          </w:p>
        </w:tc>
      </w:tr>
      <w:tr>
        <w:tc>
          <w:tcPr>
            <w:tcW w:type="dxa" w:w="2835"/>
            <w:shd w:val="clear" w:color="auto" w:fill="F2F5F9"/>
          </w:tcPr>
          <w:p>
            <w:pPr>
              <w:spacing w:after="20" w:before="20"/>
            </w:pPr>
            <w:r/>
            <w:r>
              <w:rPr>
                <w:b/>
                <w:sz w:val="16"/>
              </w:rPr>
              <w:t>Minimum house size</w:t>
            </w:r>
          </w:p>
        </w:tc>
        <w:tc>
          <w:tcPr>
            <w:tcW w:type="dxa" w:w="6576"/>
            <w:shd w:val="clear" w:color="auto" w:fill="F2F5F9"/>
          </w:tcPr>
          <w:p>
            <w:pPr>
              <w:spacing w:after="20" w:before="20"/>
            </w:pPr>
            <w:r/>
            <w:r>
              <w:rPr>
                <w:b w:val="0"/>
                <w:sz w:val="16"/>
              </w:rPr>
              <w:t>Very common in lake communities and a direct cost driver. Surrounding new builds are 1,600–2,441 sq ft.</w:t>
            </w:r>
          </w:p>
        </w:tc>
      </w:tr>
      <w:tr>
        <w:tc>
          <w:tcPr>
            <w:tcW w:type="dxa" w:w="2835"/>
          </w:tcPr>
          <w:p>
            <w:pPr>
              <w:spacing w:after="20" w:before="20"/>
            </w:pPr>
            <w:r/>
            <w:r>
              <w:rPr>
                <w:b/>
                <w:sz w:val="16"/>
              </w:rPr>
              <w:t>Waterfront and dock restrictions</w:t>
            </w:r>
          </w:p>
        </w:tc>
        <w:tc>
          <w:tcPr>
            <w:tcW w:type="dxa" w:w="6576"/>
          </w:tcPr>
          <w:p>
            <w:pPr>
              <w:spacing w:after="20" w:before="20"/>
            </w:pPr>
            <w:r/>
            <w:r>
              <w:rPr>
                <w:b w:val="0"/>
                <w:sz w:val="16"/>
              </w:rPr>
              <w:t>May be more restrictive than USACE policy. Also check whether the HOA holds or could hold a community dock agreement.</w:t>
            </w:r>
          </w:p>
        </w:tc>
      </w:tr>
      <w:tr>
        <w:tc>
          <w:tcPr>
            <w:tcW w:type="dxa" w:w="2835"/>
            <w:shd w:val="clear" w:color="auto" w:fill="F2F5F9"/>
          </w:tcPr>
          <w:p>
            <w:pPr>
              <w:spacing w:after="20" w:before="20"/>
            </w:pPr>
            <w:r/>
            <w:r>
              <w:rPr>
                <w:b/>
                <w:sz w:val="16"/>
              </w:rPr>
              <w:t>Tree removal / clearing limits</w:t>
            </w:r>
          </w:p>
        </w:tc>
        <w:tc>
          <w:tcPr>
            <w:tcW w:type="dxa" w:w="6576"/>
            <w:shd w:val="clear" w:color="auto" w:fill="F2F5F9"/>
          </w:tcPr>
          <w:p>
            <w:pPr>
              <w:spacing w:after="20" w:before="20"/>
            </w:pPr>
            <w:r/>
            <w:r>
              <w:rPr>
                <w:b w:val="0"/>
                <w:sz w:val="16"/>
              </w:rPr>
              <w:t>Highly likely in a community marketing "mature hardwoods" and 1,000 acres of woodland. Could constrain the building pad and septic field.</w:t>
            </w:r>
          </w:p>
        </w:tc>
      </w:tr>
      <w:tr>
        <w:tc>
          <w:tcPr>
            <w:tcW w:type="dxa" w:w="2835"/>
          </w:tcPr>
          <w:p>
            <w:pPr>
              <w:spacing w:after="20" w:before="20"/>
            </w:pPr>
            <w:r/>
            <w:r>
              <w:rPr>
                <w:b w:val="0"/>
                <w:sz w:val="16"/>
              </w:rPr>
              <w:t>Fence restrictions</w:t>
            </w:r>
          </w:p>
        </w:tc>
        <w:tc>
          <w:tcPr>
            <w:tcW w:type="dxa" w:w="6576"/>
          </w:tcPr>
          <w:p>
            <w:pPr>
              <w:spacing w:after="20" w:before="20"/>
            </w:pPr>
            <w:r/>
            <w:r>
              <w:rPr>
                <w:b w:val="0"/>
                <w:sz w:val="16"/>
              </w:rPr>
              <w:t>Affects garden, pet and poultry plans</w:t>
            </w:r>
          </w:p>
        </w:tc>
      </w:tr>
      <w:tr>
        <w:tc>
          <w:tcPr>
            <w:tcW w:type="dxa" w:w="2835"/>
            <w:shd w:val="clear" w:color="auto" w:fill="F2F5F9"/>
          </w:tcPr>
          <w:p>
            <w:pPr>
              <w:spacing w:after="20" w:before="20"/>
            </w:pPr>
            <w:r/>
            <w:r>
              <w:rPr>
                <w:b w:val="0"/>
                <w:sz w:val="16"/>
              </w:rPr>
              <w:t>Outbuilding restrictions</w:t>
            </w:r>
          </w:p>
        </w:tc>
        <w:tc>
          <w:tcPr>
            <w:tcW w:type="dxa" w:w="6576"/>
            <w:shd w:val="clear" w:color="auto" w:fill="F2F5F9"/>
          </w:tcPr>
          <w:p>
            <w:pPr>
              <w:spacing w:after="20" w:before="20"/>
            </w:pPr>
            <w:r/>
            <w:r>
              <w:rPr>
                <w:b w:val="0"/>
                <w:sz w:val="16"/>
              </w:rPr>
              <w:t>Affects workshop, greenhouse and storage plans</w:t>
            </w:r>
          </w:p>
        </w:tc>
      </w:tr>
      <w:tr>
        <w:tc>
          <w:tcPr>
            <w:tcW w:type="dxa" w:w="2835"/>
          </w:tcPr>
          <w:p>
            <w:pPr>
              <w:spacing w:after="20" w:before="20"/>
            </w:pPr>
            <w:r/>
            <w:r>
              <w:rPr>
                <w:b w:val="0"/>
                <w:sz w:val="16"/>
              </w:rPr>
              <w:t>RV and boat parking/storage restrictions</w:t>
            </w:r>
          </w:p>
        </w:tc>
        <w:tc>
          <w:tcPr>
            <w:tcW w:type="dxa" w:w="6576"/>
          </w:tcPr>
          <w:p>
            <w:pPr>
              <w:spacing w:after="20" w:before="20"/>
            </w:pPr>
            <w:r/>
            <w:r>
              <w:rPr>
                <w:b w:val="0"/>
                <w:sz w:val="16"/>
              </w:rPr>
              <w:t>Affects trailer-based lake access — which may be your primary access route</w:t>
            </w:r>
          </w:p>
        </w:tc>
      </w:tr>
      <w:tr>
        <w:tc>
          <w:tcPr>
            <w:tcW w:type="dxa" w:w="2835"/>
            <w:shd w:val="clear" w:color="auto" w:fill="F2F5F9"/>
          </w:tcPr>
          <w:p>
            <w:pPr>
              <w:spacing w:after="20" w:before="20"/>
            </w:pPr>
            <w:r/>
            <w:r>
              <w:rPr>
                <w:b/>
                <w:sz w:val="16"/>
              </w:rPr>
              <w:t>Livestock and poultry restrictions</w:t>
            </w:r>
          </w:p>
        </w:tc>
        <w:tc>
          <w:tcPr>
            <w:tcW w:type="dxa" w:w="6576"/>
            <w:shd w:val="clear" w:color="auto" w:fill="F2F5F9"/>
          </w:tcPr>
          <w:p>
            <w:pPr>
              <w:spacing w:after="20" w:before="20"/>
            </w:pPr>
            <w:r/>
            <w:r>
              <w:rPr>
                <w:b w:val="0"/>
                <w:sz w:val="16"/>
              </w:rPr>
              <w:t>Directly determines Section H.34</w:t>
            </w:r>
          </w:p>
        </w:tc>
      </w:tr>
      <w:tr>
        <w:tc>
          <w:tcPr>
            <w:tcW w:type="dxa" w:w="2835"/>
          </w:tcPr>
          <w:p>
            <w:pPr>
              <w:spacing w:after="20" w:before="20"/>
            </w:pPr>
            <w:r/>
            <w:r>
              <w:rPr>
                <w:b/>
                <w:sz w:val="16"/>
              </w:rPr>
              <w:t>Short-term-rental restrictions</w:t>
            </w:r>
          </w:p>
        </w:tc>
        <w:tc>
          <w:tcPr>
            <w:tcW w:type="dxa" w:w="6576"/>
          </w:tcPr>
          <w:p>
            <w:pPr>
              <w:spacing w:after="20" w:before="20"/>
            </w:pPr>
            <w:r/>
            <w:r>
              <w:rPr>
                <w:b w:val="0"/>
                <w:sz w:val="16"/>
              </w:rPr>
              <w:t>Directly determines Section I.35. HOA bans on STR are common and are enforceable even where county rules permit</w:t>
            </w:r>
          </w:p>
        </w:tc>
      </w:tr>
      <w:tr>
        <w:tc>
          <w:tcPr>
            <w:tcW w:type="dxa" w:w="2835"/>
            <w:shd w:val="clear" w:color="auto" w:fill="F2F5F9"/>
          </w:tcPr>
          <w:p>
            <w:pPr>
              <w:spacing w:after="20" w:before="20"/>
            </w:pPr>
            <w:r/>
            <w:r>
              <w:rPr>
                <w:b w:val="0"/>
                <w:sz w:val="16"/>
              </w:rPr>
              <w:t>Time-to-build requirement</w:t>
            </w:r>
          </w:p>
        </w:tc>
        <w:tc>
          <w:tcPr>
            <w:tcW w:type="dxa" w:w="6576"/>
            <w:shd w:val="clear" w:color="auto" w:fill="F2F5F9"/>
          </w:tcPr>
          <w:p>
            <w:pPr>
              <w:spacing w:after="20" w:before="20"/>
            </w:pPr>
            <w:r/>
            <w:r>
              <w:rPr>
                <w:b w:val="0"/>
                <w:sz w:val="16"/>
              </w:rPr>
              <w:t>Some lake communities require construction to start within a set period after purchase — critical if buying to hold</w:t>
            </w:r>
          </w:p>
        </w:tc>
      </w:tr>
      <w:tr>
        <w:tc>
          <w:tcPr>
            <w:tcW w:type="dxa" w:w="2835"/>
          </w:tcPr>
          <w:p>
            <w:pPr>
              <w:spacing w:after="20" w:before="20"/>
            </w:pPr>
            <w:r/>
            <w:r>
              <w:rPr>
                <w:b w:val="0"/>
                <w:sz w:val="16"/>
              </w:rPr>
              <w:t>Propane tank / generator rules</w:t>
            </w:r>
          </w:p>
        </w:tc>
        <w:tc>
          <w:tcPr>
            <w:tcW w:type="dxa" w:w="6576"/>
          </w:tcPr>
          <w:p>
            <w:pPr>
              <w:spacing w:after="20" w:before="20"/>
            </w:pPr>
            <w:r/>
            <w:r>
              <w:rPr>
                <w:b w:val="0"/>
                <w:sz w:val="16"/>
              </w:rPr>
              <w:t>Relevant given the absence of natural gas (Section E.22)</w:t>
            </w:r>
          </w:p>
        </w:tc>
      </w:tr>
    </w:tbl>
    <w:p>
      <w:pPr>
        <w:spacing w:after="40"/>
      </w:pPr>
    </w:p>
    <w:p>
      <w:pPr>
        <w:spacing w:before="20" w:after="80"/>
      </w:pPr>
      <w:r>
        <w:rPr>
          <w:b/>
          <w:color w:val="C01F2B"/>
          <w:sz w:val="15"/>
        </w:rPr>
        <w:t>[REQUIRES PROFESSIONAL / OFFICIAL VERIFICATION]</w:t>
      </w:r>
      <w:r>
        <w:rPr>
          <w:i/>
          <w:color w:val="555555"/>
          <w:sz w:val="15"/>
        </w:rPr>
        <w:t xml:space="preserve">  CC&amp;Rs and architectural guidelines were not obtained. Request them from the association and have counsel review before removing contingencies.</w:t>
      </w:r>
    </w:p>
    <w:p>
      <w:pPr>
        <w:pStyle w:val="Heading2"/>
      </w:pPr>
      <w:r>
        <w:t>32. County zoning</w:t>
      </w:r>
    </w:p>
    <w:p>
      <w:pPr>
        <w:spacing w:after="80" w:before="0"/>
      </w:pPr>
      <w:r>
        <w:rPr>
          <w:b w:val="0"/>
          <w:i w:val="0"/>
          <w:sz w:val="18"/>
        </w:rPr>
        <w:t>Lincoln County maintains a Planning and Zoning function (separate from, but adjacent to, the City of Lincolnton's). A Lincoln County / City of Lincolnton Joint Comprehensive Plan exists, prepared through the Central Savannah River Area Regional Commission. The county's zoning ordinance text itself was not publicly retrievable.</w:t>
      </w: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6"/>
              </w:rPr>
              <w:t>Zoning question</w:t>
            </w:r>
          </w:p>
        </w:tc>
        <w:tc>
          <w:tcPr>
            <w:tcW w:type="dxa" w:w="6803"/>
            <w:shd w:val="clear" w:color="auto" w:fill="1F4E79"/>
          </w:tcPr>
          <w:p>
            <w:pPr>
              <w:spacing w:after="20" w:before="20"/>
            </w:pPr>
            <w:r/>
            <w:r>
              <w:rPr>
                <w:b/>
                <w:color w:val="FFFFFF"/>
                <w:sz w:val="16"/>
              </w:rPr>
              <w:t>Status</w:t>
            </w:r>
          </w:p>
        </w:tc>
      </w:tr>
      <w:tr>
        <w:tc>
          <w:tcPr>
            <w:tcW w:type="dxa" w:w="2608"/>
          </w:tcPr>
          <w:p>
            <w:pPr>
              <w:spacing w:after="20" w:before="20"/>
            </w:pPr>
            <w:r/>
            <w:r>
              <w:rPr>
                <w:b w:val="0"/>
                <w:sz w:val="16"/>
              </w:rPr>
              <w:t>Zoning designation for this parcel</w:t>
            </w:r>
          </w:p>
        </w:tc>
        <w:tc>
          <w:tcPr>
            <w:tcW w:type="dxa" w:w="6803"/>
          </w:tcPr>
          <w:p>
            <w:pPr>
              <w:spacing w:after="20" w:before="20"/>
            </w:pPr>
            <w:r/>
            <w:r>
              <w:rPr>
                <w:b w:val="0"/>
                <w:sz w:val="16"/>
              </w:rPr>
              <w:t>**NOT DETERMINED** — county GIS is token-restricted and the ordinance text is not online</w:t>
            </w:r>
          </w:p>
        </w:tc>
      </w:tr>
      <w:tr>
        <w:tc>
          <w:tcPr>
            <w:tcW w:type="dxa" w:w="2608"/>
            <w:shd w:val="clear" w:color="auto" w:fill="F2F5F9"/>
          </w:tcPr>
          <w:p>
            <w:pPr>
              <w:spacing w:after="20" w:before="20"/>
            </w:pPr>
            <w:r/>
            <w:r>
              <w:rPr>
                <w:b w:val="0"/>
                <w:sz w:val="16"/>
              </w:rPr>
              <w:t>Permitted residential use</w:t>
            </w:r>
          </w:p>
        </w:tc>
        <w:tc>
          <w:tcPr>
            <w:tcW w:type="dxa" w:w="6803"/>
            <w:shd w:val="clear" w:color="auto" w:fill="F2F5F9"/>
          </w:tcPr>
          <w:p>
            <w:pPr>
              <w:spacing w:after="20" w:before="20"/>
            </w:pPr>
            <w:r/>
            <w:r>
              <w:rPr>
                <w:b w:val="0"/>
                <w:sz w:val="16"/>
              </w:rPr>
              <w:t>Single-family residential is evidently permitted — the subdivision is platted and homes are under construction nearby</w:t>
            </w:r>
          </w:p>
        </w:tc>
      </w:tr>
      <w:tr>
        <w:tc>
          <w:tcPr>
            <w:tcW w:type="dxa" w:w="2608"/>
          </w:tcPr>
          <w:p>
            <w:pPr>
              <w:spacing w:after="20" w:before="20"/>
            </w:pPr>
            <w:r/>
            <w:r>
              <w:rPr>
                <w:b w:val="0"/>
                <w:sz w:val="16"/>
              </w:rPr>
              <w:t>Minimum lot size</w:t>
            </w:r>
          </w:p>
        </w:tc>
        <w:tc>
          <w:tcPr>
            <w:tcW w:type="dxa" w:w="6803"/>
          </w:tcPr>
          <w:p>
            <w:pPr>
              <w:spacing w:after="20" w:before="20"/>
            </w:pPr>
            <w:r/>
            <w:r>
              <w:rPr>
                <w:b w:val="0"/>
                <w:sz w:val="16"/>
              </w:rPr>
              <w:t>**Not determined.** Note that Georgia practice commonly applies a 1-acre minimum for septic-served lots and 0.5 acre where public water and sewer exist. At 1.07 acres each, these lots sit just above a typical 1-acre septic threshold — a thin margin worth confirming.</w:t>
            </w:r>
          </w:p>
        </w:tc>
      </w:tr>
      <w:tr>
        <w:tc>
          <w:tcPr>
            <w:tcW w:type="dxa" w:w="2608"/>
            <w:shd w:val="clear" w:color="auto" w:fill="F2F5F9"/>
          </w:tcPr>
          <w:p>
            <w:pPr>
              <w:spacing w:after="20" w:before="20"/>
            </w:pPr>
            <w:r/>
            <w:r>
              <w:rPr>
                <w:b w:val="0"/>
                <w:sz w:val="16"/>
              </w:rPr>
              <w:t>Maximum building coverage</w:t>
            </w:r>
          </w:p>
        </w:tc>
        <w:tc>
          <w:tcPr>
            <w:tcW w:type="dxa" w:w="6803"/>
            <w:shd w:val="clear" w:color="auto" w:fill="F2F5F9"/>
          </w:tcPr>
          <w:p>
            <w:pPr>
              <w:spacing w:after="20" w:before="20"/>
            </w:pPr>
            <w:r/>
            <w:r>
              <w:rPr>
                <w:b w:val="0"/>
                <w:sz w:val="16"/>
              </w:rPr>
              <w:t>Not determined</w:t>
            </w:r>
          </w:p>
        </w:tc>
      </w:tr>
      <w:tr>
        <w:tc>
          <w:tcPr>
            <w:tcW w:type="dxa" w:w="2608"/>
          </w:tcPr>
          <w:p>
            <w:pPr>
              <w:spacing w:after="20" w:before="20"/>
            </w:pPr>
            <w:r/>
            <w:r>
              <w:rPr>
                <w:b w:val="0"/>
                <w:sz w:val="16"/>
              </w:rPr>
              <w:t>Setbacks (front / side / rear)</w:t>
            </w:r>
          </w:p>
        </w:tc>
        <w:tc>
          <w:tcPr>
            <w:tcW w:type="dxa" w:w="6803"/>
          </w:tcPr>
          <w:p>
            <w:pPr>
              <w:spacing w:after="20" w:before="20"/>
            </w:pPr>
            <w:r/>
            <w:r>
              <w:rPr>
                <w:b w:val="0"/>
                <w:sz w:val="16"/>
              </w:rPr>
              <w:t>**Not determined.** This report models 35 ft front, 15 ft side and 35 ft rear purely for illustration in Fig. 6.</w:t>
            </w:r>
          </w:p>
        </w:tc>
      </w:tr>
      <w:tr>
        <w:tc>
          <w:tcPr>
            <w:tcW w:type="dxa" w:w="2608"/>
            <w:shd w:val="clear" w:color="auto" w:fill="F2F5F9"/>
          </w:tcPr>
          <w:p>
            <w:pPr>
              <w:spacing w:after="20" w:before="20"/>
            </w:pPr>
            <w:r/>
            <w:r>
              <w:rPr>
                <w:b w:val="0"/>
                <w:sz w:val="16"/>
              </w:rPr>
              <w:t>Height restrictions</w:t>
            </w:r>
          </w:p>
        </w:tc>
        <w:tc>
          <w:tcPr>
            <w:tcW w:type="dxa" w:w="6803"/>
            <w:shd w:val="clear" w:color="auto" w:fill="F2F5F9"/>
          </w:tcPr>
          <w:p>
            <w:pPr>
              <w:spacing w:after="20" w:before="20"/>
            </w:pPr>
            <w:r/>
            <w:r>
              <w:rPr>
                <w:b w:val="0"/>
                <w:sz w:val="16"/>
              </w:rPr>
              <w:t>Not determined</w:t>
            </w:r>
          </w:p>
        </w:tc>
      </w:tr>
      <w:tr>
        <w:tc>
          <w:tcPr>
            <w:tcW w:type="dxa" w:w="2608"/>
          </w:tcPr>
          <w:p>
            <w:pPr>
              <w:spacing w:after="20" w:before="20"/>
            </w:pPr>
            <w:r/>
            <w:r>
              <w:rPr>
                <w:b w:val="0"/>
                <w:sz w:val="16"/>
              </w:rPr>
              <w:t>Accessory structures</w:t>
            </w:r>
          </w:p>
        </w:tc>
        <w:tc>
          <w:tcPr>
            <w:tcW w:type="dxa" w:w="6803"/>
          </w:tcPr>
          <w:p>
            <w:pPr>
              <w:spacing w:after="20" w:before="20"/>
            </w:pPr>
            <w:r/>
            <w:r>
              <w:rPr>
                <w:b w:val="0"/>
                <w:sz w:val="16"/>
              </w:rPr>
              <w:t>Not determined</w:t>
            </w:r>
          </w:p>
        </w:tc>
      </w:tr>
      <w:tr>
        <w:tc>
          <w:tcPr>
            <w:tcW w:type="dxa" w:w="2608"/>
            <w:shd w:val="clear" w:color="auto" w:fill="F2F5F9"/>
          </w:tcPr>
          <w:p>
            <w:pPr>
              <w:spacing w:after="20" w:before="20"/>
            </w:pPr>
            <w:r/>
            <w:r>
              <w:rPr>
                <w:b w:val="0"/>
                <w:sz w:val="16"/>
              </w:rPr>
              <w:t>ADU / in-law suite</w:t>
            </w:r>
          </w:p>
        </w:tc>
        <w:tc>
          <w:tcPr>
            <w:tcW w:type="dxa" w:w="6803"/>
            <w:shd w:val="clear" w:color="auto" w:fill="F2F5F9"/>
          </w:tcPr>
          <w:p>
            <w:pPr>
              <w:spacing w:after="20" w:before="20"/>
            </w:pPr>
            <w:r/>
            <w:r>
              <w:rPr>
                <w:b w:val="0"/>
                <w:sz w:val="16"/>
              </w:rPr>
              <w:t>Not determined — see Section G.33</w:t>
            </w:r>
          </w:p>
        </w:tc>
      </w:tr>
      <w:tr>
        <w:tc>
          <w:tcPr>
            <w:tcW w:type="dxa" w:w="2608"/>
          </w:tcPr>
          <w:p>
            <w:pPr>
              <w:spacing w:after="20" w:before="20"/>
            </w:pPr>
            <w:r/>
            <w:r>
              <w:rPr>
                <w:b w:val="0"/>
                <w:sz w:val="16"/>
              </w:rPr>
              <w:t>Agricultural / hobby-farming provisions</w:t>
            </w:r>
          </w:p>
        </w:tc>
        <w:tc>
          <w:tcPr>
            <w:tcW w:type="dxa" w:w="6803"/>
          </w:tcPr>
          <w:p>
            <w:pPr>
              <w:spacing w:after="20" w:before="20"/>
            </w:pPr>
            <w:r/>
            <w:r>
              <w:rPr>
                <w:b w:val="0"/>
                <w:sz w:val="16"/>
              </w:rPr>
              <w:t>Not determined — see Section H.34</w:t>
            </w:r>
          </w:p>
        </w:tc>
      </w:tr>
      <w:tr>
        <w:tc>
          <w:tcPr>
            <w:tcW w:type="dxa" w:w="2608"/>
            <w:shd w:val="clear" w:color="auto" w:fill="F2F5F9"/>
          </w:tcPr>
          <w:p>
            <w:pPr>
              <w:spacing w:after="20" w:before="20"/>
            </w:pPr>
            <w:r/>
            <w:r>
              <w:rPr>
                <w:b w:val="0"/>
                <w:sz w:val="16"/>
              </w:rPr>
              <w:t>Building permits and codes</w:t>
            </w:r>
          </w:p>
        </w:tc>
        <w:tc>
          <w:tcPr>
            <w:tcW w:type="dxa" w:w="6803"/>
            <w:shd w:val="clear" w:color="auto" w:fill="F2F5F9"/>
          </w:tcPr>
          <w:p>
            <w:pPr>
              <w:spacing w:after="20" w:before="20"/>
            </w:pPr>
            <w:r/>
            <w:r>
              <w:rPr>
                <w:b w:val="0"/>
                <w:sz w:val="16"/>
              </w:rPr>
              <w:t>Georgia state minimum codes apply; administered locally</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ACTION: ONE PHONE CALL RESOLVES MOST OF SECTION G</w:t>
            </w:r>
          </w:p>
          <w:p>
            <w:pPr>
              <w:spacing w:after="40"/>
            </w:pPr>
            <w:r>
              <w:rPr>
                <w:sz w:val="17"/>
              </w:rPr>
              <w:t>Lincoln County Planning and Zoning can confirm zoning district, minimum lot size, setbacks, height limits, accessory-structure and ADU rules, and whether short-term rentals are regulated — in a single conversation, given the parcel ID. Obtain the parcel ID from the deed or the tax assessor first. Ask for the answers in writing or by email.</w:t>
            </w:r>
          </w:p>
        </w:tc>
      </w:tr>
    </w:tbl>
    <w:p>
      <w:pPr>
        <w:spacing w:after="60"/>
      </w:pPr>
    </w:p>
    <w:p>
      <w:pPr>
        <w:spacing w:before="20" w:after="80"/>
      </w:pPr>
      <w:r>
        <w:rPr>
          <w:b/>
          <w:color w:val="C01F2B"/>
          <w:sz w:val="15"/>
        </w:rPr>
        <w:t>[REQUIRES PROFESSIONAL / OFFICIAL VERIFICATION]</w:t>
      </w:r>
      <w:r>
        <w:rPr>
          <w:i/>
          <w:color w:val="555555"/>
          <w:sz w:val="15"/>
        </w:rPr>
        <w:t xml:space="preserve">  All zoning parameters require confirmation from Lincoln County Planning and Zoning.</w:t>
      </w:r>
    </w:p>
    <w:p>
      <w:pPr>
        <w:pStyle w:val="Heading2"/>
      </w:pPr>
      <w:r>
        <w:t>33. Second in-law suite / ADU</w:t>
      </w: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6"/>
              </w:rPr>
              <w:t>Determinant</w:t>
            </w:r>
          </w:p>
        </w:tc>
        <w:tc>
          <w:tcPr>
            <w:tcW w:type="dxa" w:w="6803"/>
            <w:shd w:val="clear" w:color="auto" w:fill="1F4E79"/>
          </w:tcPr>
          <w:p>
            <w:pPr>
              <w:spacing w:after="20" w:before="20"/>
            </w:pPr>
            <w:r/>
            <w:r>
              <w:rPr>
                <w:b/>
                <w:color w:val="FFFFFF"/>
                <w:sz w:val="16"/>
              </w:rPr>
              <w:t>Assessment</w:t>
            </w:r>
          </w:p>
        </w:tc>
      </w:tr>
      <w:tr>
        <w:tc>
          <w:tcPr>
            <w:tcW w:type="dxa" w:w="2608"/>
          </w:tcPr>
          <w:p>
            <w:pPr>
              <w:spacing w:after="20" w:before="20"/>
            </w:pPr>
            <w:r/>
            <w:r>
              <w:rPr>
                <w:b w:val="0"/>
                <w:sz w:val="16"/>
              </w:rPr>
              <w:t>Zoning</w:t>
            </w:r>
          </w:p>
        </w:tc>
        <w:tc>
          <w:tcPr>
            <w:tcW w:type="dxa" w:w="6803"/>
          </w:tcPr>
          <w:p>
            <w:pPr>
              <w:spacing w:after="20" w:before="20"/>
            </w:pPr>
            <w:r/>
            <w:r>
              <w:rPr>
                <w:b w:val="0"/>
                <w:sz w:val="16"/>
              </w:rPr>
              <w:t>**Unknown.** Whether a second independent dwelling unit is permitted, and whether it must be attached, is the governing question.</w:t>
            </w:r>
          </w:p>
        </w:tc>
      </w:tr>
      <w:tr>
        <w:tc>
          <w:tcPr>
            <w:tcW w:type="dxa" w:w="2608"/>
            <w:shd w:val="clear" w:color="auto" w:fill="F2F5F9"/>
          </w:tcPr>
          <w:p>
            <w:pPr>
              <w:spacing w:after="20" w:before="20"/>
            </w:pPr>
            <w:r/>
            <w:r>
              <w:rPr>
                <w:b w:val="0"/>
                <w:sz w:val="16"/>
              </w:rPr>
              <w:t>Maximum dwelling units per lot</w:t>
            </w:r>
          </w:p>
        </w:tc>
        <w:tc>
          <w:tcPr>
            <w:tcW w:type="dxa" w:w="6803"/>
            <w:shd w:val="clear" w:color="auto" w:fill="F2F5F9"/>
          </w:tcPr>
          <w:p>
            <w:pPr>
              <w:spacing w:after="20" w:before="20"/>
            </w:pPr>
            <w:r/>
            <w:r>
              <w:rPr>
                <w:b w:val="0"/>
                <w:sz w:val="16"/>
              </w:rPr>
              <w:t>Unknown — typically one principal dwelling plus a restricted accessory unit, if any</w:t>
            </w:r>
          </w:p>
        </w:tc>
      </w:tr>
      <w:tr>
        <w:tc>
          <w:tcPr>
            <w:tcW w:type="dxa" w:w="2608"/>
          </w:tcPr>
          <w:p>
            <w:pPr>
              <w:spacing w:after="20" w:before="20"/>
            </w:pPr>
            <w:r/>
            <w:r>
              <w:rPr>
                <w:b w:val="0"/>
                <w:sz w:val="16"/>
              </w:rPr>
              <w:t>HOA</w:t>
            </w:r>
          </w:p>
        </w:tc>
        <w:tc>
          <w:tcPr>
            <w:tcW w:type="dxa" w:w="6803"/>
          </w:tcPr>
          <w:p>
            <w:pPr>
              <w:spacing w:after="20" w:before="20"/>
            </w:pPr>
            <w:r/>
            <w:r>
              <w:rPr>
                <w:b w:val="0"/>
                <w:sz w:val="16"/>
              </w:rPr>
              <w:t>Likely to have a view, given an active architectural review committee. Unknown.</w:t>
            </w:r>
          </w:p>
        </w:tc>
      </w:tr>
      <w:tr>
        <w:tc>
          <w:tcPr>
            <w:tcW w:type="dxa" w:w="2608"/>
            <w:shd w:val="clear" w:color="auto" w:fill="F2F5F9"/>
          </w:tcPr>
          <w:p>
            <w:pPr>
              <w:spacing w:after="20" w:before="20"/>
            </w:pPr>
            <w:r/>
            <w:r>
              <w:rPr>
                <w:b w:val="0"/>
                <w:sz w:val="16"/>
              </w:rPr>
              <w:t>Building code</w:t>
            </w:r>
          </w:p>
        </w:tc>
        <w:tc>
          <w:tcPr>
            <w:tcW w:type="dxa" w:w="6803"/>
            <w:shd w:val="clear" w:color="auto" w:fill="F2F5F9"/>
          </w:tcPr>
          <w:p>
            <w:pPr>
              <w:spacing w:after="20" w:before="20"/>
            </w:pPr>
            <w:r/>
            <w:r>
              <w:rPr>
                <w:b w:val="0"/>
                <w:sz w:val="16"/>
              </w:rPr>
              <w:t>A second kitchen, separate entrance, bathroom and egress all trigger code requirements but are routinely achievable</w:t>
            </w:r>
          </w:p>
        </w:tc>
      </w:tr>
      <w:tr>
        <w:tc>
          <w:tcPr>
            <w:tcW w:type="dxa" w:w="2608"/>
          </w:tcPr>
          <w:p>
            <w:pPr>
              <w:spacing w:after="20" w:before="20"/>
            </w:pPr>
            <w:r/>
            <w:r>
              <w:rPr>
                <w:b/>
                <w:sz w:val="16"/>
              </w:rPr>
              <w:t>Septic capacity — the real constraint</w:t>
            </w:r>
          </w:p>
        </w:tc>
        <w:tc>
          <w:tcPr>
            <w:tcW w:type="dxa" w:w="6803"/>
          </w:tcPr>
          <w:p>
            <w:pPr>
              <w:spacing w:after="20" w:before="20"/>
            </w:pPr>
            <w:r/>
            <w:r>
              <w:rPr>
                <w:b w:val="0"/>
                <w:sz w:val="16"/>
              </w:rPr>
              <w:t>**This is where an ADU most likely fails.** An independent suite adds bedrooms, and bedrooms drive absorption-field area. On soils rated "Very limited" across much of the slope, adding 1–2 bedrooms of design load may exceed what the usable soil area can carry. A Level 3/4 soil report must size for the TOTAL bedroom count including the suite.</w:t>
            </w:r>
          </w:p>
        </w:tc>
      </w:tr>
      <w:tr>
        <w:tc>
          <w:tcPr>
            <w:tcW w:type="dxa" w:w="2608"/>
            <w:shd w:val="clear" w:color="auto" w:fill="F2F5F9"/>
          </w:tcPr>
          <w:p>
            <w:pPr>
              <w:spacing w:after="20" w:before="20"/>
            </w:pPr>
            <w:r/>
            <w:r>
              <w:rPr>
                <w:b w:val="0"/>
                <w:sz w:val="16"/>
              </w:rPr>
              <w:t>Water</w:t>
            </w:r>
          </w:p>
        </w:tc>
        <w:tc>
          <w:tcPr>
            <w:tcW w:type="dxa" w:w="6803"/>
            <w:shd w:val="clear" w:color="auto" w:fill="F2F5F9"/>
          </w:tcPr>
          <w:p>
            <w:pPr>
              <w:spacing w:after="20" w:before="20"/>
            </w:pPr>
            <w:r/>
            <w:r>
              <w:rPr>
                <w:b w:val="0"/>
                <w:sz w:val="16"/>
              </w:rPr>
              <w:t>Public water (if confirmed) handles additional demand readily</w:t>
            </w:r>
          </w:p>
        </w:tc>
      </w:tr>
      <w:tr>
        <w:tc>
          <w:tcPr>
            <w:tcW w:type="dxa" w:w="2608"/>
          </w:tcPr>
          <w:p>
            <w:pPr>
              <w:spacing w:after="20" w:before="20"/>
            </w:pPr>
            <w:r/>
            <w:r>
              <w:rPr>
                <w:b w:val="0"/>
                <w:sz w:val="16"/>
              </w:rPr>
              <w:t>Parking</w:t>
            </w:r>
          </w:p>
        </w:tc>
        <w:tc>
          <w:tcPr>
            <w:tcW w:type="dxa" w:w="6803"/>
          </w:tcPr>
          <w:p>
            <w:pPr>
              <w:spacing w:after="20" w:before="20"/>
            </w:pPr>
            <w:r/>
            <w:r>
              <w:rPr>
                <w:b w:val="0"/>
                <w:sz w:val="16"/>
              </w:rPr>
              <w:t>Ample on 2.14 acres</w:t>
            </w:r>
          </w:p>
        </w:tc>
      </w:tr>
      <w:tr>
        <w:tc>
          <w:tcPr>
            <w:tcW w:type="dxa" w:w="2608"/>
            <w:shd w:val="clear" w:color="auto" w:fill="F2F5F9"/>
          </w:tcPr>
          <w:p>
            <w:pPr>
              <w:spacing w:after="20" w:before="20"/>
            </w:pPr>
            <w:r/>
            <w:r>
              <w:rPr>
                <w:b/>
                <w:sz w:val="16"/>
              </w:rPr>
              <w:t>Strategic advantage of two lots</w:t>
            </w:r>
          </w:p>
        </w:tc>
        <w:tc>
          <w:tcPr>
            <w:tcW w:type="dxa" w:w="6803"/>
            <w:shd w:val="clear" w:color="auto" w:fill="F2F5F9"/>
          </w:tcPr>
          <w:p>
            <w:pPr>
              <w:spacing w:after="20" w:before="20"/>
            </w:pPr>
            <w:r/>
            <w:r>
              <w:rPr>
                <w:b w:val="0"/>
                <w:sz w:val="16"/>
              </w:rPr>
              <w:t>Owning both lots materially improves the odds: an ADU could potentially sit on the second lot with its own septic system, subject to zoning and HOA rules on one-dwelling-per-lot.</w:t>
            </w:r>
          </w:p>
        </w:tc>
      </w:tr>
    </w:tbl>
    <w:p>
      <w:pPr>
        <w:spacing w:after="40"/>
      </w:pPr>
    </w:p>
    <w:p>
      <w:pPr>
        <w:spacing w:before="20" w:after="80"/>
      </w:pPr>
      <w:r>
        <w:rPr>
          <w:b/>
          <w:color w:val="C01F2B"/>
          <w:sz w:val="15"/>
        </w:rPr>
        <w:t>[REQUIRES PROFESSIONAL / OFFICIAL VERIFICATION]</w:t>
      </w:r>
      <w:r>
        <w:rPr>
          <w:i/>
          <w:color w:val="555555"/>
          <w:sz w:val="15"/>
        </w:rPr>
        <w:t xml:space="preserve">  Requires zoning confirmation, HOA review and a septic design sized for total bedrooms.</w:t>
      </w:r>
    </w:p>
    <w:p>
      <w:r>
        <w:br w:type="page"/>
      </w:r>
    </w:p>
    <w:p>
      <w:pPr>
        <w:pStyle w:val="Heading1"/>
      </w:pPr>
      <w:r>
        <w:t>H. Hobby Farming</w:t>
      </w:r>
    </w:p>
    <w:p>
      <w:pPr>
        <w:pStyle w:val="Heading2"/>
      </w:pPr>
      <w:r>
        <w:t>34. Poultry and animals</w:t>
      </w:r>
    </w:p>
    <w:p>
      <w:pPr>
        <w:spacing w:after="80" w:before="0"/>
      </w:pPr>
      <w:r>
        <w:rPr>
          <w:b w:val="0"/>
          <w:i w:val="0"/>
          <w:sz w:val="18"/>
        </w:rPr>
        <w:t>Two independent permission layers apply, and **either one can prohibit**. County zoning in rural Georgia is typically permissive about small livestock; private HOA covenants in amenity lake communities are typically restrictive. In a conflict, the stricter controls.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474"/>
            <w:shd w:val="clear" w:color="auto" w:fill="1F4E79"/>
          </w:tcPr>
          <w:p>
            <w:pPr>
              <w:spacing w:after="20" w:before="20"/>
            </w:pPr>
            <w:r/>
            <w:r>
              <w:rPr>
                <w:b/>
                <w:color w:val="FFFFFF"/>
                <w:sz w:val="16"/>
              </w:rPr>
              <w:t>Animal</w:t>
            </w:r>
          </w:p>
        </w:tc>
        <w:tc>
          <w:tcPr>
            <w:tcW w:type="dxa" w:w="2608"/>
            <w:shd w:val="clear" w:color="auto" w:fill="1F4E79"/>
          </w:tcPr>
          <w:p>
            <w:pPr>
              <w:spacing w:after="20" w:before="20"/>
            </w:pPr>
            <w:r/>
            <w:r>
              <w:rPr>
                <w:b/>
                <w:color w:val="FFFFFF"/>
                <w:sz w:val="16"/>
              </w:rPr>
              <w:t>County outlook (rural Lincoln County)</w:t>
            </w:r>
          </w:p>
        </w:tc>
        <w:tc>
          <w:tcPr>
            <w:tcW w:type="dxa" w:w="2835"/>
            <w:shd w:val="clear" w:color="auto" w:fill="1F4E79"/>
          </w:tcPr>
          <w:p>
            <w:pPr>
              <w:spacing w:after="20" w:before="20"/>
            </w:pPr>
            <w:r/>
            <w:r>
              <w:rPr>
                <w:b/>
                <w:color w:val="FFFFFF"/>
                <w:sz w:val="16"/>
              </w:rPr>
              <w:t>HOA outlook (amenity lake community)</w:t>
            </w:r>
          </w:p>
        </w:tc>
        <w:tc>
          <w:tcPr>
            <w:tcW w:type="dxa" w:w="2494"/>
            <w:shd w:val="clear" w:color="auto" w:fill="1F4E79"/>
          </w:tcPr>
          <w:p>
            <w:pPr>
              <w:spacing w:after="20" w:before="20"/>
            </w:pPr>
            <w:r/>
            <w:r>
              <w:rPr>
                <w:b/>
                <w:color w:val="FFFFFF"/>
                <w:sz w:val="16"/>
              </w:rPr>
              <w:t>Net assessment</w:t>
            </w:r>
          </w:p>
        </w:tc>
      </w:tr>
      <w:tr>
        <w:tc>
          <w:tcPr>
            <w:tcW w:type="dxa" w:w="1474"/>
          </w:tcPr>
          <w:p>
            <w:pPr>
              <w:spacing w:after="20" w:before="20"/>
            </w:pPr>
            <w:r/>
            <w:r>
              <w:rPr>
                <w:b w:val="0"/>
                <w:sz w:val="16"/>
              </w:rPr>
              <w:t>Chickens (hens)</w:t>
            </w:r>
          </w:p>
        </w:tc>
        <w:tc>
          <w:tcPr>
            <w:tcW w:type="dxa" w:w="2608"/>
          </w:tcPr>
          <w:p>
            <w:pPr>
              <w:spacing w:after="20" w:before="20"/>
            </w:pPr>
            <w:r/>
            <w:r>
              <w:rPr>
                <w:b w:val="0"/>
                <w:sz w:val="16"/>
              </w:rPr>
              <w:t>Likely permitted</w:t>
            </w:r>
          </w:p>
        </w:tc>
        <w:tc>
          <w:tcPr>
            <w:tcW w:type="dxa" w:w="2835"/>
          </w:tcPr>
          <w:p>
            <w:pPr>
              <w:spacing w:after="20" w:before="20"/>
            </w:pPr>
            <w:r/>
            <w:r>
              <w:rPr>
                <w:b w:val="0"/>
                <w:sz w:val="16"/>
              </w:rPr>
              <w:t>Frequently restricted or banned; roosters almost always banned</w:t>
            </w:r>
          </w:p>
        </w:tc>
        <w:tc>
          <w:tcPr>
            <w:tcW w:type="dxa" w:w="2494"/>
          </w:tcPr>
          <w:p>
            <w:pPr>
              <w:spacing w:after="20" w:before="20"/>
            </w:pPr>
            <w:r/>
            <w:r>
              <w:rPr>
                <w:b/>
                <w:sz w:val="16"/>
              </w:rPr>
              <w:t>Check CC&amp;Rs first</w:t>
            </w:r>
          </w:p>
        </w:tc>
      </w:tr>
      <w:tr>
        <w:tc>
          <w:tcPr>
            <w:tcW w:type="dxa" w:w="1474"/>
            <w:shd w:val="clear" w:color="auto" w:fill="F2F5F9"/>
          </w:tcPr>
          <w:p>
            <w:pPr>
              <w:spacing w:after="20" w:before="20"/>
            </w:pPr>
            <w:r/>
            <w:r>
              <w:rPr>
                <w:b w:val="0"/>
                <w:sz w:val="16"/>
              </w:rPr>
              <w:t>Ducks / geese</w:t>
            </w:r>
          </w:p>
        </w:tc>
        <w:tc>
          <w:tcPr>
            <w:tcW w:type="dxa" w:w="2608"/>
            <w:shd w:val="clear" w:color="auto" w:fill="F2F5F9"/>
          </w:tcPr>
          <w:p>
            <w:pPr>
              <w:spacing w:after="20" w:before="20"/>
            </w:pPr>
            <w:r/>
            <w:r>
              <w:rPr>
                <w:b w:val="0"/>
                <w:sz w:val="16"/>
              </w:rPr>
              <w:t>Likely permitted</w:t>
            </w:r>
          </w:p>
        </w:tc>
        <w:tc>
          <w:tcPr>
            <w:tcW w:type="dxa" w:w="2835"/>
            <w:shd w:val="clear" w:color="auto" w:fill="F2F5F9"/>
          </w:tcPr>
          <w:p>
            <w:pPr>
              <w:spacing w:after="20" w:before="20"/>
            </w:pPr>
            <w:r/>
            <w:r>
              <w:rPr>
                <w:b w:val="0"/>
                <w:sz w:val="16"/>
              </w:rPr>
              <w:t>Frequently restricted; also attract predators and foul water features</w:t>
            </w:r>
          </w:p>
        </w:tc>
        <w:tc>
          <w:tcPr>
            <w:tcW w:type="dxa" w:w="2494"/>
            <w:shd w:val="clear" w:color="auto" w:fill="F2F5F9"/>
          </w:tcPr>
          <w:p>
            <w:pPr>
              <w:spacing w:after="20" w:before="20"/>
            </w:pPr>
            <w:r/>
            <w:r>
              <w:rPr>
                <w:b w:val="0"/>
                <w:sz w:val="16"/>
              </w:rPr>
              <w:t>Check CC&amp;Rs</w:t>
            </w:r>
          </w:p>
        </w:tc>
      </w:tr>
      <w:tr>
        <w:tc>
          <w:tcPr>
            <w:tcW w:type="dxa" w:w="1474"/>
          </w:tcPr>
          <w:p>
            <w:pPr>
              <w:spacing w:after="20" w:before="20"/>
            </w:pPr>
            <w:r/>
            <w:r>
              <w:rPr>
                <w:b w:val="0"/>
                <w:sz w:val="16"/>
              </w:rPr>
              <w:t>Rabbits</w:t>
            </w:r>
          </w:p>
        </w:tc>
        <w:tc>
          <w:tcPr>
            <w:tcW w:type="dxa" w:w="2608"/>
          </w:tcPr>
          <w:p>
            <w:pPr>
              <w:spacing w:after="20" w:before="20"/>
            </w:pPr>
            <w:r/>
            <w:r>
              <w:rPr>
                <w:b w:val="0"/>
                <w:sz w:val="16"/>
              </w:rPr>
              <w:t>Likely permitted</w:t>
            </w:r>
          </w:p>
        </w:tc>
        <w:tc>
          <w:tcPr>
            <w:tcW w:type="dxa" w:w="2835"/>
          </w:tcPr>
          <w:p>
            <w:pPr>
              <w:spacing w:after="20" w:before="20"/>
            </w:pPr>
            <w:r/>
            <w:r>
              <w:rPr>
                <w:b w:val="0"/>
                <w:sz w:val="16"/>
              </w:rPr>
              <w:t>Often treated as pets if enclosed and not commercial</w:t>
            </w:r>
          </w:p>
        </w:tc>
        <w:tc>
          <w:tcPr>
            <w:tcW w:type="dxa" w:w="2494"/>
          </w:tcPr>
          <w:p>
            <w:pPr>
              <w:spacing w:after="20" w:before="20"/>
            </w:pPr>
            <w:r/>
            <w:r>
              <w:rPr>
                <w:b w:val="0"/>
                <w:sz w:val="16"/>
              </w:rPr>
              <w:t>Most likely to be acceptable</w:t>
            </w:r>
          </w:p>
        </w:tc>
      </w:tr>
      <w:tr>
        <w:tc>
          <w:tcPr>
            <w:tcW w:type="dxa" w:w="1474"/>
            <w:shd w:val="clear" w:color="auto" w:fill="F2F5F9"/>
          </w:tcPr>
          <w:p>
            <w:pPr>
              <w:spacing w:after="20" w:before="20"/>
            </w:pPr>
            <w:r/>
            <w:r>
              <w:rPr>
                <w:b w:val="0"/>
                <w:sz w:val="16"/>
              </w:rPr>
              <w:t>Goats</w:t>
            </w:r>
          </w:p>
        </w:tc>
        <w:tc>
          <w:tcPr>
            <w:tcW w:type="dxa" w:w="2608"/>
            <w:shd w:val="clear" w:color="auto" w:fill="F2F5F9"/>
          </w:tcPr>
          <w:p>
            <w:pPr>
              <w:spacing w:after="20" w:before="20"/>
            </w:pPr>
            <w:r/>
            <w:r>
              <w:rPr>
                <w:b w:val="0"/>
                <w:sz w:val="16"/>
              </w:rPr>
              <w:t>Possibly permitted on acreage</w:t>
            </w:r>
          </w:p>
        </w:tc>
        <w:tc>
          <w:tcPr>
            <w:tcW w:type="dxa" w:w="2835"/>
            <w:shd w:val="clear" w:color="auto" w:fill="F2F5F9"/>
          </w:tcPr>
          <w:p>
            <w:pPr>
              <w:spacing w:after="20" w:before="20"/>
            </w:pPr>
            <w:r/>
            <w:r>
              <w:rPr>
                <w:b w:val="0"/>
                <w:sz w:val="16"/>
              </w:rPr>
              <w:t>Commonly banned as livestock</w:t>
            </w:r>
          </w:p>
        </w:tc>
        <w:tc>
          <w:tcPr>
            <w:tcW w:type="dxa" w:w="2494"/>
            <w:shd w:val="clear" w:color="auto" w:fill="F2F5F9"/>
          </w:tcPr>
          <w:p>
            <w:pPr>
              <w:spacing w:after="20" w:before="20"/>
            </w:pPr>
            <w:r/>
            <w:r>
              <w:rPr>
                <w:b w:val="0"/>
                <w:sz w:val="16"/>
              </w:rPr>
              <w:t>Unlikely without specific allowance</w:t>
            </w:r>
          </w:p>
        </w:tc>
      </w:tr>
      <w:tr>
        <w:tc>
          <w:tcPr>
            <w:tcW w:type="dxa" w:w="1474"/>
          </w:tcPr>
          <w:p>
            <w:pPr>
              <w:spacing w:after="20" w:before="20"/>
            </w:pPr>
            <w:r/>
            <w:r>
              <w:rPr>
                <w:b w:val="0"/>
                <w:sz w:val="16"/>
              </w:rPr>
              <w:t>Bees</w:t>
            </w:r>
          </w:p>
        </w:tc>
        <w:tc>
          <w:tcPr>
            <w:tcW w:type="dxa" w:w="2608"/>
          </w:tcPr>
          <w:p>
            <w:pPr>
              <w:spacing w:after="20" w:before="20"/>
            </w:pPr>
            <w:r/>
            <w:r>
              <w:rPr>
                <w:b w:val="0"/>
                <w:sz w:val="16"/>
              </w:rPr>
              <w:t>Likely permitted; Georgia is beekeeping-friendly</w:t>
            </w:r>
          </w:p>
        </w:tc>
        <w:tc>
          <w:tcPr>
            <w:tcW w:type="dxa" w:w="2835"/>
          </w:tcPr>
          <w:p>
            <w:pPr>
              <w:spacing w:after="20" w:before="20"/>
            </w:pPr>
            <w:r/>
            <w:r>
              <w:rPr>
                <w:b w:val="0"/>
                <w:sz w:val="16"/>
              </w:rPr>
              <w:t>Variable; sometimes restricted on small lots</w:t>
            </w:r>
          </w:p>
        </w:tc>
        <w:tc>
          <w:tcPr>
            <w:tcW w:type="dxa" w:w="2494"/>
          </w:tcPr>
          <w:p>
            <w:pPr>
              <w:spacing w:after="20" w:before="20"/>
            </w:pPr>
            <w:r/>
            <w:r>
              <w:rPr>
                <w:b w:val="0"/>
                <w:sz w:val="16"/>
              </w:rPr>
              <w:t>Check CC&amp;Rs; good fit with the site's fruit plantings</w:t>
            </w:r>
          </w:p>
        </w:tc>
      </w:tr>
      <w:tr>
        <w:tc>
          <w:tcPr>
            <w:tcW w:type="dxa" w:w="1474"/>
            <w:shd w:val="clear" w:color="auto" w:fill="F2F5F9"/>
          </w:tcPr>
          <w:p>
            <w:pPr>
              <w:spacing w:after="20" w:before="20"/>
            </w:pPr>
            <w:r/>
            <w:r>
              <w:rPr>
                <w:b w:val="0"/>
                <w:sz w:val="16"/>
              </w:rPr>
              <w:t>Other small livestock</w:t>
            </w:r>
          </w:p>
        </w:tc>
        <w:tc>
          <w:tcPr>
            <w:tcW w:type="dxa" w:w="2608"/>
            <w:shd w:val="clear" w:color="auto" w:fill="F2F5F9"/>
          </w:tcPr>
          <w:p>
            <w:pPr>
              <w:spacing w:after="20" w:before="20"/>
            </w:pPr>
            <w:r/>
            <w:r>
              <w:rPr>
                <w:b w:val="0"/>
                <w:sz w:val="16"/>
              </w:rPr>
              <w:t>Depends on acreage and zoning district</w:t>
            </w:r>
          </w:p>
        </w:tc>
        <w:tc>
          <w:tcPr>
            <w:tcW w:type="dxa" w:w="2835"/>
            <w:shd w:val="clear" w:color="auto" w:fill="F2F5F9"/>
          </w:tcPr>
          <w:p>
            <w:pPr>
              <w:spacing w:after="20" w:before="20"/>
            </w:pPr>
            <w:r/>
            <w:r>
              <w:rPr>
                <w:b w:val="0"/>
                <w:sz w:val="16"/>
              </w:rPr>
              <w:t>Commonly banned</w:t>
            </w:r>
          </w:p>
        </w:tc>
        <w:tc>
          <w:tcPr>
            <w:tcW w:type="dxa" w:w="2494"/>
            <w:shd w:val="clear" w:color="auto" w:fill="F2F5F9"/>
          </w:tcPr>
          <w:p>
            <w:pPr>
              <w:spacing w:after="20" w:before="20"/>
            </w:pPr>
            <w:r/>
            <w:r>
              <w:rPr>
                <w:b w:val="0"/>
                <w:sz w:val="16"/>
              </w:rPr>
              <w:t>Unlikely</w:t>
            </w:r>
          </w:p>
        </w:tc>
      </w:tr>
      <w:tr>
        <w:tc>
          <w:tcPr>
            <w:tcW w:type="dxa" w:w="1474"/>
          </w:tcPr>
          <w:p>
            <w:pPr>
              <w:spacing w:after="20" w:before="20"/>
            </w:pPr>
            <w:r/>
            <w:r>
              <w:rPr>
                <w:b w:val="0"/>
                <w:sz w:val="16"/>
              </w:rPr>
              <w:t>Horses / cattle</w:t>
            </w:r>
          </w:p>
        </w:tc>
        <w:tc>
          <w:tcPr>
            <w:tcW w:type="dxa" w:w="2608"/>
          </w:tcPr>
          <w:p>
            <w:pPr>
              <w:spacing w:after="20" w:before="20"/>
            </w:pPr>
            <w:r/>
            <w:r>
              <w:rPr>
                <w:b w:val="0"/>
                <w:sz w:val="16"/>
              </w:rPr>
              <w:t>Would require far more than 2.14 acres</w:t>
            </w:r>
          </w:p>
        </w:tc>
        <w:tc>
          <w:tcPr>
            <w:tcW w:type="dxa" w:w="2835"/>
          </w:tcPr>
          <w:p>
            <w:pPr>
              <w:spacing w:after="20" w:before="20"/>
            </w:pPr>
            <w:r/>
            <w:r>
              <w:rPr>
                <w:b w:val="0"/>
                <w:sz w:val="16"/>
              </w:rPr>
              <w:t>Almost certainly banned</w:t>
            </w:r>
          </w:p>
        </w:tc>
        <w:tc>
          <w:tcPr>
            <w:tcW w:type="dxa" w:w="2494"/>
          </w:tcPr>
          <w:p>
            <w:pPr>
              <w:spacing w:after="20" w:before="20"/>
            </w:pPr>
            <w:r/>
            <w:r>
              <w:rPr>
                <w:b w:val="0"/>
                <w:sz w:val="16"/>
              </w:rPr>
              <w:t>Not practical</w:t>
            </w:r>
          </w:p>
        </w:tc>
      </w:tr>
    </w:tbl>
    <w:p>
      <w:pPr>
        <w:spacing w:after="40"/>
      </w:pPr>
    </w:p>
    <w:p>
      <w:pPr>
        <w:spacing w:after="80" w:before="0"/>
      </w:pPr>
      <w:r>
        <w:rPr>
          <w:b/>
          <w:i w:val="0"/>
          <w:sz w:val="18"/>
        </w:rPr>
        <w:t>Site-specific practical factors, from the measured data:</w:t>
      </w:r>
    </w:p>
    <w:p>
      <w:pPr>
        <w:pStyle w:val="ListBullet"/>
        <w:spacing w:after="30"/>
        <w:ind w:left="369"/>
      </w:pPr>
      <w:r>
        <w:rPr>
          <w:b/>
          <w:sz w:val="19"/>
        </w:rPr>
        <w:t xml:space="preserve">Predation — </w:t>
      </w:r>
      <w:r>
        <w:rPr>
          <w:sz w:val="19"/>
        </w:rPr>
        <w:t>the area is wooded with abundant wildlife; secure housing is essential for poultry.</w:t>
      </w:r>
    </w:p>
    <w:p>
      <w:pPr>
        <w:pStyle w:val="ListBullet"/>
        <w:spacing w:after="30"/>
        <w:ind w:left="369"/>
      </w:pPr>
      <w:r>
        <w:rPr>
          <w:b/>
          <w:sz w:val="19"/>
        </w:rPr>
        <w:t xml:space="preserve">Slope and erosion — </w:t>
      </w:r>
      <w:r>
        <w:rPr>
          <w:sz w:val="19"/>
        </w:rPr>
        <w:t>animal runs on 10–25 % severely eroded Pacolet will strip vegetation and erode quickly. Site pens on the flatter near-road ground.</w:t>
      </w:r>
    </w:p>
    <w:p>
      <w:pPr>
        <w:pStyle w:val="ListBullet"/>
        <w:spacing w:after="30"/>
        <w:ind w:left="369"/>
      </w:pPr>
      <w:r>
        <w:rPr>
          <w:b/>
          <w:sz w:val="19"/>
        </w:rPr>
        <w:t xml:space="preserve">Septic field conflict — </w:t>
      </w:r>
      <w:r>
        <w:rPr>
          <w:sz w:val="19"/>
        </w:rPr>
        <w:t>animal enclosures must not sit over the absorption field or its reserve area, which consumes the flattest usable ground.</w:t>
      </w:r>
    </w:p>
    <w:p>
      <w:pPr>
        <w:pStyle w:val="ListBullet"/>
        <w:spacing w:after="30"/>
        <w:ind w:left="369"/>
      </w:pPr>
      <w:r>
        <w:rPr>
          <w:b/>
          <w:sz w:val="19"/>
        </w:rPr>
        <w:t xml:space="preserve">Water quality — </w:t>
      </w:r>
      <w:r>
        <w:rPr>
          <w:sz w:val="19"/>
        </w:rPr>
        <w:t>runoff from animal areas toward the lake is a regulatory sensitivity given federal shoreline ownership downslope.</w:t>
      </w:r>
    </w:p>
    <w:p>
      <w:pPr>
        <w:pStyle w:val="ListBullet"/>
        <w:spacing w:after="30"/>
        <w:ind w:left="369"/>
      </w:pPr>
      <w:r>
        <w:rPr>
          <w:b/>
          <w:sz w:val="19"/>
        </w:rPr>
        <w:t xml:space="preserve">Forage — </w:t>
      </w:r>
      <w:r>
        <w:rPr>
          <w:sz w:val="19"/>
        </w:rPr>
        <w:t>native soils are acidic (pH 4.8–5.5) with low organic matter; pasture would need liming and seeding to be productive.</w:t>
      </w:r>
    </w:p>
    <w:p>
      <w:pPr>
        <w:spacing w:before="20" w:after="80"/>
      </w:pPr>
      <w:r>
        <w:rPr>
          <w:b/>
          <w:color w:val="C01F2B"/>
          <w:sz w:val="15"/>
        </w:rPr>
        <w:t>[REQUIRES PROFESSIONAL / OFFICIAL VERIFICATION]</w:t>
      </w:r>
      <w:r>
        <w:rPr>
          <w:i/>
          <w:color w:val="555555"/>
          <w:sz w:val="15"/>
        </w:rPr>
        <w:t xml:space="preserve">  Requires both the Lincoln County zoning ordinance and the Stillwater Coves CC&amp;Rs.</w:t>
      </w:r>
    </w:p>
    <w:p>
      <w:r>
        <w:br w:type="page"/>
      </w:r>
    </w:p>
    <w:p>
      <w:pPr>
        <w:pStyle w:val="Heading1"/>
      </w:pPr>
      <w:r>
        <w:t>I. Short-Term Rental</w:t>
      </w:r>
    </w:p>
    <w:p>
      <w:pPr>
        <w:pStyle w:val="Heading2"/>
      </w:pPr>
      <w:r>
        <w:t>35. STR feasibility</w:t>
      </w:r>
    </w:p>
    <w:tbl>
      <w:tblPr>
        <w:tblStyle w:val="TableGrid"/>
        <w:tblW w:type="auto" w:w="0"/>
        <w:jc w:val="center"/>
        <w:tblLook w:firstColumn="1" w:firstRow="1" w:lastColumn="0" w:lastRow="0" w:noHBand="0" w:noVBand="1" w:val="04A0"/>
      </w:tblPr>
      <w:tblGrid>
        <w:gridCol w:w="3288"/>
        <w:gridCol w:w="3288"/>
        <w:gridCol w:w="3288"/>
      </w:tblGrid>
      <w:tr>
        <w:tc>
          <w:tcPr>
            <w:tcW w:type="dxa" w:w="2268"/>
            <w:shd w:val="clear" w:color="auto" w:fill="1F4E79"/>
          </w:tcPr>
          <w:p>
            <w:pPr>
              <w:spacing w:after="20" w:before="20"/>
            </w:pPr>
            <w:r/>
            <w:r>
              <w:rPr>
                <w:b/>
                <w:color w:val="FFFFFF"/>
                <w:sz w:val="16"/>
              </w:rPr>
              <w:t>Determinant</w:t>
            </w:r>
          </w:p>
        </w:tc>
        <w:tc>
          <w:tcPr>
            <w:tcW w:type="dxa" w:w="6576"/>
            <w:shd w:val="clear" w:color="auto" w:fill="1F4E79"/>
          </w:tcPr>
          <w:p>
            <w:pPr>
              <w:spacing w:after="20" w:before="20"/>
            </w:pPr>
            <w:r/>
            <w:r>
              <w:rPr>
                <w:b/>
                <w:color w:val="FFFFFF"/>
                <w:sz w:val="16"/>
              </w:rPr>
              <w:t>Finding</w:t>
            </w:r>
          </w:p>
        </w:tc>
        <w:tc>
          <w:tcPr>
            <w:tcW w:type="dxa" w:w="567"/>
            <w:shd w:val="clear" w:color="auto" w:fill="1F4E79"/>
          </w:tcPr>
          <w:p>
            <w:pPr>
              <w:spacing w:after="20" w:before="20"/>
            </w:pPr>
            <w:r/>
            <w:r>
              <w:rPr>
                <w:b/>
                <w:color w:val="FFFFFF"/>
                <w:sz w:val="16"/>
              </w:rPr>
              <w:t>Tier</w:t>
            </w:r>
          </w:p>
        </w:tc>
      </w:tr>
      <w:tr>
        <w:tc>
          <w:tcPr>
            <w:tcW w:type="dxa" w:w="2268"/>
          </w:tcPr>
          <w:p>
            <w:pPr>
              <w:spacing w:after="20" w:before="20"/>
            </w:pPr>
            <w:r/>
            <w:r>
              <w:rPr>
                <w:b w:val="0"/>
                <w:sz w:val="16"/>
              </w:rPr>
              <w:t>Georgia state law</w:t>
            </w:r>
          </w:p>
        </w:tc>
        <w:tc>
          <w:tcPr>
            <w:tcW w:type="dxa" w:w="6576"/>
          </w:tcPr>
          <w:p>
            <w:pPr>
              <w:spacing w:after="20" w:before="20"/>
            </w:pPr>
            <w:r/>
            <w:r>
              <w:rPr>
                <w:b w:val="0"/>
                <w:sz w:val="16"/>
              </w:rPr>
              <w:t>**There is no statewide short-term-rental law.** Whether a permit is needed, and how strict the rules are, is set by the city or county.</w:t>
            </w:r>
          </w:p>
        </w:tc>
        <w:tc>
          <w:tcPr>
            <w:tcW w:type="dxa" w:w="567"/>
          </w:tcPr>
          <w:p>
            <w:pPr>
              <w:spacing w:after="20" w:before="20"/>
            </w:pPr>
            <w:r/>
            <w:r>
              <w:rPr>
                <w:b w:val="0"/>
                <w:sz w:val="16"/>
              </w:rPr>
              <w:t>D</w:t>
            </w:r>
          </w:p>
        </w:tc>
      </w:tr>
      <w:tr>
        <w:tc>
          <w:tcPr>
            <w:tcW w:type="dxa" w:w="2268"/>
            <w:shd w:val="clear" w:color="auto" w:fill="F2F5F9"/>
          </w:tcPr>
          <w:p>
            <w:pPr>
              <w:spacing w:after="20" w:before="20"/>
            </w:pPr>
            <w:r/>
            <w:r>
              <w:rPr>
                <w:b w:val="0"/>
                <w:sz w:val="16"/>
              </w:rPr>
              <w:t>State taxes — unavoidable</w:t>
            </w:r>
          </w:p>
        </w:tc>
        <w:tc>
          <w:tcPr>
            <w:tcW w:type="dxa" w:w="6576"/>
            <w:shd w:val="clear" w:color="auto" w:fill="F2F5F9"/>
          </w:tcPr>
          <w:p>
            <w:pPr>
              <w:spacing w:after="20" w:before="20"/>
            </w:pPr>
            <w:r/>
            <w:r>
              <w:rPr>
                <w:b w:val="0"/>
                <w:sz w:val="16"/>
              </w:rPr>
              <w:t>**4 % state sales tax** plus a **$5 per night hotel-motel fee** apply to every Georgia short-term rental, usually collected automatically by Airbnb or Vrbo. Stays exceeding 30 nights are generally excepted.</w:t>
            </w:r>
          </w:p>
        </w:tc>
        <w:tc>
          <w:tcPr>
            <w:tcW w:type="dxa" w:w="567"/>
            <w:shd w:val="clear" w:color="auto" w:fill="F2F5F9"/>
          </w:tcPr>
          <w:p>
            <w:pPr>
              <w:spacing w:after="20" w:before="20"/>
            </w:pPr>
            <w:r/>
            <w:r>
              <w:rPr>
                <w:b w:val="0"/>
                <w:sz w:val="16"/>
              </w:rPr>
              <w:t>D</w:t>
            </w:r>
          </w:p>
        </w:tc>
      </w:tr>
      <w:tr>
        <w:tc>
          <w:tcPr>
            <w:tcW w:type="dxa" w:w="2268"/>
          </w:tcPr>
          <w:p>
            <w:pPr>
              <w:spacing w:after="20" w:before="20"/>
            </w:pPr>
            <w:r/>
            <w:r>
              <w:rPr>
                <w:b w:val="0"/>
                <w:sz w:val="16"/>
              </w:rPr>
              <w:t>Lincoln County, Georgia rules</w:t>
            </w:r>
          </w:p>
        </w:tc>
        <w:tc>
          <w:tcPr>
            <w:tcW w:type="dxa" w:w="6576"/>
          </w:tcPr>
          <w:p>
            <w:pPr>
              <w:spacing w:after="20" w:before="20"/>
            </w:pPr>
            <w:r/>
            <w:r>
              <w:rPr>
                <w:b w:val="0"/>
                <w:sz w:val="16"/>
              </w:rPr>
              <w:t>**NOT DETERMINED.** No Lincoln County (Georgia) STR ordinance was located. Caution: searches surface STR rules for Lincoln County in other states — those are irrelevant here.</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City rules</w:t>
            </w:r>
          </w:p>
        </w:tc>
        <w:tc>
          <w:tcPr>
            <w:tcW w:type="dxa" w:w="6576"/>
            <w:shd w:val="clear" w:color="auto" w:fill="F2F5F9"/>
          </w:tcPr>
          <w:p>
            <w:pPr>
              <w:spacing w:after="20" w:before="20"/>
            </w:pPr>
            <w:r/>
            <w:r>
              <w:rPr>
                <w:b w:val="0"/>
                <w:sz w:val="16"/>
              </w:rPr>
              <w:t>Not applicable — the parcel is unincorporated</w:t>
            </w:r>
          </w:p>
        </w:tc>
        <w:tc>
          <w:tcPr>
            <w:tcW w:type="dxa" w:w="567"/>
            <w:shd w:val="clear" w:color="auto" w:fill="F2F5F9"/>
          </w:tcPr>
          <w:p>
            <w:pPr>
              <w:spacing w:after="20" w:before="20"/>
            </w:pPr>
            <w:r/>
            <w:r>
              <w:rPr>
                <w:b w:val="0"/>
                <w:sz w:val="16"/>
              </w:rPr>
              <w:t>D</w:t>
            </w:r>
          </w:p>
        </w:tc>
      </w:tr>
      <w:tr>
        <w:tc>
          <w:tcPr>
            <w:tcW w:type="dxa" w:w="2268"/>
          </w:tcPr>
          <w:p>
            <w:pPr>
              <w:spacing w:after="20" w:before="20"/>
            </w:pPr>
            <w:r/>
            <w:r>
              <w:rPr>
                <w:b w:val="0"/>
                <w:sz w:val="16"/>
              </w:rPr>
              <w:t>Zoning</w:t>
            </w:r>
          </w:p>
        </w:tc>
        <w:tc>
          <w:tcPr>
            <w:tcW w:type="dxa" w:w="6576"/>
          </w:tcPr>
          <w:p>
            <w:pPr>
              <w:spacing w:after="20" w:before="20"/>
            </w:pPr>
            <w:r/>
            <w:r>
              <w:rPr>
                <w:b w:val="0"/>
                <w:sz w:val="16"/>
              </w:rPr>
              <w:t>Unknown whether the applicable district permits transient lodging</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sz w:val="16"/>
              </w:rPr>
              <w:t>HOA restrictions</w:t>
            </w:r>
          </w:p>
        </w:tc>
        <w:tc>
          <w:tcPr>
            <w:tcW w:type="dxa" w:w="6576"/>
            <w:shd w:val="clear" w:color="auto" w:fill="F2F5F9"/>
          </w:tcPr>
          <w:p>
            <w:pPr>
              <w:spacing w:after="20" w:before="20"/>
            </w:pPr>
            <w:r/>
            <w:r>
              <w:rPr>
                <w:b w:val="0"/>
                <w:sz w:val="16"/>
              </w:rPr>
              <w:t>**The most likely binding constraint.** Amenity lake communities commonly prohibit or heavily restrict short-term letting, and such covenants are enforceable independently of county permissiveness. Stillwater Coves CC&amp;Rs not obtained.</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Minimum rental period</w:t>
            </w:r>
          </w:p>
        </w:tc>
        <w:tc>
          <w:tcPr>
            <w:tcW w:type="dxa" w:w="6576"/>
          </w:tcPr>
          <w:p>
            <w:pPr>
              <w:spacing w:after="20" w:before="20"/>
            </w:pPr>
            <w:r/>
            <w:r>
              <w:rPr>
                <w:b w:val="0"/>
                <w:sz w:val="16"/>
              </w:rPr>
              <w:t>Unknown; often imposed via HOA covenant (e.g. 30-day minimum)</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STR permit / licence</w:t>
            </w:r>
          </w:p>
        </w:tc>
        <w:tc>
          <w:tcPr>
            <w:tcW w:type="dxa" w:w="6576"/>
            <w:shd w:val="clear" w:color="auto" w:fill="F2F5F9"/>
          </w:tcPr>
          <w:p>
            <w:pPr>
              <w:spacing w:after="20" w:before="20"/>
            </w:pPr>
            <w:r/>
            <w:r>
              <w:rPr>
                <w:b w:val="0"/>
                <w:sz w:val="16"/>
              </w:rPr>
              <w:t>Unknown at county level</w:t>
            </w:r>
          </w:p>
        </w:tc>
        <w:tc>
          <w:tcPr>
            <w:tcW w:type="dxa" w:w="567"/>
            <w:shd w:val="clear" w:color="auto" w:fill="F2F5F9"/>
          </w:tcPr>
          <w:p>
            <w:pPr>
              <w:spacing w:after="20" w:before="20"/>
            </w:pPr>
            <w:r/>
            <w:r>
              <w:rPr>
                <w:b w:val="0"/>
                <w:sz w:val="16"/>
              </w:rPr>
              <w:t>V</w:t>
            </w:r>
          </w:p>
        </w:tc>
      </w:tr>
      <w:tr>
        <w:tc>
          <w:tcPr>
            <w:tcW w:type="dxa" w:w="2268"/>
          </w:tcPr>
          <w:p>
            <w:pPr>
              <w:spacing w:after="20" w:before="20"/>
            </w:pPr>
            <w:r/>
            <w:r>
              <w:rPr>
                <w:b w:val="0"/>
                <w:sz w:val="16"/>
              </w:rPr>
              <w:t>Occupancy limits</w:t>
            </w:r>
          </w:p>
        </w:tc>
        <w:tc>
          <w:tcPr>
            <w:tcW w:type="dxa" w:w="6576"/>
          </w:tcPr>
          <w:p>
            <w:pPr>
              <w:spacing w:after="20" w:before="20"/>
            </w:pPr>
            <w:r/>
            <w:r>
              <w:rPr>
                <w:b w:val="0"/>
                <w:sz w:val="16"/>
              </w:rPr>
              <w:t>Unknown. **Note:** occupancy would in any case be capped by the permitted septic bedroom count (Section D.16) — a 2-bedroom septic approval caps the rental proposition regardless of the house size.</w:t>
            </w:r>
          </w:p>
        </w:tc>
        <w:tc>
          <w:tcPr>
            <w:tcW w:type="dxa" w:w="567"/>
          </w:tcPr>
          <w:p>
            <w:pPr>
              <w:spacing w:after="20" w:before="20"/>
            </w:pPr>
            <w:r/>
            <w:r>
              <w:rPr>
                <w:b w:val="0"/>
                <w:sz w:val="16"/>
              </w:rPr>
              <w:t>M</w:t>
            </w:r>
          </w:p>
        </w:tc>
      </w:tr>
      <w:tr>
        <w:tc>
          <w:tcPr>
            <w:tcW w:type="dxa" w:w="2268"/>
            <w:shd w:val="clear" w:color="auto" w:fill="F2F5F9"/>
          </w:tcPr>
          <w:p>
            <w:pPr>
              <w:spacing w:after="20" w:before="20"/>
            </w:pPr>
            <w:r/>
            <w:r>
              <w:rPr>
                <w:b w:val="0"/>
                <w:sz w:val="16"/>
              </w:rPr>
              <w:t>Parking</w:t>
            </w:r>
          </w:p>
        </w:tc>
        <w:tc>
          <w:tcPr>
            <w:tcW w:type="dxa" w:w="6576"/>
            <w:shd w:val="clear" w:color="auto" w:fill="F2F5F9"/>
          </w:tcPr>
          <w:p>
            <w:pPr>
              <w:spacing w:after="20" w:before="20"/>
            </w:pPr>
            <w:r/>
            <w:r>
              <w:rPr>
                <w:b w:val="0"/>
                <w:sz w:val="16"/>
              </w:rPr>
              <w:t>Not a constraint on 2.14 acres</w:t>
            </w:r>
          </w:p>
        </w:tc>
        <w:tc>
          <w:tcPr>
            <w:tcW w:type="dxa" w:w="567"/>
            <w:shd w:val="clear" w:color="auto" w:fill="F2F5F9"/>
          </w:tcPr>
          <w:p>
            <w:pPr>
              <w:spacing w:after="20" w:before="20"/>
            </w:pPr>
            <w:r/>
            <w:r>
              <w:rPr>
                <w:b w:val="0"/>
                <w:sz w:val="16"/>
              </w:rPr>
              <w:t>M</w:t>
            </w:r>
          </w:p>
        </w:tc>
      </w:tr>
      <w:tr>
        <w:tc>
          <w:tcPr>
            <w:tcW w:type="dxa" w:w="2268"/>
          </w:tcPr>
          <w:p>
            <w:pPr>
              <w:spacing w:after="20" w:before="20"/>
            </w:pPr>
            <w:r/>
            <w:r>
              <w:rPr>
                <w:b w:val="0"/>
                <w:sz w:val="16"/>
              </w:rPr>
              <w:t>Noise regulations</w:t>
            </w:r>
          </w:p>
        </w:tc>
        <w:tc>
          <w:tcPr>
            <w:tcW w:type="dxa" w:w="6576"/>
          </w:tcPr>
          <w:p>
            <w:pPr>
              <w:spacing w:after="20" w:before="20"/>
            </w:pPr>
            <w:r/>
            <w:r>
              <w:rPr>
                <w:b w:val="0"/>
                <w:sz w:val="16"/>
              </w:rPr>
              <w:t>County noise ordinance status unknown</w:t>
            </w:r>
          </w:p>
        </w:tc>
        <w:tc>
          <w:tcPr>
            <w:tcW w:type="dxa" w:w="567"/>
          </w:tcPr>
          <w:p>
            <w:pPr>
              <w:spacing w:after="20" w:before="20"/>
            </w:pPr>
            <w:r/>
            <w:r>
              <w:rPr>
                <w:b w:val="0"/>
                <w:sz w:val="16"/>
              </w:rPr>
              <w:t>V</w:t>
            </w:r>
          </w:p>
        </w:tc>
      </w:tr>
      <w:tr>
        <w:tc>
          <w:tcPr>
            <w:tcW w:type="dxa" w:w="2268"/>
            <w:shd w:val="clear" w:color="auto" w:fill="F2F5F9"/>
          </w:tcPr>
          <w:p>
            <w:pPr>
              <w:spacing w:after="20" w:before="20"/>
            </w:pPr>
            <w:r/>
            <w:r>
              <w:rPr>
                <w:b w:val="0"/>
                <w:sz w:val="16"/>
              </w:rPr>
              <w:t>Licensing / income tax</w:t>
            </w:r>
          </w:p>
        </w:tc>
        <w:tc>
          <w:tcPr>
            <w:tcW w:type="dxa" w:w="6576"/>
            <w:shd w:val="clear" w:color="auto" w:fill="F2F5F9"/>
          </w:tcPr>
          <w:p>
            <w:pPr>
              <w:spacing w:after="20" w:before="20"/>
            </w:pPr>
            <w:r/>
            <w:r>
              <w:rPr>
                <w:b w:val="0"/>
                <w:sz w:val="16"/>
              </w:rPr>
              <w:t>Federal and Georgia income tax on rental income; local business licence may apply</w:t>
            </w:r>
          </w:p>
        </w:tc>
        <w:tc>
          <w:tcPr>
            <w:tcW w:type="dxa" w:w="567"/>
            <w:shd w:val="clear" w:color="auto" w:fill="F2F5F9"/>
          </w:tcPr>
          <w:p>
            <w:pPr>
              <w:spacing w:after="20" w:before="20"/>
            </w:pPr>
            <w:r/>
            <w:r>
              <w:rPr>
                <w:b w:val="0"/>
                <w:sz w:val="16"/>
              </w:rPr>
              <w:t>D</w:t>
            </w:r>
          </w:p>
        </w:tc>
      </w:tr>
    </w:tbl>
    <w:p>
      <w:pPr>
        <w:spacing w:after="40"/>
      </w:pPr>
    </w:p>
    <w:p>
      <w:pPr>
        <w:spacing w:after="80" w:before="0"/>
      </w:pPr>
      <w:r>
        <w:rPr>
          <w:b w:val="0"/>
          <w:i w:val="0"/>
          <w:sz w:val="18"/>
        </w:rPr>
        <w:t>Commercial assessment, if an STR is part of the investment case: the location cuts both ways. Positives are genuine lake recreation, excellent fishing in the Fishing Creek arm, a quiet gated setting, proximity to Hesters Ferry and Elijah Clark State Park, and reported fibre broadband. Negatives are severe: 44 miles to a Walmart, 55 miles to a full-service hospital, 63 miles to the nearest commercial airport, and — decisively — **no confirmed private dock and a 470–690 ft walk down a 53–65 ft drop to reach the water.** Lake-rental demand is driven overwhelmingly by dock and water access. Without a dock, this would compete as a rural cabin, not as a lake house, and should be underwritten accordingly.</w:t>
      </w: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ORDER OF OPERATIONS FOR AN STR PLAN</w:t>
            </w:r>
          </w:p>
          <w:p>
            <w:pPr>
              <w:spacing w:after="40"/>
            </w:pPr>
            <w:r>
              <w:rPr>
                <w:sz w:val="17"/>
              </w:rPr>
              <w:t>Resolve in this sequence, and stop at the first failure: (1) HOA CC&amp;Rs — is short-term letting permitted at all? (2) Lincoln County — is a permit required and is the use allowed in the zoning district? (3) Septic — how many bedrooms will actually be approved, since that caps occupancy and therefore revenue? (4) Dock — is any form of water access available, since that sets the nightly rate? Only then model returns.</w:t>
            </w:r>
          </w:p>
        </w:tc>
      </w:tr>
    </w:tbl>
    <w:p>
      <w:pPr>
        <w:spacing w:after="60"/>
      </w:pPr>
    </w:p>
    <w:p>
      <w:pPr>
        <w:spacing w:before="20" w:after="80"/>
      </w:pPr>
      <w:r>
        <w:rPr>
          <w:b/>
          <w:color w:val="C01F2B"/>
          <w:sz w:val="15"/>
        </w:rPr>
        <w:t>[REQUIRES PROFESSIONAL / OFFICIAL VERIFICATION]</w:t>
      </w:r>
      <w:r>
        <w:rPr>
          <w:i/>
          <w:color w:val="555555"/>
          <w:sz w:val="15"/>
        </w:rPr>
        <w:t xml:space="preserve">  STR feasibility is genuinely unresolved and depends primarily on documents not obtained.</w:t>
      </w:r>
    </w:p>
    <w:p>
      <w:r>
        <w:br w:type="page"/>
      </w:r>
    </w:p>
    <w:p>
      <w:pPr>
        <w:pStyle w:val="Heading1"/>
      </w:pPr>
      <w:r>
        <w:t>J. Environmental &amp; Geological Due Diligence</w:t>
      </w:r>
    </w:p>
    <w:p>
      <w:pPr>
        <w:spacing w:after="80" w:before="0"/>
      </w:pPr>
      <w:r>
        <w:rPr>
          <w:b w:val="0"/>
          <w:i w:val="0"/>
          <w:sz w:val="18"/>
        </w:rPr>
        <w:t>This section is deliberately short on findings and long on requests, because almost every item here is a document that either exists in someone's file or does not exist at all. Ask the seller, the county and the HOA directly for each one.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54"/>
            <w:shd w:val="clear" w:color="auto" w:fill="1F4E79"/>
          </w:tcPr>
          <w:p>
            <w:pPr>
              <w:spacing w:after="20" w:before="20"/>
            </w:pPr>
            <w:r/>
            <w:r>
              <w:rPr>
                <w:b/>
                <w:color w:val="FFFFFF"/>
                <w:sz w:val="15"/>
              </w:rPr>
              <w:t>#</w:t>
            </w:r>
          </w:p>
        </w:tc>
        <w:tc>
          <w:tcPr>
            <w:tcW w:type="dxa" w:w="1928"/>
            <w:shd w:val="clear" w:color="auto" w:fill="1F4E79"/>
          </w:tcPr>
          <w:p>
            <w:pPr>
              <w:spacing w:after="20" w:before="20"/>
            </w:pPr>
            <w:r/>
            <w:r>
              <w:rPr>
                <w:b/>
                <w:color w:val="FFFFFF"/>
                <w:sz w:val="15"/>
              </w:rPr>
              <w:t>Item</w:t>
            </w:r>
          </w:p>
        </w:tc>
        <w:tc>
          <w:tcPr>
            <w:tcW w:type="dxa" w:w="1587"/>
            <w:shd w:val="clear" w:color="auto" w:fill="1F4E79"/>
          </w:tcPr>
          <w:p>
            <w:pPr>
              <w:spacing w:after="20" w:before="20"/>
            </w:pPr>
            <w:r/>
            <w:r>
              <w:rPr>
                <w:b/>
                <w:color w:val="FFFFFF"/>
                <w:sz w:val="15"/>
              </w:rPr>
              <w:t>Status</w:t>
            </w:r>
          </w:p>
        </w:tc>
        <w:tc>
          <w:tcPr>
            <w:tcW w:type="dxa" w:w="5443"/>
            <w:shd w:val="clear" w:color="auto" w:fill="1F4E79"/>
          </w:tcPr>
          <w:p>
            <w:pPr>
              <w:spacing w:after="20" w:before="20"/>
            </w:pPr>
            <w:r/>
            <w:r>
              <w:rPr>
                <w:b/>
                <w:color w:val="FFFFFF"/>
                <w:sz w:val="15"/>
              </w:rPr>
              <w:t>Where to obtain / what it would tell you</w:t>
            </w:r>
          </w:p>
        </w:tc>
      </w:tr>
      <w:tr>
        <w:tc>
          <w:tcPr>
            <w:tcW w:type="dxa" w:w="454"/>
          </w:tcPr>
          <w:p>
            <w:pPr>
              <w:spacing w:after="20" w:before="20"/>
            </w:pPr>
            <w:r/>
            <w:r>
              <w:rPr>
                <w:b w:val="0"/>
                <w:sz w:val="15"/>
              </w:rPr>
              <w:t>36</w:t>
            </w:r>
          </w:p>
        </w:tc>
        <w:tc>
          <w:tcPr>
            <w:tcW w:type="dxa" w:w="1928"/>
          </w:tcPr>
          <w:p>
            <w:pPr>
              <w:spacing w:after="20" w:before="20"/>
            </w:pPr>
            <w:r/>
            <w:r>
              <w:rPr>
                <w:b/>
                <w:sz w:val="15"/>
              </w:rPr>
              <w:t>Elevation Certificate</w:t>
            </w:r>
          </w:p>
        </w:tc>
        <w:tc>
          <w:tcPr>
            <w:tcW w:type="dxa" w:w="1587"/>
          </w:tcPr>
          <w:p>
            <w:pPr>
              <w:spacing w:after="20" w:before="20"/>
            </w:pPr>
            <w:r/>
            <w:r>
              <w:rPr>
                <w:b/>
                <w:sz w:val="15"/>
              </w:rPr>
              <w:t>Not obtained; may not exist</w:t>
            </w:r>
          </w:p>
        </w:tc>
        <w:tc>
          <w:tcPr>
            <w:tcW w:type="dxa" w:w="5443"/>
          </w:tcPr>
          <w:p>
            <w:pPr>
              <w:spacing w:after="20" w:before="20"/>
            </w:pPr>
            <w:r/>
            <w:r>
              <w:rPr>
                <w:b w:val="0"/>
                <w:sz w:val="15"/>
              </w:rPr>
              <w:t>A licensed surveyor prepares it. Compare against: FEMA BFE (none published here), lowest adjacent grade, proposed finished floor, and flood-zone requirements. Likely required by lender/insurer if any part of the structure is in Zone A.</w:t>
            </w:r>
          </w:p>
        </w:tc>
      </w:tr>
      <w:tr>
        <w:tc>
          <w:tcPr>
            <w:tcW w:type="dxa" w:w="454"/>
            <w:shd w:val="clear" w:color="auto" w:fill="F2F5F9"/>
          </w:tcPr>
          <w:p>
            <w:pPr>
              <w:spacing w:after="20" w:before="20"/>
            </w:pPr>
            <w:r/>
            <w:r>
              <w:rPr>
                <w:b w:val="0"/>
                <w:sz w:val="15"/>
              </w:rPr>
              <w:t>37</w:t>
            </w:r>
          </w:p>
        </w:tc>
        <w:tc>
          <w:tcPr>
            <w:tcW w:type="dxa" w:w="1928"/>
            <w:shd w:val="clear" w:color="auto" w:fill="F2F5F9"/>
          </w:tcPr>
          <w:p>
            <w:pPr>
              <w:spacing w:after="20" w:before="20"/>
            </w:pPr>
            <w:r/>
            <w:r>
              <w:rPr>
                <w:b/>
                <w:sz w:val="15"/>
              </w:rPr>
              <w:t>Boundary survey</w:t>
            </w:r>
          </w:p>
        </w:tc>
        <w:tc>
          <w:tcPr>
            <w:tcW w:type="dxa" w:w="1587"/>
            <w:shd w:val="clear" w:color="auto" w:fill="F2F5F9"/>
          </w:tcPr>
          <w:p>
            <w:pPr>
              <w:spacing w:after="20" w:before="20"/>
            </w:pPr>
            <w:r/>
            <w:r>
              <w:rPr>
                <w:b/>
                <w:sz w:val="15"/>
              </w:rPr>
              <w:t>Not obtained</w:t>
            </w:r>
          </w:p>
        </w:tc>
        <w:tc>
          <w:tcPr>
            <w:tcW w:type="dxa" w:w="5443"/>
            <w:shd w:val="clear" w:color="auto" w:fill="F2F5F9"/>
          </w:tcPr>
          <w:p>
            <w:pPr>
              <w:spacing w:after="20" w:before="20"/>
            </w:pPr>
            <w:r/>
            <w:r>
              <w:rPr>
                <w:b w:val="0"/>
                <w:sz w:val="15"/>
              </w:rPr>
              <w:t>Essential. Establishes the true lot lines, acreage, frontage and — critically — the location of the USACE boundary at the rear.</w:t>
            </w:r>
          </w:p>
        </w:tc>
      </w:tr>
      <w:tr>
        <w:tc>
          <w:tcPr>
            <w:tcW w:type="dxa" w:w="454"/>
          </w:tcPr>
          <w:p>
            <w:pPr>
              <w:spacing w:after="20" w:before="20"/>
            </w:pPr>
            <w:r/>
            <w:r>
              <w:rPr>
                <w:b w:val="0"/>
                <w:sz w:val="15"/>
              </w:rPr>
              <w:t>37</w:t>
            </w:r>
          </w:p>
        </w:tc>
        <w:tc>
          <w:tcPr>
            <w:tcW w:type="dxa" w:w="1928"/>
          </w:tcPr>
          <w:p>
            <w:pPr>
              <w:spacing w:after="20" w:before="20"/>
            </w:pPr>
            <w:r/>
            <w:r>
              <w:rPr>
                <w:b w:val="0"/>
                <w:sz w:val="15"/>
              </w:rPr>
              <w:t>ALTA survey</w:t>
            </w:r>
          </w:p>
        </w:tc>
        <w:tc>
          <w:tcPr>
            <w:tcW w:type="dxa" w:w="1587"/>
          </w:tcPr>
          <w:p>
            <w:pPr>
              <w:spacing w:after="20" w:before="20"/>
            </w:pPr>
            <w:r/>
            <w:r>
              <w:rPr>
                <w:b w:val="0"/>
                <w:sz w:val="15"/>
              </w:rPr>
              <w:t>Not obtained</w:t>
            </w:r>
          </w:p>
        </w:tc>
        <w:tc>
          <w:tcPr>
            <w:tcW w:type="dxa" w:w="5443"/>
          </w:tcPr>
          <w:p>
            <w:pPr>
              <w:spacing w:after="20" w:before="20"/>
            </w:pPr>
            <w:r/>
            <w:r>
              <w:rPr>
                <w:b w:val="0"/>
                <w:sz w:val="15"/>
              </w:rPr>
              <w:t>Usually only for commercial transactions, but gives the most complete easement picture.</w:t>
            </w:r>
          </w:p>
        </w:tc>
      </w:tr>
      <w:tr>
        <w:tc>
          <w:tcPr>
            <w:tcW w:type="dxa" w:w="454"/>
            <w:shd w:val="clear" w:color="auto" w:fill="F2F5F9"/>
          </w:tcPr>
          <w:p>
            <w:pPr>
              <w:spacing w:after="20" w:before="20"/>
            </w:pPr>
            <w:r/>
            <w:r>
              <w:rPr>
                <w:b w:val="0"/>
                <w:sz w:val="15"/>
              </w:rPr>
              <w:t>37</w:t>
            </w:r>
          </w:p>
        </w:tc>
        <w:tc>
          <w:tcPr>
            <w:tcW w:type="dxa" w:w="1928"/>
            <w:shd w:val="clear" w:color="auto" w:fill="F2F5F9"/>
          </w:tcPr>
          <w:p>
            <w:pPr>
              <w:spacing w:after="20" w:before="20"/>
            </w:pPr>
            <w:r/>
            <w:r>
              <w:rPr>
                <w:b w:val="0"/>
                <w:sz w:val="15"/>
              </w:rPr>
              <w:t>Topographic survey</w:t>
            </w:r>
          </w:p>
        </w:tc>
        <w:tc>
          <w:tcPr>
            <w:tcW w:type="dxa" w:w="1587"/>
            <w:shd w:val="clear" w:color="auto" w:fill="F2F5F9"/>
          </w:tcPr>
          <w:p>
            <w:pPr>
              <w:spacing w:after="20" w:before="20"/>
            </w:pPr>
            <w:r/>
            <w:r>
              <w:rPr>
                <w:b w:val="0"/>
                <w:sz w:val="15"/>
              </w:rPr>
              <w:t>Not obtained</w:t>
            </w:r>
          </w:p>
        </w:tc>
        <w:tc>
          <w:tcPr>
            <w:tcW w:type="dxa" w:w="5443"/>
            <w:shd w:val="clear" w:color="auto" w:fill="F2F5F9"/>
          </w:tcPr>
          <w:p>
            <w:pPr>
              <w:spacing w:after="20" w:before="20"/>
            </w:pPr>
            <w:r/>
            <w:r>
              <w:rPr>
                <w:b w:val="0"/>
                <w:sz w:val="15"/>
              </w:rPr>
              <w:t>This report substitutes 1 m lidar, which is good for planning but is not a survey. A topo survey is needed for grading design and permits.</w:t>
            </w:r>
          </w:p>
        </w:tc>
      </w:tr>
      <w:tr>
        <w:tc>
          <w:tcPr>
            <w:tcW w:type="dxa" w:w="454"/>
          </w:tcPr>
          <w:p>
            <w:pPr>
              <w:spacing w:after="20" w:before="20"/>
            </w:pPr>
            <w:r/>
            <w:r>
              <w:rPr>
                <w:b w:val="0"/>
                <w:sz w:val="15"/>
              </w:rPr>
              <w:t>38</w:t>
            </w:r>
          </w:p>
        </w:tc>
        <w:tc>
          <w:tcPr>
            <w:tcW w:type="dxa" w:w="1928"/>
          </w:tcPr>
          <w:p>
            <w:pPr>
              <w:spacing w:after="20" w:before="20"/>
            </w:pPr>
            <w:r/>
            <w:r>
              <w:rPr>
                <w:b/>
                <w:sz w:val="15"/>
              </w:rPr>
              <w:t>Geotechnical / soil report</w:t>
            </w:r>
          </w:p>
        </w:tc>
        <w:tc>
          <w:tcPr>
            <w:tcW w:type="dxa" w:w="1587"/>
          </w:tcPr>
          <w:p>
            <w:pPr>
              <w:spacing w:after="20" w:before="20"/>
            </w:pPr>
            <w:r/>
            <w:r>
              <w:rPr>
                <w:b/>
                <w:sz w:val="15"/>
              </w:rPr>
              <w:t>Not obtained; likely does not exist</w:t>
            </w:r>
          </w:p>
        </w:tc>
        <w:tc>
          <w:tcPr>
            <w:tcW w:type="dxa" w:w="5443"/>
          </w:tcPr>
          <w:p>
            <w:pPr>
              <w:spacing w:after="20" w:before="20"/>
            </w:pPr>
            <w:r/>
            <w:r>
              <w:rPr>
                <w:b w:val="0"/>
                <w:sz w:val="15"/>
              </w:rPr>
              <w:t>Advisable given severely eroded Pacolet, clay subsoils at 40–55 %, and possible shallow bedrock. Needed for foundation and retaining-wall design.</w:t>
            </w:r>
          </w:p>
        </w:tc>
      </w:tr>
      <w:tr>
        <w:tc>
          <w:tcPr>
            <w:tcW w:type="dxa" w:w="454"/>
            <w:shd w:val="clear" w:color="auto" w:fill="F2F5F9"/>
          </w:tcPr>
          <w:p>
            <w:pPr>
              <w:spacing w:after="20" w:before="20"/>
            </w:pPr>
            <w:r/>
            <w:r>
              <w:rPr>
                <w:b w:val="0"/>
                <w:sz w:val="15"/>
              </w:rPr>
              <w:t>39</w:t>
            </w:r>
          </w:p>
        </w:tc>
        <w:tc>
          <w:tcPr>
            <w:tcW w:type="dxa" w:w="1928"/>
            <w:shd w:val="clear" w:color="auto" w:fill="F2F5F9"/>
          </w:tcPr>
          <w:p>
            <w:pPr>
              <w:spacing w:after="20" w:before="20"/>
            </w:pPr>
            <w:r/>
            <w:r>
              <w:rPr>
                <w:b/>
                <w:sz w:val="15"/>
              </w:rPr>
              <w:t>Percolation / Level 3-4 soil report</w:t>
            </w:r>
          </w:p>
        </w:tc>
        <w:tc>
          <w:tcPr>
            <w:tcW w:type="dxa" w:w="1587"/>
            <w:shd w:val="clear" w:color="auto" w:fill="F2F5F9"/>
          </w:tcPr>
          <w:p>
            <w:pPr>
              <w:spacing w:after="20" w:before="20"/>
            </w:pPr>
            <w:r/>
            <w:r>
              <w:rPr>
                <w:b/>
                <w:sz w:val="15"/>
              </w:rPr>
              <w:t>Not obtained — GATING ITEM</w:t>
            </w:r>
          </w:p>
        </w:tc>
        <w:tc>
          <w:tcPr>
            <w:tcW w:type="dxa" w:w="5443"/>
            <w:shd w:val="clear" w:color="auto" w:fill="F2F5F9"/>
          </w:tcPr>
          <w:p>
            <w:pPr>
              <w:spacing w:after="20" w:before="20"/>
            </w:pPr>
            <w:r/>
            <w:r>
              <w:rPr>
                <w:b w:val="0"/>
                <w:sz w:val="15"/>
              </w:rPr>
              <w:t>Determines whether a septic system is permittable and for how many bedrooms. Georgia requires an original stamped Level 3 or 4 report. Without it, the house size is unknown.</w:t>
            </w:r>
          </w:p>
        </w:tc>
      </w:tr>
      <w:tr>
        <w:tc>
          <w:tcPr>
            <w:tcW w:type="dxa" w:w="454"/>
          </w:tcPr>
          <w:p>
            <w:pPr>
              <w:spacing w:after="20" w:before="20"/>
            </w:pPr>
            <w:r/>
            <w:r>
              <w:rPr>
                <w:b w:val="0"/>
                <w:sz w:val="15"/>
              </w:rPr>
              <w:t>40</w:t>
            </w:r>
          </w:p>
        </w:tc>
        <w:tc>
          <w:tcPr>
            <w:tcW w:type="dxa" w:w="1928"/>
          </w:tcPr>
          <w:p>
            <w:pPr>
              <w:spacing w:after="20" w:before="20"/>
            </w:pPr>
            <w:r/>
            <w:r>
              <w:rPr>
                <w:b w:val="0"/>
                <w:sz w:val="15"/>
              </w:rPr>
              <w:t>Ground Penetrating Radar / subsurface investigation</w:t>
            </w:r>
          </w:p>
        </w:tc>
        <w:tc>
          <w:tcPr>
            <w:tcW w:type="dxa" w:w="1587"/>
          </w:tcPr>
          <w:p>
            <w:pPr>
              <w:spacing w:after="20" w:before="20"/>
            </w:pPr>
            <w:r/>
            <w:r>
              <w:rPr>
                <w:b w:val="0"/>
                <w:sz w:val="15"/>
              </w:rPr>
              <w:t>Not obtained; unlikely to exist</w:t>
            </w:r>
          </w:p>
        </w:tc>
        <w:tc>
          <w:tcPr>
            <w:tcW w:type="dxa" w:w="5443"/>
          </w:tcPr>
          <w:p>
            <w:pPr>
              <w:spacing w:after="20" w:before="20"/>
            </w:pPr>
            <w:r/>
            <w:r>
              <w:rPr>
                <w:b w:val="0"/>
                <w:sz w:val="15"/>
              </w:rPr>
              <w:t>Would map shallow bedrock and buried features. Normally unnecessary unless the geotechnical report flags rock.</w:t>
            </w:r>
          </w:p>
        </w:tc>
      </w:tr>
      <w:tr>
        <w:tc>
          <w:tcPr>
            <w:tcW w:type="dxa" w:w="454"/>
            <w:shd w:val="clear" w:color="auto" w:fill="F2F5F9"/>
          </w:tcPr>
          <w:p>
            <w:pPr>
              <w:spacing w:after="20" w:before="20"/>
            </w:pPr>
            <w:r/>
            <w:r>
              <w:rPr>
                <w:b w:val="0"/>
                <w:sz w:val="15"/>
              </w:rPr>
              <w:t>41</w:t>
            </w:r>
          </w:p>
        </w:tc>
        <w:tc>
          <w:tcPr>
            <w:tcW w:type="dxa" w:w="1928"/>
            <w:shd w:val="clear" w:color="auto" w:fill="F2F5F9"/>
          </w:tcPr>
          <w:p>
            <w:pPr>
              <w:spacing w:after="20" w:before="20"/>
            </w:pPr>
            <w:r/>
            <w:r>
              <w:rPr>
                <w:b/>
                <w:sz w:val="15"/>
              </w:rPr>
              <w:t>Radon measurement</w:t>
            </w:r>
          </w:p>
        </w:tc>
        <w:tc>
          <w:tcPr>
            <w:tcW w:type="dxa" w:w="1587"/>
            <w:shd w:val="clear" w:color="auto" w:fill="F2F5F9"/>
          </w:tcPr>
          <w:p>
            <w:pPr>
              <w:spacing w:after="20" w:before="20"/>
            </w:pPr>
            <w:r/>
            <w:r>
              <w:rPr>
                <w:b/>
                <w:sz w:val="15"/>
              </w:rPr>
              <w:t>Not determined</w:t>
            </w:r>
          </w:p>
        </w:tc>
        <w:tc>
          <w:tcPr>
            <w:tcW w:type="dxa" w:w="5443"/>
            <w:shd w:val="clear" w:color="auto" w:fill="F2F5F9"/>
          </w:tcPr>
          <w:p>
            <w:pPr>
              <w:spacing w:after="20" w:before="20"/>
            </w:pPr>
            <w:r/>
            <w:r>
              <w:rPr>
                <w:b w:val="0"/>
                <w:sz w:val="15"/>
              </w:rPr>
              <w:t>Lincoln County's EPA radon zone could not be reliably extracted (the EPA state map is image-based). Georgia contains only a handful of Zone 1 counties, so Zone 2 or 3 is more likely here — but Piedmont granitic/gneissic terrain is a recognised radon source. EPA's position is that elevated radon occurs in ALL three zones and every home should be tested. Budget for a test and for passive radon-resistant construction, which is cheap at build stage and expensive to retrofit.</w:t>
            </w:r>
          </w:p>
        </w:tc>
      </w:tr>
      <w:tr>
        <w:tc>
          <w:tcPr>
            <w:tcW w:type="dxa" w:w="454"/>
          </w:tcPr>
          <w:p>
            <w:pPr>
              <w:spacing w:after="20" w:before="20"/>
            </w:pPr>
            <w:r/>
            <w:r>
              <w:rPr>
                <w:b w:val="0"/>
                <w:sz w:val="15"/>
              </w:rPr>
              <w:t>42</w:t>
            </w:r>
          </w:p>
        </w:tc>
        <w:tc>
          <w:tcPr>
            <w:tcW w:type="dxa" w:w="1928"/>
          </w:tcPr>
          <w:p>
            <w:pPr>
              <w:spacing w:after="20" w:before="20"/>
            </w:pPr>
            <w:r/>
            <w:r>
              <w:rPr>
                <w:b/>
                <w:sz w:val="15"/>
              </w:rPr>
              <w:t>Sinkholes / karst</w:t>
            </w:r>
          </w:p>
        </w:tc>
        <w:tc>
          <w:tcPr>
            <w:tcW w:type="dxa" w:w="1587"/>
          </w:tcPr>
          <w:p>
            <w:pPr>
              <w:spacing w:after="20" w:before="20"/>
            </w:pPr>
            <w:r/>
            <w:r>
              <w:rPr>
                <w:b/>
                <w:sz w:val="15"/>
              </w:rPr>
              <w:t>Risk assessed as very low</w:t>
            </w:r>
          </w:p>
        </w:tc>
        <w:tc>
          <w:tcPr>
            <w:tcW w:type="dxa" w:w="5443"/>
          </w:tcPr>
          <w:p>
            <w:pPr>
              <w:spacing w:after="20" w:before="20"/>
            </w:pPr>
            <w:r/>
            <w:r>
              <w:rPr>
                <w:b w:val="0"/>
                <w:sz w:val="15"/>
              </w:rPr>
              <w:t>The soil taxonomy is decisive: Typic Kanhapludults (Cecil, Pacolet, Madison) and Ultic Hapludalfs (Zion) with indurated lithic bedrock are residual soils over crystalline Piedmont rock — granite, gneiss and schist. **This is not karst terrain.** Georgia's sinkhole problems occur in the limestone Coastal Plain, not the Piedmont. No known sinkholes, subsidence or geological hazards were identified for this area.</w:t>
            </w:r>
          </w:p>
        </w:tc>
      </w:tr>
    </w:tbl>
    <w:p>
      <w:pPr>
        <w:spacing w:after="40"/>
      </w:pPr>
    </w:p>
    <w:p>
      <w:pPr>
        <w:spacing w:before="20" w:after="80"/>
      </w:pPr>
      <w:r>
        <w:rPr>
          <w:b/>
          <w:color w:val="C01F2B"/>
          <w:sz w:val="15"/>
        </w:rPr>
        <w:t>[REQUIRES PROFESSIONAL / OFFICIAL VERIFICATION]</w:t>
      </w:r>
      <w:r>
        <w:rPr>
          <w:i/>
          <w:color w:val="555555"/>
          <w:sz w:val="15"/>
        </w:rPr>
        <w:t xml:space="preserve">  Items 36–41 all require licensed professionals or records not publicly available. Item 42 is a documented geological inference.</w:t>
      </w: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SEISMIC AND MINING NOTE</w:t>
            </w:r>
          </w:p>
          <w:p>
            <w:pPr>
              <w:spacing w:after="40"/>
            </w:pPr>
            <w:r>
              <w:rPr>
                <w:sz w:val="17"/>
              </w:rPr>
              <w:t>Two further items worth a question. (1) Lincoln County is home to Graves Mountain, noted for rutile and other mineral crystals — ask whether mineral rights have been severed from the surface estate, which the title commitment will show. (2) Georgia's Piedmont has low but non-zero seismic hazard; standard Georgia code seismic provisions apply and no special design is expected.</w:t>
            </w:r>
          </w:p>
        </w:tc>
      </w:tr>
    </w:tbl>
    <w:p>
      <w:pPr>
        <w:spacing w:after="60"/>
      </w:pPr>
    </w:p>
    <w:p>
      <w:r>
        <w:br w:type="page"/>
      </w:r>
    </w:p>
    <w:p>
      <w:pPr>
        <w:pStyle w:val="Heading1"/>
      </w:pPr>
      <w:r>
        <w:t>K. Residential Construction Feasibility</w:t>
      </w:r>
    </w:p>
    <w:p>
      <w:pPr>
        <w:pStyle w:val="Heading2"/>
      </w:pPr>
      <w:r>
        <w:t>43. House construction and building envelope</w:t>
      </w:r>
    </w:p>
    <w:p>
      <w:pPr>
        <w:spacing w:before="120" w:after="40"/>
        <w:jc w:val="center"/>
      </w:pPr>
      <w:r>
        <w:drawing>
          <wp:inline xmlns:a="http://schemas.openxmlformats.org/drawingml/2006/main" xmlns:pic="http://schemas.openxmlformats.org/drawingml/2006/picture">
            <wp:extent cx="5940000" cy="4702500"/>
            <wp:docPr id="7" name="Picture 7"/>
            <wp:cNvGraphicFramePr>
              <a:graphicFrameLocks noChangeAspect="1"/>
            </wp:cNvGraphicFramePr>
            <a:graphic>
              <a:graphicData uri="http://schemas.openxmlformats.org/drawingml/2006/picture">
                <pic:pic>
                  <pic:nvPicPr>
                    <pic:cNvPr id="0" name="fig6_envelope.png"/>
                    <pic:cNvPicPr/>
                  </pic:nvPicPr>
                  <pic:blipFill>
                    <a:blip r:embed="rId16"/>
                    <a:stretch>
                      <a:fillRect/>
                    </a:stretch>
                  </pic:blipFill>
                  <pic:spPr>
                    <a:xfrm>
                      <a:off x="0" y="0"/>
                      <a:ext cx="5940000" cy="4702500"/>
                    </a:xfrm>
                    <a:prstGeom prst="rect"/>
                  </pic:spPr>
                </pic:pic>
              </a:graphicData>
            </a:graphic>
          </wp:inline>
        </w:drawing>
      </w:r>
    </w:p>
    <w:p>
      <w:pPr>
        <w:spacing w:after="160"/>
        <w:jc w:val="center"/>
      </w:pPr>
      <w:r>
        <w:rPr>
          <w:i/>
          <w:color w:val="555555"/>
          <w:sz w:val="15"/>
        </w:rPr>
        <w:t>Fig. 6 — Illustrative site layout across both lots, showing a 4-bedroom footprint, driveway, and primary plus reserve septic fields. Lot shape and setbacks are ASSUMED; confirm against the recorded plat, HOA guidelines and Lincoln County zoning.</w:t>
      </w:r>
    </w:p>
    <w:tbl>
      <w:tblPr>
        <w:tblStyle w:val="TableGrid"/>
        <w:tblW w:type="auto" w:w="0"/>
        <w:jc w:val="center"/>
        <w:tblLook w:firstColumn="1" w:firstRow="1" w:lastColumn="0" w:lastRow="0" w:noHBand="0" w:noVBand="1" w:val="04A0"/>
      </w:tblPr>
      <w:tblGrid>
        <w:gridCol w:w="4932"/>
        <w:gridCol w:w="4932"/>
      </w:tblGrid>
      <w:tr>
        <w:tc>
          <w:tcPr>
            <w:tcW w:type="dxa" w:w="2041"/>
            <w:shd w:val="clear" w:color="auto" w:fill="1F4E79"/>
          </w:tcPr>
          <w:p>
            <w:pPr>
              <w:spacing w:after="20" w:before="20"/>
            </w:pPr>
            <w:r/>
            <w:r>
              <w:rPr>
                <w:b/>
                <w:color w:val="FFFFFF"/>
                <w:sz w:val="16"/>
              </w:rPr>
              <w:t>Element</w:t>
            </w:r>
          </w:p>
        </w:tc>
        <w:tc>
          <w:tcPr>
            <w:tcW w:type="dxa" w:w="7370"/>
            <w:shd w:val="clear" w:color="auto" w:fill="1F4E79"/>
          </w:tcPr>
          <w:p>
            <w:pPr>
              <w:spacing w:after="20" w:before="20"/>
            </w:pPr>
            <w:r/>
            <w:r>
              <w:rPr>
                <w:b/>
                <w:color w:val="FFFFFF"/>
                <w:sz w:val="16"/>
              </w:rPr>
              <w:t>Assessment on 2.14 combined acres</w:t>
            </w:r>
          </w:p>
        </w:tc>
      </w:tr>
      <w:tr>
        <w:tc>
          <w:tcPr>
            <w:tcW w:type="dxa" w:w="2041"/>
          </w:tcPr>
          <w:p>
            <w:pPr>
              <w:spacing w:after="20" w:before="20"/>
            </w:pPr>
            <w:r/>
            <w:r>
              <w:rPr>
                <w:b w:val="0"/>
                <w:sz w:val="16"/>
              </w:rPr>
              <w:t>Building envelope</w:t>
            </w:r>
          </w:p>
        </w:tc>
        <w:tc>
          <w:tcPr>
            <w:tcW w:type="dxa" w:w="7370"/>
          </w:tcPr>
          <w:p>
            <w:pPr>
              <w:spacing w:after="20" w:before="20"/>
            </w:pPr>
            <w:r/>
            <w:r>
              <w:rPr>
                <w:b w:val="0"/>
                <w:sz w:val="16"/>
              </w:rPr>
              <w:t>Adequate. The flattest and best-drained ground (Cecil sandy loam, 2–6 %, rated "Not limited" for dwellings) lies in the first 100–150 ft back from the road, especially on the middle and east frontage.</w:t>
            </w:r>
          </w:p>
        </w:tc>
      </w:tr>
      <w:tr>
        <w:tc>
          <w:tcPr>
            <w:tcW w:type="dxa" w:w="2041"/>
            <w:shd w:val="clear" w:color="auto" w:fill="F2F5F9"/>
          </w:tcPr>
          <w:p>
            <w:pPr>
              <w:spacing w:after="20" w:before="20"/>
            </w:pPr>
            <w:r/>
            <w:r>
              <w:rPr>
                <w:b w:val="0"/>
                <w:sz w:val="16"/>
              </w:rPr>
              <w:t>Setbacks</w:t>
            </w:r>
          </w:p>
        </w:tc>
        <w:tc>
          <w:tcPr>
            <w:tcW w:type="dxa" w:w="7370"/>
            <w:shd w:val="clear" w:color="auto" w:fill="F2F5F9"/>
          </w:tcPr>
          <w:p>
            <w:pPr>
              <w:spacing w:after="20" w:before="20"/>
            </w:pPr>
            <w:r/>
            <w:r>
              <w:rPr>
                <w:b w:val="0"/>
                <w:sz w:val="16"/>
              </w:rPr>
              <w:t>**Unknown** — modelled at 35 ft front, 15 ft side, 35 ft rear for illustration only</w:t>
            </w:r>
          </w:p>
        </w:tc>
      </w:tr>
      <w:tr>
        <w:tc>
          <w:tcPr>
            <w:tcW w:type="dxa" w:w="2041"/>
          </w:tcPr>
          <w:p>
            <w:pPr>
              <w:spacing w:after="20" w:before="20"/>
            </w:pPr>
            <w:r/>
            <w:r>
              <w:rPr>
                <w:b w:val="0"/>
                <w:sz w:val="16"/>
              </w:rPr>
              <w:t>House footprint</w:t>
            </w:r>
          </w:p>
        </w:tc>
        <w:tc>
          <w:tcPr>
            <w:tcW w:type="dxa" w:w="7370"/>
          </w:tcPr>
          <w:p>
            <w:pPr>
              <w:spacing w:after="20" w:before="20"/>
            </w:pPr>
            <w:r/>
            <w:r>
              <w:rPr>
                <w:b w:val="0"/>
                <w:sz w:val="16"/>
              </w:rPr>
              <w:t>A 2,800 sq ft 4-bedroom footprint (modelled 56 x 50 ft) fits comfortably. Orient the long axis PARALLEL to the contour to minimise cut, fill and stepped footings.</w:t>
            </w:r>
          </w:p>
        </w:tc>
      </w:tr>
      <w:tr>
        <w:tc>
          <w:tcPr>
            <w:tcW w:type="dxa" w:w="2041"/>
            <w:shd w:val="clear" w:color="auto" w:fill="F2F5F9"/>
          </w:tcPr>
          <w:p>
            <w:pPr>
              <w:spacing w:after="20" w:before="20"/>
            </w:pPr>
            <w:r/>
            <w:r>
              <w:rPr>
                <w:b w:val="0"/>
                <w:sz w:val="16"/>
              </w:rPr>
              <w:t>Garage</w:t>
            </w:r>
          </w:p>
        </w:tc>
        <w:tc>
          <w:tcPr>
            <w:tcW w:type="dxa" w:w="7370"/>
            <w:shd w:val="clear" w:color="auto" w:fill="F2F5F9"/>
          </w:tcPr>
          <w:p>
            <w:pPr>
              <w:spacing w:after="20" w:before="20"/>
            </w:pPr>
            <w:r/>
            <w:r>
              <w:rPr>
                <w:b w:val="0"/>
                <w:sz w:val="16"/>
              </w:rPr>
              <w:t>Easily accommodated; a side-entry or lower-level garage suits the 6–13 % grade well</w:t>
            </w:r>
          </w:p>
        </w:tc>
      </w:tr>
      <w:tr>
        <w:tc>
          <w:tcPr>
            <w:tcW w:type="dxa" w:w="2041"/>
          </w:tcPr>
          <w:p>
            <w:pPr>
              <w:spacing w:after="20" w:before="20"/>
            </w:pPr>
            <w:r/>
            <w:r>
              <w:rPr>
                <w:b w:val="0"/>
                <w:sz w:val="16"/>
              </w:rPr>
              <w:t>Driveway</w:t>
            </w:r>
          </w:p>
        </w:tc>
        <w:tc>
          <w:tcPr>
            <w:tcW w:type="dxa" w:w="7370"/>
          </w:tcPr>
          <w:p>
            <w:pPr>
              <w:spacing w:after="20" w:before="20"/>
            </w:pPr>
            <w:r/>
            <w:r>
              <w:rPr>
                <w:b w:val="0"/>
                <w:sz w:val="16"/>
              </w:rPr>
              <w:t>Short and straightforward from Watersedge Cove at 6–13 %. No switchback needed. Note the paved community road is already in place.</w:t>
            </w:r>
          </w:p>
        </w:tc>
      </w:tr>
      <w:tr>
        <w:tc>
          <w:tcPr>
            <w:tcW w:type="dxa" w:w="2041"/>
            <w:shd w:val="clear" w:color="auto" w:fill="F2F5F9"/>
          </w:tcPr>
          <w:p>
            <w:pPr>
              <w:spacing w:after="20" w:before="20"/>
            </w:pPr>
            <w:r/>
            <w:r>
              <w:rPr>
                <w:b w:val="0"/>
                <w:sz w:val="16"/>
              </w:rPr>
              <w:t>Pool</w:t>
            </w:r>
          </w:p>
        </w:tc>
        <w:tc>
          <w:tcPr>
            <w:tcW w:type="dxa" w:w="7370"/>
            <w:shd w:val="clear" w:color="auto" w:fill="F2F5F9"/>
          </w:tcPr>
          <w:p>
            <w:pPr>
              <w:spacing w:after="20" w:before="20"/>
            </w:pPr>
            <w:r/>
            <w:r>
              <w:rPr>
                <w:b w:val="0"/>
                <w:sz w:val="16"/>
              </w:rPr>
              <w:t>Physically possible on the near-road bench. Expect additional cost for retaining on sloping ground, and check HOA architectural rules.</w:t>
            </w:r>
          </w:p>
        </w:tc>
      </w:tr>
      <w:tr>
        <w:tc>
          <w:tcPr>
            <w:tcW w:type="dxa" w:w="2041"/>
          </w:tcPr>
          <w:p>
            <w:pPr>
              <w:spacing w:after="20" w:before="20"/>
            </w:pPr>
            <w:r/>
            <w:r>
              <w:rPr>
                <w:b w:val="0"/>
                <w:sz w:val="16"/>
              </w:rPr>
              <w:t>Patio / outdoor living</w:t>
            </w:r>
          </w:p>
        </w:tc>
        <w:tc>
          <w:tcPr>
            <w:tcW w:type="dxa" w:w="7370"/>
          </w:tcPr>
          <w:p>
            <w:pPr>
              <w:spacing w:after="20" w:before="20"/>
            </w:pPr>
            <w:r/>
            <w:r>
              <w:rPr>
                <w:b w:val="0"/>
                <w:sz w:val="16"/>
              </w:rPr>
              <w:t>Well suited; a north-facing rear elevation gives shaded summer outdoor space, valuable given 52 days a year above 32 deg C</w:t>
            </w:r>
          </w:p>
        </w:tc>
      </w:tr>
      <w:tr>
        <w:tc>
          <w:tcPr>
            <w:tcW w:type="dxa" w:w="2041"/>
            <w:shd w:val="clear" w:color="auto" w:fill="F2F5F9"/>
          </w:tcPr>
          <w:p>
            <w:pPr>
              <w:spacing w:after="20" w:before="20"/>
            </w:pPr>
            <w:r/>
            <w:r>
              <w:rPr>
                <w:b/>
                <w:sz w:val="16"/>
              </w:rPr>
              <w:t>Septic field + reserve</w:t>
            </w:r>
          </w:p>
        </w:tc>
        <w:tc>
          <w:tcPr>
            <w:tcW w:type="dxa" w:w="7370"/>
            <w:shd w:val="clear" w:color="auto" w:fill="F2F5F9"/>
          </w:tcPr>
          <w:p>
            <w:pPr>
              <w:spacing w:after="20" w:before="20"/>
            </w:pPr>
            <w:r/>
            <w:r>
              <w:rPr>
                <w:b/>
                <w:sz w:val="16"/>
              </w:rPr>
              <w:t>The binding constraint.** Roughly 12,000 sq ft primary plus 12,000 sq ft reserve for a 4-bedroom design, and it must sit on usable soil — which excludes the "Very limited" 10–25 % slope areas. **This is the single strongest reason to buy both lots rather than one.</w:t>
            </w:r>
          </w:p>
        </w:tc>
      </w:tr>
      <w:tr>
        <w:tc>
          <w:tcPr>
            <w:tcW w:type="dxa" w:w="2041"/>
          </w:tcPr>
          <w:p>
            <w:pPr>
              <w:spacing w:after="20" w:before="20"/>
            </w:pPr>
            <w:r/>
            <w:r>
              <w:rPr>
                <w:b w:val="0"/>
                <w:sz w:val="16"/>
              </w:rPr>
              <w:t>Well</w:t>
            </w:r>
          </w:p>
        </w:tc>
        <w:tc>
          <w:tcPr>
            <w:tcW w:type="dxa" w:w="7370"/>
          </w:tcPr>
          <w:p>
            <w:pPr>
              <w:spacing w:after="20" w:before="20"/>
            </w:pPr>
            <w:r/>
            <w:r>
              <w:rPr>
                <w:b w:val="0"/>
                <w:sz w:val="16"/>
              </w:rPr>
              <w:t>Not needed if public water is confirmed. If needed, must maintain statutory separation from the septic field, further consuming usable area.</w:t>
            </w:r>
          </w:p>
        </w:tc>
      </w:tr>
      <w:tr>
        <w:tc>
          <w:tcPr>
            <w:tcW w:type="dxa" w:w="2041"/>
            <w:shd w:val="clear" w:color="auto" w:fill="F2F5F9"/>
          </w:tcPr>
          <w:p>
            <w:pPr>
              <w:spacing w:after="20" w:before="20"/>
            </w:pPr>
            <w:r/>
            <w:r>
              <w:rPr>
                <w:b w:val="0"/>
                <w:sz w:val="16"/>
              </w:rPr>
              <w:t>Retaining walls</w:t>
            </w:r>
          </w:p>
        </w:tc>
        <w:tc>
          <w:tcPr>
            <w:tcW w:type="dxa" w:w="7370"/>
            <w:shd w:val="clear" w:color="auto" w:fill="F2F5F9"/>
          </w:tcPr>
          <w:p>
            <w:pPr>
              <w:spacing w:after="20" w:before="20"/>
            </w:pPr>
            <w:r/>
            <w:r>
              <w:rPr>
                <w:b w:val="0"/>
                <w:sz w:val="16"/>
              </w:rPr>
              <w:t>Probable on the west frontage; likely avoidable on the east</w:t>
            </w:r>
          </w:p>
        </w:tc>
      </w:tr>
      <w:tr>
        <w:tc>
          <w:tcPr>
            <w:tcW w:type="dxa" w:w="2041"/>
          </w:tcPr>
          <w:p>
            <w:pPr>
              <w:spacing w:after="20" w:before="20"/>
            </w:pPr>
            <w:r/>
            <w:r>
              <w:rPr>
                <w:b w:val="0"/>
                <w:sz w:val="16"/>
              </w:rPr>
              <w:t>Lake setback</w:t>
            </w:r>
          </w:p>
        </w:tc>
        <w:tc>
          <w:tcPr>
            <w:tcW w:type="dxa" w:w="7370"/>
          </w:tcPr>
          <w:p>
            <w:pPr>
              <w:spacing w:after="20" w:before="20"/>
            </w:pPr>
            <w:r/>
            <w:r>
              <w:rPr>
                <w:b w:val="0"/>
                <w:sz w:val="16"/>
              </w:rPr>
              <w:t>Unknown; expect a setback from the USACE boundary and from the shoreline. Confirm with the county and USACE.</w:t>
            </w:r>
          </w:p>
        </w:tc>
      </w:tr>
      <w:tr>
        <w:tc>
          <w:tcPr>
            <w:tcW w:type="dxa" w:w="2041"/>
            <w:shd w:val="clear" w:color="auto" w:fill="F2F5F9"/>
          </w:tcPr>
          <w:p>
            <w:pPr>
              <w:spacing w:after="20" w:before="20"/>
            </w:pPr>
            <w:r/>
            <w:r>
              <w:rPr>
                <w:b w:val="0"/>
                <w:sz w:val="16"/>
              </w:rPr>
              <w:t>Drainage</w:t>
            </w:r>
          </w:p>
        </w:tc>
        <w:tc>
          <w:tcPr>
            <w:tcW w:type="dxa" w:w="7370"/>
            <w:shd w:val="clear" w:color="auto" w:fill="F2F5F9"/>
          </w:tcPr>
          <w:p>
            <w:pPr>
              <w:spacing w:after="20" w:before="20"/>
            </w:pPr>
            <w:r/>
            <w:r>
              <w:rPr>
                <w:b w:val="0"/>
                <w:sz w:val="16"/>
              </w:rPr>
              <w:t>Manageable — see 45 below. Positive diversion of upslope runoff is needed.</w:t>
            </w:r>
          </w:p>
        </w:tc>
      </w:tr>
    </w:tbl>
    <w:p>
      <w:pPr>
        <w:spacing w:after="40"/>
      </w:pPr>
    </w:p>
    <w:p>
      <w:pPr>
        <w:pStyle w:val="Heading2"/>
      </w:pPr>
      <w:r>
        <w:t>Cost estimate — 4-bedroom home comparable to surrounding construction</w:t>
      </w:r>
    </w:p>
    <w:p>
      <w:pPr>
        <w:spacing w:after="80" w:before="0"/>
      </w:pPr>
      <w:r>
        <w:rPr>
          <w:b w:val="0"/>
          <w:i w:val="0"/>
          <w:sz w:val="18"/>
        </w:rPr>
        <w:t>The checklist asks for an estimated cost to build a 4-bedroom home similar to the surrounding homes and complying with HOA rules. Start from the observed market, then add this site's specific burdens.</w:t>
      </w:r>
    </w:p>
    <w:p>
      <w:pPr>
        <w:spacing w:after="80" w:before="0"/>
      </w:pPr>
      <w:r>
        <w:rPr>
          <w:b/>
          <w:i w:val="0"/>
          <w:sz w:val="18"/>
        </w:rPr>
        <w:t>Observed comparable new construction in and near the community:</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402"/>
            <w:shd w:val="clear" w:color="auto" w:fill="1F4E79"/>
          </w:tcPr>
          <w:p>
            <w:pPr>
              <w:spacing w:after="20" w:before="20"/>
            </w:pPr>
            <w:r/>
            <w:r>
              <w:rPr>
                <w:b/>
                <w:color w:val="FFFFFF"/>
                <w:sz w:val="16"/>
              </w:rPr>
              <w:t>Property</w:t>
            </w:r>
          </w:p>
        </w:tc>
        <w:tc>
          <w:tcPr>
            <w:tcW w:type="dxa" w:w="1701"/>
            <w:shd w:val="clear" w:color="auto" w:fill="1F4E79"/>
          </w:tcPr>
          <w:p>
            <w:pPr>
              <w:spacing w:after="20" w:before="20"/>
            </w:pPr>
            <w:r/>
            <w:r>
              <w:rPr>
                <w:b/>
                <w:color w:val="FFFFFF"/>
                <w:sz w:val="16"/>
              </w:rPr>
              <w:t>Size</w:t>
            </w:r>
          </w:p>
        </w:tc>
        <w:tc>
          <w:tcPr>
            <w:tcW w:type="dxa" w:w="2041"/>
            <w:shd w:val="clear" w:color="auto" w:fill="1F4E79"/>
          </w:tcPr>
          <w:p>
            <w:pPr>
              <w:spacing w:after="20" w:before="20"/>
            </w:pPr>
            <w:r/>
            <w:r>
              <w:rPr>
                <w:b/>
                <w:color w:val="FFFFFF"/>
                <w:sz w:val="16"/>
              </w:rPr>
              <w:t>Beds / baths</w:t>
            </w:r>
          </w:p>
        </w:tc>
        <w:tc>
          <w:tcPr>
            <w:tcW w:type="dxa" w:w="2268"/>
            <w:shd w:val="clear" w:color="auto" w:fill="1F4E79"/>
          </w:tcPr>
          <w:p>
            <w:pPr>
              <w:spacing w:after="20" w:before="20"/>
            </w:pPr>
            <w:r/>
            <w:r>
              <w:rPr>
                <w:b/>
                <w:color w:val="FFFFFF"/>
                <w:sz w:val="16"/>
              </w:rPr>
              <w:t>Asking price</w:t>
            </w:r>
          </w:p>
        </w:tc>
      </w:tr>
      <w:tr>
        <w:tc>
          <w:tcPr>
            <w:tcW w:type="dxa" w:w="3402"/>
          </w:tcPr>
          <w:p>
            <w:pPr>
              <w:spacing w:after="20" w:before="20"/>
            </w:pPr>
            <w:r/>
            <w:r>
              <w:rPr>
                <w:b w:val="0"/>
                <w:sz w:val="16"/>
              </w:rPr>
              <w:t>1165 Watersedge Cv (same street)</w:t>
            </w:r>
          </w:p>
        </w:tc>
        <w:tc>
          <w:tcPr>
            <w:tcW w:type="dxa" w:w="1701"/>
          </w:tcPr>
          <w:p>
            <w:pPr>
              <w:spacing w:after="20" w:before="20"/>
            </w:pPr>
            <w:r/>
            <w:r>
              <w:rPr>
                <w:b w:val="0"/>
                <w:sz w:val="16"/>
              </w:rPr>
              <w:t>1,600 sq ft</w:t>
            </w:r>
          </w:p>
        </w:tc>
        <w:tc>
          <w:tcPr>
            <w:tcW w:type="dxa" w:w="2041"/>
          </w:tcPr>
          <w:p>
            <w:pPr>
              <w:spacing w:after="20" w:before="20"/>
            </w:pPr>
            <w:r/>
            <w:r>
              <w:rPr>
                <w:b w:val="0"/>
                <w:sz w:val="16"/>
              </w:rPr>
              <w:t>4 bd / 3.5 ba</w:t>
            </w:r>
          </w:p>
        </w:tc>
        <w:tc>
          <w:tcPr>
            <w:tcW w:type="dxa" w:w="2268"/>
          </w:tcPr>
          <w:p>
            <w:pPr>
              <w:spacing w:after="20" w:before="20"/>
            </w:pPr>
            <w:r/>
            <w:r>
              <w:rPr>
                <w:b w:val="0"/>
                <w:sz w:val="16"/>
              </w:rPr>
              <w:t>$535,000</w:t>
            </w:r>
          </w:p>
        </w:tc>
      </w:tr>
      <w:tr>
        <w:tc>
          <w:tcPr>
            <w:tcW w:type="dxa" w:w="3402"/>
            <w:shd w:val="clear" w:color="auto" w:fill="F2F5F9"/>
          </w:tcPr>
          <w:p>
            <w:pPr>
              <w:spacing w:after="20" w:before="20"/>
            </w:pPr>
            <w:r/>
            <w:r>
              <w:rPr>
                <w:b w:val="0"/>
                <w:sz w:val="16"/>
              </w:rPr>
              <w:t>1192 Sunset Cv</w:t>
            </w:r>
          </w:p>
        </w:tc>
        <w:tc>
          <w:tcPr>
            <w:tcW w:type="dxa" w:w="1701"/>
            <w:shd w:val="clear" w:color="auto" w:fill="F2F5F9"/>
          </w:tcPr>
          <w:p>
            <w:pPr>
              <w:spacing w:after="20" w:before="20"/>
            </w:pPr>
            <w:r/>
            <w:r>
              <w:rPr>
                <w:b w:val="0"/>
                <w:sz w:val="16"/>
              </w:rPr>
              <w:t>1,600 sq ft</w:t>
            </w:r>
          </w:p>
        </w:tc>
        <w:tc>
          <w:tcPr>
            <w:tcW w:type="dxa" w:w="2041"/>
            <w:shd w:val="clear" w:color="auto" w:fill="F2F5F9"/>
          </w:tcPr>
          <w:p>
            <w:pPr>
              <w:spacing w:after="20" w:before="20"/>
            </w:pPr>
            <w:r/>
            <w:r>
              <w:rPr>
                <w:b w:val="0"/>
                <w:sz w:val="16"/>
              </w:rPr>
              <w:t>4 bd / 3.5 ba</w:t>
            </w:r>
          </w:p>
        </w:tc>
        <w:tc>
          <w:tcPr>
            <w:tcW w:type="dxa" w:w="2268"/>
            <w:shd w:val="clear" w:color="auto" w:fill="F2F5F9"/>
          </w:tcPr>
          <w:p>
            <w:pPr>
              <w:spacing w:after="20" w:before="20"/>
            </w:pPr>
            <w:r/>
            <w:r>
              <w:rPr>
                <w:b w:val="0"/>
                <w:sz w:val="16"/>
              </w:rPr>
              <w:t>$535,000</w:t>
            </w:r>
          </w:p>
        </w:tc>
      </w:tr>
      <w:tr>
        <w:tc>
          <w:tcPr>
            <w:tcW w:type="dxa" w:w="3402"/>
          </w:tcPr>
          <w:p>
            <w:pPr>
              <w:spacing w:after="20" w:before="20"/>
            </w:pPr>
            <w:r/>
            <w:r>
              <w:rPr>
                <w:b w:val="0"/>
                <w:sz w:val="16"/>
              </w:rPr>
              <w:t>1198 Sunset Cv</w:t>
            </w:r>
          </w:p>
        </w:tc>
        <w:tc>
          <w:tcPr>
            <w:tcW w:type="dxa" w:w="1701"/>
          </w:tcPr>
          <w:p>
            <w:pPr>
              <w:spacing w:after="20" w:before="20"/>
            </w:pPr>
            <w:r/>
            <w:r>
              <w:rPr>
                <w:b w:val="0"/>
                <w:sz w:val="16"/>
              </w:rPr>
              <w:t>2,441 sq ft</w:t>
            </w:r>
          </w:p>
        </w:tc>
        <w:tc>
          <w:tcPr>
            <w:tcW w:type="dxa" w:w="2041"/>
          </w:tcPr>
          <w:p>
            <w:pPr>
              <w:spacing w:after="20" w:before="20"/>
            </w:pPr>
            <w:r/>
            <w:r>
              <w:rPr>
                <w:b w:val="0"/>
                <w:sz w:val="16"/>
              </w:rPr>
              <w:t>—</w:t>
            </w:r>
          </w:p>
        </w:tc>
        <w:tc>
          <w:tcPr>
            <w:tcW w:type="dxa" w:w="2268"/>
          </w:tcPr>
          <w:p>
            <w:pPr>
              <w:spacing w:after="20" w:before="20"/>
            </w:pPr>
            <w:r/>
            <w:r>
              <w:rPr>
                <w:b w:val="0"/>
                <w:sz w:val="16"/>
              </w:rPr>
              <w:t>$585,000</w:t>
            </w:r>
          </w:p>
        </w:tc>
      </w:tr>
      <w:tr>
        <w:tc>
          <w:tcPr>
            <w:tcW w:type="dxa" w:w="3402"/>
            <w:shd w:val="clear" w:color="auto" w:fill="F2F5F9"/>
          </w:tcPr>
          <w:p>
            <w:pPr>
              <w:spacing w:after="20" w:before="20"/>
            </w:pPr>
            <w:r/>
            <w:r>
              <w:rPr>
                <w:b w:val="0"/>
                <w:sz w:val="16"/>
              </w:rPr>
              <w:t>1021 Pointe S</w:t>
            </w:r>
          </w:p>
        </w:tc>
        <w:tc>
          <w:tcPr>
            <w:tcW w:type="dxa" w:w="1701"/>
            <w:shd w:val="clear" w:color="auto" w:fill="F2F5F9"/>
          </w:tcPr>
          <w:p>
            <w:pPr>
              <w:spacing w:after="20" w:before="20"/>
            </w:pPr>
            <w:r/>
            <w:r>
              <w:rPr>
                <w:b w:val="0"/>
                <w:sz w:val="16"/>
              </w:rPr>
              <w:t>—</w:t>
            </w:r>
          </w:p>
        </w:tc>
        <w:tc>
          <w:tcPr>
            <w:tcW w:type="dxa" w:w="2041"/>
            <w:shd w:val="clear" w:color="auto" w:fill="F2F5F9"/>
          </w:tcPr>
          <w:p>
            <w:pPr>
              <w:spacing w:after="20" w:before="20"/>
            </w:pPr>
            <w:r/>
            <w:r>
              <w:rPr>
                <w:b w:val="0"/>
                <w:sz w:val="16"/>
              </w:rPr>
              <w:t>4 bd / 3 ba</w:t>
            </w:r>
          </w:p>
        </w:tc>
        <w:tc>
          <w:tcPr>
            <w:tcW w:type="dxa" w:w="2268"/>
            <w:shd w:val="clear" w:color="auto" w:fill="F2F5F9"/>
          </w:tcPr>
          <w:p>
            <w:pPr>
              <w:spacing w:after="20" w:before="20"/>
            </w:pPr>
            <w:r/>
            <w:r>
              <w:rPr>
                <w:b w:val="0"/>
                <w:sz w:val="16"/>
              </w:rPr>
              <w:t>$685,000</w:t>
            </w:r>
          </w:p>
        </w:tc>
      </w:tr>
      <w:tr>
        <w:tc>
          <w:tcPr>
            <w:tcW w:type="dxa" w:w="3402"/>
          </w:tcPr>
          <w:p>
            <w:pPr>
              <w:spacing w:after="20" w:before="20"/>
            </w:pPr>
            <w:r/>
            <w:r>
              <w:rPr>
                <w:b w:val="0"/>
                <w:sz w:val="16"/>
              </w:rPr>
              <w:t>Stillwater Coves (aggregated listing data)</w:t>
            </w:r>
          </w:p>
        </w:tc>
        <w:tc>
          <w:tcPr>
            <w:tcW w:type="dxa" w:w="1701"/>
          </w:tcPr>
          <w:p>
            <w:pPr>
              <w:spacing w:after="20" w:before="20"/>
            </w:pPr>
            <w:r/>
            <w:r>
              <w:rPr>
                <w:b w:val="0"/>
                <w:sz w:val="16"/>
              </w:rPr>
              <w:t>—</w:t>
            </w:r>
          </w:p>
        </w:tc>
        <w:tc>
          <w:tcPr>
            <w:tcW w:type="dxa" w:w="2041"/>
          </w:tcPr>
          <w:p>
            <w:pPr>
              <w:spacing w:after="20" w:before="20"/>
            </w:pPr>
            <w:r/>
            <w:r>
              <w:rPr>
                <w:b w:val="0"/>
                <w:sz w:val="16"/>
              </w:rPr>
              <w:t>—</w:t>
            </w:r>
          </w:p>
        </w:tc>
        <w:tc>
          <w:tcPr>
            <w:tcW w:type="dxa" w:w="2268"/>
          </w:tcPr>
          <w:p>
            <w:pPr>
              <w:spacing w:after="20" w:before="20"/>
            </w:pPr>
            <w:r/>
            <w:r>
              <w:rPr>
                <w:b w:val="0"/>
                <w:sz w:val="16"/>
              </w:rPr>
              <w:t>from approx. $528,000</w:t>
            </w:r>
          </w:p>
        </w:tc>
      </w:tr>
    </w:tbl>
    <w:p>
      <w:pPr>
        <w:spacing w:after="40"/>
      </w:pPr>
    </w:p>
    <w:p>
      <w:pPr>
        <w:spacing w:after="80" w:before="0"/>
      </w:pPr>
      <w:r>
        <w:rPr>
          <w:b w:val="0"/>
          <w:i w:val="0"/>
          <w:sz w:val="18"/>
        </w:rPr>
        <w:t>Published Georgia build-cost ranges for 2026: general new construction $150–$300 per sq ft; custom homes $185–$450+ per sq ft; custom with upgraded finishes $270–$350 per sq ft; Augusta-area contractor ranges quoted as low as $120–$220 per sq ft. The spread is wide because it depends entirely on finish level and site difficulty.</w:t>
      </w:r>
    </w:p>
    <w:p>
      <w:pPr>
        <w:spacing w:after="80" w:before="0"/>
      </w:pPr>
      <w:r>
        <w:rPr>
          <w:b/>
          <w:i w:val="0"/>
          <w:sz w:val="18"/>
        </w:rPr>
        <w:t>Line-item estimate for a 2,800 sq ft, 4-bedroom home on THIS site: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color="auto" w:fill="1F4E79"/>
          </w:tcPr>
          <w:p>
            <w:pPr>
              <w:spacing w:after="20" w:before="20"/>
            </w:pPr>
            <w:r/>
            <w:r>
              <w:rPr>
                <w:b/>
                <w:color w:val="FFFFFF"/>
                <w:sz w:val="15"/>
              </w:rPr>
              <w:t>Cost element</w:t>
            </w:r>
          </w:p>
        </w:tc>
        <w:tc>
          <w:tcPr>
            <w:tcW w:type="dxa" w:w="1247"/>
            <w:shd w:val="clear" w:color="auto" w:fill="1F4E79"/>
          </w:tcPr>
          <w:p>
            <w:pPr>
              <w:spacing w:after="20" w:before="20"/>
            </w:pPr>
            <w:r/>
            <w:r>
              <w:rPr>
                <w:b/>
                <w:color w:val="FFFFFF"/>
                <w:sz w:val="15"/>
              </w:rPr>
              <w:t>Low</w:t>
            </w:r>
          </w:p>
        </w:tc>
        <w:tc>
          <w:tcPr>
            <w:tcW w:type="dxa" w:w="1247"/>
            <w:shd w:val="clear" w:color="auto" w:fill="1F4E79"/>
          </w:tcPr>
          <w:p>
            <w:pPr>
              <w:spacing w:after="20" w:before="20"/>
            </w:pPr>
            <w:r/>
            <w:r>
              <w:rPr>
                <w:b/>
                <w:color w:val="FFFFFF"/>
                <w:sz w:val="15"/>
              </w:rPr>
              <w:t>High</w:t>
            </w:r>
          </w:p>
        </w:tc>
        <w:tc>
          <w:tcPr>
            <w:tcW w:type="dxa" w:w="4082"/>
            <w:shd w:val="clear" w:color="auto" w:fill="1F4E79"/>
          </w:tcPr>
          <w:p>
            <w:pPr>
              <w:spacing w:after="20" w:before="20"/>
            </w:pPr>
            <w:r/>
            <w:r>
              <w:rPr>
                <w:b/>
                <w:color w:val="FFFFFF"/>
                <w:sz w:val="15"/>
              </w:rPr>
              <w:t>Basis and site-specific driver</w:t>
            </w:r>
          </w:p>
        </w:tc>
      </w:tr>
      <w:tr>
        <w:tc>
          <w:tcPr>
            <w:tcW w:type="dxa" w:w="2835"/>
          </w:tcPr>
          <w:p>
            <w:pPr>
              <w:spacing w:after="20" w:before="20"/>
            </w:pPr>
            <w:r/>
            <w:r>
              <w:rPr>
                <w:b w:val="0"/>
                <w:sz w:val="15"/>
              </w:rPr>
              <w:t>Site work, clearing, grading, erosion control</w:t>
            </w:r>
          </w:p>
        </w:tc>
        <w:tc>
          <w:tcPr>
            <w:tcW w:type="dxa" w:w="1247"/>
          </w:tcPr>
          <w:p>
            <w:pPr>
              <w:spacing w:after="20" w:before="20"/>
            </w:pPr>
            <w:r/>
            <w:r>
              <w:rPr>
                <w:b w:val="0"/>
                <w:sz w:val="15"/>
              </w:rPr>
              <w:t>$25,000</w:t>
            </w:r>
          </w:p>
        </w:tc>
        <w:tc>
          <w:tcPr>
            <w:tcW w:type="dxa" w:w="1247"/>
          </w:tcPr>
          <w:p>
            <w:pPr>
              <w:spacing w:after="20" w:before="20"/>
            </w:pPr>
            <w:r/>
            <w:r>
              <w:rPr>
                <w:b w:val="0"/>
                <w:sz w:val="15"/>
              </w:rPr>
              <w:t>$70,000</w:t>
            </w:r>
          </w:p>
        </w:tc>
        <w:tc>
          <w:tcPr>
            <w:tcW w:type="dxa" w:w="4082"/>
          </w:tcPr>
          <w:p>
            <w:pPr>
              <w:spacing w:after="20" w:before="20"/>
            </w:pPr>
            <w:r/>
            <w:r>
              <w:rPr>
                <w:b w:val="0"/>
                <w:sz w:val="15"/>
              </w:rPr>
              <w:t>6–13 % slope; severely eroded Pacolet; HOA tree-protection likely; cut-and-fill pad</w:t>
            </w:r>
          </w:p>
        </w:tc>
      </w:tr>
      <w:tr>
        <w:tc>
          <w:tcPr>
            <w:tcW w:type="dxa" w:w="2835"/>
            <w:shd w:val="clear" w:color="auto" w:fill="F2F5F9"/>
          </w:tcPr>
          <w:p>
            <w:pPr>
              <w:spacing w:after="20" w:before="20"/>
            </w:pPr>
            <w:r/>
            <w:r>
              <w:rPr>
                <w:b w:val="0"/>
                <w:sz w:val="15"/>
              </w:rPr>
              <w:t>Retaining walls (if required)</w:t>
            </w:r>
          </w:p>
        </w:tc>
        <w:tc>
          <w:tcPr>
            <w:tcW w:type="dxa" w:w="1247"/>
            <w:shd w:val="clear" w:color="auto" w:fill="F2F5F9"/>
          </w:tcPr>
          <w:p>
            <w:pPr>
              <w:spacing w:after="20" w:before="20"/>
            </w:pPr>
            <w:r/>
            <w:r>
              <w:rPr>
                <w:b w:val="0"/>
                <w:sz w:val="15"/>
              </w:rPr>
              <w:t>$0</w:t>
            </w:r>
          </w:p>
        </w:tc>
        <w:tc>
          <w:tcPr>
            <w:tcW w:type="dxa" w:w="1247"/>
            <w:shd w:val="clear" w:color="auto" w:fill="F2F5F9"/>
          </w:tcPr>
          <w:p>
            <w:pPr>
              <w:spacing w:after="20" w:before="20"/>
            </w:pPr>
            <w:r/>
            <w:r>
              <w:rPr>
                <w:b w:val="0"/>
                <w:sz w:val="15"/>
              </w:rPr>
              <w:t>$45,000</w:t>
            </w:r>
          </w:p>
        </w:tc>
        <w:tc>
          <w:tcPr>
            <w:tcW w:type="dxa" w:w="4082"/>
            <w:shd w:val="clear" w:color="auto" w:fill="F2F5F9"/>
          </w:tcPr>
          <w:p>
            <w:pPr>
              <w:spacing w:after="20" w:before="20"/>
            </w:pPr>
            <w:r/>
            <w:r>
              <w:rPr>
                <w:b w:val="0"/>
                <w:sz w:val="15"/>
              </w:rPr>
              <w:t>Probable on west frontage; engineered design needed above 4 ft</w:t>
            </w:r>
          </w:p>
        </w:tc>
      </w:tr>
      <w:tr>
        <w:tc>
          <w:tcPr>
            <w:tcW w:type="dxa" w:w="2835"/>
          </w:tcPr>
          <w:p>
            <w:pPr>
              <w:spacing w:after="20" w:before="20"/>
            </w:pPr>
            <w:r/>
            <w:r>
              <w:rPr>
                <w:b w:val="0"/>
                <w:sz w:val="15"/>
              </w:rPr>
              <w:t>Driveway and culvert</w:t>
            </w:r>
          </w:p>
        </w:tc>
        <w:tc>
          <w:tcPr>
            <w:tcW w:type="dxa" w:w="1247"/>
          </w:tcPr>
          <w:p>
            <w:pPr>
              <w:spacing w:after="20" w:before="20"/>
            </w:pPr>
            <w:r/>
            <w:r>
              <w:rPr>
                <w:b w:val="0"/>
                <w:sz w:val="15"/>
              </w:rPr>
              <w:t>$8,000</w:t>
            </w:r>
          </w:p>
        </w:tc>
        <w:tc>
          <w:tcPr>
            <w:tcW w:type="dxa" w:w="1247"/>
          </w:tcPr>
          <w:p>
            <w:pPr>
              <w:spacing w:after="20" w:before="20"/>
            </w:pPr>
            <w:r/>
            <w:r>
              <w:rPr>
                <w:b w:val="0"/>
                <w:sz w:val="15"/>
              </w:rPr>
              <w:t>$22,000</w:t>
            </w:r>
          </w:p>
        </w:tc>
        <w:tc>
          <w:tcPr>
            <w:tcW w:type="dxa" w:w="4082"/>
          </w:tcPr>
          <w:p>
            <w:pPr>
              <w:spacing w:after="20" w:before="20"/>
            </w:pPr>
            <w:r/>
            <w:r>
              <w:rPr>
                <w:b w:val="0"/>
                <w:sz w:val="15"/>
              </w:rPr>
              <w:t>Short run from a paved community road</w:t>
            </w:r>
          </w:p>
        </w:tc>
      </w:tr>
      <w:tr>
        <w:tc>
          <w:tcPr>
            <w:tcW w:type="dxa" w:w="2835"/>
            <w:shd w:val="clear" w:color="auto" w:fill="F2F5F9"/>
          </w:tcPr>
          <w:p>
            <w:pPr>
              <w:spacing w:after="20" w:before="20"/>
            </w:pPr>
            <w:r/>
            <w:r>
              <w:rPr>
                <w:b/>
                <w:sz w:val="15"/>
              </w:rPr>
              <w:t>Septic system</w:t>
            </w:r>
          </w:p>
        </w:tc>
        <w:tc>
          <w:tcPr>
            <w:tcW w:type="dxa" w:w="1247"/>
            <w:shd w:val="clear" w:color="auto" w:fill="F2F5F9"/>
          </w:tcPr>
          <w:p>
            <w:pPr>
              <w:spacing w:after="20" w:before="20"/>
            </w:pPr>
            <w:r/>
            <w:r>
              <w:rPr>
                <w:b/>
                <w:sz w:val="15"/>
              </w:rPr>
              <w:t>$15,000</w:t>
            </w:r>
          </w:p>
        </w:tc>
        <w:tc>
          <w:tcPr>
            <w:tcW w:type="dxa" w:w="1247"/>
            <w:shd w:val="clear" w:color="auto" w:fill="F2F5F9"/>
          </w:tcPr>
          <w:p>
            <w:pPr>
              <w:spacing w:after="20" w:before="20"/>
            </w:pPr>
            <w:r/>
            <w:r>
              <w:rPr>
                <w:b/>
                <w:sz w:val="15"/>
              </w:rPr>
              <w:t>$55,000</w:t>
            </w:r>
          </w:p>
        </w:tc>
        <w:tc>
          <w:tcPr>
            <w:tcW w:type="dxa" w:w="4082"/>
            <w:shd w:val="clear" w:color="auto" w:fill="F2F5F9"/>
          </w:tcPr>
          <w:p>
            <w:pPr>
              <w:spacing w:after="20" w:before="20"/>
            </w:pPr>
            <w:r/>
            <w:r>
              <w:rPr>
                <w:b/>
                <w:sz w:val="15"/>
              </w:rPr>
              <w:t>Conventional 4-bedroom at the low end; engineered or advanced-treatment system at the high end if the Level 3/4 report comes back marginal on "Very limited" soils</w:t>
            </w:r>
          </w:p>
        </w:tc>
      </w:tr>
      <w:tr>
        <w:tc>
          <w:tcPr>
            <w:tcW w:type="dxa" w:w="2835"/>
          </w:tcPr>
          <w:p>
            <w:pPr>
              <w:spacing w:after="20" w:before="20"/>
            </w:pPr>
            <w:r/>
            <w:r>
              <w:rPr>
                <w:b w:val="0"/>
                <w:sz w:val="15"/>
              </w:rPr>
              <w:t>Water connection (public)</w:t>
            </w:r>
          </w:p>
        </w:tc>
        <w:tc>
          <w:tcPr>
            <w:tcW w:type="dxa" w:w="1247"/>
          </w:tcPr>
          <w:p>
            <w:pPr>
              <w:spacing w:after="20" w:before="20"/>
            </w:pPr>
            <w:r/>
            <w:r>
              <w:rPr>
                <w:b w:val="0"/>
                <w:sz w:val="15"/>
              </w:rPr>
              <w:t>$2,000</w:t>
            </w:r>
          </w:p>
        </w:tc>
        <w:tc>
          <w:tcPr>
            <w:tcW w:type="dxa" w:w="1247"/>
          </w:tcPr>
          <w:p>
            <w:pPr>
              <w:spacing w:after="20" w:before="20"/>
            </w:pPr>
            <w:r/>
            <w:r>
              <w:rPr>
                <w:b w:val="0"/>
                <w:sz w:val="15"/>
              </w:rPr>
              <w:t>$9,000</w:t>
            </w:r>
          </w:p>
        </w:tc>
        <w:tc>
          <w:tcPr>
            <w:tcW w:type="dxa" w:w="4082"/>
          </w:tcPr>
          <w:p>
            <w:pPr>
              <w:spacing w:after="20" w:before="20"/>
            </w:pPr>
            <w:r/>
            <w:r>
              <w:rPr>
                <w:b w:val="0"/>
                <w:sz w:val="15"/>
              </w:rPr>
              <w:t>Tap, meter and service line, if public water is confirmed</w:t>
            </w:r>
          </w:p>
        </w:tc>
      </w:tr>
      <w:tr>
        <w:tc>
          <w:tcPr>
            <w:tcW w:type="dxa" w:w="2835"/>
            <w:shd w:val="clear" w:color="auto" w:fill="F2F5F9"/>
          </w:tcPr>
          <w:p>
            <w:pPr>
              <w:spacing w:after="20" w:before="20"/>
            </w:pPr>
            <w:r/>
            <w:r>
              <w:rPr>
                <w:b w:val="0"/>
                <w:sz w:val="15"/>
              </w:rPr>
              <w:t>Well (only if public water unavailable)</w:t>
            </w:r>
          </w:p>
        </w:tc>
        <w:tc>
          <w:tcPr>
            <w:tcW w:type="dxa" w:w="1247"/>
            <w:shd w:val="clear" w:color="auto" w:fill="F2F5F9"/>
          </w:tcPr>
          <w:p>
            <w:pPr>
              <w:spacing w:after="20" w:before="20"/>
            </w:pPr>
            <w:r/>
            <w:r>
              <w:rPr>
                <w:b w:val="0"/>
                <w:sz w:val="15"/>
              </w:rPr>
              <w:t>$0</w:t>
            </w:r>
          </w:p>
        </w:tc>
        <w:tc>
          <w:tcPr>
            <w:tcW w:type="dxa" w:w="1247"/>
            <w:shd w:val="clear" w:color="auto" w:fill="F2F5F9"/>
          </w:tcPr>
          <w:p>
            <w:pPr>
              <w:spacing w:after="20" w:before="20"/>
            </w:pPr>
            <w:r/>
            <w:r>
              <w:rPr>
                <w:b w:val="0"/>
                <w:sz w:val="15"/>
              </w:rPr>
              <w:t>$25,000</w:t>
            </w:r>
          </w:p>
        </w:tc>
        <w:tc>
          <w:tcPr>
            <w:tcW w:type="dxa" w:w="4082"/>
            <w:shd w:val="clear" w:color="auto" w:fill="F2F5F9"/>
          </w:tcPr>
          <w:p>
            <w:pPr>
              <w:spacing w:after="20" w:before="20"/>
            </w:pPr>
            <w:r/>
            <w:r>
              <w:rPr>
                <w:b w:val="0"/>
                <w:sz w:val="15"/>
              </w:rPr>
              <w:t>Piedmont fractured-rock well</w:t>
            </w:r>
          </w:p>
        </w:tc>
      </w:tr>
      <w:tr>
        <w:tc>
          <w:tcPr>
            <w:tcW w:type="dxa" w:w="2835"/>
          </w:tcPr>
          <w:p>
            <w:pPr>
              <w:spacing w:after="20" w:before="20"/>
            </w:pPr>
            <w:r/>
            <w:r>
              <w:rPr>
                <w:b w:val="0"/>
                <w:sz w:val="15"/>
              </w:rPr>
              <w:t>Electrical service connection</w:t>
            </w:r>
          </w:p>
        </w:tc>
        <w:tc>
          <w:tcPr>
            <w:tcW w:type="dxa" w:w="1247"/>
          </w:tcPr>
          <w:p>
            <w:pPr>
              <w:spacing w:after="20" w:before="20"/>
            </w:pPr>
            <w:r/>
            <w:r>
              <w:rPr>
                <w:b w:val="0"/>
                <w:sz w:val="15"/>
              </w:rPr>
              <w:t>$2,000</w:t>
            </w:r>
          </w:p>
        </w:tc>
        <w:tc>
          <w:tcPr>
            <w:tcW w:type="dxa" w:w="1247"/>
          </w:tcPr>
          <w:p>
            <w:pPr>
              <w:spacing w:after="20" w:before="20"/>
            </w:pPr>
            <w:r/>
            <w:r>
              <w:rPr>
                <w:b w:val="0"/>
                <w:sz w:val="15"/>
              </w:rPr>
              <w:t>$12,000</w:t>
            </w:r>
          </w:p>
        </w:tc>
        <w:tc>
          <w:tcPr>
            <w:tcW w:type="dxa" w:w="4082"/>
          </w:tcPr>
          <w:p>
            <w:pPr>
              <w:spacing w:after="20" w:before="20"/>
            </w:pPr>
            <w:r/>
            <w:r>
              <w:rPr>
                <w:b w:val="0"/>
                <w:sz w:val="15"/>
              </w:rPr>
              <w:t>Rayle EMC or Georgia Power; underground service drop</w:t>
            </w:r>
          </w:p>
        </w:tc>
      </w:tr>
      <w:tr>
        <w:tc>
          <w:tcPr>
            <w:tcW w:type="dxa" w:w="2835"/>
            <w:shd w:val="clear" w:color="auto" w:fill="F2F5F9"/>
          </w:tcPr>
          <w:p>
            <w:pPr>
              <w:spacing w:after="20" w:before="20"/>
            </w:pPr>
            <w:r/>
            <w:r>
              <w:rPr>
                <w:b w:val="0"/>
                <w:sz w:val="15"/>
              </w:rPr>
              <w:t>Propane tank and lines</w:t>
            </w:r>
          </w:p>
        </w:tc>
        <w:tc>
          <w:tcPr>
            <w:tcW w:type="dxa" w:w="1247"/>
            <w:shd w:val="clear" w:color="auto" w:fill="F2F5F9"/>
          </w:tcPr>
          <w:p>
            <w:pPr>
              <w:spacing w:after="20" w:before="20"/>
            </w:pPr>
            <w:r/>
            <w:r>
              <w:rPr>
                <w:b w:val="0"/>
                <w:sz w:val="15"/>
              </w:rPr>
              <w:t>$0</w:t>
            </w:r>
          </w:p>
        </w:tc>
        <w:tc>
          <w:tcPr>
            <w:tcW w:type="dxa" w:w="1247"/>
            <w:shd w:val="clear" w:color="auto" w:fill="F2F5F9"/>
          </w:tcPr>
          <w:p>
            <w:pPr>
              <w:spacing w:after="20" w:before="20"/>
            </w:pPr>
            <w:r/>
            <w:r>
              <w:rPr>
                <w:b w:val="0"/>
                <w:sz w:val="15"/>
              </w:rPr>
              <w:t>$6,000</w:t>
            </w:r>
          </w:p>
        </w:tc>
        <w:tc>
          <w:tcPr>
            <w:tcW w:type="dxa" w:w="4082"/>
            <w:shd w:val="clear" w:color="auto" w:fill="F2F5F9"/>
          </w:tcPr>
          <w:p>
            <w:pPr>
              <w:spacing w:after="20" w:before="20"/>
            </w:pPr>
            <w:r/>
            <w:r>
              <w:rPr>
                <w:b w:val="0"/>
                <w:sz w:val="15"/>
              </w:rPr>
              <w:t>No natural gas available</w:t>
            </w:r>
          </w:p>
        </w:tc>
      </w:tr>
      <w:tr>
        <w:tc>
          <w:tcPr>
            <w:tcW w:type="dxa" w:w="2835"/>
          </w:tcPr>
          <w:p>
            <w:pPr>
              <w:spacing w:after="20" w:before="20"/>
            </w:pPr>
            <w:r/>
            <w:r>
              <w:rPr>
                <w:b w:val="0"/>
                <w:sz w:val="15"/>
              </w:rPr>
              <w:t>Foundation (crawlspace or stepped)</w:t>
            </w:r>
          </w:p>
        </w:tc>
        <w:tc>
          <w:tcPr>
            <w:tcW w:type="dxa" w:w="1247"/>
          </w:tcPr>
          <w:p>
            <w:pPr>
              <w:spacing w:after="20" w:before="20"/>
            </w:pPr>
            <w:r/>
            <w:r>
              <w:rPr>
                <w:b w:val="0"/>
                <w:sz w:val="15"/>
              </w:rPr>
              <w:t>$30,000</w:t>
            </w:r>
          </w:p>
        </w:tc>
        <w:tc>
          <w:tcPr>
            <w:tcW w:type="dxa" w:w="1247"/>
          </w:tcPr>
          <w:p>
            <w:pPr>
              <w:spacing w:after="20" w:before="20"/>
            </w:pPr>
            <w:r/>
            <w:r>
              <w:rPr>
                <w:b w:val="0"/>
                <w:sz w:val="15"/>
              </w:rPr>
              <w:t>$70,000</w:t>
            </w:r>
          </w:p>
        </w:tc>
        <w:tc>
          <w:tcPr>
            <w:tcW w:type="dxa" w:w="4082"/>
          </w:tcPr>
          <w:p>
            <w:pPr>
              <w:spacing w:after="20" w:before="20"/>
            </w:pPr>
            <w:r/>
            <w:r>
              <w:rPr>
                <w:b w:val="0"/>
                <w:sz w:val="15"/>
              </w:rPr>
              <w:t>Clay subsoils 40–55 %; slope-driven stepping; drainage detailing</w:t>
            </w:r>
          </w:p>
        </w:tc>
      </w:tr>
      <w:tr>
        <w:tc>
          <w:tcPr>
            <w:tcW w:type="dxa" w:w="2835"/>
            <w:shd w:val="clear" w:color="auto" w:fill="F2F5F9"/>
          </w:tcPr>
          <w:p>
            <w:pPr>
              <w:spacing w:after="20" w:before="20"/>
            </w:pPr>
            <w:r/>
            <w:r>
              <w:rPr>
                <w:b w:val="0"/>
                <w:sz w:val="15"/>
              </w:rPr>
              <w:t>Shell, envelope, roof, windows</w:t>
            </w:r>
          </w:p>
        </w:tc>
        <w:tc>
          <w:tcPr>
            <w:tcW w:type="dxa" w:w="1247"/>
            <w:shd w:val="clear" w:color="auto" w:fill="F2F5F9"/>
          </w:tcPr>
          <w:p>
            <w:pPr>
              <w:spacing w:after="20" w:before="20"/>
            </w:pPr>
            <w:r/>
            <w:r>
              <w:rPr>
                <w:b w:val="0"/>
                <w:sz w:val="15"/>
              </w:rPr>
              <w:t>$220,000</w:t>
            </w:r>
          </w:p>
        </w:tc>
        <w:tc>
          <w:tcPr>
            <w:tcW w:type="dxa" w:w="1247"/>
            <w:shd w:val="clear" w:color="auto" w:fill="F2F5F9"/>
          </w:tcPr>
          <w:p>
            <w:pPr>
              <w:spacing w:after="20" w:before="20"/>
            </w:pPr>
            <w:r/>
            <w:r>
              <w:rPr>
                <w:b w:val="0"/>
                <w:sz w:val="15"/>
              </w:rPr>
              <w:t>$330,000</w:t>
            </w:r>
          </w:p>
        </w:tc>
        <w:tc>
          <w:tcPr>
            <w:tcW w:type="dxa" w:w="4082"/>
            <w:shd w:val="clear" w:color="auto" w:fill="F2F5F9"/>
          </w:tcPr>
          <w:p>
            <w:pPr>
              <w:spacing w:after="20" w:before="20"/>
            </w:pPr>
            <w:r/>
            <w:r>
              <w:rPr>
                <w:b w:val="0"/>
                <w:sz w:val="15"/>
              </w:rPr>
              <w:t>2,800 sq ft</w:t>
            </w:r>
          </w:p>
        </w:tc>
      </w:tr>
      <w:tr>
        <w:tc>
          <w:tcPr>
            <w:tcW w:type="dxa" w:w="2835"/>
          </w:tcPr>
          <w:p>
            <w:pPr>
              <w:spacing w:after="20" w:before="20"/>
            </w:pPr>
            <w:r/>
            <w:r>
              <w:rPr>
                <w:b w:val="0"/>
                <w:sz w:val="15"/>
              </w:rPr>
              <w:t>MEP (mechanical, electrical, plumbing)</w:t>
            </w:r>
          </w:p>
        </w:tc>
        <w:tc>
          <w:tcPr>
            <w:tcW w:type="dxa" w:w="1247"/>
          </w:tcPr>
          <w:p>
            <w:pPr>
              <w:spacing w:after="20" w:before="20"/>
            </w:pPr>
            <w:r/>
            <w:r>
              <w:rPr>
                <w:b w:val="0"/>
                <w:sz w:val="15"/>
              </w:rPr>
              <w:t>$70,000</w:t>
            </w:r>
          </w:p>
        </w:tc>
        <w:tc>
          <w:tcPr>
            <w:tcW w:type="dxa" w:w="1247"/>
          </w:tcPr>
          <w:p>
            <w:pPr>
              <w:spacing w:after="20" w:before="20"/>
            </w:pPr>
            <w:r/>
            <w:r>
              <w:rPr>
                <w:b w:val="0"/>
                <w:sz w:val="15"/>
              </w:rPr>
              <w:t>$120,000</w:t>
            </w:r>
          </w:p>
        </w:tc>
        <w:tc>
          <w:tcPr>
            <w:tcW w:type="dxa" w:w="4082"/>
          </w:tcPr>
          <w:p>
            <w:pPr>
              <w:spacing w:after="20" w:before="20"/>
            </w:pPr>
            <w:r/>
            <w:r>
              <w:rPr>
                <w:b w:val="0"/>
                <w:sz w:val="15"/>
              </w:rPr>
              <w:t>Heat pump suits the climate; 52 days/yr above 32 deg C drives cooling load</w:t>
            </w:r>
          </w:p>
        </w:tc>
      </w:tr>
      <w:tr>
        <w:tc>
          <w:tcPr>
            <w:tcW w:type="dxa" w:w="2835"/>
            <w:shd w:val="clear" w:color="auto" w:fill="F2F5F9"/>
          </w:tcPr>
          <w:p>
            <w:pPr>
              <w:spacing w:after="20" w:before="20"/>
            </w:pPr>
            <w:r/>
            <w:r>
              <w:rPr>
                <w:b w:val="0"/>
                <w:sz w:val="15"/>
              </w:rPr>
              <w:t>Interior finishes</w:t>
            </w:r>
          </w:p>
        </w:tc>
        <w:tc>
          <w:tcPr>
            <w:tcW w:type="dxa" w:w="1247"/>
            <w:shd w:val="clear" w:color="auto" w:fill="F2F5F9"/>
          </w:tcPr>
          <w:p>
            <w:pPr>
              <w:spacing w:after="20" w:before="20"/>
            </w:pPr>
            <w:r/>
            <w:r>
              <w:rPr>
                <w:b w:val="0"/>
                <w:sz w:val="15"/>
              </w:rPr>
              <w:t>$120,000</w:t>
            </w:r>
          </w:p>
        </w:tc>
        <w:tc>
          <w:tcPr>
            <w:tcW w:type="dxa" w:w="1247"/>
            <w:shd w:val="clear" w:color="auto" w:fill="F2F5F9"/>
          </w:tcPr>
          <w:p>
            <w:pPr>
              <w:spacing w:after="20" w:before="20"/>
            </w:pPr>
            <w:r/>
            <w:r>
              <w:rPr>
                <w:b w:val="0"/>
                <w:sz w:val="15"/>
              </w:rPr>
              <w:t>$280,000</w:t>
            </w:r>
          </w:p>
        </w:tc>
        <w:tc>
          <w:tcPr>
            <w:tcW w:type="dxa" w:w="4082"/>
            <w:shd w:val="clear" w:color="auto" w:fill="F2F5F9"/>
          </w:tcPr>
          <w:p>
            <w:pPr>
              <w:spacing w:after="20" w:before="20"/>
            </w:pPr>
            <w:r/>
            <w:r>
              <w:rPr>
                <w:b w:val="0"/>
                <w:sz w:val="15"/>
              </w:rPr>
              <w:t>The main swing factor; HOA guidelines may mandate exterior materials</w:t>
            </w:r>
          </w:p>
        </w:tc>
      </w:tr>
      <w:tr>
        <w:tc>
          <w:tcPr>
            <w:tcW w:type="dxa" w:w="2835"/>
          </w:tcPr>
          <w:p>
            <w:pPr>
              <w:spacing w:after="20" w:before="20"/>
            </w:pPr>
            <w:r/>
            <w:r>
              <w:rPr>
                <w:b w:val="0"/>
                <w:sz w:val="15"/>
              </w:rPr>
              <w:t>Radon-resistant passive system</w:t>
            </w:r>
          </w:p>
        </w:tc>
        <w:tc>
          <w:tcPr>
            <w:tcW w:type="dxa" w:w="1247"/>
          </w:tcPr>
          <w:p>
            <w:pPr>
              <w:spacing w:after="20" w:before="20"/>
            </w:pPr>
            <w:r/>
            <w:r>
              <w:rPr>
                <w:b w:val="0"/>
                <w:sz w:val="15"/>
              </w:rPr>
              <w:t>$1,500</w:t>
            </w:r>
          </w:p>
        </w:tc>
        <w:tc>
          <w:tcPr>
            <w:tcW w:type="dxa" w:w="1247"/>
          </w:tcPr>
          <w:p>
            <w:pPr>
              <w:spacing w:after="20" w:before="20"/>
            </w:pPr>
            <w:r/>
            <w:r>
              <w:rPr>
                <w:b w:val="0"/>
                <w:sz w:val="15"/>
              </w:rPr>
              <w:t>$4,500</w:t>
            </w:r>
          </w:p>
        </w:tc>
        <w:tc>
          <w:tcPr>
            <w:tcW w:type="dxa" w:w="4082"/>
          </w:tcPr>
          <w:p>
            <w:pPr>
              <w:spacing w:after="20" w:before="20"/>
            </w:pPr>
            <w:r/>
            <w:r>
              <w:rPr>
                <w:b w:val="0"/>
                <w:sz w:val="15"/>
              </w:rPr>
              <w:t>Cheap at build; costly to retrofit</w:t>
            </w:r>
          </w:p>
        </w:tc>
      </w:tr>
      <w:tr>
        <w:tc>
          <w:tcPr>
            <w:tcW w:type="dxa" w:w="2835"/>
            <w:shd w:val="clear" w:color="auto" w:fill="F2F5F9"/>
          </w:tcPr>
          <w:p>
            <w:pPr>
              <w:spacing w:after="20" w:before="20"/>
            </w:pPr>
            <w:r/>
            <w:r>
              <w:rPr>
                <w:b w:val="0"/>
                <w:sz w:val="15"/>
              </w:rPr>
              <w:t>Soft costs — design, engineering, permits, HOA review</w:t>
            </w:r>
          </w:p>
        </w:tc>
        <w:tc>
          <w:tcPr>
            <w:tcW w:type="dxa" w:w="1247"/>
            <w:shd w:val="clear" w:color="auto" w:fill="F2F5F9"/>
          </w:tcPr>
          <w:p>
            <w:pPr>
              <w:spacing w:after="20" w:before="20"/>
            </w:pPr>
            <w:r/>
            <w:r>
              <w:rPr>
                <w:b w:val="0"/>
                <w:sz w:val="15"/>
              </w:rPr>
              <w:t>$25,000</w:t>
            </w:r>
          </w:p>
        </w:tc>
        <w:tc>
          <w:tcPr>
            <w:tcW w:type="dxa" w:w="1247"/>
            <w:shd w:val="clear" w:color="auto" w:fill="F2F5F9"/>
          </w:tcPr>
          <w:p>
            <w:pPr>
              <w:spacing w:after="20" w:before="20"/>
            </w:pPr>
            <w:r/>
            <w:r>
              <w:rPr>
                <w:b w:val="0"/>
                <w:sz w:val="15"/>
              </w:rPr>
              <w:t>$60,000</w:t>
            </w:r>
          </w:p>
        </w:tc>
        <w:tc>
          <w:tcPr>
            <w:tcW w:type="dxa" w:w="4082"/>
            <w:shd w:val="clear" w:color="auto" w:fill="F2F5F9"/>
          </w:tcPr>
          <w:p>
            <w:pPr>
              <w:spacing w:after="20" w:before="20"/>
            </w:pPr>
            <w:r/>
            <w:r>
              <w:rPr>
                <w:b w:val="0"/>
                <w:sz w:val="15"/>
              </w:rPr>
              <w:t>Includes geotechnical report, Level 3/4 soil report, topographic survey, boundary survey, HOA plan approval</w:t>
            </w:r>
          </w:p>
        </w:tc>
      </w:tr>
      <w:tr>
        <w:tc>
          <w:tcPr>
            <w:tcW w:type="dxa" w:w="2835"/>
          </w:tcPr>
          <w:p>
            <w:pPr>
              <w:spacing w:after="20" w:before="20"/>
            </w:pPr>
            <w:r/>
            <w:r>
              <w:rPr>
                <w:b w:val="0"/>
                <w:sz w:val="15"/>
              </w:rPr>
              <w:t>Contingency at 10–15 %</w:t>
            </w:r>
          </w:p>
        </w:tc>
        <w:tc>
          <w:tcPr>
            <w:tcW w:type="dxa" w:w="1247"/>
          </w:tcPr>
          <w:p>
            <w:pPr>
              <w:spacing w:after="20" w:before="20"/>
            </w:pPr>
            <w:r/>
            <w:r>
              <w:rPr>
                <w:b w:val="0"/>
                <w:sz w:val="15"/>
              </w:rPr>
              <w:t>$55,000</w:t>
            </w:r>
          </w:p>
        </w:tc>
        <w:tc>
          <w:tcPr>
            <w:tcW w:type="dxa" w:w="1247"/>
          </w:tcPr>
          <w:p>
            <w:pPr>
              <w:spacing w:after="20" w:before="20"/>
            </w:pPr>
            <w:r/>
            <w:r>
              <w:rPr>
                <w:b w:val="0"/>
                <w:sz w:val="15"/>
              </w:rPr>
              <w:t>$160,000</w:t>
            </w:r>
          </w:p>
        </w:tc>
        <w:tc>
          <w:tcPr>
            <w:tcW w:type="dxa" w:w="4082"/>
          </w:tcPr>
          <w:p>
            <w:pPr>
              <w:spacing w:after="20" w:before="20"/>
            </w:pPr>
            <w:r/>
            <w:r>
              <w:rPr>
                <w:b w:val="0"/>
                <w:sz w:val="15"/>
              </w:rPr>
              <w:t>Higher than usual: septic outcome and retaining requirements are both unresolved</w:t>
            </w:r>
          </w:p>
        </w:tc>
      </w:tr>
      <w:tr>
        <w:tc>
          <w:tcPr>
            <w:tcW w:type="dxa" w:w="2835"/>
            <w:shd w:val="clear" w:color="auto" w:fill="F2F5F9"/>
          </w:tcPr>
          <w:p>
            <w:pPr>
              <w:spacing w:after="20" w:before="20"/>
            </w:pPr>
            <w:r/>
            <w:r>
              <w:rPr>
                <w:b/>
                <w:sz w:val="15"/>
              </w:rPr>
              <w:t>ESTIMATED TOTAL (excluding land)</w:t>
            </w:r>
          </w:p>
        </w:tc>
        <w:tc>
          <w:tcPr>
            <w:tcW w:type="dxa" w:w="1247"/>
            <w:shd w:val="clear" w:color="auto" w:fill="F2F5F9"/>
          </w:tcPr>
          <w:p>
            <w:pPr>
              <w:spacing w:after="20" w:before="20"/>
            </w:pPr>
            <w:r/>
            <w:r>
              <w:rPr>
                <w:b/>
                <w:sz w:val="15"/>
              </w:rPr>
              <w:t>approx. $575,000</w:t>
            </w:r>
          </w:p>
        </w:tc>
        <w:tc>
          <w:tcPr>
            <w:tcW w:type="dxa" w:w="1247"/>
            <w:shd w:val="clear" w:color="auto" w:fill="F2F5F9"/>
          </w:tcPr>
          <w:p>
            <w:pPr>
              <w:spacing w:after="20" w:before="20"/>
            </w:pPr>
            <w:r/>
            <w:r>
              <w:rPr>
                <w:b/>
                <w:sz w:val="15"/>
              </w:rPr>
              <w:t>approx. $1,270,000</w:t>
            </w:r>
          </w:p>
        </w:tc>
        <w:tc>
          <w:tcPr>
            <w:tcW w:type="dxa" w:w="4082"/>
            <w:shd w:val="clear" w:color="auto" w:fill="F2F5F9"/>
          </w:tcPr>
          <w:p>
            <w:pPr>
              <w:spacing w:after="20" w:before="20"/>
            </w:pPr>
            <w:r/>
            <w:r>
              <w:rPr>
                <w:b/>
                <w:sz w:val="15"/>
              </w:rPr>
              <w:t>Most likely central case: $700,000 – $850,000, i.e. roughly $250–$305 per sq ft</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READ THE COST ESTIMATE AS A RANGE, NOT A NUMBER</w:t>
            </w:r>
          </w:p>
          <w:p>
            <w:pPr>
              <w:spacing w:after="40"/>
            </w:pPr>
            <w:r>
              <w:rPr>
                <w:sz w:val="17"/>
              </w:rPr>
              <w:t>The low end assumes a conventional septic approval, no retaining walls, confirmed public water and modest finishes. The high end assumes an engineered septic system, retaining walls, a well, and upgraded finishes. The two unresolved items that move the number most are THE SEPTIC DESIGN and THE RETAINING REQUIREMENT, and both are answered by the same two reports — a Level 3/4 soil evaluation and a geotechnical investigation. Commission both before signing a build contract. Note also that the comparable finished homes at $535,000–$685,000 broadly bracket the central case, which is a sanity check that the estimate is realistic.</w:t>
            </w:r>
          </w:p>
        </w:tc>
      </w:tr>
    </w:tbl>
    <w:p>
      <w:pPr>
        <w:spacing w:after="60"/>
      </w:pPr>
    </w:p>
    <w:p>
      <w:pPr>
        <w:spacing w:before="20" w:after="80"/>
      </w:pPr>
      <w:r>
        <w:rPr>
          <w:b/>
          <w:color w:val="B46B00"/>
          <w:sz w:val="15"/>
        </w:rPr>
        <w:t>[MODEL-DERIVED ESTIMATE]</w:t>
      </w:r>
      <w:r>
        <w:rPr>
          <w:i/>
          <w:color w:val="555555"/>
          <w:sz w:val="15"/>
        </w:rPr>
        <w:t xml:space="preserve">  Estimate built from published 2026 Georgia cost ranges, observed local comparables, and this site's measured slope and soil constraints. Not a contractor quotation.</w:t>
      </w:r>
    </w:p>
    <w:p>
      <w:pPr>
        <w:pStyle w:val="Heading2"/>
      </w:pPr>
      <w:r>
        <w:t>44. Grading and fill</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Question</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Existing grades</w:t>
            </w:r>
          </w:p>
        </w:tc>
        <w:tc>
          <w:tcPr>
            <w:tcW w:type="dxa" w:w="6917"/>
          </w:tcPr>
          <w:p>
            <w:pPr>
              <w:spacing w:after="20" w:before="20"/>
            </w:pPr>
            <w:r/>
            <w:r>
              <w:rPr>
                <w:b w:val="0"/>
                <w:sz w:val="16"/>
              </w:rPr>
              <w:t>Road crown 385–399 ft; 6.0–12.8 % average across the first 310 ft; localised 50 ft windows to 18.0 %</w:t>
            </w:r>
          </w:p>
        </w:tc>
      </w:tr>
      <w:tr>
        <w:tc>
          <w:tcPr>
            <w:tcW w:type="dxa" w:w="2494"/>
            <w:shd w:val="clear" w:color="auto" w:fill="F2F5F9"/>
          </w:tcPr>
          <w:p>
            <w:pPr>
              <w:spacing w:after="20" w:before="20"/>
            </w:pPr>
            <w:r/>
            <w:r>
              <w:rPr>
                <w:b w:val="0"/>
                <w:sz w:val="16"/>
              </w:rPr>
              <w:t>Required grading</w:t>
            </w:r>
          </w:p>
        </w:tc>
        <w:tc>
          <w:tcPr>
            <w:tcW w:type="dxa" w:w="6917"/>
            <w:shd w:val="clear" w:color="auto" w:fill="F2F5F9"/>
          </w:tcPr>
          <w:p>
            <w:pPr>
              <w:spacing w:after="20" w:before="20"/>
            </w:pPr>
            <w:r/>
            <w:r>
              <w:rPr>
                <w:b w:val="0"/>
                <w:sz w:val="16"/>
              </w:rPr>
              <w:t>Moderate. A balanced cut-and-fill pad on the near-road bench is the efficient approach. Expect 6–7 ft of grade change across a 56 ft-deep footprint on 12 % ground.</w:t>
            </w:r>
          </w:p>
        </w:tc>
      </w:tr>
      <w:tr>
        <w:tc>
          <w:tcPr>
            <w:tcW w:type="dxa" w:w="2494"/>
          </w:tcPr>
          <w:p>
            <w:pPr>
              <w:spacing w:after="20" w:before="20"/>
            </w:pPr>
            <w:r/>
            <w:r>
              <w:rPr>
                <w:b w:val="0"/>
                <w:sz w:val="16"/>
              </w:rPr>
              <w:t>Estimated cut / fill</w:t>
            </w:r>
          </w:p>
        </w:tc>
        <w:tc>
          <w:tcPr>
            <w:tcW w:type="dxa" w:w="6917"/>
          </w:tcPr>
          <w:p>
            <w:pPr>
              <w:spacing w:after="20" w:before="20"/>
            </w:pPr>
            <w:r/>
            <w:r>
              <w:rPr>
                <w:b w:val="0"/>
                <w:sz w:val="16"/>
              </w:rPr>
              <w:t>Site-specific design required. Orienting the house parallel to the contour can roughly halve the earthwork relative to a perpendicular orientation.</w:t>
            </w:r>
          </w:p>
        </w:tc>
      </w:tr>
      <w:tr>
        <w:tc>
          <w:tcPr>
            <w:tcW w:type="dxa" w:w="2494"/>
            <w:shd w:val="clear" w:color="auto" w:fill="F2F5F9"/>
          </w:tcPr>
          <w:p>
            <w:pPr>
              <w:spacing w:after="20" w:before="20"/>
            </w:pPr>
            <w:r/>
            <w:r>
              <w:rPr>
                <w:b w:val="0"/>
                <w:sz w:val="16"/>
              </w:rPr>
              <w:t>Retaining-wall requirements</w:t>
            </w:r>
          </w:p>
        </w:tc>
        <w:tc>
          <w:tcPr>
            <w:tcW w:type="dxa" w:w="6917"/>
            <w:shd w:val="clear" w:color="auto" w:fill="F2F5F9"/>
          </w:tcPr>
          <w:p>
            <w:pPr>
              <w:spacing w:after="20" w:before="20"/>
            </w:pPr>
            <w:r/>
            <w:r>
              <w:rPr>
                <w:b w:val="0"/>
                <w:sz w:val="16"/>
              </w:rPr>
              <w:t>Probable on the west frontage; walls above 4 ft typically need engineered design and a permit</w:t>
            </w:r>
          </w:p>
        </w:tc>
      </w:tr>
      <w:tr>
        <w:tc>
          <w:tcPr>
            <w:tcW w:type="dxa" w:w="2494"/>
          </w:tcPr>
          <w:p>
            <w:pPr>
              <w:spacing w:after="20" w:before="20"/>
            </w:pPr>
            <w:r/>
            <w:r>
              <w:rPr>
                <w:b w:val="0"/>
                <w:sz w:val="16"/>
              </w:rPr>
              <w:t>Imported fill likely?</w:t>
            </w:r>
          </w:p>
        </w:tc>
        <w:tc>
          <w:tcPr>
            <w:tcW w:type="dxa" w:w="6917"/>
          </w:tcPr>
          <w:p>
            <w:pPr>
              <w:spacing w:after="20" w:before="20"/>
            </w:pPr>
            <w:r/>
            <w:r>
              <w:rPr>
                <w:b w:val="0"/>
                <w:sz w:val="16"/>
              </w:rPr>
              <w:t>Possibly, for pad construction. **Not** for flood reasons — the envelope already sits 45–55 ft above full pool.</w:t>
            </w:r>
          </w:p>
        </w:tc>
      </w:tr>
      <w:tr>
        <w:tc>
          <w:tcPr>
            <w:tcW w:type="dxa" w:w="2494"/>
            <w:shd w:val="clear" w:color="auto" w:fill="F2F5F9"/>
          </w:tcPr>
          <w:p>
            <w:pPr>
              <w:spacing w:after="20" w:before="20"/>
            </w:pPr>
            <w:r/>
            <w:r>
              <w:rPr>
                <w:b w:val="0"/>
                <w:sz w:val="16"/>
              </w:rPr>
              <w:t>County approval</w:t>
            </w:r>
          </w:p>
        </w:tc>
        <w:tc>
          <w:tcPr>
            <w:tcW w:type="dxa" w:w="6917"/>
            <w:shd w:val="clear" w:color="auto" w:fill="F2F5F9"/>
          </w:tcPr>
          <w:p>
            <w:pPr>
              <w:spacing w:after="20" w:before="20"/>
            </w:pPr>
            <w:r/>
            <w:r>
              <w:rPr>
                <w:b w:val="0"/>
                <w:sz w:val="16"/>
              </w:rPr>
              <w:t>A land-disturbance permit and erosion-and-sedimentation control plan should be expected. Georgia's E&amp;S rules are strict near state waters, and the lake is downslope.</w:t>
            </w:r>
          </w:p>
        </w:tc>
      </w:tr>
      <w:tr>
        <w:tc>
          <w:tcPr>
            <w:tcW w:type="dxa" w:w="2494"/>
          </w:tcPr>
          <w:p>
            <w:pPr>
              <w:spacing w:after="20" w:before="20"/>
            </w:pPr>
            <w:r/>
            <w:r>
              <w:rPr>
                <w:b/>
                <w:sz w:val="16"/>
              </w:rPr>
              <w:t>Erosion control is a priority, not a formality</w:t>
            </w:r>
          </w:p>
        </w:tc>
        <w:tc>
          <w:tcPr>
            <w:tcW w:type="dxa" w:w="6917"/>
          </w:tcPr>
          <w:p>
            <w:pPr>
              <w:spacing w:after="20" w:before="20"/>
            </w:pPr>
            <w:r/>
            <w:r>
              <w:rPr>
                <w:b w:val="0"/>
                <w:sz w:val="16"/>
              </w:rPr>
              <w:t>The Pacolet unit is mapped as SEVERELY ERODED on 10–25 % slopes with surface organic matter of only 0.25–1.00 %. Disturbed soil here will move. Silt fence, temporary seeding, matting and prompt permanent stabilisation are essential — and runoff drains toward federal land and the lake.</w:t>
            </w:r>
          </w:p>
        </w:tc>
      </w:tr>
    </w:tbl>
    <w:p>
      <w:pPr>
        <w:spacing w:after="40"/>
      </w:pPr>
    </w:p>
    <w:p>
      <w:pPr>
        <w:spacing w:before="20" w:after="80"/>
      </w:pPr>
      <w:r>
        <w:rPr>
          <w:b/>
          <w:color w:val="B46B00"/>
          <w:sz w:val="15"/>
        </w:rPr>
        <w:t>[MODEL-DERIVED ESTIMATE]</w:t>
      </w:r>
      <w:r>
        <w:rPr>
          <w:i/>
          <w:color w:val="555555"/>
          <w:sz w:val="15"/>
        </w:rPr>
        <w:t xml:space="preserve">  Grades measured from lidar. Earthwork quantities require a topographic survey and engineered grading plan.</w:t>
      </w:r>
    </w:p>
    <w:p>
      <w:pPr>
        <w:pStyle w:val="Heading2"/>
      </w:pPr>
      <w:r>
        <w:t>45. Drainage</w:t>
      </w:r>
    </w:p>
    <w:tbl>
      <w:tblPr>
        <w:tblStyle w:val="TableGrid"/>
        <w:tblW w:type="auto" w:w="0"/>
        <w:jc w:val="center"/>
        <w:tblLook w:firstColumn="1" w:firstRow="1" w:lastColumn="0" w:lastRow="0" w:noHBand="0" w:noVBand="1" w:val="04A0"/>
      </w:tblPr>
      <w:tblGrid>
        <w:gridCol w:w="4932"/>
        <w:gridCol w:w="4932"/>
      </w:tblGrid>
      <w:tr>
        <w:tc>
          <w:tcPr>
            <w:tcW w:type="dxa" w:w="2268"/>
            <w:shd w:val="clear" w:color="auto" w:fill="1F4E79"/>
          </w:tcPr>
          <w:p>
            <w:pPr>
              <w:spacing w:after="20" w:before="20"/>
            </w:pPr>
            <w:r/>
            <w:r>
              <w:rPr>
                <w:b/>
                <w:color w:val="FFFFFF"/>
                <w:sz w:val="16"/>
              </w:rPr>
              <w:t>Element</w:t>
            </w:r>
          </w:p>
        </w:tc>
        <w:tc>
          <w:tcPr>
            <w:tcW w:type="dxa" w:w="7143"/>
            <w:shd w:val="clear" w:color="auto" w:fill="1F4E79"/>
          </w:tcPr>
          <w:p>
            <w:pPr>
              <w:spacing w:after="20" w:before="20"/>
            </w:pPr>
            <w:r/>
            <w:r>
              <w:rPr>
                <w:b/>
                <w:color w:val="FFFFFF"/>
                <w:sz w:val="16"/>
              </w:rPr>
              <w:t>Finding</w:t>
            </w:r>
          </w:p>
        </w:tc>
      </w:tr>
      <w:tr>
        <w:tc>
          <w:tcPr>
            <w:tcW w:type="dxa" w:w="2268"/>
          </w:tcPr>
          <w:p>
            <w:pPr>
              <w:spacing w:after="20" w:before="20"/>
            </w:pPr>
            <w:r/>
            <w:r>
              <w:rPr>
                <w:b w:val="0"/>
                <w:sz w:val="16"/>
              </w:rPr>
              <w:t>Natural drainage</w:t>
            </w:r>
          </w:p>
        </w:tc>
        <w:tc>
          <w:tcPr>
            <w:tcW w:type="dxa" w:w="7143"/>
          </w:tcPr>
          <w:p>
            <w:pPr>
              <w:spacing w:after="20" w:before="20"/>
            </w:pPr>
            <w:r/>
            <w:r>
              <w:rPr>
                <w:b w:val="0"/>
                <w:sz w:val="16"/>
              </w:rPr>
              <w:t>**Well drained** soils throughout; consistent north to north-west flow from the ridge toward the Fishing Creek arm</w:t>
            </w:r>
          </w:p>
        </w:tc>
      </w:tr>
      <w:tr>
        <w:tc>
          <w:tcPr>
            <w:tcW w:type="dxa" w:w="2268"/>
            <w:shd w:val="clear" w:color="auto" w:fill="F2F5F9"/>
          </w:tcPr>
          <w:p>
            <w:pPr>
              <w:spacing w:after="20" w:before="20"/>
            </w:pPr>
            <w:r/>
            <w:r>
              <w:rPr>
                <w:b w:val="0"/>
                <w:sz w:val="16"/>
              </w:rPr>
              <w:t>Swales</w:t>
            </w:r>
          </w:p>
        </w:tc>
        <w:tc>
          <w:tcPr>
            <w:tcW w:type="dxa" w:w="7143"/>
            <w:shd w:val="clear" w:color="auto" w:fill="F2F5F9"/>
          </w:tcPr>
          <w:p>
            <w:pPr>
              <w:spacing w:after="20" w:before="20"/>
            </w:pPr>
            <w:r/>
            <w:r>
              <w:rPr>
                <w:b w:val="0"/>
                <w:sz w:val="16"/>
              </w:rPr>
              <w:t>Two shallow swales visible in the lidar surface flanking the modelled lot pair. Avoid placing a pad across a swale, or provide positive diversion.</w:t>
            </w:r>
          </w:p>
        </w:tc>
      </w:tr>
      <w:tr>
        <w:tc>
          <w:tcPr>
            <w:tcW w:type="dxa" w:w="2268"/>
          </w:tcPr>
          <w:p>
            <w:pPr>
              <w:spacing w:after="20" w:before="20"/>
            </w:pPr>
            <w:r/>
            <w:r>
              <w:rPr>
                <w:b w:val="0"/>
                <w:sz w:val="16"/>
              </w:rPr>
              <w:t>Culverts</w:t>
            </w:r>
          </w:p>
        </w:tc>
        <w:tc>
          <w:tcPr>
            <w:tcW w:type="dxa" w:w="7143"/>
          </w:tcPr>
          <w:p>
            <w:pPr>
              <w:spacing w:after="20" w:before="20"/>
            </w:pPr>
            <w:r/>
            <w:r>
              <w:rPr>
                <w:b w:val="0"/>
                <w:sz w:val="16"/>
              </w:rPr>
              <w:t>Existing driveway culvert requirements set by county road standards</w:t>
            </w:r>
          </w:p>
        </w:tc>
      </w:tr>
      <w:tr>
        <w:tc>
          <w:tcPr>
            <w:tcW w:type="dxa" w:w="2268"/>
            <w:shd w:val="clear" w:color="auto" w:fill="F2F5F9"/>
          </w:tcPr>
          <w:p>
            <w:pPr>
              <w:spacing w:after="20" w:before="20"/>
            </w:pPr>
            <w:r/>
            <w:r>
              <w:rPr>
                <w:b w:val="0"/>
                <w:sz w:val="16"/>
              </w:rPr>
              <w:t>Stormwater flow</w:t>
            </w:r>
          </w:p>
        </w:tc>
        <w:tc>
          <w:tcPr>
            <w:tcW w:type="dxa" w:w="7143"/>
            <w:shd w:val="clear" w:color="auto" w:fill="F2F5F9"/>
          </w:tcPr>
          <w:p>
            <w:pPr>
              <w:spacing w:after="20" w:before="20"/>
            </w:pPr>
            <w:r/>
            <w:r>
              <w:rPr>
                <w:b w:val="0"/>
                <w:sz w:val="16"/>
              </w:rPr>
              <w:t>Short contributing slope lengths mean modest volumes, but the lots sit BELOW a ridge and therefore receive upslope runoff</w:t>
            </w:r>
          </w:p>
        </w:tc>
      </w:tr>
      <w:tr>
        <w:tc>
          <w:tcPr>
            <w:tcW w:type="dxa" w:w="2268"/>
          </w:tcPr>
          <w:p>
            <w:pPr>
              <w:spacing w:after="20" w:before="20"/>
            </w:pPr>
            <w:r/>
            <w:r>
              <w:rPr>
                <w:b w:val="0"/>
                <w:sz w:val="16"/>
              </w:rPr>
              <w:t>Neighbouring runoff</w:t>
            </w:r>
          </w:p>
        </w:tc>
        <w:tc>
          <w:tcPr>
            <w:tcW w:type="dxa" w:w="7143"/>
          </w:tcPr>
          <w:p>
            <w:pPr>
              <w:spacing w:after="20" w:before="20"/>
            </w:pPr>
            <w:r/>
            <w:r>
              <w:rPr>
                <w:b w:val="0"/>
                <w:sz w:val="16"/>
              </w:rPr>
              <w:t>Upslope lots and the road corridor both shed toward these lots. Perimeter interception upslope of the house is advisable.</w:t>
            </w:r>
          </w:p>
        </w:tc>
      </w:tr>
      <w:tr>
        <w:tc>
          <w:tcPr>
            <w:tcW w:type="dxa" w:w="2268"/>
            <w:shd w:val="clear" w:color="auto" w:fill="F2F5F9"/>
          </w:tcPr>
          <w:p>
            <w:pPr>
              <w:spacing w:after="20" w:before="20"/>
            </w:pPr>
            <w:r/>
            <w:r>
              <w:rPr>
                <w:b w:val="0"/>
                <w:sz w:val="16"/>
              </w:rPr>
              <w:t>Lake drainage / outfall</w:t>
            </w:r>
          </w:p>
        </w:tc>
        <w:tc>
          <w:tcPr>
            <w:tcW w:type="dxa" w:w="7143"/>
            <w:shd w:val="clear" w:color="auto" w:fill="F2F5F9"/>
          </w:tcPr>
          <w:p>
            <w:pPr>
              <w:spacing w:after="20" w:before="20"/>
            </w:pPr>
            <w:r/>
            <w:r>
              <w:rPr>
                <w:b w:val="0"/>
                <w:sz w:val="16"/>
              </w:rPr>
              <w:t>All site runoff ultimately reaches Thurmond Lake across federal land — a regulatory sensitivity for both construction-phase sediment and post-construction quality</w:t>
            </w:r>
          </w:p>
        </w:tc>
      </w:tr>
      <w:tr>
        <w:tc>
          <w:tcPr>
            <w:tcW w:type="dxa" w:w="2268"/>
          </w:tcPr>
          <w:p>
            <w:pPr>
              <w:spacing w:after="20" w:before="20"/>
            </w:pPr>
            <w:r/>
            <w:r>
              <w:rPr>
                <w:b w:val="0"/>
                <w:sz w:val="16"/>
              </w:rPr>
              <w:t>Erosion risk</w:t>
            </w:r>
          </w:p>
        </w:tc>
        <w:tc>
          <w:tcPr>
            <w:tcW w:type="dxa" w:w="7143"/>
          </w:tcPr>
          <w:p>
            <w:pPr>
              <w:spacing w:after="20" w:before="20"/>
            </w:pPr>
            <w:r/>
            <w:r>
              <w:rPr>
                <w:b w:val="0"/>
                <w:sz w:val="16"/>
              </w:rPr>
              <w:t>**High** on disturbed slope (see 44). Low once permanently stabilised, given well-drained soils.</w:t>
            </w:r>
          </w:p>
        </w:tc>
      </w:tr>
      <w:tr>
        <w:tc>
          <w:tcPr>
            <w:tcW w:type="dxa" w:w="2268"/>
            <w:shd w:val="clear" w:color="auto" w:fill="F2F5F9"/>
          </w:tcPr>
          <w:p>
            <w:pPr>
              <w:spacing w:after="20" w:before="20"/>
            </w:pPr>
            <w:r/>
            <w:r>
              <w:rPr>
                <w:b w:val="0"/>
                <w:sz w:val="16"/>
              </w:rPr>
              <w:t>Subsurface drainage</w:t>
            </w:r>
          </w:p>
        </w:tc>
        <w:tc>
          <w:tcPr>
            <w:tcW w:type="dxa" w:w="7143"/>
            <w:shd w:val="clear" w:color="auto" w:fill="F2F5F9"/>
          </w:tcPr>
          <w:p>
            <w:pPr>
              <w:spacing w:after="20" w:before="20"/>
            </w:pPr>
            <w:r/>
            <w:r>
              <w:rPr>
                <w:b w:val="0"/>
                <w:sz w:val="16"/>
              </w:rPr>
              <w:t>Clay subsoils at 40–55 % will perch water above them during wet periods. Foundation drains and a properly detailed crawlspace or basement waterproofing system are important.</w:t>
            </w:r>
          </w:p>
        </w:tc>
      </w:tr>
    </w:tbl>
    <w:p>
      <w:pPr>
        <w:spacing w:after="40"/>
      </w:pPr>
    </w:p>
    <w:p>
      <w:pPr>
        <w:spacing w:before="20" w:after="80"/>
      </w:pPr>
      <w:r>
        <w:rPr>
          <w:b/>
          <w:color w:val="B46B00"/>
          <w:sz w:val="15"/>
        </w:rPr>
        <w:t>[MODEL-DERIVED ESTIMATE]</w:t>
      </w:r>
      <w:r>
        <w:rPr>
          <w:i/>
          <w:color w:val="555555"/>
          <w:sz w:val="15"/>
        </w:rPr>
        <w:t xml:space="preserve">  Flow paths from the lidar gradient field; soil drainage classes from SSURGO.</w:t>
      </w:r>
    </w:p>
    <w:p>
      <w:r>
        <w:br w:type="page"/>
      </w:r>
    </w:p>
    <w:p>
      <w:pPr>
        <w:pStyle w:val="Heading1"/>
      </w:pPr>
      <w:r>
        <w:t>L. Living &amp; Location Analysis</w:t>
      </w:r>
    </w:p>
    <w:p>
      <w:pPr>
        <w:pStyle w:val="Heading2"/>
      </w:pPr>
      <w:r>
        <w:t>46. Climate (metric)</w:t>
      </w:r>
    </w:p>
    <w:p>
      <w:pPr>
        <w:spacing w:after="80" w:before="0"/>
      </w:pPr>
      <w:r>
        <w:rPr>
          <w:b w:val="0"/>
          <w:i w:val="0"/>
          <w:sz w:val="18"/>
        </w:rPr>
        <w:t>Computed from ERA5 reanalysis at 33.9410 N, 82.5646 W for the 30-year period 1995–2024.</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701"/>
            <w:shd w:val="clear" w:color="auto" w:fill="1F4E79"/>
          </w:tcPr>
          <w:p>
            <w:pPr>
              <w:spacing w:after="20" w:before="20"/>
            </w:pPr>
            <w:r/>
            <w:r>
              <w:rPr>
                <w:b/>
                <w:color w:val="FFFFFF"/>
                <w:sz w:val="16"/>
              </w:rPr>
              <w:t>Month</w:t>
            </w:r>
          </w:p>
        </w:tc>
        <w:tc>
          <w:tcPr>
            <w:tcW w:type="dxa" w:w="2041"/>
            <w:shd w:val="clear" w:color="auto" w:fill="1F4E79"/>
          </w:tcPr>
          <w:p>
            <w:pPr>
              <w:spacing w:after="20" w:before="20"/>
            </w:pPr>
            <w:r/>
            <w:r>
              <w:rPr>
                <w:b/>
                <w:color w:val="FFFFFF"/>
                <w:sz w:val="16"/>
              </w:rPr>
              <w:t>Mean daily max (C)</w:t>
            </w:r>
          </w:p>
        </w:tc>
        <w:tc>
          <w:tcPr>
            <w:tcW w:type="dxa" w:w="2041"/>
            <w:shd w:val="clear" w:color="auto" w:fill="1F4E79"/>
          </w:tcPr>
          <w:p>
            <w:pPr>
              <w:spacing w:after="20" w:before="20"/>
            </w:pPr>
            <w:r/>
            <w:r>
              <w:rPr>
                <w:b/>
                <w:color w:val="FFFFFF"/>
                <w:sz w:val="16"/>
              </w:rPr>
              <w:t>Mean daily min (C)</w:t>
            </w:r>
          </w:p>
        </w:tc>
        <w:tc>
          <w:tcPr>
            <w:tcW w:type="dxa" w:w="1474"/>
            <w:shd w:val="clear" w:color="auto" w:fill="1F4E79"/>
          </w:tcPr>
          <w:p>
            <w:pPr>
              <w:spacing w:after="20" w:before="20"/>
            </w:pPr>
            <w:r/>
            <w:r>
              <w:rPr>
                <w:b/>
                <w:color w:val="FFFFFF"/>
                <w:sz w:val="16"/>
              </w:rPr>
              <w:t>Mean (C)</w:t>
            </w:r>
          </w:p>
        </w:tc>
        <w:tc>
          <w:tcPr>
            <w:tcW w:type="dxa" w:w="2154"/>
            <w:shd w:val="clear" w:color="auto" w:fill="1F4E79"/>
          </w:tcPr>
          <w:p>
            <w:pPr>
              <w:spacing w:after="20" w:before="20"/>
            </w:pPr>
            <w:r/>
            <w:r>
              <w:rPr>
                <w:b/>
                <w:color w:val="FFFFFF"/>
                <w:sz w:val="16"/>
              </w:rPr>
              <w:t>Precipitation (mm)</w:t>
            </w:r>
          </w:p>
        </w:tc>
      </w:tr>
      <w:tr>
        <w:tc>
          <w:tcPr>
            <w:tcW w:type="dxa" w:w="1701"/>
          </w:tcPr>
          <w:p>
            <w:pPr>
              <w:spacing w:after="20" w:before="20"/>
            </w:pPr>
            <w:r/>
            <w:r>
              <w:rPr>
                <w:b w:val="0"/>
                <w:sz w:val="16"/>
              </w:rPr>
              <w:t>January</w:t>
            </w:r>
          </w:p>
        </w:tc>
        <w:tc>
          <w:tcPr>
            <w:tcW w:type="dxa" w:w="2041"/>
          </w:tcPr>
          <w:p>
            <w:pPr>
              <w:spacing w:after="20" w:before="20"/>
            </w:pPr>
            <w:r/>
            <w:r>
              <w:rPr>
                <w:b w:val="0"/>
                <w:sz w:val="16"/>
              </w:rPr>
              <w:t>12.3</w:t>
            </w:r>
          </w:p>
        </w:tc>
        <w:tc>
          <w:tcPr>
            <w:tcW w:type="dxa" w:w="2041"/>
          </w:tcPr>
          <w:p>
            <w:pPr>
              <w:spacing w:after="20" w:before="20"/>
            </w:pPr>
            <w:r/>
            <w:r>
              <w:rPr>
                <w:b w:val="0"/>
                <w:sz w:val="16"/>
              </w:rPr>
              <w:t>3.5</w:t>
            </w:r>
          </w:p>
        </w:tc>
        <w:tc>
          <w:tcPr>
            <w:tcW w:type="dxa" w:w="1474"/>
          </w:tcPr>
          <w:p>
            <w:pPr>
              <w:spacing w:after="20" w:before="20"/>
            </w:pPr>
            <w:r/>
            <w:r>
              <w:rPr>
                <w:b w:val="0"/>
                <w:sz w:val="16"/>
              </w:rPr>
              <w:t>7.9</w:t>
            </w:r>
          </w:p>
        </w:tc>
        <w:tc>
          <w:tcPr>
            <w:tcW w:type="dxa" w:w="2154"/>
          </w:tcPr>
          <w:p>
            <w:pPr>
              <w:spacing w:after="20" w:before="20"/>
            </w:pPr>
            <w:r/>
            <w:r>
              <w:rPr>
                <w:b w:val="0"/>
                <w:sz w:val="16"/>
              </w:rPr>
              <w:t>98.5</w:t>
            </w:r>
          </w:p>
        </w:tc>
      </w:tr>
      <w:tr>
        <w:tc>
          <w:tcPr>
            <w:tcW w:type="dxa" w:w="1701"/>
            <w:shd w:val="clear" w:color="auto" w:fill="F2F5F9"/>
          </w:tcPr>
          <w:p>
            <w:pPr>
              <w:spacing w:after="20" w:before="20"/>
            </w:pPr>
            <w:r/>
            <w:r>
              <w:rPr>
                <w:b w:val="0"/>
                <w:sz w:val="16"/>
              </w:rPr>
              <w:t>February</w:t>
            </w:r>
          </w:p>
        </w:tc>
        <w:tc>
          <w:tcPr>
            <w:tcW w:type="dxa" w:w="2041"/>
            <w:shd w:val="clear" w:color="auto" w:fill="F2F5F9"/>
          </w:tcPr>
          <w:p>
            <w:pPr>
              <w:spacing w:after="20" w:before="20"/>
            </w:pPr>
            <w:r/>
            <w:r>
              <w:rPr>
                <w:b w:val="0"/>
                <w:sz w:val="16"/>
              </w:rPr>
              <w:t>14.5</w:t>
            </w:r>
          </w:p>
        </w:tc>
        <w:tc>
          <w:tcPr>
            <w:tcW w:type="dxa" w:w="2041"/>
            <w:shd w:val="clear" w:color="auto" w:fill="F2F5F9"/>
          </w:tcPr>
          <w:p>
            <w:pPr>
              <w:spacing w:after="20" w:before="20"/>
            </w:pPr>
            <w:r/>
            <w:r>
              <w:rPr>
                <w:b w:val="0"/>
                <w:sz w:val="16"/>
              </w:rPr>
              <w:t>4.9</w:t>
            </w:r>
          </w:p>
        </w:tc>
        <w:tc>
          <w:tcPr>
            <w:tcW w:type="dxa" w:w="1474"/>
            <w:shd w:val="clear" w:color="auto" w:fill="F2F5F9"/>
          </w:tcPr>
          <w:p>
            <w:pPr>
              <w:spacing w:after="20" w:before="20"/>
            </w:pPr>
            <w:r/>
            <w:r>
              <w:rPr>
                <w:b w:val="0"/>
                <w:sz w:val="16"/>
              </w:rPr>
              <w:t>9.7</w:t>
            </w:r>
          </w:p>
        </w:tc>
        <w:tc>
          <w:tcPr>
            <w:tcW w:type="dxa" w:w="2154"/>
            <w:shd w:val="clear" w:color="auto" w:fill="F2F5F9"/>
          </w:tcPr>
          <w:p>
            <w:pPr>
              <w:spacing w:after="20" w:before="20"/>
            </w:pPr>
            <w:r/>
            <w:r>
              <w:rPr>
                <w:b w:val="0"/>
                <w:sz w:val="16"/>
              </w:rPr>
              <w:t>100.5</w:t>
            </w:r>
          </w:p>
        </w:tc>
      </w:tr>
      <w:tr>
        <w:tc>
          <w:tcPr>
            <w:tcW w:type="dxa" w:w="1701"/>
          </w:tcPr>
          <w:p>
            <w:pPr>
              <w:spacing w:after="20" w:before="20"/>
            </w:pPr>
            <w:r/>
            <w:r>
              <w:rPr>
                <w:b w:val="0"/>
                <w:sz w:val="16"/>
              </w:rPr>
              <w:t>March</w:t>
            </w:r>
          </w:p>
        </w:tc>
        <w:tc>
          <w:tcPr>
            <w:tcW w:type="dxa" w:w="2041"/>
          </w:tcPr>
          <w:p>
            <w:pPr>
              <w:spacing w:after="20" w:before="20"/>
            </w:pPr>
            <w:r/>
            <w:r>
              <w:rPr>
                <w:b w:val="0"/>
                <w:sz w:val="16"/>
              </w:rPr>
              <w:t>18.5</w:t>
            </w:r>
          </w:p>
        </w:tc>
        <w:tc>
          <w:tcPr>
            <w:tcW w:type="dxa" w:w="2041"/>
          </w:tcPr>
          <w:p>
            <w:pPr>
              <w:spacing w:after="20" w:before="20"/>
            </w:pPr>
            <w:r/>
            <w:r>
              <w:rPr>
                <w:b w:val="0"/>
                <w:sz w:val="16"/>
              </w:rPr>
              <w:t>8.2</w:t>
            </w:r>
          </w:p>
        </w:tc>
        <w:tc>
          <w:tcPr>
            <w:tcW w:type="dxa" w:w="1474"/>
          </w:tcPr>
          <w:p>
            <w:pPr>
              <w:spacing w:after="20" w:before="20"/>
            </w:pPr>
            <w:r/>
            <w:r>
              <w:rPr>
                <w:b w:val="0"/>
                <w:sz w:val="16"/>
              </w:rPr>
              <w:t>13.4</w:t>
            </w:r>
          </w:p>
        </w:tc>
        <w:tc>
          <w:tcPr>
            <w:tcW w:type="dxa" w:w="2154"/>
          </w:tcPr>
          <w:p>
            <w:pPr>
              <w:spacing w:after="20" w:before="20"/>
            </w:pPr>
            <w:r/>
            <w:r>
              <w:rPr>
                <w:b w:val="0"/>
                <w:sz w:val="16"/>
              </w:rPr>
              <w:t>107.0</w:t>
            </w:r>
          </w:p>
        </w:tc>
      </w:tr>
      <w:tr>
        <w:tc>
          <w:tcPr>
            <w:tcW w:type="dxa" w:w="1701"/>
            <w:shd w:val="clear" w:color="auto" w:fill="F2F5F9"/>
          </w:tcPr>
          <w:p>
            <w:pPr>
              <w:spacing w:after="20" w:before="20"/>
            </w:pPr>
            <w:r/>
            <w:r>
              <w:rPr>
                <w:b w:val="0"/>
                <w:sz w:val="16"/>
              </w:rPr>
              <w:t>April</w:t>
            </w:r>
          </w:p>
        </w:tc>
        <w:tc>
          <w:tcPr>
            <w:tcW w:type="dxa" w:w="2041"/>
            <w:shd w:val="clear" w:color="auto" w:fill="F2F5F9"/>
          </w:tcPr>
          <w:p>
            <w:pPr>
              <w:spacing w:after="20" w:before="20"/>
            </w:pPr>
            <w:r/>
            <w:r>
              <w:rPr>
                <w:b w:val="0"/>
                <w:sz w:val="16"/>
              </w:rPr>
              <w:t>23.2</w:t>
            </w:r>
          </w:p>
        </w:tc>
        <w:tc>
          <w:tcPr>
            <w:tcW w:type="dxa" w:w="2041"/>
            <w:shd w:val="clear" w:color="auto" w:fill="F2F5F9"/>
          </w:tcPr>
          <w:p>
            <w:pPr>
              <w:spacing w:after="20" w:before="20"/>
            </w:pPr>
            <w:r/>
            <w:r>
              <w:rPr>
                <w:b w:val="0"/>
                <w:sz w:val="16"/>
              </w:rPr>
              <w:t>12.2</w:t>
            </w:r>
          </w:p>
        </w:tc>
        <w:tc>
          <w:tcPr>
            <w:tcW w:type="dxa" w:w="1474"/>
            <w:shd w:val="clear" w:color="auto" w:fill="F2F5F9"/>
          </w:tcPr>
          <w:p>
            <w:pPr>
              <w:spacing w:after="20" w:before="20"/>
            </w:pPr>
            <w:r/>
            <w:r>
              <w:rPr>
                <w:b w:val="0"/>
                <w:sz w:val="16"/>
              </w:rPr>
              <w:t>17.7</w:t>
            </w:r>
          </w:p>
        </w:tc>
        <w:tc>
          <w:tcPr>
            <w:tcW w:type="dxa" w:w="2154"/>
            <w:shd w:val="clear" w:color="auto" w:fill="F2F5F9"/>
          </w:tcPr>
          <w:p>
            <w:pPr>
              <w:spacing w:after="20" w:before="20"/>
            </w:pPr>
            <w:r/>
            <w:r>
              <w:rPr>
                <w:b w:val="0"/>
                <w:sz w:val="16"/>
              </w:rPr>
              <w:t>85.7</w:t>
            </w:r>
          </w:p>
        </w:tc>
      </w:tr>
      <w:tr>
        <w:tc>
          <w:tcPr>
            <w:tcW w:type="dxa" w:w="1701"/>
          </w:tcPr>
          <w:p>
            <w:pPr>
              <w:spacing w:after="20" w:before="20"/>
            </w:pPr>
            <w:r/>
            <w:r>
              <w:rPr>
                <w:b w:val="0"/>
                <w:sz w:val="16"/>
              </w:rPr>
              <w:t>May</w:t>
            </w:r>
          </w:p>
        </w:tc>
        <w:tc>
          <w:tcPr>
            <w:tcW w:type="dxa" w:w="2041"/>
          </w:tcPr>
          <w:p>
            <w:pPr>
              <w:spacing w:after="20" w:before="20"/>
            </w:pPr>
            <w:r/>
            <w:r>
              <w:rPr>
                <w:b w:val="0"/>
                <w:sz w:val="16"/>
              </w:rPr>
              <w:t>27.6</w:t>
            </w:r>
          </w:p>
        </w:tc>
        <w:tc>
          <w:tcPr>
            <w:tcW w:type="dxa" w:w="2041"/>
          </w:tcPr>
          <w:p>
            <w:pPr>
              <w:spacing w:after="20" w:before="20"/>
            </w:pPr>
            <w:r/>
            <w:r>
              <w:rPr>
                <w:b w:val="0"/>
                <w:sz w:val="16"/>
              </w:rPr>
              <w:t>17.1</w:t>
            </w:r>
          </w:p>
        </w:tc>
        <w:tc>
          <w:tcPr>
            <w:tcW w:type="dxa" w:w="1474"/>
          </w:tcPr>
          <w:p>
            <w:pPr>
              <w:spacing w:after="20" w:before="20"/>
            </w:pPr>
            <w:r/>
            <w:r>
              <w:rPr>
                <w:b w:val="0"/>
                <w:sz w:val="16"/>
              </w:rPr>
              <w:t>22.3</w:t>
            </w:r>
          </w:p>
        </w:tc>
        <w:tc>
          <w:tcPr>
            <w:tcW w:type="dxa" w:w="2154"/>
          </w:tcPr>
          <w:p>
            <w:pPr>
              <w:spacing w:after="20" w:before="20"/>
            </w:pPr>
            <w:r/>
            <w:r>
              <w:rPr>
                <w:b w:val="0"/>
                <w:sz w:val="16"/>
              </w:rPr>
              <w:t>70.9</w:t>
            </w:r>
          </w:p>
        </w:tc>
      </w:tr>
      <w:tr>
        <w:tc>
          <w:tcPr>
            <w:tcW w:type="dxa" w:w="1701"/>
            <w:shd w:val="clear" w:color="auto" w:fill="F2F5F9"/>
          </w:tcPr>
          <w:p>
            <w:pPr>
              <w:spacing w:after="20" w:before="20"/>
            </w:pPr>
            <w:r/>
            <w:r>
              <w:rPr>
                <w:b w:val="0"/>
                <w:sz w:val="16"/>
              </w:rPr>
              <w:t>June</w:t>
            </w:r>
          </w:p>
        </w:tc>
        <w:tc>
          <w:tcPr>
            <w:tcW w:type="dxa" w:w="2041"/>
            <w:shd w:val="clear" w:color="auto" w:fill="F2F5F9"/>
          </w:tcPr>
          <w:p>
            <w:pPr>
              <w:spacing w:after="20" w:before="20"/>
            </w:pPr>
            <w:r/>
            <w:r>
              <w:rPr>
                <w:b w:val="0"/>
                <w:sz w:val="16"/>
              </w:rPr>
              <w:t>30.9</w:t>
            </w:r>
          </w:p>
        </w:tc>
        <w:tc>
          <w:tcPr>
            <w:tcW w:type="dxa" w:w="2041"/>
            <w:shd w:val="clear" w:color="auto" w:fill="F2F5F9"/>
          </w:tcPr>
          <w:p>
            <w:pPr>
              <w:spacing w:after="20" w:before="20"/>
            </w:pPr>
            <w:r/>
            <w:r>
              <w:rPr>
                <w:b w:val="0"/>
                <w:sz w:val="16"/>
              </w:rPr>
              <w:t>21.2</w:t>
            </w:r>
          </w:p>
        </w:tc>
        <w:tc>
          <w:tcPr>
            <w:tcW w:type="dxa" w:w="1474"/>
            <w:shd w:val="clear" w:color="auto" w:fill="F2F5F9"/>
          </w:tcPr>
          <w:p>
            <w:pPr>
              <w:spacing w:after="20" w:before="20"/>
            </w:pPr>
            <w:r/>
            <w:r>
              <w:rPr>
                <w:b w:val="0"/>
                <w:sz w:val="16"/>
              </w:rPr>
              <w:t>26.1</w:t>
            </w:r>
          </w:p>
        </w:tc>
        <w:tc>
          <w:tcPr>
            <w:tcW w:type="dxa" w:w="2154"/>
            <w:shd w:val="clear" w:color="auto" w:fill="F2F5F9"/>
          </w:tcPr>
          <w:p>
            <w:pPr>
              <w:spacing w:after="20" w:before="20"/>
            </w:pPr>
            <w:r/>
            <w:r>
              <w:rPr>
                <w:b w:val="0"/>
                <w:sz w:val="16"/>
              </w:rPr>
              <w:t>88.8</w:t>
            </w:r>
          </w:p>
        </w:tc>
      </w:tr>
      <w:tr>
        <w:tc>
          <w:tcPr>
            <w:tcW w:type="dxa" w:w="1701"/>
          </w:tcPr>
          <w:p>
            <w:pPr>
              <w:spacing w:after="20" w:before="20"/>
            </w:pPr>
            <w:r/>
            <w:r>
              <w:rPr>
                <w:b w:val="0"/>
                <w:sz w:val="16"/>
              </w:rPr>
              <w:t>July</w:t>
            </w:r>
          </w:p>
        </w:tc>
        <w:tc>
          <w:tcPr>
            <w:tcW w:type="dxa" w:w="2041"/>
          </w:tcPr>
          <w:p>
            <w:pPr>
              <w:spacing w:after="20" w:before="20"/>
            </w:pPr>
            <w:r/>
            <w:r>
              <w:rPr>
                <w:b/>
                <w:sz w:val="16"/>
              </w:rPr>
              <w:t>32.3</w:t>
            </w:r>
          </w:p>
        </w:tc>
        <w:tc>
          <w:tcPr>
            <w:tcW w:type="dxa" w:w="2041"/>
          </w:tcPr>
          <w:p>
            <w:pPr>
              <w:spacing w:after="20" w:before="20"/>
            </w:pPr>
            <w:r/>
            <w:r>
              <w:rPr>
                <w:b w:val="0"/>
                <w:sz w:val="16"/>
              </w:rPr>
              <w:t>23.1</w:t>
            </w:r>
          </w:p>
        </w:tc>
        <w:tc>
          <w:tcPr>
            <w:tcW w:type="dxa" w:w="1474"/>
          </w:tcPr>
          <w:p>
            <w:pPr>
              <w:spacing w:after="20" w:before="20"/>
            </w:pPr>
            <w:r/>
            <w:r>
              <w:rPr>
                <w:b/>
                <w:sz w:val="16"/>
              </w:rPr>
              <w:t>27.7</w:t>
            </w:r>
          </w:p>
        </w:tc>
        <w:tc>
          <w:tcPr>
            <w:tcW w:type="dxa" w:w="2154"/>
          </w:tcPr>
          <w:p>
            <w:pPr>
              <w:spacing w:after="20" w:before="20"/>
            </w:pPr>
            <w:r/>
            <w:r>
              <w:rPr>
                <w:b w:val="0"/>
                <w:sz w:val="16"/>
              </w:rPr>
              <w:t>95.5</w:t>
            </w:r>
          </w:p>
        </w:tc>
      </w:tr>
      <w:tr>
        <w:tc>
          <w:tcPr>
            <w:tcW w:type="dxa" w:w="1701"/>
            <w:shd w:val="clear" w:color="auto" w:fill="F2F5F9"/>
          </w:tcPr>
          <w:p>
            <w:pPr>
              <w:spacing w:after="20" w:before="20"/>
            </w:pPr>
            <w:r/>
            <w:r>
              <w:rPr>
                <w:b w:val="0"/>
                <w:sz w:val="16"/>
              </w:rPr>
              <w:t>August</w:t>
            </w:r>
          </w:p>
        </w:tc>
        <w:tc>
          <w:tcPr>
            <w:tcW w:type="dxa" w:w="2041"/>
            <w:shd w:val="clear" w:color="auto" w:fill="F2F5F9"/>
          </w:tcPr>
          <w:p>
            <w:pPr>
              <w:spacing w:after="20" w:before="20"/>
            </w:pPr>
            <w:r/>
            <w:r>
              <w:rPr>
                <w:b w:val="0"/>
                <w:sz w:val="16"/>
              </w:rPr>
              <w:t>31.7</w:t>
            </w:r>
          </w:p>
        </w:tc>
        <w:tc>
          <w:tcPr>
            <w:tcW w:type="dxa" w:w="2041"/>
            <w:shd w:val="clear" w:color="auto" w:fill="F2F5F9"/>
          </w:tcPr>
          <w:p>
            <w:pPr>
              <w:spacing w:after="20" w:before="20"/>
            </w:pPr>
            <w:r/>
            <w:r>
              <w:rPr>
                <w:b w:val="0"/>
                <w:sz w:val="16"/>
              </w:rPr>
              <w:t>22.7</w:t>
            </w:r>
          </w:p>
        </w:tc>
        <w:tc>
          <w:tcPr>
            <w:tcW w:type="dxa" w:w="1474"/>
            <w:shd w:val="clear" w:color="auto" w:fill="F2F5F9"/>
          </w:tcPr>
          <w:p>
            <w:pPr>
              <w:spacing w:after="20" w:before="20"/>
            </w:pPr>
            <w:r/>
            <w:r>
              <w:rPr>
                <w:b w:val="0"/>
                <w:sz w:val="16"/>
              </w:rPr>
              <w:t>27.2</w:t>
            </w:r>
          </w:p>
        </w:tc>
        <w:tc>
          <w:tcPr>
            <w:tcW w:type="dxa" w:w="2154"/>
            <w:shd w:val="clear" w:color="auto" w:fill="F2F5F9"/>
          </w:tcPr>
          <w:p>
            <w:pPr>
              <w:spacing w:after="20" w:before="20"/>
            </w:pPr>
            <w:r/>
            <w:r>
              <w:rPr>
                <w:b w:val="0"/>
                <w:sz w:val="16"/>
              </w:rPr>
              <w:t>84.3</w:t>
            </w:r>
          </w:p>
        </w:tc>
      </w:tr>
      <w:tr>
        <w:tc>
          <w:tcPr>
            <w:tcW w:type="dxa" w:w="1701"/>
          </w:tcPr>
          <w:p>
            <w:pPr>
              <w:spacing w:after="20" w:before="20"/>
            </w:pPr>
            <w:r/>
            <w:r>
              <w:rPr>
                <w:b w:val="0"/>
                <w:sz w:val="16"/>
              </w:rPr>
              <w:t>September</w:t>
            </w:r>
          </w:p>
        </w:tc>
        <w:tc>
          <w:tcPr>
            <w:tcW w:type="dxa" w:w="2041"/>
          </w:tcPr>
          <w:p>
            <w:pPr>
              <w:spacing w:after="20" w:before="20"/>
            </w:pPr>
            <w:r/>
            <w:r>
              <w:rPr>
                <w:b w:val="0"/>
                <w:sz w:val="16"/>
              </w:rPr>
              <w:t>28.6</w:t>
            </w:r>
          </w:p>
        </w:tc>
        <w:tc>
          <w:tcPr>
            <w:tcW w:type="dxa" w:w="2041"/>
          </w:tcPr>
          <w:p>
            <w:pPr>
              <w:spacing w:after="20" w:before="20"/>
            </w:pPr>
            <w:r/>
            <w:r>
              <w:rPr>
                <w:b w:val="0"/>
                <w:sz w:val="16"/>
              </w:rPr>
              <w:t>19.7</w:t>
            </w:r>
          </w:p>
        </w:tc>
        <w:tc>
          <w:tcPr>
            <w:tcW w:type="dxa" w:w="1474"/>
          </w:tcPr>
          <w:p>
            <w:pPr>
              <w:spacing w:after="20" w:before="20"/>
            </w:pPr>
            <w:r/>
            <w:r>
              <w:rPr>
                <w:b w:val="0"/>
                <w:sz w:val="16"/>
              </w:rPr>
              <w:t>24.1</w:t>
            </w:r>
          </w:p>
        </w:tc>
        <w:tc>
          <w:tcPr>
            <w:tcW w:type="dxa" w:w="2154"/>
          </w:tcPr>
          <w:p>
            <w:pPr>
              <w:spacing w:after="20" w:before="20"/>
            </w:pPr>
            <w:r/>
            <w:r>
              <w:rPr>
                <w:b w:val="0"/>
                <w:sz w:val="16"/>
              </w:rPr>
              <w:t>87.7</w:t>
            </w:r>
          </w:p>
        </w:tc>
      </w:tr>
      <w:tr>
        <w:tc>
          <w:tcPr>
            <w:tcW w:type="dxa" w:w="1701"/>
            <w:shd w:val="clear" w:color="auto" w:fill="F2F5F9"/>
          </w:tcPr>
          <w:p>
            <w:pPr>
              <w:spacing w:after="20" w:before="20"/>
            </w:pPr>
            <w:r/>
            <w:r>
              <w:rPr>
                <w:b w:val="0"/>
                <w:sz w:val="16"/>
              </w:rPr>
              <w:t>October</w:t>
            </w:r>
          </w:p>
        </w:tc>
        <w:tc>
          <w:tcPr>
            <w:tcW w:type="dxa" w:w="2041"/>
            <w:shd w:val="clear" w:color="auto" w:fill="F2F5F9"/>
          </w:tcPr>
          <w:p>
            <w:pPr>
              <w:spacing w:after="20" w:before="20"/>
            </w:pPr>
            <w:r/>
            <w:r>
              <w:rPr>
                <w:b w:val="0"/>
                <w:sz w:val="16"/>
              </w:rPr>
              <w:t>23.6</w:t>
            </w:r>
          </w:p>
        </w:tc>
        <w:tc>
          <w:tcPr>
            <w:tcW w:type="dxa" w:w="2041"/>
            <w:shd w:val="clear" w:color="auto" w:fill="F2F5F9"/>
          </w:tcPr>
          <w:p>
            <w:pPr>
              <w:spacing w:after="20" w:before="20"/>
            </w:pPr>
            <w:r/>
            <w:r>
              <w:rPr>
                <w:b w:val="0"/>
                <w:sz w:val="16"/>
              </w:rPr>
              <w:t>14.2</w:t>
            </w:r>
          </w:p>
        </w:tc>
        <w:tc>
          <w:tcPr>
            <w:tcW w:type="dxa" w:w="1474"/>
            <w:shd w:val="clear" w:color="auto" w:fill="F2F5F9"/>
          </w:tcPr>
          <w:p>
            <w:pPr>
              <w:spacing w:after="20" w:before="20"/>
            </w:pPr>
            <w:r/>
            <w:r>
              <w:rPr>
                <w:b w:val="0"/>
                <w:sz w:val="16"/>
              </w:rPr>
              <w:t>18.9</w:t>
            </w:r>
          </w:p>
        </w:tc>
        <w:tc>
          <w:tcPr>
            <w:tcW w:type="dxa" w:w="2154"/>
            <w:shd w:val="clear" w:color="auto" w:fill="F2F5F9"/>
          </w:tcPr>
          <w:p>
            <w:pPr>
              <w:spacing w:after="20" w:before="20"/>
            </w:pPr>
            <w:r/>
            <w:r>
              <w:rPr>
                <w:b w:val="0"/>
                <w:sz w:val="16"/>
              </w:rPr>
              <w:t>64.7</w:t>
            </w:r>
          </w:p>
        </w:tc>
      </w:tr>
      <w:tr>
        <w:tc>
          <w:tcPr>
            <w:tcW w:type="dxa" w:w="1701"/>
          </w:tcPr>
          <w:p>
            <w:pPr>
              <w:spacing w:after="20" w:before="20"/>
            </w:pPr>
            <w:r/>
            <w:r>
              <w:rPr>
                <w:b w:val="0"/>
                <w:sz w:val="16"/>
              </w:rPr>
              <w:t>November</w:t>
            </w:r>
          </w:p>
        </w:tc>
        <w:tc>
          <w:tcPr>
            <w:tcW w:type="dxa" w:w="2041"/>
          </w:tcPr>
          <w:p>
            <w:pPr>
              <w:spacing w:after="20" w:before="20"/>
            </w:pPr>
            <w:r/>
            <w:r>
              <w:rPr>
                <w:b w:val="0"/>
                <w:sz w:val="16"/>
              </w:rPr>
              <w:t>17.7</w:t>
            </w:r>
          </w:p>
        </w:tc>
        <w:tc>
          <w:tcPr>
            <w:tcW w:type="dxa" w:w="2041"/>
          </w:tcPr>
          <w:p>
            <w:pPr>
              <w:spacing w:after="20" w:before="20"/>
            </w:pPr>
            <w:r/>
            <w:r>
              <w:rPr>
                <w:b w:val="0"/>
                <w:sz w:val="16"/>
              </w:rPr>
              <w:t>8.6</w:t>
            </w:r>
          </w:p>
        </w:tc>
        <w:tc>
          <w:tcPr>
            <w:tcW w:type="dxa" w:w="1474"/>
          </w:tcPr>
          <w:p>
            <w:pPr>
              <w:spacing w:after="20" w:before="20"/>
            </w:pPr>
            <w:r/>
            <w:r>
              <w:rPr>
                <w:b w:val="0"/>
                <w:sz w:val="16"/>
              </w:rPr>
              <w:t>13.2</w:t>
            </w:r>
          </w:p>
        </w:tc>
        <w:tc>
          <w:tcPr>
            <w:tcW w:type="dxa" w:w="2154"/>
          </w:tcPr>
          <w:p>
            <w:pPr>
              <w:spacing w:after="20" w:before="20"/>
            </w:pPr>
            <w:r/>
            <w:r>
              <w:rPr>
                <w:b w:val="0"/>
                <w:sz w:val="16"/>
              </w:rPr>
              <w:t>77.0</w:t>
            </w:r>
          </w:p>
        </w:tc>
      </w:tr>
      <w:tr>
        <w:tc>
          <w:tcPr>
            <w:tcW w:type="dxa" w:w="1701"/>
            <w:shd w:val="clear" w:color="auto" w:fill="F2F5F9"/>
          </w:tcPr>
          <w:p>
            <w:pPr>
              <w:spacing w:after="20" w:before="20"/>
            </w:pPr>
            <w:r/>
            <w:r>
              <w:rPr>
                <w:b w:val="0"/>
                <w:sz w:val="16"/>
              </w:rPr>
              <w:t>December</w:t>
            </w:r>
          </w:p>
        </w:tc>
        <w:tc>
          <w:tcPr>
            <w:tcW w:type="dxa" w:w="2041"/>
            <w:shd w:val="clear" w:color="auto" w:fill="F2F5F9"/>
          </w:tcPr>
          <w:p>
            <w:pPr>
              <w:spacing w:after="20" w:before="20"/>
            </w:pPr>
            <w:r/>
            <w:r>
              <w:rPr>
                <w:b w:val="0"/>
                <w:sz w:val="16"/>
              </w:rPr>
              <w:t>13.5</w:t>
            </w:r>
          </w:p>
        </w:tc>
        <w:tc>
          <w:tcPr>
            <w:tcW w:type="dxa" w:w="2041"/>
            <w:shd w:val="clear" w:color="auto" w:fill="F2F5F9"/>
          </w:tcPr>
          <w:p>
            <w:pPr>
              <w:spacing w:after="20" w:before="20"/>
            </w:pPr>
            <w:r/>
            <w:r>
              <w:rPr>
                <w:b w:val="0"/>
                <w:sz w:val="16"/>
              </w:rPr>
              <w:t>5.1</w:t>
            </w:r>
          </w:p>
        </w:tc>
        <w:tc>
          <w:tcPr>
            <w:tcW w:type="dxa" w:w="1474"/>
            <w:shd w:val="clear" w:color="auto" w:fill="F2F5F9"/>
          </w:tcPr>
          <w:p>
            <w:pPr>
              <w:spacing w:after="20" w:before="20"/>
            </w:pPr>
            <w:r/>
            <w:r>
              <w:rPr>
                <w:b w:val="0"/>
                <w:sz w:val="16"/>
              </w:rPr>
              <w:t>9.3</w:t>
            </w:r>
          </w:p>
        </w:tc>
        <w:tc>
          <w:tcPr>
            <w:tcW w:type="dxa" w:w="2154"/>
            <w:shd w:val="clear" w:color="auto" w:fill="F2F5F9"/>
          </w:tcPr>
          <w:p>
            <w:pPr>
              <w:spacing w:after="20" w:before="20"/>
            </w:pPr>
            <w:r/>
            <w:r>
              <w:rPr>
                <w:b w:val="0"/>
                <w:sz w:val="16"/>
              </w:rPr>
              <w:t>109.0</w:t>
            </w:r>
          </w:p>
        </w:tc>
      </w:tr>
      <w:tr>
        <w:tc>
          <w:tcPr>
            <w:tcW w:type="dxa" w:w="1701"/>
          </w:tcPr>
          <w:p>
            <w:pPr>
              <w:spacing w:after="20" w:before="20"/>
            </w:pPr>
            <w:r/>
            <w:r>
              <w:rPr>
                <w:b/>
                <w:sz w:val="16"/>
              </w:rPr>
              <w:t>ANNUAL</w:t>
            </w:r>
          </w:p>
        </w:tc>
        <w:tc>
          <w:tcPr>
            <w:tcW w:type="dxa" w:w="2041"/>
          </w:tcPr>
          <w:p>
            <w:pPr>
              <w:spacing w:after="20" w:before="20"/>
            </w:pPr>
            <w:r/>
            <w:r>
              <w:rPr>
                <w:b/>
                <w:sz w:val="16"/>
              </w:rPr>
              <w:t>22.9</w:t>
            </w:r>
          </w:p>
        </w:tc>
        <w:tc>
          <w:tcPr>
            <w:tcW w:type="dxa" w:w="2041"/>
          </w:tcPr>
          <w:p>
            <w:pPr>
              <w:spacing w:after="20" w:before="20"/>
            </w:pPr>
            <w:r/>
            <w:r>
              <w:rPr>
                <w:b/>
                <w:sz w:val="16"/>
              </w:rPr>
              <w:t>13.4</w:t>
            </w:r>
          </w:p>
        </w:tc>
        <w:tc>
          <w:tcPr>
            <w:tcW w:type="dxa" w:w="1474"/>
          </w:tcPr>
          <w:p>
            <w:pPr>
              <w:spacing w:after="20" w:before="20"/>
            </w:pPr>
            <w:r/>
            <w:r>
              <w:rPr>
                <w:b/>
                <w:sz w:val="16"/>
              </w:rPr>
              <w:t>18.2</w:t>
            </w:r>
          </w:p>
        </w:tc>
        <w:tc>
          <w:tcPr>
            <w:tcW w:type="dxa" w:w="2154"/>
          </w:tcPr>
          <w:p>
            <w:pPr>
              <w:spacing w:after="20" w:before="20"/>
            </w:pPr>
            <w:r/>
            <w:r>
              <w:rPr>
                <w:b/>
                <w:sz w:val="16"/>
              </w:rPr>
              <w:t>1,070 mm (42.1 in)</w:t>
            </w:r>
          </w:p>
        </w:tc>
      </w:tr>
    </w:tbl>
    <w:p>
      <w:pPr>
        <w:spacing w:after="40"/>
      </w:pPr>
    </w:p>
    <w:tbl>
      <w:tblPr>
        <w:tblStyle w:val="TableGrid"/>
        <w:tblW w:type="auto" w:w="0"/>
        <w:jc w:val="center"/>
        <w:tblLook w:firstColumn="1" w:firstRow="1" w:lastColumn="0" w:lastRow="0" w:noHBand="0" w:noVBand="1" w:val="04A0"/>
      </w:tblPr>
      <w:tblGrid>
        <w:gridCol w:w="4932"/>
        <w:gridCol w:w="4932"/>
      </w:tblGrid>
      <w:tr>
        <w:tc>
          <w:tcPr>
            <w:tcW w:type="dxa" w:w="3628"/>
            <w:shd w:val="clear" w:color="auto" w:fill="1F4E79"/>
          </w:tcPr>
          <w:p>
            <w:pPr>
              <w:spacing w:after="20" w:before="20"/>
            </w:pPr>
            <w:r/>
            <w:r>
              <w:rPr>
                <w:b/>
                <w:color w:val="FFFFFF"/>
                <w:sz w:val="16"/>
              </w:rPr>
              <w:t>Climate measure</w:t>
            </w:r>
          </w:p>
        </w:tc>
        <w:tc>
          <w:tcPr>
            <w:tcW w:type="dxa" w:w="5783"/>
            <w:shd w:val="clear" w:color="auto" w:fill="1F4E79"/>
          </w:tcPr>
          <w:p>
            <w:pPr>
              <w:spacing w:after="20" w:before="20"/>
            </w:pPr>
            <w:r/>
            <w:r>
              <w:rPr>
                <w:b/>
                <w:color w:val="FFFFFF"/>
                <w:sz w:val="16"/>
              </w:rPr>
              <w:t>Value</w:t>
            </w:r>
          </w:p>
        </w:tc>
      </w:tr>
      <w:tr>
        <w:tc>
          <w:tcPr>
            <w:tcW w:type="dxa" w:w="3628"/>
          </w:tcPr>
          <w:p>
            <w:pPr>
              <w:spacing w:after="20" w:before="20"/>
            </w:pPr>
            <w:r/>
            <w:r>
              <w:rPr>
                <w:b w:val="0"/>
                <w:sz w:val="16"/>
              </w:rPr>
              <w:t>Average annual temperature</w:t>
            </w:r>
          </w:p>
        </w:tc>
        <w:tc>
          <w:tcPr>
            <w:tcW w:type="dxa" w:w="5783"/>
          </w:tcPr>
          <w:p>
            <w:pPr>
              <w:spacing w:after="20" w:before="20"/>
            </w:pPr>
            <w:r/>
            <w:r>
              <w:rPr>
                <w:b w:val="0"/>
                <w:sz w:val="16"/>
              </w:rPr>
              <w:t>18.2 deg C</w:t>
            </w:r>
          </w:p>
        </w:tc>
      </w:tr>
      <w:tr>
        <w:tc>
          <w:tcPr>
            <w:tcW w:type="dxa" w:w="3628"/>
            <w:shd w:val="clear" w:color="auto" w:fill="F2F5F9"/>
          </w:tcPr>
          <w:p>
            <w:pPr>
              <w:spacing w:after="20" w:before="20"/>
            </w:pPr>
            <w:r/>
            <w:r>
              <w:rPr>
                <w:b w:val="0"/>
                <w:sz w:val="16"/>
              </w:rPr>
              <w:t>Summer highs (July mean max)</w:t>
            </w:r>
          </w:p>
        </w:tc>
        <w:tc>
          <w:tcPr>
            <w:tcW w:type="dxa" w:w="5783"/>
            <w:shd w:val="clear" w:color="auto" w:fill="F2F5F9"/>
          </w:tcPr>
          <w:p>
            <w:pPr>
              <w:spacing w:after="20" w:before="20"/>
            </w:pPr>
            <w:r/>
            <w:r>
              <w:rPr>
                <w:b w:val="0"/>
                <w:sz w:val="16"/>
              </w:rPr>
              <w:t>32.3 deg C</w:t>
            </w:r>
          </w:p>
        </w:tc>
      </w:tr>
      <w:tr>
        <w:tc>
          <w:tcPr>
            <w:tcW w:type="dxa" w:w="3628"/>
          </w:tcPr>
          <w:p>
            <w:pPr>
              <w:spacing w:after="20" w:before="20"/>
            </w:pPr>
            <w:r/>
            <w:r>
              <w:rPr>
                <w:b w:val="0"/>
                <w:sz w:val="16"/>
              </w:rPr>
              <w:t>Winter lows (January mean min)</w:t>
            </w:r>
          </w:p>
        </w:tc>
        <w:tc>
          <w:tcPr>
            <w:tcW w:type="dxa" w:w="5783"/>
          </w:tcPr>
          <w:p>
            <w:pPr>
              <w:spacing w:after="20" w:before="20"/>
            </w:pPr>
            <w:r/>
            <w:r>
              <w:rPr>
                <w:b w:val="0"/>
                <w:sz w:val="16"/>
              </w:rPr>
              <w:t>3.5 deg C</w:t>
            </w:r>
          </w:p>
        </w:tc>
      </w:tr>
      <w:tr>
        <w:tc>
          <w:tcPr>
            <w:tcW w:type="dxa" w:w="3628"/>
            <w:shd w:val="clear" w:color="auto" w:fill="F2F5F9"/>
          </w:tcPr>
          <w:p>
            <w:pPr>
              <w:spacing w:after="20" w:before="20"/>
            </w:pPr>
            <w:r/>
            <w:r>
              <w:rPr>
                <w:b w:val="0"/>
                <w:sz w:val="16"/>
              </w:rPr>
              <w:t>Annual rainfall</w:t>
            </w:r>
          </w:p>
        </w:tc>
        <w:tc>
          <w:tcPr>
            <w:tcW w:type="dxa" w:w="5783"/>
            <w:shd w:val="clear" w:color="auto" w:fill="F2F5F9"/>
          </w:tcPr>
          <w:p>
            <w:pPr>
              <w:spacing w:after="20" w:before="20"/>
            </w:pPr>
            <w:r/>
            <w:r>
              <w:rPr>
                <w:b w:val="0"/>
                <w:sz w:val="16"/>
              </w:rPr>
              <w:t>1,070 mm / 42.1 in, distributed year-round with a late-spring dip</w:t>
            </w:r>
          </w:p>
        </w:tc>
      </w:tr>
      <w:tr>
        <w:tc>
          <w:tcPr>
            <w:tcW w:type="dxa" w:w="3628"/>
          </w:tcPr>
          <w:p>
            <w:pPr>
              <w:spacing w:after="20" w:before="20"/>
            </w:pPr>
            <w:r/>
            <w:r>
              <w:rPr>
                <w:b w:val="0"/>
                <w:sz w:val="16"/>
              </w:rPr>
              <w:t>Humidity</w:t>
            </w:r>
          </w:p>
        </w:tc>
        <w:tc>
          <w:tcPr>
            <w:tcW w:type="dxa" w:w="5783"/>
          </w:tcPr>
          <w:p>
            <w:pPr>
              <w:spacing w:after="20" w:before="20"/>
            </w:pPr>
            <w:r/>
            <w:r>
              <w:rPr>
                <w:b w:val="0"/>
                <w:sz w:val="16"/>
              </w:rPr>
              <w:t>High, typical of the humid subtropical south-east (Koppen Cfa). Not separately quantified here.</w:t>
            </w:r>
          </w:p>
        </w:tc>
      </w:tr>
      <w:tr>
        <w:tc>
          <w:tcPr>
            <w:tcW w:type="dxa" w:w="3628"/>
            <w:shd w:val="clear" w:color="auto" w:fill="F2F5F9"/>
          </w:tcPr>
          <w:p>
            <w:pPr>
              <w:spacing w:after="20" w:before="20"/>
            </w:pPr>
            <w:r/>
            <w:r>
              <w:rPr>
                <w:b w:val="0"/>
                <w:sz w:val="16"/>
              </w:rPr>
              <w:t>Growing season</w:t>
            </w:r>
          </w:p>
        </w:tc>
        <w:tc>
          <w:tcPr>
            <w:tcW w:type="dxa" w:w="5783"/>
            <w:shd w:val="clear" w:color="auto" w:fill="F2F5F9"/>
          </w:tcPr>
          <w:p>
            <w:pPr>
              <w:spacing w:after="20" w:before="20"/>
            </w:pPr>
            <w:r/>
            <w:r>
              <w:rPr>
                <w:b w:val="0"/>
                <w:sz w:val="16"/>
              </w:rPr>
              <w:t>approx. 283 frost-free days; mean last spring frost 26 February, mean first autumn frost 5 December</w:t>
            </w:r>
          </w:p>
        </w:tc>
      </w:tr>
      <w:tr>
        <w:tc>
          <w:tcPr>
            <w:tcW w:type="dxa" w:w="3628"/>
          </w:tcPr>
          <w:p>
            <w:pPr>
              <w:spacing w:after="20" w:before="20"/>
            </w:pPr>
            <w:r/>
            <w:r>
              <w:rPr>
                <w:b w:val="0"/>
                <w:sz w:val="16"/>
              </w:rPr>
              <w:t>Latest recorded spring frost</w:t>
            </w:r>
          </w:p>
        </w:tc>
        <w:tc>
          <w:tcPr>
            <w:tcW w:type="dxa" w:w="5783"/>
          </w:tcPr>
          <w:p>
            <w:pPr>
              <w:spacing w:after="20" w:before="20"/>
            </w:pPr>
            <w:r/>
            <w:r>
              <w:rPr>
                <w:b w:val="0"/>
                <w:sz w:val="16"/>
              </w:rPr>
              <w:t>27 March</w:t>
            </w:r>
          </w:p>
        </w:tc>
      </w:tr>
      <w:tr>
        <w:tc>
          <w:tcPr>
            <w:tcW w:type="dxa" w:w="3628"/>
            <w:shd w:val="clear" w:color="auto" w:fill="F2F5F9"/>
          </w:tcPr>
          <w:p>
            <w:pPr>
              <w:spacing w:after="20" w:before="20"/>
            </w:pPr>
            <w:r/>
            <w:r>
              <w:rPr>
                <w:b w:val="0"/>
                <w:sz w:val="16"/>
              </w:rPr>
              <w:t>Earliest recorded autumn frost</w:t>
            </w:r>
          </w:p>
        </w:tc>
        <w:tc>
          <w:tcPr>
            <w:tcW w:type="dxa" w:w="5783"/>
            <w:shd w:val="clear" w:color="auto" w:fill="F2F5F9"/>
          </w:tcPr>
          <w:p>
            <w:pPr>
              <w:spacing w:after="20" w:before="20"/>
            </w:pPr>
            <w:r/>
            <w:r>
              <w:rPr>
                <w:b w:val="0"/>
                <w:sz w:val="16"/>
              </w:rPr>
              <w:t>13 November</w:t>
            </w:r>
          </w:p>
        </w:tc>
      </w:tr>
      <w:tr>
        <w:tc>
          <w:tcPr>
            <w:tcW w:type="dxa" w:w="3628"/>
          </w:tcPr>
          <w:p>
            <w:pPr>
              <w:spacing w:after="20" w:before="20"/>
            </w:pPr>
            <w:r/>
            <w:r>
              <w:rPr>
                <w:b w:val="0"/>
                <w:sz w:val="16"/>
              </w:rPr>
              <w:t>Days per year at or above 32 deg C</w:t>
            </w:r>
          </w:p>
        </w:tc>
        <w:tc>
          <w:tcPr>
            <w:tcW w:type="dxa" w:w="5783"/>
          </w:tcPr>
          <w:p>
            <w:pPr>
              <w:spacing w:after="20" w:before="20"/>
            </w:pPr>
            <w:r/>
            <w:r>
              <w:rPr>
                <w:b w:val="0"/>
                <w:sz w:val="16"/>
              </w:rPr>
              <w:t>approx. 52</w:t>
            </w:r>
          </w:p>
        </w:tc>
      </w:tr>
      <w:tr>
        <w:tc>
          <w:tcPr>
            <w:tcW w:type="dxa" w:w="3628"/>
            <w:shd w:val="clear" w:color="auto" w:fill="F2F5F9"/>
          </w:tcPr>
          <w:p>
            <w:pPr>
              <w:spacing w:after="20" w:before="20"/>
            </w:pPr>
            <w:r/>
            <w:r>
              <w:rPr>
                <w:b w:val="0"/>
                <w:sz w:val="16"/>
              </w:rPr>
              <w:t>Days per year at or above 35 deg C</w:t>
            </w:r>
          </w:p>
        </w:tc>
        <w:tc>
          <w:tcPr>
            <w:tcW w:type="dxa" w:w="5783"/>
            <w:shd w:val="clear" w:color="auto" w:fill="F2F5F9"/>
          </w:tcPr>
          <w:p>
            <w:pPr>
              <w:spacing w:after="20" w:before="20"/>
            </w:pPr>
            <w:r/>
            <w:r>
              <w:rPr>
                <w:b w:val="0"/>
                <w:sz w:val="16"/>
              </w:rPr>
              <w:t>approx. 13</w:t>
            </w:r>
          </w:p>
        </w:tc>
      </w:tr>
      <w:tr>
        <w:tc>
          <w:tcPr>
            <w:tcW w:type="dxa" w:w="3628"/>
          </w:tcPr>
          <w:p>
            <w:pPr>
              <w:spacing w:after="20" w:before="20"/>
            </w:pPr>
            <w:r/>
            <w:r>
              <w:rPr>
                <w:b w:val="0"/>
                <w:sz w:val="16"/>
              </w:rPr>
              <w:t>Extreme maximum (1995–2024)</w:t>
            </w:r>
          </w:p>
        </w:tc>
        <w:tc>
          <w:tcPr>
            <w:tcW w:type="dxa" w:w="5783"/>
          </w:tcPr>
          <w:p>
            <w:pPr>
              <w:spacing w:after="20" w:before="20"/>
            </w:pPr>
            <w:r/>
            <w:r>
              <w:rPr>
                <w:b w:val="0"/>
                <w:sz w:val="16"/>
              </w:rPr>
              <w:t>41.9 deg C</w:t>
            </w:r>
          </w:p>
        </w:tc>
      </w:tr>
      <w:tr>
        <w:tc>
          <w:tcPr>
            <w:tcW w:type="dxa" w:w="3628"/>
            <w:shd w:val="clear" w:color="auto" w:fill="F2F5F9"/>
          </w:tcPr>
          <w:p>
            <w:pPr>
              <w:spacing w:after="20" w:before="20"/>
            </w:pPr>
            <w:r/>
            <w:r>
              <w:rPr>
                <w:b w:val="0"/>
                <w:sz w:val="16"/>
              </w:rPr>
              <w:t>Extreme minimum (1995–2024)</w:t>
            </w:r>
          </w:p>
        </w:tc>
        <w:tc>
          <w:tcPr>
            <w:tcW w:type="dxa" w:w="5783"/>
            <w:shd w:val="clear" w:color="auto" w:fill="F2F5F9"/>
          </w:tcPr>
          <w:p>
            <w:pPr>
              <w:spacing w:after="20" w:before="20"/>
            </w:pPr>
            <w:r/>
            <w:r>
              <w:rPr>
                <w:b w:val="0"/>
                <w:sz w:val="16"/>
              </w:rPr>
              <w:t>-12.3 deg C</w:t>
            </w:r>
          </w:p>
        </w:tc>
      </w:tr>
      <w:tr>
        <w:tc>
          <w:tcPr>
            <w:tcW w:type="dxa" w:w="3628"/>
          </w:tcPr>
          <w:p>
            <w:pPr>
              <w:spacing w:after="20" w:before="20"/>
            </w:pPr>
            <w:r/>
            <w:r>
              <w:rPr>
                <w:b w:val="0"/>
                <w:sz w:val="16"/>
              </w:rPr>
              <w:t>Mean annual extreme minimum</w:t>
            </w:r>
          </w:p>
        </w:tc>
        <w:tc>
          <w:tcPr>
            <w:tcW w:type="dxa" w:w="5783"/>
          </w:tcPr>
          <w:p>
            <w:pPr>
              <w:spacing w:after="20" w:before="20"/>
            </w:pPr>
            <w:r/>
            <w:r>
              <w:rPr>
                <w:b w:val="0"/>
                <w:sz w:val="16"/>
              </w:rPr>
              <w:t>-5.3 deg C (22.4 deg F) — consistent with USDA hardiness zone 8a/8b</w:t>
            </w:r>
          </w:p>
        </w:tc>
      </w:tr>
    </w:tbl>
    <w:p>
      <w:pPr>
        <w:spacing w:after="40"/>
      </w:pPr>
    </w:p>
    <w:p>
      <w:pPr>
        <w:spacing w:before="20" w:after="80"/>
      </w:pPr>
      <w:r>
        <w:rPr>
          <w:b/>
          <w:color w:val="B46B00"/>
          <w:sz w:val="15"/>
        </w:rPr>
        <w:t>[MODEL-DERIVED ESTIMATE]</w:t>
      </w:r>
      <w:r>
        <w:rPr>
          <w:i/>
          <w:color w:val="555555"/>
          <w:sz w:val="15"/>
        </w:rPr>
        <w:t xml:space="preserve">  ERA5 reanalysis is a gridded model product, excellent for averages but smoothed at the extremes. True local extremes are likely slightly more severe than shown.</w:t>
      </w:r>
    </w:p>
    <w:p>
      <w:pPr>
        <w:pStyle w:val="Heading2"/>
      </w:pPr>
      <w:r>
        <w:t>47. Natural hazards</w:t>
      </w:r>
    </w:p>
    <w:tbl>
      <w:tblPr>
        <w:tblStyle w:val="TableGrid"/>
        <w:tblW w:type="auto" w:w="0"/>
        <w:jc w:val="center"/>
        <w:tblLook w:firstColumn="1" w:firstRow="1" w:lastColumn="0" w:lastRow="0" w:noHBand="0" w:noVBand="1" w:val="04A0"/>
      </w:tblPr>
      <w:tblGrid>
        <w:gridCol w:w="3288"/>
        <w:gridCol w:w="3288"/>
        <w:gridCol w:w="3288"/>
      </w:tblGrid>
      <w:tr>
        <w:tc>
          <w:tcPr>
            <w:tcW w:type="dxa" w:w="1587"/>
            <w:shd w:val="clear" w:color="auto" w:fill="1F4E79"/>
          </w:tcPr>
          <w:p>
            <w:pPr>
              <w:spacing w:after="20" w:before="20"/>
            </w:pPr>
            <w:r/>
            <w:r>
              <w:rPr>
                <w:b/>
                <w:color w:val="FFFFFF"/>
                <w:sz w:val="16"/>
              </w:rPr>
              <w:t>Hazard</w:t>
            </w:r>
          </w:p>
        </w:tc>
        <w:tc>
          <w:tcPr>
            <w:tcW w:type="dxa" w:w="5443"/>
            <w:shd w:val="clear" w:color="auto" w:fill="1F4E79"/>
          </w:tcPr>
          <w:p>
            <w:pPr>
              <w:spacing w:after="20" w:before="20"/>
            </w:pPr>
            <w:r/>
            <w:r>
              <w:rPr>
                <w:b/>
                <w:color w:val="FFFFFF"/>
                <w:sz w:val="16"/>
              </w:rPr>
              <w:t>Assessment</w:t>
            </w:r>
          </w:p>
        </w:tc>
        <w:tc>
          <w:tcPr>
            <w:tcW w:type="dxa" w:w="2381"/>
            <w:shd w:val="clear" w:color="auto" w:fill="1F4E79"/>
          </w:tcPr>
          <w:p>
            <w:pPr>
              <w:spacing w:after="20" w:before="20"/>
            </w:pPr>
            <w:r/>
            <w:r>
              <w:rPr>
                <w:b/>
                <w:color w:val="FFFFFF"/>
                <w:sz w:val="16"/>
              </w:rPr>
              <w:t>Basis</w:t>
            </w:r>
          </w:p>
        </w:tc>
      </w:tr>
      <w:tr>
        <w:tc>
          <w:tcPr>
            <w:tcW w:type="dxa" w:w="1587"/>
          </w:tcPr>
          <w:p>
            <w:pPr>
              <w:spacing w:after="20" w:before="20"/>
            </w:pPr>
            <w:r/>
            <w:r>
              <w:rPr>
                <w:b/>
                <w:sz w:val="16"/>
              </w:rPr>
              <w:t>Flood</w:t>
            </w:r>
          </w:p>
        </w:tc>
        <w:tc>
          <w:tcPr>
            <w:tcW w:type="dxa" w:w="5443"/>
          </w:tcPr>
          <w:p>
            <w:pPr>
              <w:spacing w:after="20" w:before="20"/>
            </w:pPr>
            <w:r/>
            <w:r>
              <w:rPr>
                <w:b w:val="0"/>
                <w:sz w:val="16"/>
              </w:rPr>
              <w:t>**Zone A (SFHA, no BFE) at the lake margin; Zone X over the road corridor and building envelope.** The envelope sits 45–55 ft above full pool.</w:t>
            </w:r>
          </w:p>
        </w:tc>
        <w:tc>
          <w:tcPr>
            <w:tcW w:type="dxa" w:w="2381"/>
          </w:tcPr>
          <w:p>
            <w:pPr>
              <w:spacing w:after="20" w:before="20"/>
            </w:pPr>
            <w:r/>
            <w:r>
              <w:rPr>
                <w:b w:val="0"/>
                <w:sz w:val="16"/>
              </w:rPr>
              <w:t>FEMA NFHL — documented</w:t>
            </w:r>
          </w:p>
        </w:tc>
      </w:tr>
      <w:tr>
        <w:tc>
          <w:tcPr>
            <w:tcW w:type="dxa" w:w="1587"/>
            <w:shd w:val="clear" w:color="auto" w:fill="F2F5F9"/>
          </w:tcPr>
          <w:p>
            <w:pPr>
              <w:spacing w:after="20" w:before="20"/>
            </w:pPr>
            <w:r/>
            <w:r>
              <w:rPr>
                <w:b w:val="0"/>
                <w:sz w:val="16"/>
              </w:rPr>
              <w:t>Hurricane / wind</w:t>
            </w:r>
          </w:p>
        </w:tc>
        <w:tc>
          <w:tcPr>
            <w:tcW w:type="dxa" w:w="5443"/>
            <w:shd w:val="clear" w:color="auto" w:fill="F2F5F9"/>
          </w:tcPr>
          <w:p>
            <w:pPr>
              <w:spacing w:after="20" w:before="20"/>
            </w:pPr>
            <w:r/>
            <w:r>
              <w:rPr>
                <w:b w:val="0"/>
                <w:sz w:val="16"/>
              </w:rPr>
              <w:t>Moderate. Roughly 150 miles inland; remnants of Atlantic systems bring wind and heavy rain rather than storm surge. Falling trees are the main risk on a wooded lot.</w:t>
            </w:r>
          </w:p>
        </w:tc>
        <w:tc>
          <w:tcPr>
            <w:tcW w:type="dxa" w:w="2381"/>
            <w:shd w:val="clear" w:color="auto" w:fill="F2F5F9"/>
          </w:tcPr>
          <w:p>
            <w:pPr>
              <w:spacing w:after="20" w:before="20"/>
            </w:pPr>
            <w:r/>
            <w:r>
              <w:rPr>
                <w:b w:val="0"/>
                <w:sz w:val="16"/>
              </w:rPr>
              <w:t>Regional pattern</w:t>
            </w:r>
          </w:p>
        </w:tc>
      </w:tr>
      <w:tr>
        <w:tc>
          <w:tcPr>
            <w:tcW w:type="dxa" w:w="1587"/>
          </w:tcPr>
          <w:p>
            <w:pPr>
              <w:spacing w:after="20" w:before="20"/>
            </w:pPr>
            <w:r/>
            <w:r>
              <w:rPr>
                <w:b w:val="0"/>
                <w:sz w:val="16"/>
              </w:rPr>
              <w:t>Tornado</w:t>
            </w:r>
          </w:p>
        </w:tc>
        <w:tc>
          <w:tcPr>
            <w:tcW w:type="dxa" w:w="5443"/>
          </w:tcPr>
          <w:p>
            <w:pPr>
              <w:spacing w:after="20" w:before="20"/>
            </w:pPr>
            <w:r/>
            <w:r>
              <w:rPr>
                <w:b w:val="0"/>
                <w:sz w:val="16"/>
              </w:rPr>
              <w:t>Low to moderate. Georgia experiences tornadoes, most often in spring; the Piedmont is not a peak-frequency corridor.</w:t>
            </w:r>
          </w:p>
        </w:tc>
        <w:tc>
          <w:tcPr>
            <w:tcW w:type="dxa" w:w="2381"/>
          </w:tcPr>
          <w:p>
            <w:pPr>
              <w:spacing w:after="20" w:before="20"/>
            </w:pPr>
            <w:r/>
            <w:r>
              <w:rPr>
                <w:b w:val="0"/>
                <w:sz w:val="16"/>
              </w:rPr>
              <w:t>Regional pattern</w:t>
            </w:r>
          </w:p>
        </w:tc>
      </w:tr>
      <w:tr>
        <w:tc>
          <w:tcPr>
            <w:tcW w:type="dxa" w:w="1587"/>
            <w:shd w:val="clear" w:color="auto" w:fill="F2F5F9"/>
          </w:tcPr>
          <w:p>
            <w:pPr>
              <w:spacing w:after="20" w:before="20"/>
            </w:pPr>
            <w:r/>
            <w:r>
              <w:rPr>
                <w:b/>
                <w:sz w:val="16"/>
              </w:rPr>
              <w:t>Wildfire</w:t>
            </w:r>
          </w:p>
        </w:tc>
        <w:tc>
          <w:tcPr>
            <w:tcW w:type="dxa" w:w="5443"/>
            <w:shd w:val="clear" w:color="auto" w:fill="F2F5F9"/>
          </w:tcPr>
          <w:p>
            <w:pPr>
              <w:spacing w:after="20" w:before="20"/>
            </w:pPr>
            <w:r/>
            <w:r>
              <w:rPr>
                <w:b w:val="0"/>
                <w:sz w:val="16"/>
              </w:rPr>
              <w:t>**Moderate and worth taking seriously.** A heavily wooded lot with mature hardwoods and pine in the vicinity, in a region with dry autumn spells. Defensible-space design and ember-resistant detailing are prudent.</w:t>
            </w:r>
          </w:p>
        </w:tc>
        <w:tc>
          <w:tcPr>
            <w:tcW w:type="dxa" w:w="2381"/>
            <w:shd w:val="clear" w:color="auto" w:fill="F2F5F9"/>
          </w:tcPr>
          <w:p>
            <w:pPr>
              <w:spacing w:after="20" w:before="20"/>
            </w:pPr>
            <w:r/>
            <w:r>
              <w:rPr>
                <w:b w:val="0"/>
                <w:sz w:val="16"/>
              </w:rPr>
              <w:t>Site character</w:t>
            </w:r>
          </w:p>
        </w:tc>
      </w:tr>
      <w:tr>
        <w:tc>
          <w:tcPr>
            <w:tcW w:type="dxa" w:w="1587"/>
          </w:tcPr>
          <w:p>
            <w:pPr>
              <w:spacing w:after="20" w:before="20"/>
            </w:pPr>
            <w:r/>
            <w:r>
              <w:rPr>
                <w:b w:val="0"/>
                <w:sz w:val="16"/>
              </w:rPr>
              <w:t>Lightning</w:t>
            </w:r>
          </w:p>
        </w:tc>
        <w:tc>
          <w:tcPr>
            <w:tcW w:type="dxa" w:w="5443"/>
          </w:tcPr>
          <w:p>
            <w:pPr>
              <w:spacing w:after="20" w:before="20"/>
            </w:pPr>
            <w:r/>
            <w:r>
              <w:rPr>
                <w:b w:val="0"/>
                <w:sz w:val="16"/>
              </w:rPr>
              <w:t>Moderate to high. The south-east has among the highest US lightning flash densities; frequent summer thunderstorms. Surge protection advisable.</w:t>
            </w:r>
          </w:p>
        </w:tc>
        <w:tc>
          <w:tcPr>
            <w:tcW w:type="dxa" w:w="2381"/>
          </w:tcPr>
          <w:p>
            <w:pPr>
              <w:spacing w:after="20" w:before="20"/>
            </w:pPr>
            <w:r/>
            <w:r>
              <w:rPr>
                <w:b w:val="0"/>
                <w:sz w:val="16"/>
              </w:rPr>
              <w:t>Regional</w:t>
            </w:r>
          </w:p>
        </w:tc>
      </w:tr>
      <w:tr>
        <w:tc>
          <w:tcPr>
            <w:tcW w:type="dxa" w:w="1587"/>
            <w:shd w:val="clear" w:color="auto" w:fill="F2F5F9"/>
          </w:tcPr>
          <w:p>
            <w:pPr>
              <w:spacing w:after="20" w:before="20"/>
            </w:pPr>
            <w:r/>
            <w:r>
              <w:rPr>
                <w:b w:val="0"/>
                <w:sz w:val="16"/>
              </w:rPr>
              <w:t>Hail</w:t>
            </w:r>
          </w:p>
        </w:tc>
        <w:tc>
          <w:tcPr>
            <w:tcW w:type="dxa" w:w="5443"/>
            <w:shd w:val="clear" w:color="auto" w:fill="F2F5F9"/>
          </w:tcPr>
          <w:p>
            <w:pPr>
              <w:spacing w:after="20" w:before="20"/>
            </w:pPr>
            <w:r/>
            <w:r>
              <w:rPr>
                <w:b w:val="0"/>
                <w:sz w:val="16"/>
              </w:rPr>
              <w:t>Low to moderate; associated with spring severe storms</w:t>
            </w:r>
          </w:p>
        </w:tc>
        <w:tc>
          <w:tcPr>
            <w:tcW w:type="dxa" w:w="2381"/>
            <w:shd w:val="clear" w:color="auto" w:fill="F2F5F9"/>
          </w:tcPr>
          <w:p>
            <w:pPr>
              <w:spacing w:after="20" w:before="20"/>
            </w:pPr>
            <w:r/>
            <w:r>
              <w:rPr>
                <w:b w:val="0"/>
                <w:sz w:val="16"/>
              </w:rPr>
              <w:t>Regional</w:t>
            </w:r>
          </w:p>
        </w:tc>
      </w:tr>
      <w:tr>
        <w:tc>
          <w:tcPr>
            <w:tcW w:type="dxa" w:w="1587"/>
          </w:tcPr>
          <w:p>
            <w:pPr>
              <w:spacing w:after="20" w:before="20"/>
            </w:pPr>
            <w:r/>
            <w:r>
              <w:rPr>
                <w:b w:val="0"/>
                <w:sz w:val="16"/>
              </w:rPr>
              <w:t>Severe thunderstorms</w:t>
            </w:r>
          </w:p>
        </w:tc>
        <w:tc>
          <w:tcPr>
            <w:tcW w:type="dxa" w:w="5443"/>
          </w:tcPr>
          <w:p>
            <w:pPr>
              <w:spacing w:after="20" w:before="20"/>
            </w:pPr>
            <w:r/>
            <w:r>
              <w:rPr>
                <w:b w:val="0"/>
                <w:sz w:val="16"/>
              </w:rPr>
              <w:t>Frequent in spring and summer; 1,070 mm annual rainfall is delivered substantially by convective storms</w:t>
            </w:r>
          </w:p>
        </w:tc>
        <w:tc>
          <w:tcPr>
            <w:tcW w:type="dxa" w:w="2381"/>
          </w:tcPr>
          <w:p>
            <w:pPr>
              <w:spacing w:after="20" w:before="20"/>
            </w:pPr>
            <w:r/>
            <w:r>
              <w:rPr>
                <w:b w:val="0"/>
                <w:sz w:val="16"/>
              </w:rPr>
              <w:t>Measured climate</w:t>
            </w:r>
          </w:p>
        </w:tc>
      </w:tr>
      <w:tr>
        <w:tc>
          <w:tcPr>
            <w:tcW w:type="dxa" w:w="1587"/>
            <w:shd w:val="clear" w:color="auto" w:fill="F2F5F9"/>
          </w:tcPr>
          <w:p>
            <w:pPr>
              <w:spacing w:after="20" w:before="20"/>
            </w:pPr>
            <w:r/>
            <w:r>
              <w:rPr>
                <w:b w:val="0"/>
                <w:sz w:val="16"/>
              </w:rPr>
              <w:t>Drought</w:t>
            </w:r>
          </w:p>
        </w:tc>
        <w:tc>
          <w:tcPr>
            <w:tcW w:type="dxa" w:w="5443"/>
            <w:shd w:val="clear" w:color="auto" w:fill="F2F5F9"/>
          </w:tcPr>
          <w:p>
            <w:pPr>
              <w:spacing w:after="20" w:before="20"/>
            </w:pPr>
            <w:r/>
            <w:r>
              <w:rPr>
                <w:b w:val="0"/>
                <w:sz w:val="16"/>
              </w:rPr>
              <w:t>**Relevant, with a lake-specific twist.** South-east Georgia droughts recur, and the real consequence here is reservoir drawdown — up to 18 ft of conservation-pool range — which can strand a cove.</w:t>
            </w:r>
          </w:p>
        </w:tc>
        <w:tc>
          <w:tcPr>
            <w:tcW w:type="dxa" w:w="2381"/>
            <w:shd w:val="clear" w:color="auto" w:fill="F2F5F9"/>
          </w:tcPr>
          <w:p>
            <w:pPr>
              <w:spacing w:after="20" w:before="20"/>
            </w:pPr>
            <w:r/>
            <w:r>
              <w:rPr>
                <w:b w:val="0"/>
                <w:sz w:val="16"/>
              </w:rPr>
              <w:t>USACE operating data</w:t>
            </w:r>
          </w:p>
        </w:tc>
      </w:tr>
      <w:tr>
        <w:tc>
          <w:tcPr>
            <w:tcW w:type="dxa" w:w="1587"/>
          </w:tcPr>
          <w:p>
            <w:pPr>
              <w:spacing w:after="20" w:before="20"/>
            </w:pPr>
            <w:r/>
            <w:r>
              <w:rPr>
                <w:b w:val="0"/>
                <w:sz w:val="16"/>
              </w:rPr>
              <w:t>Extreme heat</w:t>
            </w:r>
          </w:p>
        </w:tc>
        <w:tc>
          <w:tcPr>
            <w:tcW w:type="dxa" w:w="5443"/>
          </w:tcPr>
          <w:p>
            <w:pPr>
              <w:spacing w:after="20" w:before="20"/>
            </w:pPr>
            <w:r/>
            <w:r>
              <w:rPr>
                <w:b w:val="0"/>
                <w:sz w:val="16"/>
              </w:rPr>
              <w:t>52 days/yr at or above 32 deg C, 13 days/yr at or above 35 deg C, record 41.9 deg C. Cooling capacity and shade matter.</w:t>
            </w:r>
          </w:p>
        </w:tc>
        <w:tc>
          <w:tcPr>
            <w:tcW w:type="dxa" w:w="2381"/>
          </w:tcPr>
          <w:p>
            <w:pPr>
              <w:spacing w:after="20" w:before="20"/>
            </w:pPr>
            <w:r/>
            <w:r>
              <w:rPr>
                <w:b w:val="0"/>
                <w:sz w:val="16"/>
              </w:rPr>
              <w:t>Measured climate</w:t>
            </w:r>
          </w:p>
        </w:tc>
      </w:tr>
      <w:tr>
        <w:tc>
          <w:tcPr>
            <w:tcW w:type="dxa" w:w="1587"/>
            <w:shd w:val="clear" w:color="auto" w:fill="F2F5F9"/>
          </w:tcPr>
          <w:p>
            <w:pPr>
              <w:spacing w:after="20" w:before="20"/>
            </w:pPr>
            <w:r/>
            <w:r>
              <w:rPr>
                <w:b/>
                <w:sz w:val="16"/>
              </w:rPr>
              <w:t>Sinkhole / karst</w:t>
            </w:r>
          </w:p>
        </w:tc>
        <w:tc>
          <w:tcPr>
            <w:tcW w:type="dxa" w:w="5443"/>
            <w:shd w:val="clear" w:color="auto" w:fill="F2F5F9"/>
          </w:tcPr>
          <w:p>
            <w:pPr>
              <w:spacing w:after="20" w:before="20"/>
            </w:pPr>
            <w:r/>
            <w:r>
              <w:rPr>
                <w:b w:val="0"/>
                <w:sz w:val="16"/>
              </w:rPr>
              <w:t>**Negligible.** Residual soils over crystalline Piedmont bedrock; Georgia's karst is in the Coastal Plain.</w:t>
            </w:r>
          </w:p>
        </w:tc>
        <w:tc>
          <w:tcPr>
            <w:tcW w:type="dxa" w:w="2381"/>
            <w:shd w:val="clear" w:color="auto" w:fill="F2F5F9"/>
          </w:tcPr>
          <w:p>
            <w:pPr>
              <w:spacing w:after="20" w:before="20"/>
            </w:pPr>
            <w:r/>
            <w:r>
              <w:rPr>
                <w:b w:val="0"/>
                <w:sz w:val="16"/>
              </w:rPr>
              <w:t>Soil taxonomy — documented</w:t>
            </w:r>
          </w:p>
        </w:tc>
      </w:tr>
      <w:tr>
        <w:tc>
          <w:tcPr>
            <w:tcW w:type="dxa" w:w="1587"/>
          </w:tcPr>
          <w:p>
            <w:pPr>
              <w:spacing w:after="20" w:before="20"/>
            </w:pPr>
            <w:r/>
            <w:r>
              <w:rPr>
                <w:b w:val="0"/>
                <w:sz w:val="16"/>
              </w:rPr>
              <w:t>Seismic</w:t>
            </w:r>
          </w:p>
        </w:tc>
        <w:tc>
          <w:tcPr>
            <w:tcW w:type="dxa" w:w="5443"/>
          </w:tcPr>
          <w:p>
            <w:pPr>
              <w:spacing w:after="20" w:before="20"/>
            </w:pPr>
            <w:r/>
            <w:r>
              <w:rPr>
                <w:b w:val="0"/>
                <w:sz w:val="16"/>
              </w:rPr>
              <w:t>Low. Standard Georgia code provisions apply.</w:t>
            </w:r>
          </w:p>
        </w:tc>
        <w:tc>
          <w:tcPr>
            <w:tcW w:type="dxa" w:w="2381"/>
          </w:tcPr>
          <w:p>
            <w:pPr>
              <w:spacing w:after="20" w:before="20"/>
            </w:pPr>
            <w:r/>
            <w:r>
              <w:rPr>
                <w:b w:val="0"/>
                <w:sz w:val="16"/>
              </w:rPr>
              <w:t>Regional</w:t>
            </w:r>
          </w:p>
        </w:tc>
      </w:tr>
      <w:tr>
        <w:tc>
          <w:tcPr>
            <w:tcW w:type="dxa" w:w="1587"/>
            <w:shd w:val="clear" w:color="auto" w:fill="F2F5F9"/>
          </w:tcPr>
          <w:p>
            <w:pPr>
              <w:spacing w:after="20" w:before="20"/>
            </w:pPr>
            <w:r/>
            <w:r>
              <w:rPr>
                <w:b/>
                <w:sz w:val="16"/>
              </w:rPr>
              <w:t>Erosion</w:t>
            </w:r>
          </w:p>
        </w:tc>
        <w:tc>
          <w:tcPr>
            <w:tcW w:type="dxa" w:w="5443"/>
            <w:shd w:val="clear" w:color="auto" w:fill="F2F5F9"/>
          </w:tcPr>
          <w:p>
            <w:pPr>
              <w:spacing w:after="20" w:before="20"/>
            </w:pPr>
            <w:r/>
            <w:r>
              <w:rPr>
                <w:b w:val="0"/>
                <w:sz w:val="16"/>
              </w:rPr>
              <w:t>**High on disturbed slope** — severely eroded Pacolet on 10–25 % slopes with 0.25–1.00 % surface organic matter</w:t>
            </w:r>
          </w:p>
        </w:tc>
        <w:tc>
          <w:tcPr>
            <w:tcW w:type="dxa" w:w="2381"/>
            <w:shd w:val="clear" w:color="auto" w:fill="F2F5F9"/>
          </w:tcPr>
          <w:p>
            <w:pPr>
              <w:spacing w:after="20" w:before="20"/>
            </w:pPr>
            <w:r/>
            <w:r>
              <w:rPr>
                <w:b w:val="0"/>
                <w:sz w:val="16"/>
              </w:rPr>
              <w:t>SSURGO — documented</w:t>
            </w:r>
          </w:p>
        </w:tc>
      </w:tr>
    </w:tbl>
    <w:p>
      <w:pPr>
        <w:spacing w:after="40"/>
      </w:pPr>
    </w:p>
    <w:p>
      <w:pPr>
        <w:pStyle w:val="Heading2"/>
      </w:pPr>
      <w:r>
        <w:t>48. Community and demographics</w:t>
      </w:r>
    </w:p>
    <w:tbl>
      <w:tblPr>
        <w:tblStyle w:val="TableGrid"/>
        <w:tblW w:type="auto" w:w="0"/>
        <w:jc w:val="center"/>
        <w:tblLook w:firstColumn="1" w:firstRow="1" w:lastColumn="0" w:lastRow="0" w:noHBand="0" w:noVBand="1" w:val="04A0"/>
      </w:tblPr>
      <w:tblGrid>
        <w:gridCol w:w="4932"/>
        <w:gridCol w:w="4932"/>
      </w:tblGrid>
      <w:tr>
        <w:tc>
          <w:tcPr>
            <w:tcW w:type="dxa" w:w="3628"/>
            <w:shd w:val="clear" w:color="auto" w:fill="1F4E79"/>
          </w:tcPr>
          <w:p>
            <w:pPr>
              <w:spacing w:after="20" w:before="20"/>
            </w:pPr>
            <w:r/>
            <w:r>
              <w:rPr>
                <w:b/>
                <w:color w:val="FFFFFF"/>
                <w:sz w:val="16"/>
              </w:rPr>
              <w:t>Measure</w:t>
            </w:r>
          </w:p>
        </w:tc>
        <w:tc>
          <w:tcPr>
            <w:tcW w:type="dxa" w:w="5783"/>
            <w:shd w:val="clear" w:color="auto" w:fill="1F4E79"/>
          </w:tcPr>
          <w:p>
            <w:pPr>
              <w:spacing w:after="20" w:before="20"/>
            </w:pPr>
            <w:r/>
            <w:r>
              <w:rPr>
                <w:b/>
                <w:color w:val="FFFFFF"/>
                <w:sz w:val="16"/>
              </w:rPr>
              <w:t>Lincoln County, Georgia</w:t>
            </w:r>
          </w:p>
        </w:tc>
      </w:tr>
      <w:tr>
        <w:tc>
          <w:tcPr>
            <w:tcW w:type="dxa" w:w="3628"/>
          </w:tcPr>
          <w:p>
            <w:pPr>
              <w:spacing w:after="20" w:before="20"/>
            </w:pPr>
            <w:r/>
            <w:r>
              <w:rPr>
                <w:b w:val="0"/>
                <w:sz w:val="16"/>
              </w:rPr>
              <w:t>Population (July 2025 estimate)</w:t>
            </w:r>
          </w:p>
        </w:tc>
        <w:tc>
          <w:tcPr>
            <w:tcW w:type="dxa" w:w="5783"/>
          </w:tcPr>
          <w:p>
            <w:pPr>
              <w:spacing w:after="20" w:before="20"/>
            </w:pPr>
            <w:r/>
            <w:r>
              <w:rPr>
                <w:b w:val="0"/>
                <w:sz w:val="16"/>
              </w:rPr>
              <w:t>8,112</w:t>
            </w:r>
          </w:p>
        </w:tc>
      </w:tr>
      <w:tr>
        <w:tc>
          <w:tcPr>
            <w:tcW w:type="dxa" w:w="3628"/>
            <w:shd w:val="clear" w:color="auto" w:fill="F2F5F9"/>
          </w:tcPr>
          <w:p>
            <w:pPr>
              <w:spacing w:after="20" w:before="20"/>
            </w:pPr>
            <w:r/>
            <w:r>
              <w:rPr>
                <w:b w:val="0"/>
                <w:sz w:val="16"/>
              </w:rPr>
              <w:t>Population (2020 Census)</w:t>
            </w:r>
          </w:p>
        </w:tc>
        <w:tc>
          <w:tcPr>
            <w:tcW w:type="dxa" w:w="5783"/>
            <w:shd w:val="clear" w:color="auto" w:fill="F2F5F9"/>
          </w:tcPr>
          <w:p>
            <w:pPr>
              <w:spacing w:after="20" w:before="20"/>
            </w:pPr>
            <w:r/>
            <w:r>
              <w:rPr>
                <w:b w:val="0"/>
                <w:sz w:val="16"/>
              </w:rPr>
              <w:t>7,690</w:t>
            </w:r>
          </w:p>
        </w:tc>
      </w:tr>
      <w:tr>
        <w:tc>
          <w:tcPr>
            <w:tcW w:type="dxa" w:w="3628"/>
          </w:tcPr>
          <w:p>
            <w:pPr>
              <w:spacing w:after="20" w:before="20"/>
            </w:pPr>
            <w:r/>
            <w:r>
              <w:rPr>
                <w:b w:val="0"/>
                <w:sz w:val="16"/>
              </w:rPr>
              <w:t>Population (2010 Census)</w:t>
            </w:r>
          </w:p>
        </w:tc>
        <w:tc>
          <w:tcPr>
            <w:tcW w:type="dxa" w:w="5783"/>
          </w:tcPr>
          <w:p>
            <w:pPr>
              <w:spacing w:after="20" w:before="20"/>
            </w:pPr>
            <w:r/>
            <w:r>
              <w:rPr>
                <w:b w:val="0"/>
                <w:sz w:val="16"/>
              </w:rPr>
              <w:t>7,996</w:t>
            </w:r>
          </w:p>
        </w:tc>
      </w:tr>
      <w:tr>
        <w:tc>
          <w:tcPr>
            <w:tcW w:type="dxa" w:w="3628"/>
            <w:shd w:val="clear" w:color="auto" w:fill="F2F5F9"/>
          </w:tcPr>
          <w:p>
            <w:pPr>
              <w:spacing w:after="20" w:before="20"/>
            </w:pPr>
            <w:r/>
            <w:r>
              <w:rPr>
                <w:b w:val="0"/>
                <w:sz w:val="16"/>
              </w:rPr>
              <w:t>Change 2020 to 2025</w:t>
            </w:r>
          </w:p>
        </w:tc>
        <w:tc>
          <w:tcPr>
            <w:tcW w:type="dxa" w:w="5783"/>
            <w:shd w:val="clear" w:color="auto" w:fill="F2F5F9"/>
          </w:tcPr>
          <w:p>
            <w:pPr>
              <w:spacing w:after="20" w:before="20"/>
            </w:pPr>
            <w:r/>
            <w:r>
              <w:rPr>
                <w:b w:val="0"/>
                <w:sz w:val="16"/>
              </w:rPr>
              <w:t>**+5.5 %** — modest growth, reversing the 2010–2020 decline</w:t>
            </w:r>
          </w:p>
        </w:tc>
      </w:tr>
      <w:tr>
        <w:tc>
          <w:tcPr>
            <w:tcW w:type="dxa" w:w="3628"/>
          </w:tcPr>
          <w:p>
            <w:pPr>
              <w:spacing w:after="20" w:before="20"/>
            </w:pPr>
            <w:r/>
            <w:r>
              <w:rPr>
                <w:b w:val="0"/>
                <w:sz w:val="16"/>
              </w:rPr>
              <w:t>Persons under 5</w:t>
            </w:r>
          </w:p>
        </w:tc>
        <w:tc>
          <w:tcPr>
            <w:tcW w:type="dxa" w:w="5783"/>
          </w:tcPr>
          <w:p>
            <w:pPr>
              <w:spacing w:after="20" w:before="20"/>
            </w:pPr>
            <w:r/>
            <w:r>
              <w:rPr>
                <w:b w:val="0"/>
                <w:sz w:val="16"/>
              </w:rPr>
              <w:t>5.1 %</w:t>
            </w:r>
          </w:p>
        </w:tc>
      </w:tr>
      <w:tr>
        <w:tc>
          <w:tcPr>
            <w:tcW w:type="dxa" w:w="3628"/>
            <w:shd w:val="clear" w:color="auto" w:fill="F2F5F9"/>
          </w:tcPr>
          <w:p>
            <w:pPr>
              <w:spacing w:after="20" w:before="20"/>
            </w:pPr>
            <w:r/>
            <w:r>
              <w:rPr>
                <w:b w:val="0"/>
                <w:sz w:val="16"/>
              </w:rPr>
              <w:t>Persons under 18</w:t>
            </w:r>
          </w:p>
        </w:tc>
        <w:tc>
          <w:tcPr>
            <w:tcW w:type="dxa" w:w="5783"/>
            <w:shd w:val="clear" w:color="auto" w:fill="F2F5F9"/>
          </w:tcPr>
          <w:p>
            <w:pPr>
              <w:spacing w:after="20" w:before="20"/>
            </w:pPr>
            <w:r/>
            <w:r>
              <w:rPr>
                <w:b w:val="0"/>
                <w:sz w:val="16"/>
              </w:rPr>
              <w:t>18.9 %</w:t>
            </w:r>
          </w:p>
        </w:tc>
      </w:tr>
      <w:tr>
        <w:tc>
          <w:tcPr>
            <w:tcW w:type="dxa" w:w="3628"/>
          </w:tcPr>
          <w:p>
            <w:pPr>
              <w:spacing w:after="20" w:before="20"/>
            </w:pPr>
            <w:r/>
            <w:r>
              <w:rPr>
                <w:b/>
                <w:sz w:val="16"/>
              </w:rPr>
              <w:t>Persons 65 and over</w:t>
            </w:r>
          </w:p>
        </w:tc>
        <w:tc>
          <w:tcPr>
            <w:tcW w:type="dxa" w:w="5783"/>
          </w:tcPr>
          <w:p>
            <w:pPr>
              <w:spacing w:after="20" w:before="20"/>
            </w:pPr>
            <w:r/>
            <w:r>
              <w:rPr>
                <w:b w:val="0"/>
                <w:sz w:val="16"/>
              </w:rPr>
              <w:t>**28.1 %** — markedly older than the US average; consistent with a retirement and lake-recreation in-migration pattern</w:t>
            </w:r>
          </w:p>
        </w:tc>
      </w:tr>
      <w:tr>
        <w:tc>
          <w:tcPr>
            <w:tcW w:type="dxa" w:w="3628"/>
            <w:shd w:val="clear" w:color="auto" w:fill="F2F5F9"/>
          </w:tcPr>
          <w:p>
            <w:pPr>
              <w:spacing w:after="20" w:before="20"/>
            </w:pPr>
            <w:r/>
            <w:r>
              <w:rPr>
                <w:b w:val="0"/>
                <w:sz w:val="16"/>
              </w:rPr>
              <w:t>Female</w:t>
            </w:r>
          </w:p>
        </w:tc>
        <w:tc>
          <w:tcPr>
            <w:tcW w:type="dxa" w:w="5783"/>
            <w:shd w:val="clear" w:color="auto" w:fill="F2F5F9"/>
          </w:tcPr>
          <w:p>
            <w:pPr>
              <w:spacing w:after="20" w:before="20"/>
            </w:pPr>
            <w:r/>
            <w:r>
              <w:rPr>
                <w:b w:val="0"/>
                <w:sz w:val="16"/>
              </w:rPr>
              <w:t>51.5 %</w:t>
            </w:r>
          </w:p>
        </w:tc>
      </w:tr>
      <w:tr>
        <w:tc>
          <w:tcPr>
            <w:tcW w:type="dxa" w:w="3628"/>
          </w:tcPr>
          <w:p>
            <w:pPr>
              <w:spacing w:after="20" w:before="20"/>
            </w:pPr>
            <w:r/>
            <w:r>
              <w:rPr>
                <w:b w:val="0"/>
                <w:sz w:val="16"/>
              </w:rPr>
              <w:t>White alone</w:t>
            </w:r>
          </w:p>
        </w:tc>
        <w:tc>
          <w:tcPr>
            <w:tcW w:type="dxa" w:w="5783"/>
          </w:tcPr>
          <w:p>
            <w:pPr>
              <w:spacing w:after="20" w:before="20"/>
            </w:pPr>
            <w:r/>
            <w:r>
              <w:rPr>
                <w:b w:val="0"/>
                <w:sz w:val="16"/>
              </w:rPr>
              <w:t>71.2 % (69.6 % white alone, not Hispanic or Latino)</w:t>
            </w:r>
          </w:p>
        </w:tc>
      </w:tr>
      <w:tr>
        <w:tc>
          <w:tcPr>
            <w:tcW w:type="dxa" w:w="3628"/>
            <w:shd w:val="clear" w:color="auto" w:fill="F2F5F9"/>
          </w:tcPr>
          <w:p>
            <w:pPr>
              <w:spacing w:after="20" w:before="20"/>
            </w:pPr>
            <w:r/>
            <w:r>
              <w:rPr>
                <w:b w:val="0"/>
                <w:sz w:val="16"/>
              </w:rPr>
              <w:t>Black alone</w:t>
            </w:r>
          </w:p>
        </w:tc>
        <w:tc>
          <w:tcPr>
            <w:tcW w:type="dxa" w:w="5783"/>
            <w:shd w:val="clear" w:color="auto" w:fill="F2F5F9"/>
          </w:tcPr>
          <w:p>
            <w:pPr>
              <w:spacing w:after="20" w:before="20"/>
            </w:pPr>
            <w:r/>
            <w:r>
              <w:rPr>
                <w:b w:val="0"/>
                <w:sz w:val="16"/>
              </w:rPr>
              <w:t>24.7 %</w:t>
            </w:r>
          </w:p>
        </w:tc>
      </w:tr>
      <w:tr>
        <w:tc>
          <w:tcPr>
            <w:tcW w:type="dxa" w:w="3628"/>
          </w:tcPr>
          <w:p>
            <w:pPr>
              <w:spacing w:after="20" w:before="20"/>
            </w:pPr>
            <w:r/>
            <w:r>
              <w:rPr>
                <w:b w:val="0"/>
                <w:sz w:val="16"/>
              </w:rPr>
              <w:t>Asian alone</w:t>
            </w:r>
          </w:p>
        </w:tc>
        <w:tc>
          <w:tcPr>
            <w:tcW w:type="dxa" w:w="5783"/>
          </w:tcPr>
          <w:p>
            <w:pPr>
              <w:spacing w:after="20" w:before="20"/>
            </w:pPr>
            <w:r/>
            <w:r>
              <w:rPr>
                <w:b/>
                <w:sz w:val="16"/>
              </w:rPr>
              <w:t>0.4 %</w:t>
            </w:r>
          </w:p>
        </w:tc>
      </w:tr>
      <w:tr>
        <w:tc>
          <w:tcPr>
            <w:tcW w:type="dxa" w:w="3628"/>
            <w:shd w:val="clear" w:color="auto" w:fill="F2F5F9"/>
          </w:tcPr>
          <w:p>
            <w:pPr>
              <w:spacing w:after="20" w:before="20"/>
            </w:pPr>
            <w:r/>
            <w:r>
              <w:rPr>
                <w:b w:val="0"/>
                <w:sz w:val="16"/>
              </w:rPr>
              <w:t>American Indian / Alaska Native</w:t>
            </w:r>
          </w:p>
        </w:tc>
        <w:tc>
          <w:tcPr>
            <w:tcW w:type="dxa" w:w="5783"/>
            <w:shd w:val="clear" w:color="auto" w:fill="F2F5F9"/>
          </w:tcPr>
          <w:p>
            <w:pPr>
              <w:spacing w:after="20" w:before="20"/>
            </w:pPr>
            <w:r/>
            <w:r>
              <w:rPr>
                <w:b w:val="0"/>
                <w:sz w:val="16"/>
              </w:rPr>
              <w:t>0.4 %</w:t>
            </w:r>
          </w:p>
        </w:tc>
      </w:tr>
      <w:tr>
        <w:tc>
          <w:tcPr>
            <w:tcW w:type="dxa" w:w="3628"/>
          </w:tcPr>
          <w:p>
            <w:pPr>
              <w:spacing w:after="20" w:before="20"/>
            </w:pPr>
            <w:r/>
            <w:r>
              <w:rPr>
                <w:b w:val="0"/>
                <w:sz w:val="16"/>
              </w:rPr>
              <w:t>Native Hawaiian / Pacific Islander</w:t>
            </w:r>
          </w:p>
        </w:tc>
        <w:tc>
          <w:tcPr>
            <w:tcW w:type="dxa" w:w="5783"/>
          </w:tcPr>
          <w:p>
            <w:pPr>
              <w:spacing w:after="20" w:before="20"/>
            </w:pPr>
            <w:r/>
            <w:r>
              <w:rPr>
                <w:b w:val="0"/>
                <w:sz w:val="16"/>
              </w:rPr>
              <w:t>0.2 %</w:t>
            </w:r>
          </w:p>
        </w:tc>
      </w:tr>
      <w:tr>
        <w:tc>
          <w:tcPr>
            <w:tcW w:type="dxa" w:w="3628"/>
            <w:shd w:val="clear" w:color="auto" w:fill="F2F5F9"/>
          </w:tcPr>
          <w:p>
            <w:pPr>
              <w:spacing w:after="20" w:before="20"/>
            </w:pPr>
            <w:r/>
            <w:r>
              <w:rPr>
                <w:b w:val="0"/>
                <w:sz w:val="16"/>
              </w:rPr>
              <w:t>Two or more races</w:t>
            </w:r>
          </w:p>
        </w:tc>
        <w:tc>
          <w:tcPr>
            <w:tcW w:type="dxa" w:w="5783"/>
            <w:shd w:val="clear" w:color="auto" w:fill="F2F5F9"/>
          </w:tcPr>
          <w:p>
            <w:pPr>
              <w:spacing w:after="20" w:before="20"/>
            </w:pPr>
            <w:r/>
            <w:r>
              <w:rPr>
                <w:b w:val="0"/>
                <w:sz w:val="16"/>
              </w:rPr>
              <w:t>3.2 %</w:t>
            </w:r>
          </w:p>
        </w:tc>
      </w:tr>
      <w:tr>
        <w:tc>
          <w:tcPr>
            <w:tcW w:type="dxa" w:w="3628"/>
          </w:tcPr>
          <w:p>
            <w:pPr>
              <w:spacing w:after="20" w:before="20"/>
            </w:pPr>
            <w:r/>
            <w:r>
              <w:rPr>
                <w:b w:val="0"/>
                <w:sz w:val="16"/>
              </w:rPr>
              <w:t>Hispanic or Latino</w:t>
            </w:r>
          </w:p>
        </w:tc>
        <w:tc>
          <w:tcPr>
            <w:tcW w:type="dxa" w:w="5783"/>
          </w:tcPr>
          <w:p>
            <w:pPr>
              <w:spacing w:after="20" w:before="20"/>
            </w:pPr>
            <w:r/>
            <w:r>
              <w:rPr>
                <w:b w:val="0"/>
                <w:sz w:val="16"/>
              </w:rPr>
              <w:t>2.5 %</w:t>
            </w:r>
          </w:p>
        </w:tc>
      </w:tr>
      <w:tr>
        <w:tc>
          <w:tcPr>
            <w:tcW w:type="dxa" w:w="3628"/>
            <w:shd w:val="clear" w:color="auto" w:fill="F2F5F9"/>
          </w:tcPr>
          <w:p>
            <w:pPr>
              <w:spacing w:after="20" w:before="20"/>
            </w:pPr>
            <w:r/>
            <w:r>
              <w:rPr>
                <w:b w:val="0"/>
                <w:sz w:val="16"/>
              </w:rPr>
              <w:t>Per capita income (2020–2024, 2024 dollars)</w:t>
            </w:r>
          </w:p>
        </w:tc>
        <w:tc>
          <w:tcPr>
            <w:tcW w:type="dxa" w:w="5783"/>
            <w:shd w:val="clear" w:color="auto" w:fill="F2F5F9"/>
          </w:tcPr>
          <w:p>
            <w:pPr>
              <w:spacing w:after="20" w:before="20"/>
            </w:pPr>
            <w:r/>
            <w:r>
              <w:rPr>
                <w:b w:val="0"/>
                <w:sz w:val="16"/>
              </w:rPr>
              <w:t>$29,291</w:t>
            </w:r>
          </w:p>
        </w:tc>
      </w:tr>
      <w:tr>
        <w:tc>
          <w:tcPr>
            <w:tcW w:type="dxa" w:w="3628"/>
          </w:tcPr>
          <w:p>
            <w:pPr>
              <w:spacing w:after="20" w:before="20"/>
            </w:pPr>
            <w:r/>
            <w:r>
              <w:rPr>
                <w:b w:val="0"/>
                <w:sz w:val="16"/>
              </w:rPr>
              <w:t>Median household income, Lincolnton</w:t>
            </w:r>
          </w:p>
        </w:tc>
        <w:tc>
          <w:tcPr>
            <w:tcW w:type="dxa" w:w="5783"/>
          </w:tcPr>
          <w:p>
            <w:pPr>
              <w:spacing w:after="20" w:before="20"/>
            </w:pPr>
            <w:r/>
            <w:r>
              <w:rPr>
                <w:b w:val="0"/>
                <w:sz w:val="16"/>
              </w:rPr>
              <w:t>$43,935</w:t>
            </w:r>
          </w:p>
        </w:tc>
      </w:tr>
      <w:tr>
        <w:tc>
          <w:tcPr>
            <w:tcW w:type="dxa" w:w="3628"/>
            <w:shd w:val="clear" w:color="auto" w:fill="F2F5F9"/>
          </w:tcPr>
          <w:p>
            <w:pPr>
              <w:spacing w:after="20" w:before="20"/>
            </w:pPr>
            <w:r/>
            <w:r>
              <w:rPr>
                <w:b w:val="0"/>
                <w:sz w:val="16"/>
              </w:rPr>
              <w:t>Poverty rate, Lincoln County</w:t>
            </w:r>
          </w:p>
        </w:tc>
        <w:tc>
          <w:tcPr>
            <w:tcW w:type="dxa" w:w="5783"/>
            <w:shd w:val="clear" w:color="auto" w:fill="F2F5F9"/>
          </w:tcPr>
          <w:p>
            <w:pPr>
              <w:spacing w:after="20" w:before="20"/>
            </w:pPr>
            <w:r/>
            <w:r>
              <w:rPr>
                <w:b w:val="0"/>
                <w:sz w:val="16"/>
              </w:rPr>
              <w:t>approx. 17 % — about 25 % above the Georgia rate</w:t>
            </w:r>
          </w:p>
        </w:tc>
      </w:tr>
      <w:tr>
        <w:tc>
          <w:tcPr>
            <w:tcW w:type="dxa" w:w="3628"/>
          </w:tcPr>
          <w:p>
            <w:pPr>
              <w:spacing w:after="20" w:before="20"/>
            </w:pPr>
            <w:r/>
            <w:r>
              <w:rPr>
                <w:b w:val="0"/>
                <w:sz w:val="16"/>
              </w:rPr>
              <w:t>Median age, Lincolnton</w:t>
            </w:r>
          </w:p>
        </w:tc>
        <w:tc>
          <w:tcPr>
            <w:tcW w:type="dxa" w:w="5783"/>
          </w:tcPr>
          <w:p>
            <w:pPr>
              <w:spacing w:after="20" w:before="20"/>
            </w:pPr>
            <w:r/>
            <w:r>
              <w:rPr>
                <w:b w:val="0"/>
                <w:sz w:val="16"/>
              </w:rPr>
              <w:t>48.1 years</w:t>
            </w:r>
          </w:p>
        </w:tc>
      </w:tr>
      <w:tr>
        <w:tc>
          <w:tcPr>
            <w:tcW w:type="dxa" w:w="3628"/>
            <w:shd w:val="clear" w:color="auto" w:fill="F2F5F9"/>
          </w:tcPr>
          <w:p>
            <w:pPr>
              <w:spacing w:after="20" w:before="20"/>
            </w:pPr>
            <w:r/>
            <w:r>
              <w:rPr>
                <w:b w:val="0"/>
                <w:sz w:val="16"/>
              </w:rPr>
              <w:t>Household composition</w:t>
            </w:r>
          </w:p>
        </w:tc>
        <w:tc>
          <w:tcPr>
            <w:tcW w:type="dxa" w:w="5783"/>
            <w:shd w:val="clear" w:color="auto" w:fill="F2F5F9"/>
          </w:tcPr>
          <w:p>
            <w:pPr>
              <w:spacing w:after="20" w:before="20"/>
            </w:pPr>
            <w:r/>
            <w:r>
              <w:rPr>
                <w:b w:val="0"/>
                <w:sz w:val="16"/>
              </w:rPr>
              <w:t>Predominantly family households; detailed breakdown not retrieved</w:t>
            </w:r>
          </w:p>
        </w:tc>
      </w:tr>
      <w:tr>
        <w:tc>
          <w:tcPr>
            <w:tcW w:type="dxa" w:w="3628"/>
          </w:tcPr>
          <w:p>
            <w:pPr>
              <w:spacing w:after="20" w:before="20"/>
            </w:pPr>
            <w:r/>
            <w:r>
              <w:rPr>
                <w:b w:val="0"/>
                <w:sz w:val="16"/>
              </w:rPr>
              <w:t>Indian / South Asian population</w:t>
            </w:r>
          </w:p>
        </w:tc>
        <w:tc>
          <w:tcPr>
            <w:tcW w:type="dxa" w:w="5783"/>
          </w:tcPr>
          <w:p>
            <w:pPr>
              <w:spacing w:after="20" w:before="20"/>
            </w:pPr>
            <w:r/>
            <w:r>
              <w:rPr>
                <w:b w:val="0"/>
                <w:sz w:val="16"/>
              </w:rPr>
              <w:t>**Very small.** Asian alone is 0.4 % of roughly 8,100 people — on the order of 30 residents countywide. See Section L.52.</w:t>
            </w:r>
          </w:p>
        </w:tc>
      </w:tr>
    </w:tbl>
    <w:p>
      <w:pPr>
        <w:spacing w:after="40"/>
      </w:pPr>
    </w:p>
    <w:p>
      <w:pPr>
        <w:spacing w:before="20" w:after="80"/>
      </w:pPr>
      <w:r>
        <w:rPr>
          <w:b/>
          <w:color w:val="1E6B3A"/>
          <w:sz w:val="15"/>
        </w:rPr>
        <w:t>[DOCUMENTED]</w:t>
      </w:r>
      <w:r>
        <w:rPr>
          <w:i/>
          <w:color w:val="555555"/>
          <w:sz w:val="15"/>
        </w:rPr>
        <w:t xml:space="preserve">  US Census Bureau QuickFacts for Lincoln County, Georgia, and city-level data for Lincolnton. The Census API itself was unreachable from this environment; figures are from published QuickFacts tables.</w:t>
      </w:r>
    </w:p>
    <w:p>
      <w:pPr>
        <w:pStyle w:val="Heading2"/>
      </w:pPr>
      <w:r>
        <w:t>49. Schools</w:t>
      </w:r>
    </w:p>
    <w:tbl>
      <w:tblPr>
        <w:tblStyle w:val="TableGrid"/>
        <w:tblW w:type="auto" w:w="0"/>
        <w:jc w:val="center"/>
        <w:tblLook w:firstColumn="1" w:firstRow="1" w:lastColumn="0" w:lastRow="0" w:noHBand="0" w:noVBand="1" w:val="04A0"/>
      </w:tblPr>
      <w:tblGrid>
        <w:gridCol w:w="4932"/>
        <w:gridCol w:w="4932"/>
      </w:tblGrid>
      <w:tr>
        <w:tc>
          <w:tcPr>
            <w:tcW w:type="dxa" w:w="2494"/>
            <w:shd w:val="clear" w:color="auto" w:fill="1F4E79"/>
          </w:tcPr>
          <w:p>
            <w:pPr>
              <w:spacing w:after="20" w:before="20"/>
            </w:pPr>
            <w:r/>
            <w:r>
              <w:rPr>
                <w:b/>
                <w:color w:val="FFFFFF"/>
                <w:sz w:val="16"/>
              </w:rPr>
              <w:t>Item</w:t>
            </w:r>
          </w:p>
        </w:tc>
        <w:tc>
          <w:tcPr>
            <w:tcW w:type="dxa" w:w="6917"/>
            <w:shd w:val="clear" w:color="auto" w:fill="1F4E79"/>
          </w:tcPr>
          <w:p>
            <w:pPr>
              <w:spacing w:after="20" w:before="20"/>
            </w:pPr>
            <w:r/>
            <w:r>
              <w:rPr>
                <w:b/>
                <w:color w:val="FFFFFF"/>
                <w:sz w:val="16"/>
              </w:rPr>
              <w:t>Finding</w:t>
            </w:r>
          </w:p>
        </w:tc>
      </w:tr>
      <w:tr>
        <w:tc>
          <w:tcPr>
            <w:tcW w:type="dxa" w:w="2494"/>
          </w:tcPr>
          <w:p>
            <w:pPr>
              <w:spacing w:after="20" w:before="20"/>
            </w:pPr>
            <w:r/>
            <w:r>
              <w:rPr>
                <w:b w:val="0"/>
                <w:sz w:val="16"/>
              </w:rPr>
              <w:t>School district</w:t>
            </w:r>
          </w:p>
        </w:tc>
        <w:tc>
          <w:tcPr>
            <w:tcW w:type="dxa" w:w="6917"/>
          </w:tcPr>
          <w:p>
            <w:pPr>
              <w:spacing w:after="20" w:before="20"/>
            </w:pPr>
            <w:r/>
            <w:r>
              <w:rPr>
                <w:b w:val="0"/>
                <w:sz w:val="16"/>
              </w:rPr>
              <w:t>**Lincoln County School District**, based in Lincolnton</w:t>
            </w:r>
          </w:p>
        </w:tc>
      </w:tr>
      <w:tr>
        <w:tc>
          <w:tcPr>
            <w:tcW w:type="dxa" w:w="2494"/>
            <w:shd w:val="clear" w:color="auto" w:fill="F2F5F9"/>
          </w:tcPr>
          <w:p>
            <w:pPr>
              <w:spacing w:after="20" w:before="20"/>
            </w:pPr>
            <w:r/>
            <w:r>
              <w:rPr>
                <w:b w:val="0"/>
                <w:sz w:val="16"/>
              </w:rPr>
              <w:t>Total enrolment</w:t>
            </w:r>
          </w:p>
        </w:tc>
        <w:tc>
          <w:tcPr>
            <w:tcW w:type="dxa" w:w="6917"/>
            <w:shd w:val="clear" w:color="auto" w:fill="F2F5F9"/>
          </w:tcPr>
          <w:p>
            <w:pPr>
              <w:spacing w:after="20" w:before="20"/>
            </w:pPr>
            <w:r/>
            <w:r>
              <w:rPr>
                <w:b w:val="0"/>
                <w:sz w:val="16"/>
              </w:rPr>
              <w:t>approx. 1,261 students, PK and K–12</w:t>
            </w:r>
          </w:p>
        </w:tc>
      </w:tr>
      <w:tr>
        <w:tc>
          <w:tcPr>
            <w:tcW w:type="dxa" w:w="2494"/>
          </w:tcPr>
          <w:p>
            <w:pPr>
              <w:spacing w:after="20" w:before="20"/>
            </w:pPr>
            <w:r/>
            <w:r>
              <w:rPr>
                <w:b w:val="0"/>
                <w:sz w:val="16"/>
              </w:rPr>
              <w:t>Student-teacher ratio</w:t>
            </w:r>
          </w:p>
        </w:tc>
        <w:tc>
          <w:tcPr>
            <w:tcW w:type="dxa" w:w="6917"/>
          </w:tcPr>
          <w:p>
            <w:pPr>
              <w:spacing w:after="20" w:before="20"/>
            </w:pPr>
            <w:r/>
            <w:r>
              <w:rPr>
                <w:b w:val="0"/>
                <w:sz w:val="16"/>
              </w:rPr>
              <w:t>approx. 18 : 1</w:t>
            </w:r>
          </w:p>
        </w:tc>
      </w:tr>
      <w:tr>
        <w:tc>
          <w:tcPr>
            <w:tcW w:type="dxa" w:w="2494"/>
            <w:shd w:val="clear" w:color="auto" w:fill="F2F5F9"/>
          </w:tcPr>
          <w:p>
            <w:pPr>
              <w:spacing w:after="20" w:before="20"/>
            </w:pPr>
            <w:r/>
            <w:r>
              <w:rPr>
                <w:b w:val="0"/>
                <w:sz w:val="16"/>
              </w:rPr>
              <w:t>Structure</w:t>
            </w:r>
          </w:p>
        </w:tc>
        <w:tc>
          <w:tcPr>
            <w:tcW w:type="dxa" w:w="6917"/>
            <w:shd w:val="clear" w:color="auto" w:fill="F2F5F9"/>
          </w:tcPr>
          <w:p>
            <w:pPr>
              <w:spacing w:after="20" w:before="20"/>
            </w:pPr>
            <w:r/>
            <w:r>
              <w:rPr>
                <w:b w:val="0"/>
                <w:sz w:val="16"/>
              </w:rPr>
              <w:t>A single small district — effectively one elementary, one middle and one high school serve the whole county</w:t>
            </w:r>
          </w:p>
        </w:tc>
      </w:tr>
      <w:tr>
        <w:tc>
          <w:tcPr>
            <w:tcW w:type="dxa" w:w="2494"/>
          </w:tcPr>
          <w:p>
            <w:pPr>
              <w:spacing w:after="20" w:before="20"/>
            </w:pPr>
            <w:r/>
            <w:r>
              <w:rPr>
                <w:b w:val="0"/>
                <w:sz w:val="16"/>
              </w:rPr>
              <w:t>Distance</w:t>
            </w:r>
          </w:p>
        </w:tc>
        <w:tc>
          <w:tcPr>
            <w:tcW w:type="dxa" w:w="6917"/>
          </w:tcPr>
          <w:p>
            <w:pPr>
              <w:spacing w:after="20" w:before="20"/>
            </w:pPr>
            <w:r/>
            <w:r>
              <w:rPr>
                <w:b w:val="0"/>
                <w:sz w:val="16"/>
              </w:rPr>
              <w:t>**approx. 17 miles / 37 minutes** by road to Lincolnton. Expect a long school-bus ride.</w:t>
            </w:r>
          </w:p>
        </w:tc>
      </w:tr>
      <w:tr>
        <w:tc>
          <w:tcPr>
            <w:tcW w:type="dxa" w:w="2494"/>
            <w:shd w:val="clear" w:color="auto" w:fill="F2F5F9"/>
          </w:tcPr>
          <w:p>
            <w:pPr>
              <w:spacing w:after="20" w:before="20"/>
            </w:pPr>
            <w:r/>
            <w:r>
              <w:rPr>
                <w:b w:val="0"/>
                <w:sz w:val="16"/>
              </w:rPr>
              <w:t>State test proficiency</w:t>
            </w:r>
          </w:p>
        </w:tc>
        <w:tc>
          <w:tcPr>
            <w:tcW w:type="dxa" w:w="6917"/>
            <w:shd w:val="clear" w:color="auto" w:fill="F2F5F9"/>
          </w:tcPr>
          <w:p>
            <w:pPr>
              <w:spacing w:after="20" w:before="20"/>
            </w:pPr>
            <w:r/>
            <w:r>
              <w:rPr>
                <w:b w:val="0"/>
                <w:sz w:val="16"/>
              </w:rPr>
              <w:t>approx. 55 % proficient in mathematics, approx. 42 % in reading</w:t>
            </w:r>
          </w:p>
        </w:tc>
      </w:tr>
      <w:tr>
        <w:tc>
          <w:tcPr>
            <w:tcW w:type="dxa" w:w="2494"/>
          </w:tcPr>
          <w:p>
            <w:pPr>
              <w:spacing w:after="20" w:before="20"/>
            </w:pPr>
            <w:r/>
            <w:r>
              <w:rPr>
                <w:b w:val="0"/>
                <w:sz w:val="16"/>
              </w:rPr>
              <w:t>Published ratings</w:t>
            </w:r>
          </w:p>
        </w:tc>
        <w:tc>
          <w:tcPr>
            <w:tcW w:type="dxa" w:w="6917"/>
          </w:tcPr>
          <w:p>
            <w:pPr>
              <w:spacing w:after="20" w:before="20"/>
            </w:pPr>
            <w:r/>
            <w:r>
              <w:rPr>
                <w:b w:val="0"/>
                <w:sz w:val="16"/>
              </w:rPr>
              <w:t>One review service rates county schools at an average 8/10, placing them in the top 30 % of Georgia public schools; another rates Lincolnton schools 7/10. Ratings services disagree — treat as indicative only.</w:t>
            </w:r>
          </w:p>
        </w:tc>
      </w:tr>
      <w:tr>
        <w:tc>
          <w:tcPr>
            <w:tcW w:type="dxa" w:w="2494"/>
            <w:shd w:val="clear" w:color="auto" w:fill="F2F5F9"/>
          </w:tcPr>
          <w:p>
            <w:pPr>
              <w:spacing w:after="20" w:before="20"/>
            </w:pPr>
            <w:r/>
            <w:r>
              <w:rPr>
                <w:b w:val="0"/>
                <w:sz w:val="16"/>
              </w:rPr>
              <w:t>Private options</w:t>
            </w:r>
          </w:p>
        </w:tc>
        <w:tc>
          <w:tcPr>
            <w:tcW w:type="dxa" w:w="6917"/>
            <w:shd w:val="clear" w:color="auto" w:fill="F2F5F9"/>
          </w:tcPr>
          <w:p>
            <w:pPr>
              <w:spacing w:after="20" w:before="20"/>
            </w:pPr>
            <w:r/>
            <w:r>
              <w:rPr>
                <w:b w:val="0"/>
                <w:sz w:val="16"/>
              </w:rPr>
              <w:t>None identified within a reasonable radius</w:t>
            </w:r>
          </w:p>
        </w:tc>
      </w:tr>
      <w:tr>
        <w:tc>
          <w:tcPr>
            <w:tcW w:type="dxa" w:w="2494"/>
          </w:tcPr>
          <w:p>
            <w:pPr>
              <w:spacing w:after="20" w:before="20"/>
            </w:pPr>
            <w:r/>
            <w:r>
              <w:rPr>
                <w:b w:val="0"/>
                <w:sz w:val="16"/>
              </w:rPr>
              <w:t>Practical note</w:t>
            </w:r>
          </w:p>
        </w:tc>
        <w:tc>
          <w:tcPr>
            <w:tcW w:type="dxa" w:w="6917"/>
          </w:tcPr>
          <w:p>
            <w:pPr>
              <w:spacing w:after="20" w:before="20"/>
            </w:pPr>
            <w:r/>
            <w:r>
              <w:rPr>
                <w:b w:val="0"/>
                <w:sz w:val="16"/>
              </w:rPr>
              <w:t>A small district means small class sizes and a strongly community school culture, but also a narrow range of advanced courses, languages and extracurricular options compared with a metro district</w:t>
            </w:r>
          </w:p>
        </w:tc>
      </w:tr>
    </w:tbl>
    <w:p>
      <w:pPr>
        <w:spacing w:after="40"/>
      </w:pPr>
    </w:p>
    <w:p>
      <w:pPr>
        <w:spacing w:before="20" w:after="80"/>
      </w:pPr>
      <w:r>
        <w:rPr>
          <w:b/>
          <w:color w:val="1E6B3A"/>
          <w:sz w:val="15"/>
        </w:rPr>
        <w:t>[DOCUMENTED]</w:t>
      </w:r>
      <w:r>
        <w:rPr>
          <w:i/>
          <w:color w:val="555555"/>
          <w:sz w:val="15"/>
        </w:rPr>
        <w:t xml:space="preserve">  Enrolment and ratio from district data; ratings from commercial review services, which are not authoritative. Verify attendance zones with the district directly.</w:t>
      </w:r>
    </w:p>
    <w:p>
      <w:pPr>
        <w:pStyle w:val="Heading2"/>
      </w:pPr>
      <w:r>
        <w:t>50. Healthcare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175"/>
            <w:shd w:val="clear" w:color="auto" w:fill="1F4E79"/>
          </w:tcPr>
          <w:p>
            <w:pPr>
              <w:spacing w:after="20" w:before="20"/>
            </w:pPr>
            <w:r/>
            <w:r>
              <w:rPr>
                <w:b/>
                <w:color w:val="FFFFFF"/>
                <w:sz w:val="16"/>
              </w:rPr>
              <w:t>Facility</w:t>
            </w:r>
          </w:p>
        </w:tc>
        <w:tc>
          <w:tcPr>
            <w:tcW w:type="dxa" w:w="3402"/>
            <w:shd w:val="clear" w:color="auto" w:fill="1F4E79"/>
          </w:tcPr>
          <w:p>
            <w:pPr>
              <w:spacing w:after="20" w:before="20"/>
            </w:pPr>
            <w:r/>
            <w:r>
              <w:rPr>
                <w:b/>
                <w:color w:val="FFFFFF"/>
                <w:sz w:val="16"/>
              </w:rPr>
              <w:t>Type</w:t>
            </w:r>
          </w:p>
        </w:tc>
        <w:tc>
          <w:tcPr>
            <w:tcW w:type="dxa" w:w="1361"/>
            <w:shd w:val="clear" w:color="auto" w:fill="1F4E79"/>
          </w:tcPr>
          <w:p>
            <w:pPr>
              <w:spacing w:after="20" w:before="20"/>
            </w:pPr>
            <w:r/>
            <w:r>
              <w:rPr>
                <w:b/>
                <w:color w:val="FFFFFF"/>
                <w:sz w:val="16"/>
              </w:rPr>
              <w:t>Distance</w:t>
            </w:r>
          </w:p>
        </w:tc>
        <w:tc>
          <w:tcPr>
            <w:tcW w:type="dxa" w:w="1474"/>
            <w:shd w:val="clear" w:color="auto" w:fill="1F4E79"/>
          </w:tcPr>
          <w:p>
            <w:pPr>
              <w:spacing w:after="20" w:before="20"/>
            </w:pPr>
            <w:r/>
            <w:r>
              <w:rPr>
                <w:b/>
                <w:color w:val="FFFFFF"/>
                <w:sz w:val="16"/>
              </w:rPr>
              <w:t>Drive time</w:t>
            </w:r>
          </w:p>
        </w:tc>
      </w:tr>
      <w:tr>
        <w:tc>
          <w:tcPr>
            <w:tcW w:type="dxa" w:w="3175"/>
          </w:tcPr>
          <w:p>
            <w:pPr>
              <w:spacing w:after="20" w:before="20"/>
            </w:pPr>
            <w:r/>
            <w:r>
              <w:rPr>
                <w:b w:val="0"/>
                <w:sz w:val="16"/>
              </w:rPr>
              <w:t>**Wills Memorial Hospital**, Washington, GA</w:t>
            </w:r>
          </w:p>
        </w:tc>
        <w:tc>
          <w:tcPr>
            <w:tcW w:type="dxa" w:w="3402"/>
          </w:tcPr>
          <w:p>
            <w:pPr>
              <w:spacing w:after="20" w:before="20"/>
            </w:pPr>
            <w:r/>
            <w:r>
              <w:rPr>
                <w:b w:val="0"/>
                <w:sz w:val="16"/>
              </w:rPr>
              <w:t>25-bed critical-access hospital with 24-hour emergency department, outpatient therapy and digital imaging</w:t>
            </w:r>
          </w:p>
        </w:tc>
        <w:tc>
          <w:tcPr>
            <w:tcW w:type="dxa" w:w="1361"/>
          </w:tcPr>
          <w:p>
            <w:pPr>
              <w:spacing w:after="20" w:before="20"/>
            </w:pPr>
            <w:r/>
            <w:r>
              <w:rPr>
                <w:b/>
                <w:sz w:val="16"/>
              </w:rPr>
              <w:t>19.9 mi</w:t>
            </w:r>
          </w:p>
        </w:tc>
        <w:tc>
          <w:tcPr>
            <w:tcW w:type="dxa" w:w="1474"/>
          </w:tcPr>
          <w:p>
            <w:pPr>
              <w:spacing w:after="20" w:before="20"/>
            </w:pPr>
            <w:r/>
            <w:r>
              <w:rPr>
                <w:b/>
                <w:sz w:val="16"/>
              </w:rPr>
              <w:t>43 min</w:t>
            </w:r>
          </w:p>
        </w:tc>
      </w:tr>
      <w:tr>
        <w:tc>
          <w:tcPr>
            <w:tcW w:type="dxa" w:w="3175"/>
            <w:shd w:val="clear" w:color="auto" w:fill="F2F5F9"/>
          </w:tcPr>
          <w:p>
            <w:pPr>
              <w:spacing w:after="20" w:before="20"/>
            </w:pPr>
            <w:r/>
            <w:r>
              <w:rPr>
                <w:b w:val="0"/>
                <w:sz w:val="16"/>
              </w:rPr>
              <w:t>Local physicians, Lincolnton</w:t>
            </w:r>
          </w:p>
        </w:tc>
        <w:tc>
          <w:tcPr>
            <w:tcW w:type="dxa" w:w="3402"/>
            <w:shd w:val="clear" w:color="auto" w:fill="F2F5F9"/>
          </w:tcPr>
          <w:p>
            <w:pPr>
              <w:spacing w:after="20" w:before="20"/>
            </w:pPr>
            <w:r/>
            <w:r>
              <w:rPr>
                <w:b w:val="0"/>
                <w:sz w:val="16"/>
              </w:rPr>
              <w:t>Primary and family medicine</w:t>
            </w:r>
          </w:p>
        </w:tc>
        <w:tc>
          <w:tcPr>
            <w:tcW w:type="dxa" w:w="1361"/>
            <w:shd w:val="clear" w:color="auto" w:fill="F2F5F9"/>
          </w:tcPr>
          <w:p>
            <w:pPr>
              <w:spacing w:after="20" w:before="20"/>
            </w:pPr>
            <w:r/>
            <w:r>
              <w:rPr>
                <w:b w:val="0"/>
                <w:sz w:val="16"/>
              </w:rPr>
              <w:t>approx. 17 mi</w:t>
            </w:r>
          </w:p>
        </w:tc>
        <w:tc>
          <w:tcPr>
            <w:tcW w:type="dxa" w:w="1474"/>
            <w:shd w:val="clear" w:color="auto" w:fill="F2F5F9"/>
          </w:tcPr>
          <w:p>
            <w:pPr>
              <w:spacing w:after="20" w:before="20"/>
            </w:pPr>
            <w:r/>
            <w:r>
              <w:rPr>
                <w:b w:val="0"/>
                <w:sz w:val="16"/>
              </w:rPr>
              <w:t>approx. 37 min</w:t>
            </w:r>
          </w:p>
        </w:tc>
      </w:tr>
      <w:tr>
        <w:tc>
          <w:tcPr>
            <w:tcW w:type="dxa" w:w="3175"/>
          </w:tcPr>
          <w:p>
            <w:pPr>
              <w:spacing w:after="20" w:before="20"/>
            </w:pPr>
            <w:r/>
            <w:r>
              <w:rPr>
                <w:b/>
                <w:sz w:val="16"/>
              </w:rPr>
              <w:t>Piedmont Augusta Hospital</w:t>
            </w:r>
          </w:p>
        </w:tc>
        <w:tc>
          <w:tcPr>
            <w:tcW w:type="dxa" w:w="3402"/>
          </w:tcPr>
          <w:p>
            <w:pPr>
              <w:spacing w:after="20" w:before="20"/>
            </w:pPr>
            <w:r/>
            <w:r>
              <w:rPr>
                <w:b w:val="0"/>
                <w:sz w:val="16"/>
              </w:rPr>
              <w:t>812-bed acute-care hospital; multi-campus system with heart and vascular centre; regional referral centre</w:t>
            </w:r>
          </w:p>
        </w:tc>
        <w:tc>
          <w:tcPr>
            <w:tcW w:type="dxa" w:w="1361"/>
          </w:tcPr>
          <w:p>
            <w:pPr>
              <w:spacing w:after="20" w:before="20"/>
            </w:pPr>
            <w:r/>
            <w:r>
              <w:rPr>
                <w:b/>
                <w:sz w:val="16"/>
              </w:rPr>
              <w:t>54.5 mi</w:t>
            </w:r>
          </w:p>
        </w:tc>
        <w:tc>
          <w:tcPr>
            <w:tcW w:type="dxa" w:w="1474"/>
          </w:tcPr>
          <w:p>
            <w:pPr>
              <w:spacing w:after="20" w:before="20"/>
            </w:pPr>
            <w:r/>
            <w:r>
              <w:rPr>
                <w:b/>
                <w:sz w:val="16"/>
              </w:rPr>
              <w:t>1 h 38 min</w:t>
            </w:r>
          </w:p>
        </w:tc>
      </w:tr>
      <w:tr>
        <w:tc>
          <w:tcPr>
            <w:tcW w:type="dxa" w:w="3175"/>
            <w:shd w:val="clear" w:color="auto" w:fill="F2F5F9"/>
          </w:tcPr>
          <w:p>
            <w:pPr>
              <w:spacing w:after="20" w:before="20"/>
            </w:pPr>
            <w:r/>
            <w:r>
              <w:rPr>
                <w:b w:val="0"/>
                <w:sz w:val="16"/>
              </w:rPr>
              <w:t>Athens, GA medical facilities</w:t>
            </w:r>
          </w:p>
        </w:tc>
        <w:tc>
          <w:tcPr>
            <w:tcW w:type="dxa" w:w="3402"/>
            <w:shd w:val="clear" w:color="auto" w:fill="F2F5F9"/>
          </w:tcPr>
          <w:p>
            <w:pPr>
              <w:spacing w:after="20" w:before="20"/>
            </w:pPr>
            <w:r/>
            <w:r>
              <w:rPr>
                <w:b w:val="0"/>
                <w:sz w:val="16"/>
              </w:rPr>
              <w:t>Regional hospitals</w:t>
            </w:r>
          </w:p>
        </w:tc>
        <w:tc>
          <w:tcPr>
            <w:tcW w:type="dxa" w:w="1361"/>
            <w:shd w:val="clear" w:color="auto" w:fill="F2F5F9"/>
          </w:tcPr>
          <w:p>
            <w:pPr>
              <w:spacing w:after="20" w:before="20"/>
            </w:pPr>
            <w:r/>
            <w:r>
              <w:rPr>
                <w:b w:val="0"/>
                <w:sz w:val="16"/>
              </w:rPr>
              <w:t>61.4 mi</w:t>
            </w:r>
          </w:p>
        </w:tc>
        <w:tc>
          <w:tcPr>
            <w:tcW w:type="dxa" w:w="1474"/>
            <w:shd w:val="clear" w:color="auto" w:fill="F2F5F9"/>
          </w:tcPr>
          <w:p>
            <w:pPr>
              <w:spacing w:after="20" w:before="20"/>
            </w:pPr>
            <w:r/>
            <w:r>
              <w:rPr>
                <w:b w:val="0"/>
                <w:sz w:val="16"/>
              </w:rPr>
              <w:t>1 h 33 min</w:t>
            </w:r>
          </w:p>
        </w:tc>
      </w:tr>
      <w:tr>
        <w:tc>
          <w:tcPr>
            <w:tcW w:type="dxa" w:w="3175"/>
          </w:tcPr>
          <w:p>
            <w:pPr>
              <w:spacing w:after="20" w:before="20"/>
            </w:pPr>
            <w:r/>
            <w:r>
              <w:rPr>
                <w:b w:val="0"/>
                <w:sz w:val="16"/>
              </w:rPr>
              <w:t>Emergency services</w:t>
            </w:r>
          </w:p>
        </w:tc>
        <w:tc>
          <w:tcPr>
            <w:tcW w:type="dxa" w:w="3402"/>
          </w:tcPr>
          <w:p>
            <w:pPr>
              <w:spacing w:after="20" w:before="20"/>
            </w:pPr>
            <w:r/>
            <w:r>
              <w:rPr>
                <w:b w:val="0"/>
                <w:sz w:val="16"/>
              </w:rPr>
              <w:t>Lincolnton offers 24-hour 911 emergency service</w:t>
            </w:r>
          </w:p>
        </w:tc>
        <w:tc>
          <w:tcPr>
            <w:tcW w:type="dxa" w:w="1361"/>
          </w:tcPr>
          <w:p>
            <w:pPr>
              <w:spacing w:after="20" w:before="20"/>
            </w:pPr>
            <w:r/>
            <w:r>
              <w:rPr>
                <w:b w:val="0"/>
                <w:sz w:val="16"/>
              </w:rPr>
              <w:t>—</w:t>
            </w:r>
          </w:p>
        </w:tc>
        <w:tc>
          <w:tcPr>
            <w:tcW w:type="dxa" w:w="1474"/>
          </w:tcPr>
          <w:p>
            <w:pPr>
              <w:spacing w:after="20" w:before="20"/>
            </w:pPr>
            <w:r/>
            <w:r>
              <w:rPr>
                <w:b w:val="0"/>
                <w:sz w:val="16"/>
              </w:rPr>
              <w:t>—</w:t>
            </w:r>
          </w:p>
        </w:tc>
      </w:tr>
    </w:tbl>
    <w:p>
      <w:pPr>
        <w:spacing w:after="40"/>
      </w:pPr>
    </w:p>
    <w:tbl>
      <w:tblPr>
        <w:tblStyle w:val="TableGrid"/>
        <w:tblW w:type="auto" w:w="0"/>
        <w:tblLook w:firstColumn="1" w:firstRow="1" w:lastColumn="0" w:lastRow="0" w:noHBand="0" w:noVBand="1" w:val="04A0"/>
      </w:tblPr>
      <w:tblGrid>
        <w:gridCol w:w="9865"/>
      </w:tblGrid>
      <w:tr>
        <w:tc>
          <w:tcPr>
            <w:tcW w:type="dxa" w:w="9865"/>
            <w:shd w:val="clear" w:color="auto" w:fill="FFF4E5"/>
          </w:tcPr>
          <w:p>
            <w:pPr>
              <w:spacing w:before="40" w:after="20"/>
            </w:pPr>
            <w:r/>
            <w:r>
              <w:rPr>
                <w:b/>
                <w:color w:val="8A4100"/>
                <w:sz w:val="18"/>
              </w:rPr>
              <w:t>HEALTHCARE IS THE MOST SIGNIFICANT LIVEABILITY TRADE-OFF</w:t>
            </w:r>
          </w:p>
          <w:p>
            <w:pPr>
              <w:spacing w:after="40"/>
            </w:pPr>
            <w:r>
              <w:rPr>
                <w:sz w:val="17"/>
              </w:rPr>
              <w:t>The nearest emergency department is 43 minutes away by car and is a 25-bed critical-access facility — appropriate for stabilisation, not for complex care. The nearest full-service hospital is 1 hour 38 minutes away. For a household with elderly members, chronic conditions, or anyone requiring time-critical intervention such as stroke or cardiac care, this is a material consideration. It is also consistent with the county's 28.1 % over-65 population: many residents accept the trade, but it should be an informed choice. Check air-ambulance coverage and response times.</w:t>
            </w:r>
          </w:p>
        </w:tc>
      </w:tr>
    </w:tbl>
    <w:p>
      <w:pPr>
        <w:spacing w:after="60"/>
      </w:pPr>
    </w:p>
    <w:p>
      <w:pPr>
        <w:spacing w:before="20" w:after="80"/>
      </w:pPr>
      <w:r>
        <w:rPr>
          <w:b/>
          <w:color w:val="1E6B3A"/>
          <w:sz w:val="15"/>
        </w:rPr>
        <w:t>[DOCUMENTED]</w:t>
      </w:r>
      <w:r>
        <w:rPr>
          <w:i/>
          <w:color w:val="555555"/>
          <w:sz w:val="15"/>
        </w:rPr>
        <w:t xml:space="preserve">  Facility types documented; distances are OSRM road-network calculations.</w:t>
      </w:r>
    </w:p>
    <w:p>
      <w:pPr>
        <w:pStyle w:val="Heading2"/>
      </w:pPr>
      <w:r>
        <w:t>51. Shopping and services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608"/>
            <w:shd w:val="clear" w:color="auto" w:fill="1F4E79"/>
          </w:tcPr>
          <w:p>
            <w:pPr>
              <w:spacing w:after="20" w:before="20"/>
            </w:pPr>
            <w:r/>
            <w:r>
              <w:rPr>
                <w:b/>
                <w:color w:val="FFFFFF"/>
                <w:sz w:val="16"/>
              </w:rPr>
              <w:t>Destination</w:t>
            </w:r>
          </w:p>
        </w:tc>
        <w:tc>
          <w:tcPr>
            <w:tcW w:type="dxa" w:w="1361"/>
            <w:shd w:val="clear" w:color="auto" w:fill="1F4E79"/>
          </w:tcPr>
          <w:p>
            <w:pPr>
              <w:spacing w:after="20" w:before="20"/>
            </w:pPr>
            <w:r/>
            <w:r>
              <w:rPr>
                <w:b/>
                <w:color w:val="FFFFFF"/>
                <w:sz w:val="16"/>
              </w:rPr>
              <w:t>Distance</w:t>
            </w:r>
          </w:p>
        </w:tc>
        <w:tc>
          <w:tcPr>
            <w:tcW w:type="dxa" w:w="1361"/>
            <w:shd w:val="clear" w:color="auto" w:fill="1F4E79"/>
          </w:tcPr>
          <w:p>
            <w:pPr>
              <w:spacing w:after="20" w:before="20"/>
            </w:pPr>
            <w:r/>
            <w:r>
              <w:rPr>
                <w:b/>
                <w:color w:val="FFFFFF"/>
                <w:sz w:val="16"/>
              </w:rPr>
              <w:t>Drive time</w:t>
            </w:r>
          </w:p>
        </w:tc>
        <w:tc>
          <w:tcPr>
            <w:tcW w:type="dxa" w:w="4082"/>
            <w:shd w:val="clear" w:color="auto" w:fill="1F4E79"/>
          </w:tcPr>
          <w:p>
            <w:pPr>
              <w:spacing w:after="20" w:before="20"/>
            </w:pPr>
            <w:r/>
            <w:r>
              <w:rPr>
                <w:b/>
                <w:color w:val="FFFFFF"/>
                <w:sz w:val="16"/>
              </w:rPr>
              <w:t>What is there</w:t>
            </w:r>
          </w:p>
        </w:tc>
      </w:tr>
      <w:tr>
        <w:tc>
          <w:tcPr>
            <w:tcW w:type="dxa" w:w="2608"/>
          </w:tcPr>
          <w:p>
            <w:pPr>
              <w:spacing w:after="20" w:before="20"/>
            </w:pPr>
            <w:r/>
            <w:r>
              <w:rPr>
                <w:b w:val="0"/>
                <w:sz w:val="16"/>
              </w:rPr>
              <w:t>Lincolnton (county seat)</w:t>
            </w:r>
          </w:p>
        </w:tc>
        <w:tc>
          <w:tcPr>
            <w:tcW w:type="dxa" w:w="1361"/>
          </w:tcPr>
          <w:p>
            <w:pPr>
              <w:spacing w:after="20" w:before="20"/>
            </w:pPr>
            <w:r/>
            <w:r>
              <w:rPr>
                <w:b w:val="0"/>
                <w:sz w:val="16"/>
              </w:rPr>
              <w:t>17.0 mi</w:t>
            </w:r>
          </w:p>
        </w:tc>
        <w:tc>
          <w:tcPr>
            <w:tcW w:type="dxa" w:w="1361"/>
          </w:tcPr>
          <w:p>
            <w:pPr>
              <w:spacing w:after="20" w:before="20"/>
            </w:pPr>
            <w:r/>
            <w:r>
              <w:rPr>
                <w:b w:val="0"/>
                <w:sz w:val="16"/>
              </w:rPr>
              <w:t>37 min</w:t>
            </w:r>
          </w:p>
        </w:tc>
        <w:tc>
          <w:tcPr>
            <w:tcW w:type="dxa" w:w="4082"/>
          </w:tcPr>
          <w:p>
            <w:pPr>
              <w:spacing w:after="20" w:before="20"/>
            </w:pPr>
            <w:r/>
            <w:r>
              <w:rPr>
                <w:b w:val="0"/>
                <w:sz w:val="16"/>
              </w:rPr>
              <w:t>Groceries, pharmacy, bank, fuel, county offices, local restaurants, schools</w:t>
            </w:r>
          </w:p>
        </w:tc>
      </w:tr>
      <w:tr>
        <w:tc>
          <w:tcPr>
            <w:tcW w:type="dxa" w:w="2608"/>
            <w:shd w:val="clear" w:color="auto" w:fill="F2F5F9"/>
          </w:tcPr>
          <w:p>
            <w:pPr>
              <w:spacing w:after="20" w:before="20"/>
            </w:pPr>
            <w:r/>
            <w:r>
              <w:rPr>
                <w:b w:val="0"/>
                <w:sz w:val="16"/>
              </w:rPr>
              <w:t>Washington, GA</w:t>
            </w:r>
          </w:p>
        </w:tc>
        <w:tc>
          <w:tcPr>
            <w:tcW w:type="dxa" w:w="1361"/>
            <w:shd w:val="clear" w:color="auto" w:fill="F2F5F9"/>
          </w:tcPr>
          <w:p>
            <w:pPr>
              <w:spacing w:after="20" w:before="20"/>
            </w:pPr>
            <w:r/>
            <w:r>
              <w:rPr>
                <w:b w:val="0"/>
                <w:sz w:val="16"/>
              </w:rPr>
              <w:t>19.9 mi</w:t>
            </w:r>
          </w:p>
        </w:tc>
        <w:tc>
          <w:tcPr>
            <w:tcW w:type="dxa" w:w="1361"/>
            <w:shd w:val="clear" w:color="auto" w:fill="F2F5F9"/>
          </w:tcPr>
          <w:p>
            <w:pPr>
              <w:spacing w:after="20" w:before="20"/>
            </w:pPr>
            <w:r/>
            <w:r>
              <w:rPr>
                <w:b w:val="0"/>
                <w:sz w:val="16"/>
              </w:rPr>
              <w:t>43 min</w:t>
            </w:r>
          </w:p>
        </w:tc>
        <w:tc>
          <w:tcPr>
            <w:tcW w:type="dxa" w:w="4082"/>
            <w:shd w:val="clear" w:color="auto" w:fill="F2F5F9"/>
          </w:tcPr>
          <w:p>
            <w:pPr>
              <w:spacing w:after="20" w:before="20"/>
            </w:pPr>
            <w:r/>
            <w:r>
              <w:rPr>
                <w:b w:val="0"/>
                <w:sz w:val="16"/>
              </w:rPr>
              <w:t>Hospital, additional retail and services</w:t>
            </w:r>
          </w:p>
        </w:tc>
      </w:tr>
      <w:tr>
        <w:tc>
          <w:tcPr>
            <w:tcW w:type="dxa" w:w="2608"/>
          </w:tcPr>
          <w:p>
            <w:pPr>
              <w:spacing w:after="20" w:before="20"/>
            </w:pPr>
            <w:r/>
            <w:r>
              <w:rPr>
                <w:b/>
                <w:sz w:val="16"/>
              </w:rPr>
              <w:t>Thomson, GA — Walmart Supercenter</w:t>
            </w:r>
          </w:p>
        </w:tc>
        <w:tc>
          <w:tcPr>
            <w:tcW w:type="dxa" w:w="1361"/>
          </w:tcPr>
          <w:p>
            <w:pPr>
              <w:spacing w:after="20" w:before="20"/>
            </w:pPr>
            <w:r/>
            <w:r>
              <w:rPr>
                <w:b/>
                <w:sz w:val="16"/>
              </w:rPr>
              <w:t>43.5 mi</w:t>
            </w:r>
          </w:p>
        </w:tc>
        <w:tc>
          <w:tcPr>
            <w:tcW w:type="dxa" w:w="1361"/>
          </w:tcPr>
          <w:p>
            <w:pPr>
              <w:spacing w:after="20" w:before="20"/>
            </w:pPr>
            <w:r/>
            <w:r>
              <w:rPr>
                <w:b/>
                <w:sz w:val="16"/>
              </w:rPr>
              <w:t>1 h 13 min</w:t>
            </w:r>
          </w:p>
        </w:tc>
        <w:tc>
          <w:tcPr>
            <w:tcW w:type="dxa" w:w="4082"/>
          </w:tcPr>
          <w:p>
            <w:pPr>
              <w:spacing w:after="20" w:before="20"/>
            </w:pPr>
            <w:r/>
            <w:r>
              <w:rPr>
                <w:b w:val="0"/>
                <w:sz w:val="16"/>
              </w:rPr>
              <w:t>Nearest major big-box retailer; full grocery and general merchandise</w:t>
            </w:r>
          </w:p>
        </w:tc>
      </w:tr>
      <w:tr>
        <w:tc>
          <w:tcPr>
            <w:tcW w:type="dxa" w:w="2608"/>
            <w:shd w:val="clear" w:color="auto" w:fill="F2F5F9"/>
          </w:tcPr>
          <w:p>
            <w:pPr>
              <w:spacing w:after="20" w:before="20"/>
            </w:pPr>
            <w:r/>
            <w:r>
              <w:rPr>
                <w:b w:val="0"/>
                <w:sz w:val="16"/>
              </w:rPr>
              <w:t>Athens, GA</w:t>
            </w:r>
          </w:p>
        </w:tc>
        <w:tc>
          <w:tcPr>
            <w:tcW w:type="dxa" w:w="1361"/>
            <w:shd w:val="clear" w:color="auto" w:fill="F2F5F9"/>
          </w:tcPr>
          <w:p>
            <w:pPr>
              <w:spacing w:after="20" w:before="20"/>
            </w:pPr>
            <w:r/>
            <w:r>
              <w:rPr>
                <w:b w:val="0"/>
                <w:sz w:val="16"/>
              </w:rPr>
              <w:t>61.4 mi</w:t>
            </w:r>
          </w:p>
        </w:tc>
        <w:tc>
          <w:tcPr>
            <w:tcW w:type="dxa" w:w="1361"/>
            <w:shd w:val="clear" w:color="auto" w:fill="F2F5F9"/>
          </w:tcPr>
          <w:p>
            <w:pPr>
              <w:spacing w:after="20" w:before="20"/>
            </w:pPr>
            <w:r/>
            <w:r>
              <w:rPr>
                <w:b w:val="0"/>
                <w:sz w:val="16"/>
              </w:rPr>
              <w:t>1 h 33 min</w:t>
            </w:r>
          </w:p>
        </w:tc>
        <w:tc>
          <w:tcPr>
            <w:tcW w:type="dxa" w:w="4082"/>
            <w:shd w:val="clear" w:color="auto" w:fill="F2F5F9"/>
          </w:tcPr>
          <w:p>
            <w:pPr>
              <w:spacing w:after="20" w:before="20"/>
            </w:pPr>
            <w:r/>
            <w:r>
              <w:rPr>
                <w:b w:val="0"/>
                <w:sz w:val="16"/>
              </w:rPr>
              <w:t>Full metropolitan retail, university city, restaurants, speciality shopping</w:t>
            </w:r>
          </w:p>
        </w:tc>
      </w:tr>
      <w:tr>
        <w:tc>
          <w:tcPr>
            <w:tcW w:type="dxa" w:w="2608"/>
          </w:tcPr>
          <w:p>
            <w:pPr>
              <w:spacing w:after="20" w:before="20"/>
            </w:pPr>
            <w:r/>
            <w:r>
              <w:rPr>
                <w:b w:val="0"/>
                <w:sz w:val="16"/>
              </w:rPr>
              <w:t>Augusta, GA</w:t>
            </w:r>
          </w:p>
        </w:tc>
        <w:tc>
          <w:tcPr>
            <w:tcW w:type="dxa" w:w="1361"/>
          </w:tcPr>
          <w:p>
            <w:pPr>
              <w:spacing w:after="20" w:before="20"/>
            </w:pPr>
            <w:r/>
            <w:r>
              <w:rPr>
                <w:b w:val="0"/>
                <w:sz w:val="16"/>
              </w:rPr>
              <w:t>54.5 mi</w:t>
            </w:r>
          </w:p>
        </w:tc>
        <w:tc>
          <w:tcPr>
            <w:tcW w:type="dxa" w:w="1361"/>
          </w:tcPr>
          <w:p>
            <w:pPr>
              <w:spacing w:after="20" w:before="20"/>
            </w:pPr>
            <w:r/>
            <w:r>
              <w:rPr>
                <w:b w:val="0"/>
                <w:sz w:val="16"/>
              </w:rPr>
              <w:t>1 h 38 min</w:t>
            </w:r>
          </w:p>
        </w:tc>
        <w:tc>
          <w:tcPr>
            <w:tcW w:type="dxa" w:w="4082"/>
          </w:tcPr>
          <w:p>
            <w:pPr>
              <w:spacing w:after="20" w:before="20"/>
            </w:pPr>
            <w:r/>
            <w:r>
              <w:rPr>
                <w:b w:val="0"/>
                <w:sz w:val="16"/>
              </w:rPr>
              <w:t>Full metropolitan retail, hospitals, **Indian groceries and restaurants**, hardware and home-improvement chains</w:t>
            </w:r>
          </w:p>
        </w:tc>
      </w:tr>
      <w:tr>
        <w:tc>
          <w:tcPr>
            <w:tcW w:type="dxa" w:w="2608"/>
            <w:shd w:val="clear" w:color="auto" w:fill="F2F5F9"/>
          </w:tcPr>
          <w:p>
            <w:pPr>
              <w:spacing w:after="20" w:before="20"/>
            </w:pPr>
            <w:r/>
            <w:r>
              <w:rPr>
                <w:b w:val="0"/>
                <w:sz w:val="16"/>
              </w:rPr>
              <w:t>Elijah Clark State Park</w:t>
            </w:r>
          </w:p>
        </w:tc>
        <w:tc>
          <w:tcPr>
            <w:tcW w:type="dxa" w:w="1361"/>
            <w:shd w:val="clear" w:color="auto" w:fill="F2F5F9"/>
          </w:tcPr>
          <w:p>
            <w:pPr>
              <w:spacing w:after="20" w:before="20"/>
            </w:pPr>
            <w:r/>
            <w:r>
              <w:rPr>
                <w:b w:val="0"/>
                <w:sz w:val="16"/>
              </w:rPr>
              <w:t>21.2 mi</w:t>
            </w:r>
          </w:p>
        </w:tc>
        <w:tc>
          <w:tcPr>
            <w:tcW w:type="dxa" w:w="1361"/>
            <w:shd w:val="clear" w:color="auto" w:fill="F2F5F9"/>
          </w:tcPr>
          <w:p>
            <w:pPr>
              <w:spacing w:after="20" w:before="20"/>
            </w:pPr>
            <w:r/>
            <w:r>
              <w:rPr>
                <w:b w:val="0"/>
                <w:sz w:val="16"/>
              </w:rPr>
              <w:t>43 min</w:t>
            </w:r>
          </w:p>
        </w:tc>
        <w:tc>
          <w:tcPr>
            <w:tcW w:type="dxa" w:w="4082"/>
            <w:shd w:val="clear" w:color="auto" w:fill="F2F5F9"/>
          </w:tcPr>
          <w:p>
            <w:pPr>
              <w:spacing w:after="20" w:before="20"/>
            </w:pPr>
            <w:r/>
            <w:r>
              <w:rPr>
                <w:b w:val="0"/>
                <w:sz w:val="16"/>
              </w:rPr>
              <w:t>Lake recreation, boat ramp, museum, camping</w:t>
            </w:r>
          </w:p>
        </w:tc>
      </w:tr>
      <w:tr>
        <w:tc>
          <w:tcPr>
            <w:tcW w:type="dxa" w:w="2608"/>
          </w:tcPr>
          <w:p>
            <w:pPr>
              <w:spacing w:after="20" w:before="20"/>
            </w:pPr>
            <w:r/>
            <w:r>
              <w:rPr>
                <w:b w:val="0"/>
                <w:sz w:val="16"/>
              </w:rPr>
              <w:t>Hesters Ferry Campground</w:t>
            </w:r>
          </w:p>
        </w:tc>
        <w:tc>
          <w:tcPr>
            <w:tcW w:type="dxa" w:w="1361"/>
          </w:tcPr>
          <w:p>
            <w:pPr>
              <w:spacing w:after="20" w:before="20"/>
            </w:pPr>
            <w:r/>
            <w:r>
              <w:rPr>
                <w:b w:val="0"/>
                <w:sz w:val="16"/>
              </w:rPr>
              <w:t>very close (adjacent area)</w:t>
            </w:r>
          </w:p>
        </w:tc>
        <w:tc>
          <w:tcPr>
            <w:tcW w:type="dxa" w:w="1361"/>
          </w:tcPr>
          <w:p>
            <w:pPr>
              <w:spacing w:after="20" w:before="20"/>
            </w:pPr>
            <w:r/>
            <w:r>
              <w:rPr>
                <w:b w:val="0"/>
                <w:sz w:val="16"/>
              </w:rPr>
              <w:t>a few minutes</w:t>
            </w:r>
          </w:p>
        </w:tc>
        <w:tc>
          <w:tcPr>
            <w:tcW w:type="dxa" w:w="4082"/>
          </w:tcPr>
          <w:p>
            <w:pPr>
              <w:spacing w:after="20" w:before="20"/>
            </w:pPr>
            <w:r/>
            <w:r>
              <w:rPr>
                <w:b w:val="0"/>
                <w:sz w:val="16"/>
              </w:rPr>
              <w:t>County-managed lake access, boat ramp, waterfront campsites (16 with water and electric, plus a primitive loop)</w:t>
            </w:r>
          </w:p>
        </w:tc>
      </w:tr>
    </w:tbl>
    <w:p>
      <w:pPr>
        <w:spacing w:after="40"/>
      </w:pPr>
    </w:p>
    <w:p>
      <w:pPr>
        <w:spacing w:after="80" w:before="0"/>
      </w:pPr>
      <w:r>
        <w:rPr>
          <w:b w:val="0"/>
          <w:i w:val="0"/>
          <w:sz w:val="18"/>
        </w:rPr>
        <w:t>Everyday groceries, banking, fuel and pharmacy require a 37-minute round trip of 34 miles. Hardware and home-improvement chains, and any significant retail choice, mean a 1 h 13 min to 1 h 38 min drive. Plan on consolidated weekly or fortnightly shopping trips and heavy reliance on delivery — which makes the broadband question in Section E.23 more important than it would normally be.</w:t>
      </w:r>
    </w:p>
    <w:p>
      <w:pPr>
        <w:spacing w:before="20" w:after="80"/>
      </w:pPr>
      <w:r>
        <w:rPr>
          <w:b/>
          <w:color w:val="1E6B3A"/>
          <w:sz w:val="15"/>
        </w:rPr>
        <w:t>[DOCUMENTED]</w:t>
      </w:r>
      <w:r>
        <w:rPr>
          <w:i/>
          <w:color w:val="555555"/>
          <w:sz w:val="15"/>
        </w:rPr>
        <w:t xml:space="preserve">  All distances and times are OSRM road-network calculations from the site coordinates.</w:t>
      </w:r>
    </w:p>
    <w:p>
      <w:pPr>
        <w:pStyle w:val="Heading2"/>
      </w:pPr>
      <w:r>
        <w:t>52. Indian / South Asian community</w:t>
      </w:r>
    </w:p>
    <w:tbl>
      <w:tblPr>
        <w:tblStyle w:val="TableGrid"/>
        <w:tblW w:type="auto" w:w="0"/>
        <w:jc w:val="center"/>
        <w:tblLook w:firstColumn="1" w:firstRow="1" w:lastColumn="0" w:lastRow="0" w:noHBand="0" w:noVBand="1" w:val="04A0"/>
      </w:tblPr>
      <w:tblGrid>
        <w:gridCol w:w="4932"/>
        <w:gridCol w:w="4932"/>
      </w:tblGrid>
      <w:tr>
        <w:tc>
          <w:tcPr>
            <w:tcW w:type="dxa" w:w="2608"/>
            <w:shd w:val="clear" w:color="auto" w:fill="1F4E79"/>
          </w:tcPr>
          <w:p>
            <w:pPr>
              <w:spacing w:after="20" w:before="20"/>
            </w:pPr>
            <w:r/>
            <w:r>
              <w:rPr>
                <w:b/>
                <w:color w:val="FFFFFF"/>
                <w:sz w:val="16"/>
              </w:rPr>
              <w:t>Item</w:t>
            </w:r>
          </w:p>
        </w:tc>
        <w:tc>
          <w:tcPr>
            <w:tcW w:type="dxa" w:w="6803"/>
            <w:shd w:val="clear" w:color="auto" w:fill="1F4E79"/>
          </w:tcPr>
          <w:p>
            <w:pPr>
              <w:spacing w:after="20" w:before="20"/>
            </w:pPr>
            <w:r/>
            <w:r>
              <w:rPr>
                <w:b/>
                <w:color w:val="FFFFFF"/>
                <w:sz w:val="16"/>
              </w:rPr>
              <w:t>Finding</w:t>
            </w:r>
          </w:p>
        </w:tc>
      </w:tr>
      <w:tr>
        <w:tc>
          <w:tcPr>
            <w:tcW w:type="dxa" w:w="2608"/>
          </w:tcPr>
          <w:p>
            <w:pPr>
              <w:spacing w:after="20" w:before="20"/>
            </w:pPr>
            <w:r/>
            <w:r>
              <w:rPr>
                <w:b w:val="0"/>
                <w:sz w:val="16"/>
              </w:rPr>
              <w:t>Nearest Indian groceries</w:t>
            </w:r>
          </w:p>
        </w:tc>
        <w:tc>
          <w:tcPr>
            <w:tcW w:type="dxa" w:w="6803"/>
          </w:tcPr>
          <w:p>
            <w:pPr>
              <w:spacing w:after="20" w:before="20"/>
            </w:pPr>
            <w:r/>
            <w:r>
              <w:rPr>
                <w:b w:val="0"/>
                <w:sz w:val="16"/>
              </w:rPr>
              <w:t>**Augusta, GA — approx. 54.5 mi / 1 h 38 min.** Indian and Asian grocers operate there (for example Radha Indian Asian Grocers).</w:t>
            </w:r>
          </w:p>
        </w:tc>
      </w:tr>
      <w:tr>
        <w:tc>
          <w:tcPr>
            <w:tcW w:type="dxa" w:w="2608"/>
            <w:shd w:val="clear" w:color="auto" w:fill="F2F5F9"/>
          </w:tcPr>
          <w:p>
            <w:pPr>
              <w:spacing w:after="20" w:before="20"/>
            </w:pPr>
            <w:r/>
            <w:r>
              <w:rPr>
                <w:b w:val="0"/>
                <w:sz w:val="16"/>
              </w:rPr>
              <w:t>Nearest Indian restaurants</w:t>
            </w:r>
          </w:p>
        </w:tc>
        <w:tc>
          <w:tcPr>
            <w:tcW w:type="dxa" w:w="6803"/>
            <w:shd w:val="clear" w:color="auto" w:fill="F2F5F9"/>
          </w:tcPr>
          <w:p>
            <w:pPr>
              <w:spacing w:after="20" w:before="20"/>
            </w:pPr>
            <w:r/>
            <w:r>
              <w:rPr>
                <w:b w:val="0"/>
                <w:sz w:val="16"/>
              </w:rPr>
              <w:t>Augusta — approx. 54.5 mi / 1 h 38 min</w:t>
            </w:r>
          </w:p>
        </w:tc>
      </w:tr>
      <w:tr>
        <w:tc>
          <w:tcPr>
            <w:tcW w:type="dxa" w:w="2608"/>
          </w:tcPr>
          <w:p>
            <w:pPr>
              <w:spacing w:after="20" w:before="20"/>
            </w:pPr>
            <w:r/>
            <w:r>
              <w:rPr>
                <w:b w:val="0"/>
                <w:sz w:val="16"/>
              </w:rPr>
              <w:t>Nearest Hindu temple</w:t>
            </w:r>
          </w:p>
        </w:tc>
        <w:tc>
          <w:tcPr>
            <w:tcW w:type="dxa" w:w="6803"/>
          </w:tcPr>
          <w:p>
            <w:pPr>
              <w:spacing w:after="20" w:before="20"/>
            </w:pPr>
            <w:r/>
            <w:r>
              <w:rPr>
                <w:b w:val="0"/>
                <w:sz w:val="16"/>
              </w:rPr>
              <w:t>**Hindu Temple Society of Augusta** — approx. 54.5 mi / 1 h 38 min</w:t>
            </w:r>
          </w:p>
        </w:tc>
      </w:tr>
      <w:tr>
        <w:tc>
          <w:tcPr>
            <w:tcW w:type="dxa" w:w="2608"/>
            <w:shd w:val="clear" w:color="auto" w:fill="F2F5F9"/>
          </w:tcPr>
          <w:p>
            <w:pPr>
              <w:spacing w:after="20" w:before="20"/>
            </w:pPr>
            <w:r/>
            <w:r>
              <w:rPr>
                <w:b w:val="0"/>
                <w:sz w:val="16"/>
              </w:rPr>
              <w:t>Mosques</w:t>
            </w:r>
          </w:p>
        </w:tc>
        <w:tc>
          <w:tcPr>
            <w:tcW w:type="dxa" w:w="6803"/>
            <w:shd w:val="clear" w:color="auto" w:fill="F2F5F9"/>
          </w:tcPr>
          <w:p>
            <w:pPr>
              <w:spacing w:after="20" w:before="20"/>
            </w:pPr>
            <w:r/>
            <w:r>
              <w:rPr>
                <w:b w:val="0"/>
                <w:sz w:val="16"/>
              </w:rPr>
              <w:t>Augusta metro; none identified closer</w:t>
            </w:r>
          </w:p>
        </w:tc>
      </w:tr>
      <w:tr>
        <w:tc>
          <w:tcPr>
            <w:tcW w:type="dxa" w:w="2608"/>
          </w:tcPr>
          <w:p>
            <w:pPr>
              <w:spacing w:after="20" w:before="20"/>
            </w:pPr>
            <w:r/>
            <w:r>
              <w:rPr>
                <w:b w:val="0"/>
                <w:sz w:val="16"/>
              </w:rPr>
              <w:t>South Asian community organisations</w:t>
            </w:r>
          </w:p>
        </w:tc>
        <w:tc>
          <w:tcPr>
            <w:tcW w:type="dxa" w:w="6803"/>
          </w:tcPr>
          <w:p>
            <w:pPr>
              <w:spacing w:after="20" w:before="20"/>
            </w:pPr>
            <w:r/>
            <w:r>
              <w:rPr>
                <w:b w:val="0"/>
                <w:sz w:val="16"/>
              </w:rPr>
              <w:t>Augusta metro area</w:t>
            </w:r>
          </w:p>
        </w:tc>
      </w:tr>
      <w:tr>
        <w:tc>
          <w:tcPr>
            <w:tcW w:type="dxa" w:w="2608"/>
            <w:shd w:val="clear" w:color="auto" w:fill="F2F5F9"/>
          </w:tcPr>
          <w:p>
            <w:pPr>
              <w:spacing w:after="20" w:before="20"/>
            </w:pPr>
            <w:r/>
            <w:r>
              <w:rPr>
                <w:b w:val="0"/>
                <w:sz w:val="16"/>
              </w:rPr>
              <w:t>Local South Asian population</w:t>
            </w:r>
          </w:p>
        </w:tc>
        <w:tc>
          <w:tcPr>
            <w:tcW w:type="dxa" w:w="6803"/>
            <w:shd w:val="clear" w:color="auto" w:fill="F2F5F9"/>
          </w:tcPr>
          <w:p>
            <w:pPr>
              <w:spacing w:after="20" w:before="20"/>
            </w:pPr>
            <w:r/>
            <w:r>
              <w:rPr>
                <w:b w:val="0"/>
                <w:sz w:val="16"/>
              </w:rPr>
              <w:t>**Effectively negligible.** Lincoln County is 0.4 % Asian alone — roughly 30 people countywide across all Asian origins.</w:t>
            </w:r>
          </w:p>
        </w:tc>
      </w:tr>
      <w:tr>
        <w:tc>
          <w:tcPr>
            <w:tcW w:type="dxa" w:w="2608"/>
          </w:tcPr>
          <w:p>
            <w:pPr>
              <w:spacing w:after="20" w:before="20"/>
            </w:pPr>
            <w:r/>
            <w:r>
              <w:rPr>
                <w:b w:val="0"/>
                <w:sz w:val="16"/>
              </w:rPr>
              <w:t>Nearest significant Indian population centre</w:t>
            </w:r>
          </w:p>
        </w:tc>
        <w:tc>
          <w:tcPr>
            <w:tcW w:type="dxa" w:w="6803"/>
          </w:tcPr>
          <w:p>
            <w:pPr>
              <w:spacing w:after="20" w:before="20"/>
            </w:pPr>
            <w:r/>
            <w:r>
              <w:rPr>
                <w:b w:val="0"/>
                <w:sz w:val="16"/>
              </w:rPr>
              <w:t>**Metropolitan Atlanta — approx. 130 mi / 3 h 9 min.** Georgia's Indian population of roughly 183,000 is concentrated in Atlanta's northern suburbs: Johns Creek (approx. 11,700), Atlanta (approx. 11,200) and Alpharetta (approx. 9,200).</w:t>
            </w:r>
          </w:p>
        </w:tc>
      </w:tr>
      <w:tr>
        <w:tc>
          <w:tcPr>
            <w:tcW w:type="dxa" w:w="2608"/>
            <w:shd w:val="clear" w:color="auto" w:fill="F2F5F9"/>
          </w:tcPr>
          <w:p>
            <w:pPr>
              <w:spacing w:after="20" w:before="20"/>
            </w:pPr>
            <w:r/>
            <w:r>
              <w:rPr>
                <w:b w:val="0"/>
                <w:sz w:val="16"/>
              </w:rPr>
              <w:t>Augusta metro context</w:t>
            </w:r>
          </w:p>
        </w:tc>
        <w:tc>
          <w:tcPr>
            <w:tcW w:type="dxa" w:w="6803"/>
            <w:shd w:val="clear" w:color="auto" w:fill="F2F5F9"/>
          </w:tcPr>
          <w:p>
            <w:pPr>
              <w:spacing w:after="20" w:before="20"/>
            </w:pPr>
            <w:r/>
            <w:r>
              <w:rPr>
                <w:b w:val="0"/>
                <w:sz w:val="16"/>
              </w:rPr>
              <w:t>Augusta is Georgia's second-largest metro at roughly 611,000 people, but its Asian population is a small fraction of the Atlanta total. Expect a modest but real community with temple and grocery infrastructure.</w:t>
            </w:r>
          </w:p>
        </w:tc>
      </w:tr>
    </w:tbl>
    <w:p>
      <w:pPr>
        <w:spacing w:after="40"/>
      </w:pPr>
    </w:p>
    <w:p>
      <w:pPr>
        <w:spacing w:after="80" w:before="0"/>
      </w:pPr>
      <w:r>
        <w:rPr>
          <w:b w:val="0"/>
          <w:i w:val="0"/>
          <w:sz w:val="18"/>
        </w:rPr>
        <w:t>Practical reading: cultural, religious and grocery infrastructure exists, but every visit is a 3-hour round trip to Augusta. For a weekend or retirement property this may be entirely acceptable; for a primary residence with school-age children for whom community and cultural continuity matter, it is a significant and recurring cost in time.</w:t>
      </w:r>
    </w:p>
    <w:p>
      <w:pPr>
        <w:spacing w:before="20" w:after="80"/>
      </w:pPr>
      <w:r>
        <w:rPr>
          <w:b/>
          <w:color w:val="1E6B3A"/>
          <w:sz w:val="15"/>
        </w:rPr>
        <w:t>[DOCUMENTED]</w:t>
      </w:r>
      <w:r>
        <w:rPr>
          <w:i/>
          <w:color w:val="555555"/>
          <w:sz w:val="15"/>
        </w:rPr>
        <w:t xml:space="preserve">  Census race data documented; facility locations documented; distances OSRM-computed.</w:t>
      </w:r>
    </w:p>
    <w:p>
      <w:pPr>
        <w:pStyle w:val="Heading2"/>
      </w:pPr>
      <w:r>
        <w:t>53. Entertainment and nightlife</w:t>
      </w:r>
    </w:p>
    <w:tbl>
      <w:tblPr>
        <w:tblStyle w:val="TableGrid"/>
        <w:tblW w:type="auto" w:w="0"/>
        <w:jc w:val="center"/>
        <w:tblLook w:firstColumn="1" w:firstRow="1" w:lastColumn="0" w:lastRow="0" w:noHBand="0" w:noVBand="1" w:val="04A0"/>
      </w:tblPr>
      <w:tblGrid>
        <w:gridCol w:w="3288"/>
        <w:gridCol w:w="3288"/>
        <w:gridCol w:w="3288"/>
      </w:tblGrid>
      <w:tr>
        <w:tc>
          <w:tcPr>
            <w:tcW w:type="dxa" w:w="2381"/>
            <w:shd w:val="clear" w:color="auto" w:fill="1F4E79"/>
          </w:tcPr>
          <w:p>
            <w:pPr>
              <w:spacing w:after="20" w:before="20"/>
            </w:pPr>
            <w:r/>
            <w:r>
              <w:rPr>
                <w:b/>
                <w:color w:val="FFFFFF"/>
                <w:sz w:val="16"/>
              </w:rPr>
              <w:t>Category</w:t>
            </w:r>
          </w:p>
        </w:tc>
        <w:tc>
          <w:tcPr>
            <w:tcW w:type="dxa" w:w="4762"/>
            <w:shd w:val="clear" w:color="auto" w:fill="1F4E79"/>
          </w:tcPr>
          <w:p>
            <w:pPr>
              <w:spacing w:after="20" w:before="20"/>
            </w:pPr>
            <w:r/>
            <w:r>
              <w:rPr>
                <w:b/>
                <w:color w:val="FFFFFF"/>
                <w:sz w:val="16"/>
              </w:rPr>
              <w:t>Nearest meaningful option</w:t>
            </w:r>
          </w:p>
        </w:tc>
        <w:tc>
          <w:tcPr>
            <w:tcW w:type="dxa" w:w="2268"/>
            <w:shd w:val="clear" w:color="auto" w:fill="1F4E79"/>
          </w:tcPr>
          <w:p>
            <w:pPr>
              <w:spacing w:after="20" w:before="20"/>
            </w:pPr>
            <w:r/>
            <w:r>
              <w:rPr>
                <w:b/>
                <w:color w:val="FFFFFF"/>
                <w:sz w:val="16"/>
              </w:rPr>
              <w:t>Distance</w:t>
            </w:r>
          </w:p>
        </w:tc>
      </w:tr>
      <w:tr>
        <w:tc>
          <w:tcPr>
            <w:tcW w:type="dxa" w:w="2381"/>
          </w:tcPr>
          <w:p>
            <w:pPr>
              <w:spacing w:after="20" w:before="20"/>
            </w:pPr>
            <w:r/>
            <w:r>
              <w:rPr>
                <w:b w:val="0"/>
                <w:sz w:val="16"/>
              </w:rPr>
              <w:t>Local restaurants</w:t>
            </w:r>
          </w:p>
        </w:tc>
        <w:tc>
          <w:tcPr>
            <w:tcW w:type="dxa" w:w="4762"/>
          </w:tcPr>
          <w:p>
            <w:pPr>
              <w:spacing w:after="20" w:before="20"/>
            </w:pPr>
            <w:r/>
            <w:r>
              <w:rPr>
                <w:b w:val="0"/>
                <w:sz w:val="16"/>
              </w:rPr>
              <w:t>Lincolnton</w:t>
            </w:r>
          </w:p>
        </w:tc>
        <w:tc>
          <w:tcPr>
            <w:tcW w:type="dxa" w:w="2268"/>
          </w:tcPr>
          <w:p>
            <w:pPr>
              <w:spacing w:after="20" w:before="20"/>
            </w:pPr>
            <w:r/>
            <w:r>
              <w:rPr>
                <w:b w:val="0"/>
                <w:sz w:val="16"/>
              </w:rPr>
              <w:t>17.0 mi / 37 min</w:t>
            </w:r>
          </w:p>
        </w:tc>
      </w:tr>
      <w:tr>
        <w:tc>
          <w:tcPr>
            <w:tcW w:type="dxa" w:w="2381"/>
            <w:shd w:val="clear" w:color="auto" w:fill="F2F5F9"/>
          </w:tcPr>
          <w:p>
            <w:pPr>
              <w:spacing w:after="20" w:before="20"/>
            </w:pPr>
            <w:r/>
            <w:r>
              <w:rPr>
                <w:b w:val="0"/>
                <w:sz w:val="16"/>
              </w:rPr>
              <w:t>Restaurant choice and variety</w:t>
            </w:r>
          </w:p>
        </w:tc>
        <w:tc>
          <w:tcPr>
            <w:tcW w:type="dxa" w:w="4762"/>
            <w:shd w:val="clear" w:color="auto" w:fill="F2F5F9"/>
          </w:tcPr>
          <w:p>
            <w:pPr>
              <w:spacing w:after="20" w:before="20"/>
            </w:pPr>
            <w:r/>
            <w:r>
              <w:rPr>
                <w:b w:val="0"/>
                <w:sz w:val="16"/>
              </w:rPr>
              <w:t>Augusta or Athens</w:t>
            </w:r>
          </w:p>
        </w:tc>
        <w:tc>
          <w:tcPr>
            <w:tcW w:type="dxa" w:w="2268"/>
            <w:shd w:val="clear" w:color="auto" w:fill="F2F5F9"/>
          </w:tcPr>
          <w:p>
            <w:pPr>
              <w:spacing w:after="20" w:before="20"/>
            </w:pPr>
            <w:r/>
            <w:r>
              <w:rPr>
                <w:b w:val="0"/>
                <w:sz w:val="16"/>
              </w:rPr>
              <w:t>54.5 mi / 61.4 mi</w:t>
            </w:r>
          </w:p>
        </w:tc>
      </w:tr>
      <w:tr>
        <w:tc>
          <w:tcPr>
            <w:tcW w:type="dxa" w:w="2381"/>
          </w:tcPr>
          <w:p>
            <w:pPr>
              <w:spacing w:after="20" w:before="20"/>
            </w:pPr>
            <w:r/>
            <w:r>
              <w:rPr>
                <w:b w:val="0"/>
                <w:sz w:val="16"/>
              </w:rPr>
              <w:t>Bars</w:t>
            </w:r>
          </w:p>
        </w:tc>
        <w:tc>
          <w:tcPr>
            <w:tcW w:type="dxa" w:w="4762"/>
          </w:tcPr>
          <w:p>
            <w:pPr>
              <w:spacing w:after="20" w:before="20"/>
            </w:pPr>
            <w:r/>
            <w:r>
              <w:rPr>
                <w:b w:val="0"/>
                <w:sz w:val="16"/>
              </w:rPr>
              <w:t>Lincolnton (limited); Augusta or Athens for choice</w:t>
            </w:r>
          </w:p>
        </w:tc>
        <w:tc>
          <w:tcPr>
            <w:tcW w:type="dxa" w:w="2268"/>
          </w:tcPr>
          <w:p>
            <w:pPr>
              <w:spacing w:after="20" w:before="20"/>
            </w:pPr>
            <w:r/>
            <w:r>
              <w:rPr>
                <w:b w:val="0"/>
                <w:sz w:val="16"/>
              </w:rPr>
              <w:t>17 mi / 55–61 mi</w:t>
            </w:r>
          </w:p>
        </w:tc>
      </w:tr>
      <w:tr>
        <w:tc>
          <w:tcPr>
            <w:tcW w:type="dxa" w:w="2381"/>
            <w:shd w:val="clear" w:color="auto" w:fill="F2F5F9"/>
          </w:tcPr>
          <w:p>
            <w:pPr>
              <w:spacing w:after="20" w:before="20"/>
            </w:pPr>
            <w:r/>
            <w:r>
              <w:rPr>
                <w:b w:val="0"/>
                <w:sz w:val="16"/>
              </w:rPr>
              <w:t>Cafes</w:t>
            </w:r>
          </w:p>
        </w:tc>
        <w:tc>
          <w:tcPr>
            <w:tcW w:type="dxa" w:w="4762"/>
            <w:shd w:val="clear" w:color="auto" w:fill="F2F5F9"/>
          </w:tcPr>
          <w:p>
            <w:pPr>
              <w:spacing w:after="20" w:before="20"/>
            </w:pPr>
            <w:r/>
            <w:r>
              <w:rPr>
                <w:b w:val="0"/>
                <w:sz w:val="16"/>
              </w:rPr>
              <w:t>Lincolnton (limited)</w:t>
            </w:r>
          </w:p>
        </w:tc>
        <w:tc>
          <w:tcPr>
            <w:tcW w:type="dxa" w:w="2268"/>
            <w:shd w:val="clear" w:color="auto" w:fill="F2F5F9"/>
          </w:tcPr>
          <w:p>
            <w:pPr>
              <w:spacing w:after="20" w:before="20"/>
            </w:pPr>
            <w:r/>
            <w:r>
              <w:rPr>
                <w:b w:val="0"/>
                <w:sz w:val="16"/>
              </w:rPr>
              <w:t>17.0 mi</w:t>
            </w:r>
          </w:p>
        </w:tc>
      </w:tr>
      <w:tr>
        <w:tc>
          <w:tcPr>
            <w:tcW w:type="dxa" w:w="2381"/>
          </w:tcPr>
          <w:p>
            <w:pPr>
              <w:spacing w:after="20" w:before="20"/>
            </w:pPr>
            <w:r/>
            <w:r>
              <w:rPr>
                <w:b w:val="0"/>
                <w:sz w:val="16"/>
              </w:rPr>
              <w:t>Cinemas</w:t>
            </w:r>
          </w:p>
        </w:tc>
        <w:tc>
          <w:tcPr>
            <w:tcW w:type="dxa" w:w="4762"/>
          </w:tcPr>
          <w:p>
            <w:pPr>
              <w:spacing w:after="20" w:before="20"/>
            </w:pPr>
            <w:r/>
            <w:r>
              <w:rPr>
                <w:b/>
                <w:sz w:val="16"/>
              </w:rPr>
              <w:t>Thomson, Augusta or Athens — none locally</w:t>
            </w:r>
          </w:p>
        </w:tc>
        <w:tc>
          <w:tcPr>
            <w:tcW w:type="dxa" w:w="2268"/>
          </w:tcPr>
          <w:p>
            <w:pPr>
              <w:spacing w:after="20" w:before="20"/>
            </w:pPr>
            <w:r/>
            <w:r>
              <w:rPr>
                <w:b w:val="0"/>
                <w:sz w:val="16"/>
              </w:rPr>
              <w:t>43.5–61.4 mi</w:t>
            </w:r>
          </w:p>
        </w:tc>
      </w:tr>
      <w:tr>
        <w:tc>
          <w:tcPr>
            <w:tcW w:type="dxa" w:w="2381"/>
            <w:shd w:val="clear" w:color="auto" w:fill="F2F5F9"/>
          </w:tcPr>
          <w:p>
            <w:pPr>
              <w:spacing w:after="20" w:before="20"/>
            </w:pPr>
            <w:r/>
            <w:r>
              <w:rPr>
                <w:b w:val="0"/>
                <w:sz w:val="16"/>
              </w:rPr>
              <w:t>Shopping and entertainment districts</w:t>
            </w:r>
          </w:p>
        </w:tc>
        <w:tc>
          <w:tcPr>
            <w:tcW w:type="dxa" w:w="4762"/>
            <w:shd w:val="clear" w:color="auto" w:fill="F2F5F9"/>
          </w:tcPr>
          <w:p>
            <w:pPr>
              <w:spacing w:after="20" w:before="20"/>
            </w:pPr>
            <w:r/>
            <w:r>
              <w:rPr>
                <w:b w:val="0"/>
                <w:sz w:val="16"/>
              </w:rPr>
              <w:t>Augusta; Athens (university city, strongest nightlife and music scene in range)</w:t>
            </w:r>
          </w:p>
        </w:tc>
        <w:tc>
          <w:tcPr>
            <w:tcW w:type="dxa" w:w="2268"/>
            <w:shd w:val="clear" w:color="auto" w:fill="F2F5F9"/>
          </w:tcPr>
          <w:p>
            <w:pPr>
              <w:spacing w:after="20" w:before="20"/>
            </w:pPr>
            <w:r/>
            <w:r>
              <w:rPr>
                <w:b w:val="0"/>
                <w:sz w:val="16"/>
              </w:rPr>
              <w:t>54.5 mi / 61.4 mi</w:t>
            </w:r>
          </w:p>
        </w:tc>
      </w:tr>
      <w:tr>
        <w:tc>
          <w:tcPr>
            <w:tcW w:type="dxa" w:w="2381"/>
          </w:tcPr>
          <w:p>
            <w:pPr>
              <w:spacing w:after="20" w:before="20"/>
            </w:pPr>
            <w:r/>
            <w:r>
              <w:rPr>
                <w:b w:val="0"/>
                <w:sz w:val="16"/>
              </w:rPr>
              <w:t>Major nightlife</w:t>
            </w:r>
          </w:p>
        </w:tc>
        <w:tc>
          <w:tcPr>
            <w:tcW w:type="dxa" w:w="4762"/>
          </w:tcPr>
          <w:p>
            <w:pPr>
              <w:spacing w:after="20" w:before="20"/>
            </w:pPr>
            <w:r/>
            <w:r>
              <w:rPr>
                <w:b w:val="0"/>
                <w:sz w:val="16"/>
              </w:rPr>
              <w:t>Athens is the regional standout; Atlanta for anything larger</w:t>
            </w:r>
          </w:p>
        </w:tc>
        <w:tc>
          <w:tcPr>
            <w:tcW w:type="dxa" w:w="2268"/>
          </w:tcPr>
          <w:p>
            <w:pPr>
              <w:spacing w:after="20" w:before="20"/>
            </w:pPr>
            <w:r/>
            <w:r>
              <w:rPr>
                <w:b w:val="0"/>
                <w:sz w:val="16"/>
              </w:rPr>
              <w:t>61.4 mi / 130.5 mi</w:t>
            </w:r>
          </w:p>
        </w:tc>
      </w:tr>
      <w:tr>
        <w:tc>
          <w:tcPr>
            <w:tcW w:type="dxa" w:w="2381"/>
            <w:shd w:val="clear" w:color="auto" w:fill="F2F5F9"/>
          </w:tcPr>
          <w:p>
            <w:pPr>
              <w:spacing w:after="20" w:before="20"/>
            </w:pPr>
            <w:r/>
            <w:r>
              <w:rPr>
                <w:b w:val="0"/>
                <w:sz w:val="16"/>
              </w:rPr>
              <w:t>Local character</w:t>
            </w:r>
          </w:p>
        </w:tc>
        <w:tc>
          <w:tcPr>
            <w:tcW w:type="dxa" w:w="4762"/>
            <w:shd w:val="clear" w:color="auto" w:fill="F2F5F9"/>
          </w:tcPr>
          <w:p>
            <w:pPr>
              <w:spacing w:after="20" w:before="20"/>
            </w:pPr>
            <w:r/>
            <w:r>
              <w:rPr>
                <w:b w:val="0"/>
                <w:sz w:val="16"/>
              </w:rPr>
              <w:t>Outdoor-recreation oriented: boating, fishing, camping, state parks, Graves Mountain, and local live-music acts based in the county</w:t>
            </w:r>
          </w:p>
        </w:tc>
        <w:tc>
          <w:tcPr>
            <w:tcW w:type="dxa" w:w="2268"/>
            <w:shd w:val="clear" w:color="auto" w:fill="F2F5F9"/>
          </w:tcPr>
          <w:p>
            <w:pPr>
              <w:spacing w:after="20" w:before="20"/>
            </w:pPr>
            <w:r/>
            <w:r>
              <w:rPr>
                <w:b w:val="0"/>
                <w:sz w:val="16"/>
              </w:rPr>
              <w:t>on site to 21 mi</w:t>
            </w:r>
          </w:p>
        </w:tc>
      </w:tr>
    </w:tbl>
    <w:p>
      <w:pPr>
        <w:spacing w:after="40"/>
      </w:pPr>
    </w:p>
    <w:p>
      <w:pPr>
        <w:spacing w:after="80" w:before="0"/>
      </w:pPr>
      <w:r>
        <w:rPr>
          <w:b w:val="0"/>
          <w:i w:val="0"/>
          <w:sz w:val="18"/>
        </w:rPr>
        <w:t>This is a quiet rural lake community, not a location with nightlife. The genuine recreational offer is outdoor: a 71,100-acre lake with 1,200 miles of shoreline, excellent fishing, two nearby parks and extensive woodland. Lincoln County also markets itself on more than 160 buildings listed on the National Register of Historic Places.</w:t>
      </w:r>
    </w:p>
    <w:p>
      <w:pPr>
        <w:spacing w:before="20" w:after="80"/>
      </w:pPr>
      <w:r>
        <w:rPr>
          <w:b/>
          <w:color w:val="1E6B3A"/>
          <w:sz w:val="15"/>
        </w:rPr>
        <w:t>[DOCUMENTED]</w:t>
      </w:r>
      <w:r>
        <w:rPr>
          <w:i/>
          <w:color w:val="555555"/>
          <w:sz w:val="15"/>
        </w:rPr>
        <w:t xml:space="preserve">  Distances OSRM-computed; amenity characterisation from county and regional sources.</w:t>
      </w:r>
    </w:p>
    <w:p>
      <w:pPr>
        <w:pStyle w:val="Heading2"/>
      </w:pPr>
      <w:r>
        <w:t>54. Walkability</w:t>
      </w:r>
    </w:p>
    <w:tbl>
      <w:tblPr>
        <w:tblStyle w:val="TableGrid"/>
        <w:tblW w:type="auto" w:w="0"/>
        <w:jc w:val="center"/>
        <w:tblLook w:firstColumn="1" w:firstRow="1" w:lastColumn="0" w:lastRow="0" w:noHBand="0" w:noVBand="1" w:val="04A0"/>
      </w:tblPr>
      <w:tblGrid>
        <w:gridCol w:w="3288"/>
        <w:gridCol w:w="3288"/>
        <w:gridCol w:w="3288"/>
      </w:tblGrid>
      <w:tr>
        <w:tc>
          <w:tcPr>
            <w:tcW w:type="dxa" w:w="1701"/>
            <w:shd w:val="clear" w:color="auto" w:fill="1F4E79"/>
          </w:tcPr>
          <w:p>
            <w:pPr>
              <w:spacing w:after="20" w:before="20"/>
            </w:pPr>
            <w:r/>
            <w:r>
              <w:rPr>
                <w:b/>
                <w:color w:val="FFFFFF"/>
                <w:sz w:val="16"/>
              </w:rPr>
              <w:t>Score</w:t>
            </w:r>
          </w:p>
        </w:tc>
        <w:tc>
          <w:tcPr>
            <w:tcW w:type="dxa" w:w="3969"/>
            <w:shd w:val="clear" w:color="auto" w:fill="1F4E79"/>
          </w:tcPr>
          <w:p>
            <w:pPr>
              <w:spacing w:after="20" w:before="20"/>
            </w:pPr>
            <w:r/>
            <w:r>
              <w:rPr>
                <w:b/>
                <w:color w:val="FFFFFF"/>
                <w:sz w:val="16"/>
              </w:rPr>
              <w:t>Value</w:t>
            </w:r>
          </w:p>
        </w:tc>
        <w:tc>
          <w:tcPr>
            <w:tcW w:type="dxa" w:w="3742"/>
            <w:shd w:val="clear" w:color="auto" w:fill="1F4E79"/>
          </w:tcPr>
          <w:p>
            <w:pPr>
              <w:spacing w:after="20" w:before="20"/>
            </w:pPr>
            <w:r/>
            <w:r>
              <w:rPr>
                <w:b/>
                <w:color w:val="FFFFFF"/>
                <w:sz w:val="16"/>
              </w:rPr>
              <w:t>Comment</w:t>
            </w:r>
          </w:p>
        </w:tc>
      </w:tr>
      <w:tr>
        <w:tc>
          <w:tcPr>
            <w:tcW w:type="dxa" w:w="1701"/>
          </w:tcPr>
          <w:p>
            <w:pPr>
              <w:spacing w:after="20" w:before="20"/>
            </w:pPr>
            <w:r/>
            <w:r>
              <w:rPr>
                <w:b w:val="0"/>
                <w:sz w:val="16"/>
              </w:rPr>
              <w:t>Walk Score</w:t>
            </w:r>
          </w:p>
        </w:tc>
        <w:tc>
          <w:tcPr>
            <w:tcW w:type="dxa" w:w="3969"/>
          </w:tcPr>
          <w:p>
            <w:pPr>
              <w:spacing w:after="20" w:before="20"/>
            </w:pPr>
            <w:r/>
            <w:r>
              <w:rPr>
                <w:b w:val="0"/>
                <w:sz w:val="16"/>
              </w:rPr>
              <w:t>**Not published** for this rural location — Walk Score does not meaningfully cover unincorporated rural addresses</w:t>
            </w:r>
          </w:p>
        </w:tc>
        <w:tc>
          <w:tcPr>
            <w:tcW w:type="dxa" w:w="3742"/>
          </w:tcPr>
          <w:p>
            <w:pPr>
              <w:spacing w:after="20" w:before="20"/>
            </w:pPr>
            <w:r/>
            <w:r>
              <w:rPr>
                <w:b w:val="0"/>
                <w:sz w:val="16"/>
              </w:rPr>
              <w:t>Expect a score in the 0–10 range ("Car-Dependent / almost all errands require a car")</w:t>
            </w:r>
          </w:p>
        </w:tc>
      </w:tr>
      <w:tr>
        <w:tc>
          <w:tcPr>
            <w:tcW w:type="dxa" w:w="1701"/>
            <w:shd w:val="clear" w:color="auto" w:fill="F2F5F9"/>
          </w:tcPr>
          <w:p>
            <w:pPr>
              <w:spacing w:after="20" w:before="20"/>
            </w:pPr>
            <w:r/>
            <w:r>
              <w:rPr>
                <w:b w:val="0"/>
                <w:sz w:val="16"/>
              </w:rPr>
              <w:t>Bike Score</w:t>
            </w:r>
          </w:p>
        </w:tc>
        <w:tc>
          <w:tcPr>
            <w:tcW w:type="dxa" w:w="3969"/>
            <w:shd w:val="clear" w:color="auto" w:fill="F2F5F9"/>
          </w:tcPr>
          <w:p>
            <w:pPr>
              <w:spacing w:after="20" w:before="20"/>
            </w:pPr>
            <w:r/>
            <w:r>
              <w:rPr>
                <w:b w:val="0"/>
                <w:sz w:val="16"/>
              </w:rPr>
              <w:t>Not published</w:t>
            </w:r>
          </w:p>
        </w:tc>
        <w:tc>
          <w:tcPr>
            <w:tcW w:type="dxa" w:w="3742"/>
            <w:shd w:val="clear" w:color="auto" w:fill="F2F5F9"/>
          </w:tcPr>
          <w:p>
            <w:pPr>
              <w:spacing w:after="20" w:before="20"/>
            </w:pPr>
            <w:r/>
            <w:r>
              <w:rPr>
                <w:b w:val="0"/>
                <w:sz w:val="16"/>
              </w:rPr>
              <w:t>Paved community roads are pleasant for recreational cycling; the surrounding rural highways have no shoulders or bike infrastructure</w:t>
            </w:r>
          </w:p>
        </w:tc>
      </w:tr>
      <w:tr>
        <w:tc>
          <w:tcPr>
            <w:tcW w:type="dxa" w:w="1701"/>
          </w:tcPr>
          <w:p>
            <w:pPr>
              <w:spacing w:after="20" w:before="20"/>
            </w:pPr>
            <w:r/>
            <w:r>
              <w:rPr>
                <w:b w:val="0"/>
                <w:sz w:val="16"/>
              </w:rPr>
              <w:t>Transit Score</w:t>
            </w:r>
          </w:p>
        </w:tc>
        <w:tc>
          <w:tcPr>
            <w:tcW w:type="dxa" w:w="3969"/>
          </w:tcPr>
          <w:p>
            <w:pPr>
              <w:spacing w:after="20" w:before="20"/>
            </w:pPr>
            <w:r/>
            <w:r>
              <w:rPr>
                <w:b w:val="0"/>
                <w:sz w:val="16"/>
              </w:rPr>
              <w:t>**Not applicable** — no fixed-route public transit serves the area</w:t>
            </w:r>
          </w:p>
        </w:tc>
        <w:tc>
          <w:tcPr>
            <w:tcW w:type="dxa" w:w="3742"/>
          </w:tcPr>
          <w:p>
            <w:pPr>
              <w:spacing w:after="20" w:before="20"/>
            </w:pPr>
            <w:r/>
            <w:r>
              <w:rPr>
                <w:b w:val="0"/>
                <w:sz w:val="16"/>
              </w:rPr>
              <w:t>Rural transit, if any, would be demand-response only</w:t>
            </w:r>
          </w:p>
        </w:tc>
      </w:tr>
    </w:tbl>
    <w:p>
      <w:pPr>
        <w:spacing w:after="40"/>
      </w:pPr>
    </w:p>
    <w:p>
      <w:pPr>
        <w:spacing w:after="80" w:before="0"/>
      </w:pPr>
      <w:r>
        <w:rPr>
          <w:b w:val="0"/>
          <w:i w:val="0"/>
          <w:sz w:val="18"/>
        </w:rPr>
        <w:t>Practical assessment: **a car is mandatory for every single daily necessity.** There is no shop, school, medical facility, pharmacy or employment within walking distance. The nearest groceries are 17 miles away. A two-car household should be assumed, and the annual mileage and fuel cost of a 34-mile round trip for routine errands should be built into any budget comparison against a town location. Walking within the community itself, on paved low-traffic roads through woodland, is genuinely pleasant — but it is recreation, not transport.</w:t>
      </w:r>
    </w:p>
    <w:p>
      <w:pPr>
        <w:spacing w:before="20" w:after="80"/>
      </w:pPr>
      <w:r>
        <w:rPr>
          <w:b/>
          <w:color w:val="B46B00"/>
          <w:sz w:val="15"/>
        </w:rPr>
        <w:t>[MODEL-DERIVED ESTIMATE]</w:t>
      </w:r>
      <w:r>
        <w:rPr>
          <w:i/>
          <w:color w:val="555555"/>
          <w:sz w:val="15"/>
        </w:rPr>
        <w:t xml:space="preserve">  Scores unavailable; assessment reasoned from measured distances.</w:t>
      </w:r>
    </w:p>
    <w:p>
      <w:pPr>
        <w:pStyle w:val="Heading2"/>
      </w:pPr>
      <w:r>
        <w:t>55. Airport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721"/>
            <w:shd w:val="clear" w:color="auto" w:fill="1F4E79"/>
          </w:tcPr>
          <w:p>
            <w:pPr>
              <w:spacing w:after="20" w:before="20"/>
            </w:pPr>
            <w:r/>
            <w:r>
              <w:rPr>
                <w:b/>
                <w:color w:val="FFFFFF"/>
                <w:sz w:val="16"/>
              </w:rPr>
              <w:t>Airport</w:t>
            </w:r>
          </w:p>
        </w:tc>
        <w:tc>
          <w:tcPr>
            <w:tcW w:type="dxa" w:w="1361"/>
            <w:shd w:val="clear" w:color="auto" w:fill="1F4E79"/>
          </w:tcPr>
          <w:p>
            <w:pPr>
              <w:spacing w:after="20" w:before="20"/>
            </w:pPr>
            <w:r/>
            <w:r>
              <w:rPr>
                <w:b/>
                <w:color w:val="FFFFFF"/>
                <w:sz w:val="16"/>
              </w:rPr>
              <w:t>Distance</w:t>
            </w:r>
          </w:p>
        </w:tc>
        <w:tc>
          <w:tcPr>
            <w:tcW w:type="dxa" w:w="1474"/>
            <w:shd w:val="clear" w:color="auto" w:fill="1F4E79"/>
          </w:tcPr>
          <w:p>
            <w:pPr>
              <w:spacing w:after="20" w:before="20"/>
            </w:pPr>
            <w:r/>
            <w:r>
              <w:rPr>
                <w:b/>
                <w:color w:val="FFFFFF"/>
                <w:sz w:val="16"/>
              </w:rPr>
              <w:t>Drive time</w:t>
            </w:r>
          </w:p>
        </w:tc>
        <w:tc>
          <w:tcPr>
            <w:tcW w:type="dxa" w:w="3855"/>
            <w:shd w:val="clear" w:color="auto" w:fill="1F4E79"/>
          </w:tcPr>
          <w:p>
            <w:pPr>
              <w:spacing w:after="20" w:before="20"/>
            </w:pPr>
            <w:r/>
            <w:r>
              <w:rPr>
                <w:b/>
                <w:color w:val="FFFFFF"/>
                <w:sz w:val="16"/>
              </w:rPr>
              <w:t>Role</w:t>
            </w:r>
          </w:p>
        </w:tc>
      </w:tr>
      <w:tr>
        <w:tc>
          <w:tcPr>
            <w:tcW w:type="dxa" w:w="2721"/>
          </w:tcPr>
          <w:p>
            <w:pPr>
              <w:spacing w:after="20" w:before="20"/>
            </w:pPr>
            <w:r/>
            <w:r>
              <w:rPr>
                <w:b/>
                <w:sz w:val="16"/>
              </w:rPr>
              <w:t>Augusta Regional Airport (AGS)</w:t>
            </w:r>
          </w:p>
        </w:tc>
        <w:tc>
          <w:tcPr>
            <w:tcW w:type="dxa" w:w="1361"/>
          </w:tcPr>
          <w:p>
            <w:pPr>
              <w:spacing w:after="20" w:before="20"/>
            </w:pPr>
            <w:r/>
            <w:r>
              <w:rPr>
                <w:b/>
                <w:sz w:val="16"/>
              </w:rPr>
              <w:t>63.4 mi</w:t>
            </w:r>
          </w:p>
        </w:tc>
        <w:tc>
          <w:tcPr>
            <w:tcW w:type="dxa" w:w="1474"/>
          </w:tcPr>
          <w:p>
            <w:pPr>
              <w:spacing w:after="20" w:before="20"/>
            </w:pPr>
            <w:r/>
            <w:r>
              <w:rPr>
                <w:b/>
                <w:sz w:val="16"/>
              </w:rPr>
              <w:t>1 h 51 min</w:t>
            </w:r>
          </w:p>
        </w:tc>
        <w:tc>
          <w:tcPr>
            <w:tcW w:type="dxa" w:w="3855"/>
          </w:tcPr>
          <w:p>
            <w:pPr>
              <w:spacing w:after="20" w:before="20"/>
            </w:pPr>
            <w:r/>
            <w:r>
              <w:rPr>
                <w:b w:val="0"/>
                <w:sz w:val="16"/>
              </w:rPr>
              <w:t>**Nearest commercial airport.** Regional service, primarily connecting through major hubs — limited non-stop destinations</w:t>
            </w:r>
          </w:p>
        </w:tc>
      </w:tr>
      <w:tr>
        <w:tc>
          <w:tcPr>
            <w:tcW w:type="dxa" w:w="2721"/>
            <w:shd w:val="clear" w:color="auto" w:fill="F2F5F9"/>
          </w:tcPr>
          <w:p>
            <w:pPr>
              <w:spacing w:after="20" w:before="20"/>
            </w:pPr>
            <w:r/>
            <w:r>
              <w:rPr>
                <w:b w:val="0"/>
                <w:sz w:val="16"/>
              </w:rPr>
              <w:t>Columbia Metropolitan Airport (CAE), SC</w:t>
            </w:r>
          </w:p>
        </w:tc>
        <w:tc>
          <w:tcPr>
            <w:tcW w:type="dxa" w:w="1361"/>
            <w:shd w:val="clear" w:color="auto" w:fill="F2F5F9"/>
          </w:tcPr>
          <w:p>
            <w:pPr>
              <w:spacing w:after="20" w:before="20"/>
            </w:pPr>
            <w:r/>
            <w:r>
              <w:rPr>
                <w:b w:val="0"/>
                <w:sz w:val="16"/>
              </w:rPr>
              <w:t>116.9 mi</w:t>
            </w:r>
          </w:p>
        </w:tc>
        <w:tc>
          <w:tcPr>
            <w:tcW w:type="dxa" w:w="1474"/>
            <w:shd w:val="clear" w:color="auto" w:fill="F2F5F9"/>
          </w:tcPr>
          <w:p>
            <w:pPr>
              <w:spacing w:after="20" w:before="20"/>
            </w:pPr>
            <w:r/>
            <w:r>
              <w:rPr>
                <w:b w:val="0"/>
                <w:sz w:val="16"/>
              </w:rPr>
              <w:t>2 h 57 min</w:t>
            </w:r>
          </w:p>
        </w:tc>
        <w:tc>
          <w:tcPr>
            <w:tcW w:type="dxa" w:w="3855"/>
            <w:shd w:val="clear" w:color="auto" w:fill="F2F5F9"/>
          </w:tcPr>
          <w:p>
            <w:pPr>
              <w:spacing w:after="20" w:before="20"/>
            </w:pPr>
            <w:r/>
            <w:r>
              <w:rPr>
                <w:b w:val="0"/>
                <w:sz w:val="16"/>
              </w:rPr>
              <w:t>Alternative regional airport</w:t>
            </w:r>
          </w:p>
        </w:tc>
      </w:tr>
      <w:tr>
        <w:tc>
          <w:tcPr>
            <w:tcW w:type="dxa" w:w="2721"/>
          </w:tcPr>
          <w:p>
            <w:pPr>
              <w:spacing w:after="20" w:before="20"/>
            </w:pPr>
            <w:r/>
            <w:r>
              <w:rPr>
                <w:b/>
                <w:sz w:val="16"/>
              </w:rPr>
              <w:t>Hartsfield-Jackson Atlanta (ATL)</w:t>
            </w:r>
          </w:p>
        </w:tc>
        <w:tc>
          <w:tcPr>
            <w:tcW w:type="dxa" w:w="1361"/>
          </w:tcPr>
          <w:p>
            <w:pPr>
              <w:spacing w:after="20" w:before="20"/>
            </w:pPr>
            <w:r/>
            <w:r>
              <w:rPr>
                <w:b/>
                <w:sz w:val="16"/>
              </w:rPr>
              <w:t>130.5 mi</w:t>
            </w:r>
          </w:p>
        </w:tc>
        <w:tc>
          <w:tcPr>
            <w:tcW w:type="dxa" w:w="1474"/>
          </w:tcPr>
          <w:p>
            <w:pPr>
              <w:spacing w:after="20" w:before="20"/>
            </w:pPr>
            <w:r/>
            <w:r>
              <w:rPr>
                <w:b/>
                <w:sz w:val="16"/>
              </w:rPr>
              <w:t>3 h 9 min</w:t>
            </w:r>
          </w:p>
        </w:tc>
        <w:tc>
          <w:tcPr>
            <w:tcW w:type="dxa" w:w="3855"/>
          </w:tcPr>
          <w:p>
            <w:pPr>
              <w:spacing w:after="20" w:before="20"/>
            </w:pPr>
            <w:r/>
            <w:r>
              <w:rPr>
                <w:b w:val="0"/>
                <w:sz w:val="16"/>
              </w:rPr>
              <w:t>**Nearest true international hub.** Extensive domestic and international non-stop network; the realistic choice for any long-haul or international travel</w:t>
            </w:r>
          </w:p>
        </w:tc>
      </w:tr>
    </w:tbl>
    <w:p>
      <w:pPr>
        <w:spacing w:after="40"/>
      </w:pPr>
    </w:p>
    <w:p>
      <w:pPr>
        <w:spacing w:after="80" w:before="0"/>
      </w:pPr>
      <w:r>
        <w:rPr>
          <w:b w:val="0"/>
          <w:i w:val="0"/>
          <w:sz w:val="18"/>
        </w:rPr>
        <w:t>For international travel — relevant given the cultural-proximity question in Section L.52 — the practical airport is Atlanta, a 3-hour drive each way. That makes a trip to India or Europe a 6-hour round-trip ground journey on top of the flight. Augusta Regional is convenient for domestic connecting travel but offers few non-stops.</w:t>
      </w:r>
    </w:p>
    <w:p>
      <w:pPr>
        <w:spacing w:before="20" w:after="80"/>
      </w:pPr>
      <w:r>
        <w:rPr>
          <w:b/>
          <w:color w:val="1E6B3A"/>
          <w:sz w:val="15"/>
        </w:rPr>
        <w:t>[DOCUMENTED]</w:t>
      </w:r>
      <w:r>
        <w:rPr>
          <w:i/>
          <w:color w:val="555555"/>
          <w:sz w:val="15"/>
        </w:rPr>
        <w:t xml:space="preserve">  Distances and drive times OSRM-computed; airport roles from published service patterns.</w:t>
      </w:r>
    </w:p>
    <w:p>
      <w:pPr>
        <w:spacing w:before="120" w:after="40"/>
        <w:jc w:val="center"/>
      </w:pPr>
      <w:r>
        <w:drawing>
          <wp:inline xmlns:a="http://schemas.openxmlformats.org/drawingml/2006/main" xmlns:pic="http://schemas.openxmlformats.org/drawingml/2006/picture">
            <wp:extent cx="5580000" cy="3836250"/>
            <wp:docPr id="8" name="Picture 8"/>
            <wp:cNvGraphicFramePr>
              <a:graphicFrameLocks noChangeAspect="1"/>
            </wp:cNvGraphicFramePr>
            <a:graphic>
              <a:graphicData uri="http://schemas.openxmlformats.org/drawingml/2006/picture">
                <pic:pic>
                  <pic:nvPicPr>
                    <pic:cNvPr id="0" name="fig7_location.png"/>
                    <pic:cNvPicPr/>
                  </pic:nvPicPr>
                  <pic:blipFill>
                    <a:blip r:embed="rId17"/>
                    <a:stretch>
                      <a:fillRect/>
                    </a:stretch>
                  </pic:blipFill>
                  <pic:spPr>
                    <a:xfrm>
                      <a:off x="0" y="0"/>
                      <a:ext cx="5580000" cy="3836250"/>
                    </a:xfrm>
                    <a:prstGeom prst="rect"/>
                  </pic:spPr>
                </pic:pic>
              </a:graphicData>
            </a:graphic>
          </wp:inline>
        </w:drawing>
      </w:r>
    </w:p>
    <w:p>
      <w:pPr>
        <w:spacing w:after="160"/>
        <w:jc w:val="center"/>
      </w:pPr>
      <w:r>
        <w:rPr>
          <w:i/>
          <w:color w:val="555555"/>
          <w:sz w:val="15"/>
        </w:rPr>
        <w:t>Fig. 7 — Regional location and access. Mileages are road-network driving distances from the site.</w:t>
      </w:r>
    </w:p>
    <w:p>
      <w:r>
        <w:br w:type="page"/>
      </w:r>
    </w:p>
    <w:p>
      <w:pPr>
        <w:pStyle w:val="Heading1"/>
      </w:pPr>
      <w:r>
        <w:t>M. Final Due-Diligence Summary</w:t>
      </w:r>
    </w:p>
    <w:p>
      <w:pPr>
        <w:pStyle w:val="Heading2"/>
      </w:pPr>
      <w:r>
        <w:t>56. Property strengths</w:t>
      </w:r>
    </w:p>
    <w:tbl>
      <w:tblPr>
        <w:tblStyle w:val="TableGrid"/>
        <w:tblW w:type="auto" w:w="0"/>
        <w:jc w:val="center"/>
        <w:tblLook w:firstColumn="1" w:firstRow="1" w:lastColumn="0" w:lastRow="0" w:noHBand="0" w:noVBand="1" w:val="04A0"/>
      </w:tblPr>
      <w:tblGrid>
        <w:gridCol w:w="4932"/>
        <w:gridCol w:w="4932"/>
      </w:tblGrid>
      <w:tr>
        <w:tc>
          <w:tcPr>
            <w:tcW w:type="dxa" w:w="2835"/>
            <w:shd w:val="clear" w:color="auto" w:fill="1F4E79"/>
          </w:tcPr>
          <w:p>
            <w:pPr>
              <w:spacing w:after="20" w:before="20"/>
            </w:pPr>
            <w:r/>
            <w:r>
              <w:rPr>
                <w:b/>
                <w:color w:val="FFFFFF"/>
                <w:sz w:val="16"/>
              </w:rPr>
              <w:t>Strength</w:t>
            </w:r>
          </w:p>
        </w:tc>
        <w:tc>
          <w:tcPr>
            <w:tcW w:type="dxa" w:w="6576"/>
            <w:shd w:val="clear" w:color="auto" w:fill="1F4E79"/>
          </w:tcPr>
          <w:p>
            <w:pPr>
              <w:spacing w:after="20" w:before="20"/>
            </w:pPr>
            <w:r/>
            <w:r>
              <w:rPr>
                <w:b/>
                <w:color w:val="FFFFFF"/>
                <w:sz w:val="16"/>
              </w:rPr>
              <w:t>The evidence behind it</w:t>
            </w:r>
          </w:p>
        </w:tc>
      </w:tr>
      <w:tr>
        <w:tc>
          <w:tcPr>
            <w:tcW w:type="dxa" w:w="2835"/>
          </w:tcPr>
          <w:p>
            <w:pPr>
              <w:spacing w:after="20" w:before="20"/>
            </w:pPr>
            <w:r/>
            <w:r>
              <w:rPr>
                <w:b/>
                <w:sz w:val="16"/>
              </w:rPr>
              <w:t>Flood risk at the building envelope is genuinely low</w:t>
            </w:r>
          </w:p>
        </w:tc>
        <w:tc>
          <w:tcPr>
            <w:tcW w:type="dxa" w:w="6576"/>
          </w:tcPr>
          <w:p>
            <w:pPr>
              <w:spacing w:after="20" w:before="20"/>
            </w:pPr>
            <w:r/>
            <w:r>
              <w:rPr>
                <w:b w:val="0"/>
                <w:sz w:val="16"/>
              </w:rPr>
              <w:t>The road corridor and upland sit in FEMA Zone X (minimal hazard), 45–55 ft above the 330 ft full pool and 10+ ft above the 335 ft flood-control pool. That is an unusually large freeboard for a lake property.</w:t>
            </w:r>
          </w:p>
        </w:tc>
      </w:tr>
      <w:tr>
        <w:tc>
          <w:tcPr>
            <w:tcW w:type="dxa" w:w="2835"/>
            <w:shd w:val="clear" w:color="auto" w:fill="F2F5F9"/>
          </w:tcPr>
          <w:p>
            <w:pPr>
              <w:spacing w:after="20" w:before="20"/>
            </w:pPr>
            <w:r/>
            <w:r>
              <w:rPr>
                <w:b/>
                <w:sz w:val="16"/>
              </w:rPr>
              <w:t>The near-road building ground is good</w:t>
            </w:r>
          </w:p>
        </w:tc>
        <w:tc>
          <w:tcPr>
            <w:tcW w:type="dxa" w:w="6576"/>
            <w:shd w:val="clear" w:color="auto" w:fill="F2F5F9"/>
          </w:tcPr>
          <w:p>
            <w:pPr>
              <w:spacing w:after="20" w:before="20"/>
            </w:pPr>
            <w:r/>
            <w:r>
              <w:rPr>
                <w:b w:val="0"/>
                <w:sz w:val="16"/>
              </w:rPr>
              <w:t>Cecil sandy loam at 2–6 % slope is rated "Not limited" by NRCS for dwellings with and without basements — the best rating available.</w:t>
            </w:r>
          </w:p>
        </w:tc>
      </w:tr>
      <w:tr>
        <w:tc>
          <w:tcPr>
            <w:tcW w:type="dxa" w:w="2835"/>
          </w:tcPr>
          <w:p>
            <w:pPr>
              <w:spacing w:after="20" w:before="20"/>
            </w:pPr>
            <w:r/>
            <w:r>
              <w:rPr>
                <w:b/>
                <w:sz w:val="16"/>
              </w:rPr>
              <w:t>Terrain is workable, not difficult</w:t>
            </w:r>
          </w:p>
        </w:tc>
        <w:tc>
          <w:tcPr>
            <w:tcW w:type="dxa" w:w="6576"/>
          </w:tcPr>
          <w:p>
            <w:pPr>
              <w:spacing w:after="20" w:before="20"/>
            </w:pPr>
            <w:r/>
            <w:r>
              <w:rPr>
                <w:b w:val="0"/>
                <w:sz w:val="16"/>
              </w:rPr>
              <w:t>6.0–12.8 % average across the likely envelope; nothing above 25 % measured anywhere. Ordinary Georgia Piedmont building terrain.</w:t>
            </w:r>
          </w:p>
        </w:tc>
      </w:tr>
      <w:tr>
        <w:tc>
          <w:tcPr>
            <w:tcW w:type="dxa" w:w="2835"/>
            <w:shd w:val="clear" w:color="auto" w:fill="F2F5F9"/>
          </w:tcPr>
          <w:p>
            <w:pPr>
              <w:spacing w:after="20" w:before="20"/>
            </w:pPr>
            <w:r/>
            <w:r>
              <w:rPr>
                <w:b/>
                <w:sz w:val="16"/>
              </w:rPr>
              <w:t>Buying two lots together is a real advantage</w:t>
            </w:r>
          </w:p>
        </w:tc>
        <w:tc>
          <w:tcPr>
            <w:tcW w:type="dxa" w:w="6576"/>
            <w:shd w:val="clear" w:color="auto" w:fill="F2F5F9"/>
          </w:tcPr>
          <w:p>
            <w:pPr>
              <w:spacing w:after="20" w:before="20"/>
            </w:pPr>
            <w:r/>
            <w:r>
              <w:rPr>
                <w:b w:val="0"/>
                <w:sz w:val="16"/>
              </w:rPr>
              <w:t>2.14 acres gives genuine flexibility for septic primary plus reserve fields, a possible ADU, privacy, and a hedge against a restrictive soil report.</w:t>
            </w:r>
          </w:p>
        </w:tc>
      </w:tr>
      <w:tr>
        <w:tc>
          <w:tcPr>
            <w:tcW w:type="dxa" w:w="2835"/>
          </w:tcPr>
          <w:p>
            <w:pPr>
              <w:spacing w:after="20" w:before="20"/>
            </w:pPr>
            <w:r/>
            <w:r>
              <w:rPr>
                <w:b/>
                <w:sz w:val="16"/>
              </w:rPr>
              <w:t>Infrastructure already in place</w:t>
            </w:r>
          </w:p>
        </w:tc>
        <w:tc>
          <w:tcPr>
            <w:tcW w:type="dxa" w:w="6576"/>
          </w:tcPr>
          <w:p>
            <w:pPr>
              <w:spacing w:after="20" w:before="20"/>
            </w:pPr>
            <w:r/>
            <w:r>
              <w:rPr>
                <w:b w:val="0"/>
                <w:sz w:val="16"/>
              </w:rPr>
              <w:t>Gated community with paved roads and underground utilities; public water reported. No road-building or long utility runs required.</w:t>
            </w:r>
          </w:p>
        </w:tc>
      </w:tr>
      <w:tr>
        <w:tc>
          <w:tcPr>
            <w:tcW w:type="dxa" w:w="2835"/>
            <w:shd w:val="clear" w:color="auto" w:fill="F2F5F9"/>
          </w:tcPr>
          <w:p>
            <w:pPr>
              <w:spacing w:after="20" w:before="20"/>
            </w:pPr>
            <w:r/>
            <w:r>
              <w:rPr>
                <w:b/>
                <w:sz w:val="16"/>
              </w:rPr>
              <w:t>Broadband is credible</w:t>
            </w:r>
          </w:p>
        </w:tc>
        <w:tc>
          <w:tcPr>
            <w:tcW w:type="dxa" w:w="6576"/>
            <w:shd w:val="clear" w:color="auto" w:fill="F2F5F9"/>
          </w:tcPr>
          <w:p>
            <w:pPr>
              <w:spacing w:after="20" w:before="20"/>
            </w:pPr>
            <w:r/>
            <w:r>
              <w:rPr>
                <w:b w:val="0"/>
                <w:sz w:val="16"/>
              </w:rPr>
              <w:t>Fibre reported in parts of the ZIP code at up to approximately 1,000 Mbps, plus cable, 5G fixed wireless and satellite. Around 8–9 providers serve the area.</w:t>
            </w:r>
          </w:p>
        </w:tc>
      </w:tr>
      <w:tr>
        <w:tc>
          <w:tcPr>
            <w:tcW w:type="dxa" w:w="2835"/>
          </w:tcPr>
          <w:p>
            <w:pPr>
              <w:spacing w:after="20" w:before="20"/>
            </w:pPr>
            <w:r/>
            <w:r>
              <w:rPr>
                <w:b/>
                <w:sz w:val="16"/>
              </w:rPr>
              <w:t>Outstanding lake recreation</w:t>
            </w:r>
          </w:p>
        </w:tc>
        <w:tc>
          <w:tcPr>
            <w:tcW w:type="dxa" w:w="6576"/>
          </w:tcPr>
          <w:p>
            <w:pPr>
              <w:spacing w:after="20" w:before="20"/>
            </w:pPr>
            <w:r/>
            <w:r>
              <w:rPr>
                <w:b w:val="0"/>
                <w:sz w:val="16"/>
              </w:rPr>
              <w:t>71,100 acres and 1,200 miles of shoreline; the largest USACE lake east of the Mississippi. The adjoining Fishing Creek arm is locally reputed as some of the best fishing on the lake.</w:t>
            </w:r>
          </w:p>
        </w:tc>
      </w:tr>
      <w:tr>
        <w:tc>
          <w:tcPr>
            <w:tcW w:type="dxa" w:w="2835"/>
            <w:shd w:val="clear" w:color="auto" w:fill="F2F5F9"/>
          </w:tcPr>
          <w:p>
            <w:pPr>
              <w:spacing w:after="20" w:before="20"/>
            </w:pPr>
            <w:r/>
            <w:r>
              <w:rPr>
                <w:b/>
                <w:sz w:val="16"/>
              </w:rPr>
              <w:t>Nearby public lake access regardless of dock outcome</w:t>
            </w:r>
          </w:p>
        </w:tc>
        <w:tc>
          <w:tcPr>
            <w:tcW w:type="dxa" w:w="6576"/>
            <w:shd w:val="clear" w:color="auto" w:fill="F2F5F9"/>
          </w:tcPr>
          <w:p>
            <w:pPr>
              <w:spacing w:after="20" w:before="20"/>
            </w:pPr>
            <w:r/>
            <w:r>
              <w:rPr>
                <w:b w:val="0"/>
                <w:sz w:val="16"/>
              </w:rPr>
              <w:t>Hesters Ferry Campground is immediately nearby with a boat ramp and waterfront sites; Elijah Clark State Park is 21 miles.</w:t>
            </w:r>
          </w:p>
        </w:tc>
      </w:tr>
      <w:tr>
        <w:tc>
          <w:tcPr>
            <w:tcW w:type="dxa" w:w="2835"/>
          </w:tcPr>
          <w:p>
            <w:pPr>
              <w:spacing w:after="20" w:before="20"/>
            </w:pPr>
            <w:r/>
            <w:r>
              <w:rPr>
                <w:b/>
                <w:sz w:val="16"/>
              </w:rPr>
              <w:t>Long growing season and blueberry-friendly soil</w:t>
            </w:r>
          </w:p>
        </w:tc>
        <w:tc>
          <w:tcPr>
            <w:tcW w:type="dxa" w:w="6576"/>
          </w:tcPr>
          <w:p>
            <w:pPr>
              <w:spacing w:after="20" w:before="20"/>
            </w:pPr>
            <w:r/>
            <w:r>
              <w:rPr>
                <w:b w:val="0"/>
                <w:sz w:val="16"/>
              </w:rPr>
              <w:t>283 frost-free days; native pH 4.8–5.3 is ideal for rabbiteye blueberry and muscadine without amendment.</w:t>
            </w:r>
          </w:p>
        </w:tc>
      </w:tr>
      <w:tr>
        <w:tc>
          <w:tcPr>
            <w:tcW w:type="dxa" w:w="2835"/>
            <w:shd w:val="clear" w:color="auto" w:fill="F2F5F9"/>
          </w:tcPr>
          <w:p>
            <w:pPr>
              <w:spacing w:after="20" w:before="20"/>
            </w:pPr>
            <w:r/>
            <w:r>
              <w:rPr>
                <w:b/>
                <w:sz w:val="16"/>
              </w:rPr>
              <w:t>No karst or sinkhole exposure</w:t>
            </w:r>
          </w:p>
        </w:tc>
        <w:tc>
          <w:tcPr>
            <w:tcW w:type="dxa" w:w="6576"/>
            <w:shd w:val="clear" w:color="auto" w:fill="F2F5F9"/>
          </w:tcPr>
          <w:p>
            <w:pPr>
              <w:spacing w:after="20" w:before="20"/>
            </w:pPr>
            <w:r/>
            <w:r>
              <w:rPr>
                <w:b w:val="0"/>
                <w:sz w:val="16"/>
              </w:rPr>
              <w:t>Residual soils over crystalline Piedmont bedrock. Georgia's sinkhole problems are confined to the limestone Coastal Plain.</w:t>
            </w:r>
          </w:p>
        </w:tc>
      </w:tr>
      <w:tr>
        <w:tc>
          <w:tcPr>
            <w:tcW w:type="dxa" w:w="2835"/>
          </w:tcPr>
          <w:p>
            <w:pPr>
              <w:spacing w:after="20" w:before="20"/>
            </w:pPr>
            <w:r/>
            <w:r>
              <w:rPr>
                <w:b/>
                <w:sz w:val="16"/>
              </w:rPr>
              <w:t>Schools are small and reasonably rated</w:t>
            </w:r>
          </w:p>
        </w:tc>
        <w:tc>
          <w:tcPr>
            <w:tcW w:type="dxa" w:w="6576"/>
          </w:tcPr>
          <w:p>
            <w:pPr>
              <w:spacing w:after="20" w:before="20"/>
            </w:pPr>
            <w:r/>
            <w:r>
              <w:rPr>
                <w:b w:val="0"/>
                <w:sz w:val="16"/>
              </w:rPr>
              <w:t>18:1 ratio; one review service places the county in the top 30 % of Georgia public schools.</w:t>
            </w:r>
          </w:p>
        </w:tc>
      </w:tr>
      <w:tr>
        <w:tc>
          <w:tcPr>
            <w:tcW w:type="dxa" w:w="2835"/>
            <w:shd w:val="clear" w:color="auto" w:fill="F2F5F9"/>
          </w:tcPr>
          <w:p>
            <w:pPr>
              <w:spacing w:after="20" w:before="20"/>
            </w:pPr>
            <w:r/>
            <w:r>
              <w:rPr>
                <w:b/>
                <w:sz w:val="16"/>
              </w:rPr>
              <w:t>Quiet, private, wooded setting</w:t>
            </w:r>
          </w:p>
        </w:tc>
        <w:tc>
          <w:tcPr>
            <w:tcW w:type="dxa" w:w="6576"/>
            <w:shd w:val="clear" w:color="auto" w:fill="F2F5F9"/>
          </w:tcPr>
          <w:p>
            <w:pPr>
              <w:spacing w:after="20" w:before="20"/>
            </w:pPr>
            <w:r/>
            <w:r>
              <w:rPr>
                <w:b w:val="0"/>
                <w:sz w:val="16"/>
              </w:rPr>
              <w:t>Approximately 1,000 acres of wooded ridges; mature hardwoods; low-traffic gated roads.</w:t>
            </w:r>
          </w:p>
        </w:tc>
      </w:tr>
    </w:tbl>
    <w:p>
      <w:pPr>
        <w:spacing w:after="40"/>
      </w:pPr>
    </w:p>
    <w:p>
      <w:pPr>
        <w:pStyle w:val="Heading2"/>
      </w:pPr>
      <w:r>
        <w:t>57. Property limitations and risks</w:t>
      </w:r>
    </w:p>
    <w:tbl>
      <w:tblPr>
        <w:tblStyle w:val="TableGrid"/>
        <w:tblW w:type="auto" w:w="0"/>
        <w:jc w:val="center"/>
        <w:tblLook w:firstColumn="1" w:firstRow="1" w:lastColumn="0" w:lastRow="0" w:noHBand="0" w:noVBand="1" w:val="04A0"/>
      </w:tblPr>
      <w:tblGrid>
        <w:gridCol w:w="3288"/>
        <w:gridCol w:w="3288"/>
        <w:gridCol w:w="3288"/>
      </w:tblGrid>
      <w:tr>
        <w:tc>
          <w:tcPr>
            <w:tcW w:type="dxa" w:w="2608"/>
            <w:shd w:val="clear" w:color="auto" w:fill="1F4E79"/>
          </w:tcPr>
          <w:p>
            <w:pPr>
              <w:spacing w:after="20" w:before="20"/>
            </w:pPr>
            <w:r/>
            <w:r>
              <w:rPr>
                <w:b/>
                <w:color w:val="FFFFFF"/>
                <w:sz w:val="15"/>
              </w:rPr>
              <w:t>Risk</w:t>
            </w:r>
          </w:p>
        </w:tc>
        <w:tc>
          <w:tcPr>
            <w:tcW w:type="dxa" w:w="1134"/>
            <w:shd w:val="clear" w:color="auto" w:fill="1F4E79"/>
          </w:tcPr>
          <w:p>
            <w:pPr>
              <w:spacing w:after="20" w:before="20"/>
            </w:pPr>
            <w:r/>
            <w:r>
              <w:rPr>
                <w:b/>
                <w:color w:val="FFFFFF"/>
                <w:sz w:val="15"/>
              </w:rPr>
              <w:t>Severity</w:t>
            </w:r>
          </w:p>
        </w:tc>
        <w:tc>
          <w:tcPr>
            <w:tcW w:type="dxa" w:w="5669"/>
            <w:shd w:val="clear" w:color="auto" w:fill="1F4E79"/>
          </w:tcPr>
          <w:p>
            <w:pPr>
              <w:spacing w:after="20" w:before="20"/>
            </w:pPr>
            <w:r/>
            <w:r>
              <w:rPr>
                <w:b/>
                <w:color w:val="FFFFFF"/>
                <w:sz w:val="15"/>
              </w:rPr>
              <w:t>Detail</w:t>
            </w:r>
          </w:p>
        </w:tc>
      </w:tr>
      <w:tr>
        <w:tc>
          <w:tcPr>
            <w:tcW w:type="dxa" w:w="2608"/>
          </w:tcPr>
          <w:p>
            <w:pPr>
              <w:spacing w:after="20" w:before="20"/>
            </w:pPr>
            <w:r/>
            <w:r>
              <w:rPr>
                <w:b/>
                <w:sz w:val="15"/>
              </w:rPr>
              <w:t>Water frontage is probably not what it appears</w:t>
            </w:r>
          </w:p>
        </w:tc>
        <w:tc>
          <w:tcPr>
            <w:tcW w:type="dxa" w:w="1134"/>
          </w:tcPr>
          <w:p>
            <w:pPr>
              <w:spacing w:after="20" w:before="20"/>
            </w:pPr>
            <w:r/>
            <w:r>
              <w:rPr>
                <w:b/>
                <w:sz w:val="15"/>
              </w:rPr>
              <w:t>HIGH</w:t>
            </w:r>
          </w:p>
        </w:tc>
        <w:tc>
          <w:tcPr>
            <w:tcW w:type="dxa" w:w="5669"/>
          </w:tcPr>
          <w:p>
            <w:pPr>
              <w:spacing w:after="20" w:before="20"/>
            </w:pPr>
            <w:r/>
            <w:r>
              <w:rPr>
                <w:b w:val="0"/>
                <w:sz w:val="15"/>
              </w:rPr>
              <w:t>Full pool is 467–688 ft horizontally and 53–65 ft vertically from the road. A 1.07-acre lot cannot reach it. Expect USACE land between the rear boundary and the water, and no fee ownership of frontage.</w:t>
            </w:r>
          </w:p>
        </w:tc>
      </w:tr>
      <w:tr>
        <w:tc>
          <w:tcPr>
            <w:tcW w:type="dxa" w:w="2608"/>
            <w:shd w:val="clear" w:color="auto" w:fill="F2F5F9"/>
          </w:tcPr>
          <w:p>
            <w:pPr>
              <w:spacing w:after="20" w:before="20"/>
            </w:pPr>
            <w:r/>
            <w:r>
              <w:rPr>
                <w:b/>
                <w:sz w:val="15"/>
              </w:rPr>
              <w:t>Private dock may be legally unavailable</w:t>
            </w:r>
          </w:p>
        </w:tc>
        <w:tc>
          <w:tcPr>
            <w:tcW w:type="dxa" w:w="1134"/>
            <w:shd w:val="clear" w:color="auto" w:fill="F2F5F9"/>
          </w:tcPr>
          <w:p>
            <w:pPr>
              <w:spacing w:after="20" w:before="20"/>
            </w:pPr>
            <w:r/>
            <w:r>
              <w:rPr>
                <w:b/>
                <w:sz w:val="15"/>
              </w:rPr>
              <w:t>HIGH</w:t>
            </w:r>
          </w:p>
        </w:tc>
        <w:tc>
          <w:tcPr>
            <w:tcW w:type="dxa" w:w="5669"/>
            <w:shd w:val="clear" w:color="auto" w:fill="F2F5F9"/>
          </w:tcPr>
          <w:p>
            <w:pPr>
              <w:spacing w:after="20" w:before="20"/>
            </w:pPr>
            <w:r/>
            <w:r>
              <w:rPr>
                <w:b w:val="0"/>
                <w:sz w:val="15"/>
              </w:rPr>
              <w:t>The 2018 Thurmond SMP permits only COMMUNITY docks for subdivisions platted after 1 May 2018, and requires a 20 ft shared federal boundary for any new dock. Shoreline allocation for this frontage is unverified; only about 18 % of the lake shoreline is Limited Development Area.</w:t>
            </w:r>
          </w:p>
        </w:tc>
      </w:tr>
      <w:tr>
        <w:tc>
          <w:tcPr>
            <w:tcW w:type="dxa" w:w="2608"/>
          </w:tcPr>
          <w:p>
            <w:pPr>
              <w:spacing w:after="20" w:before="20"/>
            </w:pPr>
            <w:r/>
            <w:r>
              <w:rPr>
                <w:b/>
                <w:sz w:val="15"/>
              </w:rPr>
              <w:t>Septic capacity may limit house size</w:t>
            </w:r>
          </w:p>
        </w:tc>
        <w:tc>
          <w:tcPr>
            <w:tcW w:type="dxa" w:w="1134"/>
          </w:tcPr>
          <w:p>
            <w:pPr>
              <w:spacing w:after="20" w:before="20"/>
            </w:pPr>
            <w:r/>
            <w:r>
              <w:rPr>
                <w:b/>
                <w:sz w:val="15"/>
              </w:rPr>
              <w:t>HIGH</w:t>
            </w:r>
          </w:p>
        </w:tc>
        <w:tc>
          <w:tcPr>
            <w:tcW w:type="dxa" w:w="5669"/>
          </w:tcPr>
          <w:p>
            <w:pPr>
              <w:spacing w:after="20" w:before="20"/>
            </w:pPr>
            <w:r/>
            <w:r>
              <w:rPr>
                <w:b w:val="0"/>
                <w:sz w:val="15"/>
              </w:rPr>
              <w:t>Pacolet, Zion and Madison 10–25 % all rate "Very limited" for absorption fields. Zion has indurated bedrock at 77 cm. Georgia denies permits where bedrock is under 2 ft below the field. A 4-bedroom conventional approval is not assured.</w:t>
            </w:r>
          </w:p>
        </w:tc>
      </w:tr>
      <w:tr>
        <w:tc>
          <w:tcPr>
            <w:tcW w:type="dxa" w:w="2608"/>
            <w:shd w:val="clear" w:color="auto" w:fill="F2F5F9"/>
          </w:tcPr>
          <w:p>
            <w:pPr>
              <w:spacing w:after="20" w:before="20"/>
            </w:pPr>
            <w:r/>
            <w:r>
              <w:rPr>
                <w:b/>
                <w:sz w:val="15"/>
              </w:rPr>
              <w:t>Asking price is unresolved</w:t>
            </w:r>
          </w:p>
        </w:tc>
        <w:tc>
          <w:tcPr>
            <w:tcW w:type="dxa" w:w="1134"/>
            <w:shd w:val="clear" w:color="auto" w:fill="F2F5F9"/>
          </w:tcPr>
          <w:p>
            <w:pPr>
              <w:spacing w:after="20" w:before="20"/>
            </w:pPr>
            <w:r/>
            <w:r>
              <w:rPr>
                <w:b/>
                <w:sz w:val="15"/>
              </w:rPr>
              <w:t>HIGH</w:t>
            </w:r>
          </w:p>
        </w:tc>
        <w:tc>
          <w:tcPr>
            <w:tcW w:type="dxa" w:w="5669"/>
            <w:shd w:val="clear" w:color="auto" w:fill="F2F5F9"/>
          </w:tcPr>
          <w:p>
            <w:pPr>
              <w:spacing w:after="20" w:before="20"/>
            </w:pPr>
            <w:r/>
            <w:r>
              <w:rPr>
                <w:b w:val="0"/>
                <w:sz w:val="15"/>
              </w:rPr>
              <w:t>Cached listings show $55,000, $144,000 and $169,900 across three brokerages.</w:t>
            </w:r>
          </w:p>
        </w:tc>
      </w:tr>
      <w:tr>
        <w:tc>
          <w:tcPr>
            <w:tcW w:type="dxa" w:w="2608"/>
          </w:tcPr>
          <w:p>
            <w:pPr>
              <w:spacing w:after="20" w:before="20"/>
            </w:pPr>
            <w:r/>
            <w:r>
              <w:rPr>
                <w:b w:val="0"/>
                <w:sz w:val="15"/>
              </w:rPr>
              <w:t>Zone A SFHA present on part of the area</w:t>
            </w:r>
          </w:p>
        </w:tc>
        <w:tc>
          <w:tcPr>
            <w:tcW w:type="dxa" w:w="1134"/>
          </w:tcPr>
          <w:p>
            <w:pPr>
              <w:spacing w:after="20" w:before="20"/>
            </w:pPr>
            <w:r/>
            <w:r>
              <w:rPr>
                <w:b w:val="0"/>
                <w:sz w:val="15"/>
              </w:rPr>
              <w:t>MEDIUM</w:t>
            </w:r>
          </w:p>
        </w:tc>
        <w:tc>
          <w:tcPr>
            <w:tcW w:type="dxa" w:w="5669"/>
          </w:tcPr>
          <w:p>
            <w:pPr>
              <w:spacing w:after="20" w:before="20"/>
            </w:pPr>
            <w:r/>
            <w:r>
              <w:rPr>
                <w:b w:val="0"/>
                <w:sz w:val="15"/>
              </w:rPr>
              <w:t>No BFE published, so the county sets the flood elevation and an Elevation Certificate will likely be required if any structure falls in Zone A.</w:t>
            </w:r>
          </w:p>
        </w:tc>
      </w:tr>
      <w:tr>
        <w:tc>
          <w:tcPr>
            <w:tcW w:type="dxa" w:w="2608"/>
            <w:shd w:val="clear" w:color="auto" w:fill="F2F5F9"/>
          </w:tcPr>
          <w:p>
            <w:pPr>
              <w:spacing w:after="20" w:before="20"/>
            </w:pPr>
            <w:r/>
            <w:r>
              <w:rPr>
                <w:b w:val="0"/>
                <w:sz w:val="15"/>
              </w:rPr>
              <w:t>Reservoir drawdown in a creek-arm cove</w:t>
            </w:r>
          </w:p>
        </w:tc>
        <w:tc>
          <w:tcPr>
            <w:tcW w:type="dxa" w:w="1134"/>
            <w:shd w:val="clear" w:color="auto" w:fill="F2F5F9"/>
          </w:tcPr>
          <w:p>
            <w:pPr>
              <w:spacing w:after="20" w:before="20"/>
            </w:pPr>
            <w:r/>
            <w:r>
              <w:rPr>
                <w:b w:val="0"/>
                <w:sz w:val="15"/>
              </w:rPr>
              <w:t>MEDIUM</w:t>
            </w:r>
          </w:p>
        </w:tc>
        <w:tc>
          <w:tcPr>
            <w:tcW w:type="dxa" w:w="5669"/>
            <w:shd w:val="clear" w:color="auto" w:fill="F2F5F9"/>
          </w:tcPr>
          <w:p>
            <w:pPr>
              <w:spacing w:after="20" w:before="20"/>
            </w:pPr>
            <w:r/>
            <w:r>
              <w:rPr>
                <w:b w:val="0"/>
                <w:sz w:val="15"/>
              </w:rPr>
              <w:t>Up to 18 ft of conservation-pool range (312–330 ft) plus seasonal flood-pool drawdown. Shallow cove locations can become unusable in drought.</w:t>
            </w:r>
          </w:p>
        </w:tc>
      </w:tr>
      <w:tr>
        <w:tc>
          <w:tcPr>
            <w:tcW w:type="dxa" w:w="2608"/>
          </w:tcPr>
          <w:p>
            <w:pPr>
              <w:spacing w:after="20" w:before="20"/>
            </w:pPr>
            <w:r/>
            <w:r>
              <w:rPr>
                <w:b w:val="0"/>
                <w:sz w:val="15"/>
              </w:rPr>
              <w:t>Long, steep walk to the water</w:t>
            </w:r>
          </w:p>
        </w:tc>
        <w:tc>
          <w:tcPr>
            <w:tcW w:type="dxa" w:w="1134"/>
          </w:tcPr>
          <w:p>
            <w:pPr>
              <w:spacing w:after="20" w:before="20"/>
            </w:pPr>
            <w:r/>
            <w:r>
              <w:rPr>
                <w:b w:val="0"/>
                <w:sz w:val="15"/>
              </w:rPr>
              <w:t>MEDIUM</w:t>
            </w:r>
          </w:p>
        </w:tc>
        <w:tc>
          <w:tcPr>
            <w:tcW w:type="dxa" w:w="5669"/>
          </w:tcPr>
          <w:p>
            <w:pPr>
              <w:spacing w:after="20" w:before="20"/>
            </w:pPr>
            <w:r/>
            <w:r>
              <w:rPr>
                <w:b w:val="0"/>
                <w:sz w:val="15"/>
              </w:rPr>
              <w:t>470–690 ft each way with a 53–65 ft climb on return — roughly five storeys. A daily-use constraint even if a dock is permitted.</w:t>
            </w:r>
          </w:p>
        </w:tc>
      </w:tr>
      <w:tr>
        <w:tc>
          <w:tcPr>
            <w:tcW w:type="dxa" w:w="2608"/>
            <w:shd w:val="clear" w:color="auto" w:fill="F2F5F9"/>
          </w:tcPr>
          <w:p>
            <w:pPr>
              <w:spacing w:after="20" w:before="20"/>
            </w:pPr>
            <w:r/>
            <w:r>
              <w:rPr>
                <w:b w:val="0"/>
                <w:sz w:val="15"/>
              </w:rPr>
              <w:t>High erosion potential during construction</w:t>
            </w:r>
          </w:p>
        </w:tc>
        <w:tc>
          <w:tcPr>
            <w:tcW w:type="dxa" w:w="1134"/>
            <w:shd w:val="clear" w:color="auto" w:fill="F2F5F9"/>
          </w:tcPr>
          <w:p>
            <w:pPr>
              <w:spacing w:after="20" w:before="20"/>
            </w:pPr>
            <w:r/>
            <w:r>
              <w:rPr>
                <w:b w:val="0"/>
                <w:sz w:val="15"/>
              </w:rPr>
              <w:t>MEDIUM</w:t>
            </w:r>
          </w:p>
        </w:tc>
        <w:tc>
          <w:tcPr>
            <w:tcW w:type="dxa" w:w="5669"/>
            <w:shd w:val="clear" w:color="auto" w:fill="F2F5F9"/>
          </w:tcPr>
          <w:p>
            <w:pPr>
              <w:spacing w:after="20" w:before="20"/>
            </w:pPr>
            <w:r/>
            <w:r>
              <w:rPr>
                <w:b w:val="0"/>
                <w:sz w:val="15"/>
              </w:rPr>
              <w:t>Severely eroded Pacolet on 10–25 % slopes, 0.25–1.00 % surface organic matter, and runoff draining to federal land and the lake.</w:t>
            </w:r>
          </w:p>
        </w:tc>
      </w:tr>
      <w:tr>
        <w:tc>
          <w:tcPr>
            <w:tcW w:type="dxa" w:w="2608"/>
          </w:tcPr>
          <w:p>
            <w:pPr>
              <w:spacing w:after="20" w:before="20"/>
            </w:pPr>
            <w:r/>
            <w:r>
              <w:rPr>
                <w:b w:val="0"/>
                <w:sz w:val="15"/>
              </w:rPr>
              <w:t>Construction cost uncertainty</w:t>
            </w:r>
          </w:p>
        </w:tc>
        <w:tc>
          <w:tcPr>
            <w:tcW w:type="dxa" w:w="1134"/>
          </w:tcPr>
          <w:p>
            <w:pPr>
              <w:spacing w:after="20" w:before="20"/>
            </w:pPr>
            <w:r/>
            <w:r>
              <w:rPr>
                <w:b w:val="0"/>
                <w:sz w:val="15"/>
              </w:rPr>
              <w:t>MEDIUM</w:t>
            </w:r>
          </w:p>
        </w:tc>
        <w:tc>
          <w:tcPr>
            <w:tcW w:type="dxa" w:w="5669"/>
          </w:tcPr>
          <w:p>
            <w:pPr>
              <w:spacing w:after="20" w:before="20"/>
            </w:pPr>
            <w:r/>
            <w:r>
              <w:rPr>
                <w:b w:val="0"/>
                <w:sz w:val="15"/>
              </w:rPr>
              <w:t>Estimated $575k–$1.27m for 2,800 sq ft; the septic and retaining outcomes drive the spread.</w:t>
            </w:r>
          </w:p>
        </w:tc>
      </w:tr>
      <w:tr>
        <w:tc>
          <w:tcPr>
            <w:tcW w:type="dxa" w:w="2608"/>
            <w:shd w:val="clear" w:color="auto" w:fill="F2F5F9"/>
          </w:tcPr>
          <w:p>
            <w:pPr>
              <w:spacing w:after="20" w:before="20"/>
            </w:pPr>
            <w:r/>
            <w:r>
              <w:rPr>
                <w:b w:val="0"/>
                <w:sz w:val="15"/>
              </w:rPr>
              <w:t>Clay subsoils at 40–55 %</w:t>
            </w:r>
          </w:p>
        </w:tc>
        <w:tc>
          <w:tcPr>
            <w:tcW w:type="dxa" w:w="1134"/>
            <w:shd w:val="clear" w:color="auto" w:fill="F2F5F9"/>
          </w:tcPr>
          <w:p>
            <w:pPr>
              <w:spacing w:after="20" w:before="20"/>
            </w:pPr>
            <w:r/>
            <w:r>
              <w:rPr>
                <w:b w:val="0"/>
                <w:sz w:val="15"/>
              </w:rPr>
              <w:t>MEDIUM</w:t>
            </w:r>
          </w:p>
        </w:tc>
        <w:tc>
          <w:tcPr>
            <w:tcW w:type="dxa" w:w="5669"/>
            <w:shd w:val="clear" w:color="auto" w:fill="F2F5F9"/>
          </w:tcPr>
          <w:p>
            <w:pPr>
              <w:spacing w:after="20" w:before="20"/>
            </w:pPr>
            <w:r/>
            <w:r>
              <w:rPr>
                <w:b w:val="0"/>
                <w:sz w:val="15"/>
              </w:rPr>
              <w:t>Perched water above the clay; foundation drainage and basement waterproofing must be engineered properly.</w:t>
            </w:r>
          </w:p>
        </w:tc>
      </w:tr>
      <w:tr>
        <w:tc>
          <w:tcPr>
            <w:tcW w:type="dxa" w:w="2608"/>
          </w:tcPr>
          <w:p>
            <w:pPr>
              <w:spacing w:after="20" w:before="20"/>
            </w:pPr>
            <w:r/>
            <w:r>
              <w:rPr>
                <w:b w:val="0"/>
                <w:sz w:val="15"/>
              </w:rPr>
              <w:t>HOA restrictions unknown but certain to exist</w:t>
            </w:r>
          </w:p>
        </w:tc>
        <w:tc>
          <w:tcPr>
            <w:tcW w:type="dxa" w:w="1134"/>
          </w:tcPr>
          <w:p>
            <w:pPr>
              <w:spacing w:after="20" w:before="20"/>
            </w:pPr>
            <w:r/>
            <w:r>
              <w:rPr>
                <w:b w:val="0"/>
                <w:sz w:val="15"/>
              </w:rPr>
              <w:t>MEDIUM</w:t>
            </w:r>
          </w:p>
        </w:tc>
        <w:tc>
          <w:tcPr>
            <w:tcW w:type="dxa" w:w="5669"/>
          </w:tcPr>
          <w:p>
            <w:pPr>
              <w:spacing w:after="20" w:before="20"/>
            </w:pPr>
            <w:r/>
            <w:r>
              <w:rPr>
                <w:b w:val="0"/>
                <w:sz w:val="15"/>
              </w:rPr>
              <w:t>Confirmed architectural approval regime with a written pre-construction requirement. Dues, assessments, minimum house size, tree-clearing, livestock and STR rules all unobtained.</w:t>
            </w:r>
          </w:p>
        </w:tc>
      </w:tr>
      <w:tr>
        <w:tc>
          <w:tcPr>
            <w:tcW w:type="dxa" w:w="2608"/>
            <w:shd w:val="clear" w:color="auto" w:fill="F2F5F9"/>
          </w:tcPr>
          <w:p>
            <w:pPr>
              <w:spacing w:after="20" w:before="20"/>
            </w:pPr>
            <w:r/>
            <w:r>
              <w:rPr>
                <w:b w:val="0"/>
                <w:sz w:val="15"/>
              </w:rPr>
              <w:t>Zoning parameters entirely unknown</w:t>
            </w:r>
          </w:p>
        </w:tc>
        <w:tc>
          <w:tcPr>
            <w:tcW w:type="dxa" w:w="1134"/>
            <w:shd w:val="clear" w:color="auto" w:fill="F2F5F9"/>
          </w:tcPr>
          <w:p>
            <w:pPr>
              <w:spacing w:after="20" w:before="20"/>
            </w:pPr>
            <w:r/>
            <w:r>
              <w:rPr>
                <w:b w:val="0"/>
                <w:sz w:val="15"/>
              </w:rPr>
              <w:t>MEDIUM</w:t>
            </w:r>
          </w:p>
        </w:tc>
        <w:tc>
          <w:tcPr>
            <w:tcW w:type="dxa" w:w="5669"/>
            <w:shd w:val="clear" w:color="auto" w:fill="F2F5F9"/>
          </w:tcPr>
          <w:p>
            <w:pPr>
              <w:spacing w:after="20" w:before="20"/>
            </w:pPr>
            <w:r/>
            <w:r>
              <w:rPr>
                <w:b w:val="0"/>
                <w:sz w:val="15"/>
              </w:rPr>
              <w:t>Setbacks, minimum lot size, height, accessory structures and ADU rules not determined. At 1.07 acres each, the lots sit just above a typical 1-acre septic minimum.</w:t>
            </w:r>
          </w:p>
        </w:tc>
      </w:tr>
      <w:tr>
        <w:tc>
          <w:tcPr>
            <w:tcW w:type="dxa" w:w="2608"/>
          </w:tcPr>
          <w:p>
            <w:pPr>
              <w:spacing w:after="20" w:before="20"/>
            </w:pPr>
            <w:r/>
            <w:r>
              <w:rPr>
                <w:b/>
                <w:sz w:val="15"/>
              </w:rPr>
              <w:t>Remoteness from healthcare</w:t>
            </w:r>
          </w:p>
        </w:tc>
        <w:tc>
          <w:tcPr>
            <w:tcW w:type="dxa" w:w="1134"/>
          </w:tcPr>
          <w:p>
            <w:pPr>
              <w:spacing w:after="20" w:before="20"/>
            </w:pPr>
            <w:r/>
            <w:r>
              <w:rPr>
                <w:b/>
                <w:sz w:val="15"/>
              </w:rPr>
              <w:t>MEDIUM-HIGH</w:t>
            </w:r>
          </w:p>
        </w:tc>
        <w:tc>
          <w:tcPr>
            <w:tcW w:type="dxa" w:w="5669"/>
          </w:tcPr>
          <w:p>
            <w:pPr>
              <w:spacing w:after="20" w:before="20"/>
            </w:pPr>
            <w:r/>
            <w:r>
              <w:rPr>
                <w:b w:val="0"/>
                <w:sz w:val="15"/>
              </w:rPr>
              <w:t>43 min to a 25-bed critical-access ER; 1 h 38 min to a full-service hospital.</w:t>
            </w:r>
          </w:p>
        </w:tc>
      </w:tr>
      <w:tr>
        <w:tc>
          <w:tcPr>
            <w:tcW w:type="dxa" w:w="2608"/>
            <w:shd w:val="clear" w:color="auto" w:fill="F2F5F9"/>
          </w:tcPr>
          <w:p>
            <w:pPr>
              <w:spacing w:after="20" w:before="20"/>
            </w:pPr>
            <w:r/>
            <w:r>
              <w:rPr>
                <w:b w:val="0"/>
                <w:sz w:val="15"/>
              </w:rPr>
              <w:t>Remoteness from retail and services</w:t>
            </w:r>
          </w:p>
        </w:tc>
        <w:tc>
          <w:tcPr>
            <w:tcW w:type="dxa" w:w="1134"/>
            <w:shd w:val="clear" w:color="auto" w:fill="F2F5F9"/>
          </w:tcPr>
          <w:p>
            <w:pPr>
              <w:spacing w:after="20" w:before="20"/>
            </w:pPr>
            <w:r/>
            <w:r>
              <w:rPr>
                <w:b w:val="0"/>
                <w:sz w:val="15"/>
              </w:rPr>
              <w:t>MEDIUM</w:t>
            </w:r>
          </w:p>
        </w:tc>
        <w:tc>
          <w:tcPr>
            <w:tcW w:type="dxa" w:w="5669"/>
            <w:shd w:val="clear" w:color="auto" w:fill="F2F5F9"/>
          </w:tcPr>
          <w:p>
            <w:pPr>
              <w:spacing w:after="20" w:before="20"/>
            </w:pPr>
            <w:r/>
            <w:r>
              <w:rPr>
                <w:b w:val="0"/>
                <w:sz w:val="15"/>
              </w:rPr>
              <w:t>17 mi to groceries, 43.5 mi to a Walmart, 63 mi to a commercial airport, 130 mi to an international hub.</w:t>
            </w:r>
          </w:p>
        </w:tc>
      </w:tr>
      <w:tr>
        <w:tc>
          <w:tcPr>
            <w:tcW w:type="dxa" w:w="2608"/>
          </w:tcPr>
          <w:p>
            <w:pPr>
              <w:spacing w:after="20" w:before="20"/>
            </w:pPr>
            <w:r/>
            <w:r>
              <w:rPr>
                <w:b w:val="0"/>
                <w:sz w:val="15"/>
              </w:rPr>
              <w:t>Car dependence is absolute</w:t>
            </w:r>
          </w:p>
        </w:tc>
        <w:tc>
          <w:tcPr>
            <w:tcW w:type="dxa" w:w="1134"/>
          </w:tcPr>
          <w:p>
            <w:pPr>
              <w:spacing w:after="20" w:before="20"/>
            </w:pPr>
            <w:r/>
            <w:r>
              <w:rPr>
                <w:b w:val="0"/>
                <w:sz w:val="15"/>
              </w:rPr>
              <w:t>MEDIUM</w:t>
            </w:r>
          </w:p>
        </w:tc>
        <w:tc>
          <w:tcPr>
            <w:tcW w:type="dxa" w:w="5669"/>
          </w:tcPr>
          <w:p>
            <w:pPr>
              <w:spacing w:after="20" w:before="20"/>
            </w:pPr>
            <w:r/>
            <w:r>
              <w:rPr>
                <w:b w:val="0"/>
                <w:sz w:val="15"/>
              </w:rPr>
              <w:t>No transit, no walkable amenities, 34-mile round trip for routine errands.</w:t>
            </w:r>
          </w:p>
        </w:tc>
      </w:tr>
      <w:tr>
        <w:tc>
          <w:tcPr>
            <w:tcW w:type="dxa" w:w="2608"/>
            <w:shd w:val="clear" w:color="auto" w:fill="F2F5F9"/>
          </w:tcPr>
          <w:p>
            <w:pPr>
              <w:spacing w:after="20" w:before="20"/>
            </w:pPr>
            <w:r/>
            <w:r>
              <w:rPr>
                <w:b w:val="0"/>
                <w:sz w:val="15"/>
              </w:rPr>
              <w:t>Very small South Asian community locally</w:t>
            </w:r>
          </w:p>
        </w:tc>
        <w:tc>
          <w:tcPr>
            <w:tcW w:type="dxa" w:w="1134"/>
            <w:shd w:val="clear" w:color="auto" w:fill="F2F5F9"/>
          </w:tcPr>
          <w:p>
            <w:pPr>
              <w:spacing w:after="20" w:before="20"/>
            </w:pPr>
            <w:r/>
            <w:r>
              <w:rPr>
                <w:b w:val="0"/>
                <w:sz w:val="15"/>
              </w:rPr>
              <w:t>MEDIUM (household-specific)</w:t>
            </w:r>
          </w:p>
        </w:tc>
        <w:tc>
          <w:tcPr>
            <w:tcW w:type="dxa" w:w="5669"/>
            <w:shd w:val="clear" w:color="auto" w:fill="F2F5F9"/>
          </w:tcPr>
          <w:p>
            <w:pPr>
              <w:spacing w:after="20" w:before="20"/>
            </w:pPr>
            <w:r/>
            <w:r>
              <w:rPr>
                <w:b w:val="0"/>
                <w:sz w:val="15"/>
              </w:rPr>
              <w:t>0.4 % Asian countywide; nearest temple and groceries 1 h 38 min away in Augusta, nearest major community 3 h away in Atlanta.</w:t>
            </w:r>
          </w:p>
        </w:tc>
      </w:tr>
      <w:tr>
        <w:tc>
          <w:tcPr>
            <w:tcW w:type="dxa" w:w="2608"/>
          </w:tcPr>
          <w:p>
            <w:pPr>
              <w:spacing w:after="20" w:before="20"/>
            </w:pPr>
            <w:r/>
            <w:r>
              <w:rPr>
                <w:b w:val="0"/>
                <w:sz w:val="15"/>
              </w:rPr>
              <w:t>STR viability doubtful</w:t>
            </w:r>
          </w:p>
        </w:tc>
        <w:tc>
          <w:tcPr>
            <w:tcW w:type="dxa" w:w="1134"/>
          </w:tcPr>
          <w:p>
            <w:pPr>
              <w:spacing w:after="20" w:before="20"/>
            </w:pPr>
            <w:r/>
            <w:r>
              <w:rPr>
                <w:b w:val="0"/>
                <w:sz w:val="15"/>
              </w:rPr>
              <w:t>MEDIUM</w:t>
            </w:r>
          </w:p>
        </w:tc>
        <w:tc>
          <w:tcPr>
            <w:tcW w:type="dxa" w:w="5669"/>
          </w:tcPr>
          <w:p>
            <w:pPr>
              <w:spacing w:after="20" w:before="20"/>
            </w:pPr>
            <w:r/>
            <w:r>
              <w:rPr>
                <w:b w:val="0"/>
                <w:sz w:val="15"/>
              </w:rPr>
              <w:t>HOA rules unknown, county rules unknown, occupancy capped by septic bedroom count, and no confirmed dock — which is what drives lake-rental rates.</w:t>
            </w:r>
          </w:p>
        </w:tc>
      </w:tr>
      <w:tr>
        <w:tc>
          <w:tcPr>
            <w:tcW w:type="dxa" w:w="2608"/>
            <w:shd w:val="clear" w:color="auto" w:fill="F2F5F9"/>
          </w:tcPr>
          <w:p>
            <w:pPr>
              <w:spacing w:after="20" w:before="20"/>
            </w:pPr>
            <w:r/>
            <w:r>
              <w:rPr>
                <w:b w:val="0"/>
                <w:sz w:val="15"/>
              </w:rPr>
              <w:t>Radon zone undetermined</w:t>
            </w:r>
          </w:p>
        </w:tc>
        <w:tc>
          <w:tcPr>
            <w:tcW w:type="dxa" w:w="1134"/>
            <w:shd w:val="clear" w:color="auto" w:fill="F2F5F9"/>
          </w:tcPr>
          <w:p>
            <w:pPr>
              <w:spacing w:after="20" w:before="20"/>
            </w:pPr>
            <w:r/>
            <w:r>
              <w:rPr>
                <w:b w:val="0"/>
                <w:sz w:val="15"/>
              </w:rPr>
              <w:t>LOW-MEDIUM</w:t>
            </w:r>
          </w:p>
        </w:tc>
        <w:tc>
          <w:tcPr>
            <w:tcW w:type="dxa" w:w="5669"/>
            <w:shd w:val="clear" w:color="auto" w:fill="F2F5F9"/>
          </w:tcPr>
          <w:p>
            <w:pPr>
              <w:spacing w:after="20" w:before="20"/>
            </w:pPr>
            <w:r/>
            <w:r>
              <w:rPr>
                <w:b w:val="0"/>
                <w:sz w:val="15"/>
              </w:rPr>
              <w:t>Could not be extracted reliably. Piedmont crystalline terrain is a recognised radon source. Test, and install a passive system at build stage.</w:t>
            </w:r>
          </w:p>
        </w:tc>
      </w:tr>
      <w:tr>
        <w:tc>
          <w:tcPr>
            <w:tcW w:type="dxa" w:w="2608"/>
          </w:tcPr>
          <w:p>
            <w:pPr>
              <w:spacing w:after="20" w:before="20"/>
            </w:pPr>
            <w:r/>
            <w:r>
              <w:rPr>
                <w:b w:val="0"/>
                <w:sz w:val="15"/>
              </w:rPr>
              <w:t>Wildfire exposure on a wooded lot</w:t>
            </w:r>
          </w:p>
        </w:tc>
        <w:tc>
          <w:tcPr>
            <w:tcW w:type="dxa" w:w="1134"/>
          </w:tcPr>
          <w:p>
            <w:pPr>
              <w:spacing w:after="20" w:before="20"/>
            </w:pPr>
            <w:r/>
            <w:r>
              <w:rPr>
                <w:b w:val="0"/>
                <w:sz w:val="15"/>
              </w:rPr>
              <w:t>LOW-MEDIUM</w:t>
            </w:r>
          </w:p>
        </w:tc>
        <w:tc>
          <w:tcPr>
            <w:tcW w:type="dxa" w:w="5669"/>
          </w:tcPr>
          <w:p>
            <w:pPr>
              <w:spacing w:after="20" w:before="20"/>
            </w:pPr>
            <w:r/>
            <w:r>
              <w:rPr>
                <w:b w:val="0"/>
                <w:sz w:val="15"/>
              </w:rPr>
              <w:t>Mature hardwood and pine cover; defensible space advisable.</w:t>
            </w:r>
          </w:p>
        </w:tc>
      </w:tr>
      <w:tr>
        <w:tc>
          <w:tcPr>
            <w:tcW w:type="dxa" w:w="2608"/>
            <w:shd w:val="clear" w:color="auto" w:fill="F2F5F9"/>
          </w:tcPr>
          <w:p>
            <w:pPr>
              <w:spacing w:after="20" w:before="20"/>
            </w:pPr>
            <w:r/>
            <w:r>
              <w:rPr>
                <w:b w:val="0"/>
                <w:sz w:val="15"/>
              </w:rPr>
              <w:t>Parcel identity not independently verified</w:t>
            </w:r>
          </w:p>
        </w:tc>
        <w:tc>
          <w:tcPr>
            <w:tcW w:type="dxa" w:w="1134"/>
            <w:shd w:val="clear" w:color="auto" w:fill="F2F5F9"/>
          </w:tcPr>
          <w:p>
            <w:pPr>
              <w:spacing w:after="20" w:before="20"/>
            </w:pPr>
            <w:r/>
            <w:r>
              <w:rPr>
                <w:b w:val="0"/>
                <w:sz w:val="15"/>
              </w:rPr>
              <w:t>LOW (but fundamental)</w:t>
            </w:r>
          </w:p>
        </w:tc>
        <w:tc>
          <w:tcPr>
            <w:tcW w:type="dxa" w:w="5669"/>
            <w:shd w:val="clear" w:color="auto" w:fill="F2F5F9"/>
          </w:tcPr>
          <w:p>
            <w:pPr>
              <w:spacing w:after="20" w:before="20"/>
            </w:pPr>
            <w:r/>
            <w:r>
              <w:rPr>
                <w:b w:val="0"/>
                <w:sz w:val="15"/>
              </w:rPr>
              <w:t>County GIS is token-restricted; no parcel ID, dimensions or legal description obtained.</w:t>
            </w:r>
          </w:p>
        </w:tc>
      </w:tr>
    </w:tbl>
    <w:p>
      <w:pPr>
        <w:spacing w:after="40"/>
      </w:pPr>
    </w:p>
    <w:p>
      <w:pPr>
        <w:pStyle w:val="Heading2"/>
      </w:pPr>
      <w:r>
        <w:t>58. Missing documentation — what to obtain before purchase</w:t>
      </w:r>
    </w:p>
    <w:p>
      <w:pPr>
        <w:spacing w:after="80" w:before="0"/>
      </w:pPr>
      <w:r>
        <w:rPr>
          <w:b w:val="0"/>
          <w:i w:val="0"/>
          <w:sz w:val="18"/>
        </w:rPr>
        <w:t>These are grouped by who holds them. The four marked GATING should be resolved before any due-diligence contingency is released.</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54"/>
            <w:shd w:val="clear" w:color="auto" w:fill="1F4E79"/>
          </w:tcPr>
          <w:p>
            <w:pPr>
              <w:spacing w:after="20" w:before="20"/>
            </w:pPr>
            <w:r/>
            <w:r>
              <w:rPr>
                <w:b/>
                <w:color w:val="FFFFFF"/>
                <w:sz w:val="15"/>
              </w:rPr>
              <w:t>#</w:t>
            </w:r>
          </w:p>
        </w:tc>
        <w:tc>
          <w:tcPr>
            <w:tcW w:type="dxa" w:w="3628"/>
            <w:shd w:val="clear" w:color="auto" w:fill="1F4E79"/>
          </w:tcPr>
          <w:p>
            <w:pPr>
              <w:spacing w:after="20" w:before="20"/>
            </w:pPr>
            <w:r/>
            <w:r>
              <w:rPr>
                <w:b/>
                <w:color w:val="FFFFFF"/>
                <w:sz w:val="15"/>
              </w:rPr>
              <w:t>Document</w:t>
            </w:r>
          </w:p>
        </w:tc>
        <w:tc>
          <w:tcPr>
            <w:tcW w:type="dxa" w:w="2948"/>
            <w:shd w:val="clear" w:color="auto" w:fill="1F4E79"/>
          </w:tcPr>
          <w:p>
            <w:pPr>
              <w:spacing w:after="20" w:before="20"/>
            </w:pPr>
            <w:r/>
            <w:r>
              <w:rPr>
                <w:b/>
                <w:color w:val="FFFFFF"/>
                <w:sz w:val="15"/>
              </w:rPr>
              <w:t>Hold by</w:t>
            </w:r>
          </w:p>
        </w:tc>
        <w:tc>
          <w:tcPr>
            <w:tcW w:type="dxa" w:w="1247"/>
            <w:shd w:val="clear" w:color="auto" w:fill="1F4E79"/>
          </w:tcPr>
          <w:p>
            <w:pPr>
              <w:spacing w:after="20" w:before="20"/>
            </w:pPr>
            <w:r/>
            <w:r>
              <w:rPr>
                <w:b/>
                <w:color w:val="FFFFFF"/>
                <w:sz w:val="15"/>
              </w:rPr>
              <w:t>Priority</w:t>
            </w:r>
          </w:p>
        </w:tc>
      </w:tr>
      <w:tr>
        <w:tc>
          <w:tcPr>
            <w:tcW w:type="dxa" w:w="454"/>
          </w:tcPr>
          <w:p>
            <w:pPr>
              <w:spacing w:after="20" w:before="20"/>
            </w:pPr>
            <w:r/>
            <w:r>
              <w:rPr>
                <w:b w:val="0"/>
                <w:sz w:val="15"/>
              </w:rPr>
              <w:t>1</w:t>
            </w:r>
          </w:p>
        </w:tc>
        <w:tc>
          <w:tcPr>
            <w:tcW w:type="dxa" w:w="3628"/>
          </w:tcPr>
          <w:p>
            <w:pPr>
              <w:spacing w:after="20" w:before="20"/>
            </w:pPr>
            <w:r/>
            <w:r>
              <w:rPr>
                <w:b/>
                <w:sz w:val="15"/>
              </w:rPr>
              <w:t>Recorded subdivision plat, INCLUDING THE RECORDING DATE</w:t>
            </w:r>
          </w:p>
        </w:tc>
        <w:tc>
          <w:tcPr>
            <w:tcW w:type="dxa" w:w="2948"/>
          </w:tcPr>
          <w:p>
            <w:pPr>
              <w:spacing w:after="20" w:before="20"/>
            </w:pPr>
            <w:r/>
            <w:r>
              <w:rPr>
                <w:b w:val="0"/>
                <w:sz w:val="15"/>
              </w:rPr>
              <w:t>Lincoln County Clerk of Superior Court</w:t>
            </w:r>
          </w:p>
        </w:tc>
        <w:tc>
          <w:tcPr>
            <w:tcW w:type="dxa" w:w="1247"/>
          </w:tcPr>
          <w:p>
            <w:pPr>
              <w:spacing w:after="20" w:before="20"/>
            </w:pPr>
            <w:r/>
            <w:r>
              <w:rPr>
                <w:b/>
                <w:sz w:val="15"/>
              </w:rPr>
              <w:t>GATING</w:t>
            </w:r>
          </w:p>
        </w:tc>
      </w:tr>
      <w:tr>
        <w:tc>
          <w:tcPr>
            <w:tcW w:type="dxa" w:w="454"/>
            <w:shd w:val="clear" w:color="auto" w:fill="F2F5F9"/>
          </w:tcPr>
          <w:p>
            <w:pPr>
              <w:spacing w:after="20" w:before="20"/>
            </w:pPr>
            <w:r/>
            <w:r>
              <w:rPr>
                <w:b w:val="0"/>
                <w:sz w:val="15"/>
              </w:rPr>
              <w:t>2</w:t>
            </w:r>
          </w:p>
        </w:tc>
        <w:tc>
          <w:tcPr>
            <w:tcW w:type="dxa" w:w="3628"/>
            <w:shd w:val="clear" w:color="auto" w:fill="F2F5F9"/>
          </w:tcPr>
          <w:p>
            <w:pPr>
              <w:spacing w:after="20" w:before="20"/>
            </w:pPr>
            <w:r/>
            <w:r>
              <w:rPr>
                <w:b/>
                <w:sz w:val="15"/>
              </w:rPr>
              <w:t>Written confirmation of shoreline allocation and dock eligibility for this parcel</w:t>
            </w:r>
          </w:p>
        </w:tc>
        <w:tc>
          <w:tcPr>
            <w:tcW w:type="dxa" w:w="2948"/>
            <w:shd w:val="clear" w:color="auto" w:fill="F2F5F9"/>
          </w:tcPr>
          <w:p>
            <w:pPr>
              <w:spacing w:after="20" w:before="20"/>
            </w:pPr>
            <w:r/>
            <w:r>
              <w:rPr>
                <w:b w:val="0"/>
                <w:sz w:val="15"/>
              </w:rPr>
              <w:t>USACE Thurmond Project Office, 800-533-3478</w:t>
            </w:r>
          </w:p>
        </w:tc>
        <w:tc>
          <w:tcPr>
            <w:tcW w:type="dxa" w:w="1247"/>
            <w:shd w:val="clear" w:color="auto" w:fill="F2F5F9"/>
          </w:tcPr>
          <w:p>
            <w:pPr>
              <w:spacing w:after="20" w:before="20"/>
            </w:pPr>
            <w:r/>
            <w:r>
              <w:rPr>
                <w:b/>
                <w:sz w:val="15"/>
              </w:rPr>
              <w:t>GATING</w:t>
            </w:r>
          </w:p>
        </w:tc>
      </w:tr>
      <w:tr>
        <w:tc>
          <w:tcPr>
            <w:tcW w:type="dxa" w:w="454"/>
          </w:tcPr>
          <w:p>
            <w:pPr>
              <w:spacing w:after="20" w:before="20"/>
            </w:pPr>
            <w:r/>
            <w:r>
              <w:rPr>
                <w:b w:val="0"/>
                <w:sz w:val="15"/>
              </w:rPr>
              <w:t>3</w:t>
            </w:r>
          </w:p>
        </w:tc>
        <w:tc>
          <w:tcPr>
            <w:tcW w:type="dxa" w:w="3628"/>
          </w:tcPr>
          <w:p>
            <w:pPr>
              <w:spacing w:after="20" w:before="20"/>
            </w:pPr>
            <w:r/>
            <w:r>
              <w:rPr>
                <w:b/>
                <w:sz w:val="15"/>
              </w:rPr>
              <w:t>Level 3 or Level 4 soil report (stamped) and septic feasibility / bedroom count</w:t>
            </w:r>
          </w:p>
        </w:tc>
        <w:tc>
          <w:tcPr>
            <w:tcW w:type="dxa" w:w="2948"/>
          </w:tcPr>
          <w:p>
            <w:pPr>
              <w:spacing w:after="20" w:before="20"/>
            </w:pPr>
            <w:r/>
            <w:r>
              <w:rPr>
                <w:b w:val="0"/>
                <w:sz w:val="15"/>
              </w:rPr>
              <w:t>Licensed soil classifier + Lincoln County environmental health</w:t>
            </w:r>
          </w:p>
        </w:tc>
        <w:tc>
          <w:tcPr>
            <w:tcW w:type="dxa" w:w="1247"/>
          </w:tcPr>
          <w:p>
            <w:pPr>
              <w:spacing w:after="20" w:before="20"/>
            </w:pPr>
            <w:r/>
            <w:r>
              <w:rPr>
                <w:b/>
                <w:sz w:val="15"/>
              </w:rPr>
              <w:t>GATING</w:t>
            </w:r>
          </w:p>
        </w:tc>
      </w:tr>
      <w:tr>
        <w:tc>
          <w:tcPr>
            <w:tcW w:type="dxa" w:w="454"/>
            <w:shd w:val="clear" w:color="auto" w:fill="F2F5F9"/>
          </w:tcPr>
          <w:p>
            <w:pPr>
              <w:spacing w:after="20" w:before="20"/>
            </w:pPr>
            <w:r/>
            <w:r>
              <w:rPr>
                <w:b w:val="0"/>
                <w:sz w:val="15"/>
              </w:rPr>
              <w:t>4</w:t>
            </w:r>
          </w:p>
        </w:tc>
        <w:tc>
          <w:tcPr>
            <w:tcW w:type="dxa" w:w="3628"/>
            <w:shd w:val="clear" w:color="auto" w:fill="F2F5F9"/>
          </w:tcPr>
          <w:p>
            <w:pPr>
              <w:spacing w:after="20" w:before="20"/>
            </w:pPr>
            <w:r/>
            <w:r>
              <w:rPr>
                <w:b/>
                <w:sz w:val="15"/>
              </w:rPr>
              <w:t>Current written asking price, status and listing history</w:t>
            </w:r>
          </w:p>
        </w:tc>
        <w:tc>
          <w:tcPr>
            <w:tcW w:type="dxa" w:w="2948"/>
            <w:shd w:val="clear" w:color="auto" w:fill="F2F5F9"/>
          </w:tcPr>
          <w:p>
            <w:pPr>
              <w:spacing w:after="20" w:before="20"/>
            </w:pPr>
            <w:r/>
            <w:r>
              <w:rPr>
                <w:b w:val="0"/>
                <w:sz w:val="15"/>
              </w:rPr>
              <w:t>Listing broker</w:t>
            </w:r>
          </w:p>
        </w:tc>
        <w:tc>
          <w:tcPr>
            <w:tcW w:type="dxa" w:w="1247"/>
            <w:shd w:val="clear" w:color="auto" w:fill="F2F5F9"/>
          </w:tcPr>
          <w:p>
            <w:pPr>
              <w:spacing w:after="20" w:before="20"/>
            </w:pPr>
            <w:r/>
            <w:r>
              <w:rPr>
                <w:b/>
                <w:sz w:val="15"/>
              </w:rPr>
              <w:t>GATING</w:t>
            </w:r>
          </w:p>
        </w:tc>
      </w:tr>
      <w:tr>
        <w:tc>
          <w:tcPr>
            <w:tcW w:type="dxa" w:w="454"/>
          </w:tcPr>
          <w:p>
            <w:pPr>
              <w:spacing w:after="20" w:before="20"/>
            </w:pPr>
            <w:r/>
            <w:r>
              <w:rPr>
                <w:b w:val="0"/>
                <w:sz w:val="15"/>
              </w:rPr>
              <w:t>5</w:t>
            </w:r>
          </w:p>
        </w:tc>
        <w:tc>
          <w:tcPr>
            <w:tcW w:type="dxa" w:w="3628"/>
          </w:tcPr>
          <w:p>
            <w:pPr>
              <w:spacing w:after="20" w:before="20"/>
            </w:pPr>
            <w:r/>
            <w:r>
              <w:rPr>
                <w:b w:val="0"/>
                <w:sz w:val="15"/>
              </w:rPr>
              <w:t>Boundary survey showing the USACE line at the rear</w:t>
            </w:r>
          </w:p>
        </w:tc>
        <w:tc>
          <w:tcPr>
            <w:tcW w:type="dxa" w:w="2948"/>
          </w:tcPr>
          <w:p>
            <w:pPr>
              <w:spacing w:after="20" w:before="20"/>
            </w:pPr>
            <w:r/>
            <w:r>
              <w:rPr>
                <w:b w:val="0"/>
                <w:sz w:val="15"/>
              </w:rPr>
              <w:t>Licensed Georgia surveyor</w:t>
            </w:r>
          </w:p>
        </w:tc>
        <w:tc>
          <w:tcPr>
            <w:tcW w:type="dxa" w:w="1247"/>
          </w:tcPr>
          <w:p>
            <w:pPr>
              <w:spacing w:after="20" w:before="20"/>
            </w:pPr>
            <w:r/>
            <w:r>
              <w:rPr>
                <w:b w:val="0"/>
                <w:sz w:val="15"/>
              </w:rPr>
              <w:t>High</w:t>
            </w:r>
          </w:p>
        </w:tc>
      </w:tr>
      <w:tr>
        <w:tc>
          <w:tcPr>
            <w:tcW w:type="dxa" w:w="454"/>
            <w:shd w:val="clear" w:color="auto" w:fill="F2F5F9"/>
          </w:tcPr>
          <w:p>
            <w:pPr>
              <w:spacing w:after="20" w:before="20"/>
            </w:pPr>
            <w:r/>
            <w:r>
              <w:rPr>
                <w:b w:val="0"/>
                <w:sz w:val="15"/>
              </w:rPr>
              <w:t>6</w:t>
            </w:r>
          </w:p>
        </w:tc>
        <w:tc>
          <w:tcPr>
            <w:tcW w:type="dxa" w:w="3628"/>
            <w:shd w:val="clear" w:color="auto" w:fill="F2F5F9"/>
          </w:tcPr>
          <w:p>
            <w:pPr>
              <w:spacing w:after="20" w:before="20"/>
            </w:pPr>
            <w:r/>
            <w:r>
              <w:rPr>
                <w:b w:val="0"/>
                <w:sz w:val="15"/>
              </w:rPr>
              <w:t>HOA Declaration, CC&amp;Rs, architectural guidelines and all amendments</w:t>
            </w:r>
          </w:p>
        </w:tc>
        <w:tc>
          <w:tcPr>
            <w:tcW w:type="dxa" w:w="2948"/>
            <w:shd w:val="clear" w:color="auto" w:fill="F2F5F9"/>
          </w:tcPr>
          <w:p>
            <w:pPr>
              <w:spacing w:after="20" w:before="20"/>
            </w:pPr>
            <w:r/>
            <w:r>
              <w:rPr>
                <w:b w:val="0"/>
                <w:sz w:val="15"/>
              </w:rPr>
              <w:t>Stillwater Coves POA</w:t>
            </w:r>
          </w:p>
        </w:tc>
        <w:tc>
          <w:tcPr>
            <w:tcW w:type="dxa" w:w="1247"/>
            <w:shd w:val="clear" w:color="auto" w:fill="F2F5F9"/>
          </w:tcPr>
          <w:p>
            <w:pPr>
              <w:spacing w:after="20" w:before="20"/>
            </w:pPr>
            <w:r/>
            <w:r>
              <w:rPr>
                <w:b w:val="0"/>
                <w:sz w:val="15"/>
              </w:rPr>
              <w:t>High</w:t>
            </w:r>
          </w:p>
        </w:tc>
      </w:tr>
      <w:tr>
        <w:tc>
          <w:tcPr>
            <w:tcW w:type="dxa" w:w="454"/>
          </w:tcPr>
          <w:p>
            <w:pPr>
              <w:spacing w:after="20" w:before="20"/>
            </w:pPr>
            <w:r/>
            <w:r>
              <w:rPr>
                <w:b w:val="0"/>
                <w:sz w:val="15"/>
              </w:rPr>
              <w:t>7</w:t>
            </w:r>
          </w:p>
        </w:tc>
        <w:tc>
          <w:tcPr>
            <w:tcW w:type="dxa" w:w="3628"/>
          </w:tcPr>
          <w:p>
            <w:pPr>
              <w:spacing w:after="20" w:before="20"/>
            </w:pPr>
            <w:r/>
            <w:r>
              <w:rPr>
                <w:b w:val="0"/>
                <w:sz w:val="15"/>
              </w:rPr>
              <w:t>HOA budget, dues schedule, transfer fees, pending assessments, last 2 years of minutes</w:t>
            </w:r>
          </w:p>
        </w:tc>
        <w:tc>
          <w:tcPr>
            <w:tcW w:type="dxa" w:w="2948"/>
          </w:tcPr>
          <w:p>
            <w:pPr>
              <w:spacing w:after="20" w:before="20"/>
            </w:pPr>
            <w:r/>
            <w:r>
              <w:rPr>
                <w:b w:val="0"/>
                <w:sz w:val="15"/>
              </w:rPr>
              <w:t>Stillwater Coves POA</w:t>
            </w:r>
          </w:p>
        </w:tc>
        <w:tc>
          <w:tcPr>
            <w:tcW w:type="dxa" w:w="1247"/>
          </w:tcPr>
          <w:p>
            <w:pPr>
              <w:spacing w:after="20" w:before="20"/>
            </w:pPr>
            <w:r/>
            <w:r>
              <w:rPr>
                <w:b w:val="0"/>
                <w:sz w:val="15"/>
              </w:rPr>
              <w:t>High</w:t>
            </w:r>
          </w:p>
        </w:tc>
      </w:tr>
      <w:tr>
        <w:tc>
          <w:tcPr>
            <w:tcW w:type="dxa" w:w="454"/>
            <w:shd w:val="clear" w:color="auto" w:fill="F2F5F9"/>
          </w:tcPr>
          <w:p>
            <w:pPr>
              <w:spacing w:after="20" w:before="20"/>
            </w:pPr>
            <w:r/>
            <w:r>
              <w:rPr>
                <w:b w:val="0"/>
                <w:sz w:val="15"/>
              </w:rPr>
              <w:t>8</w:t>
            </w:r>
          </w:p>
        </w:tc>
        <w:tc>
          <w:tcPr>
            <w:tcW w:type="dxa" w:w="3628"/>
            <w:shd w:val="clear" w:color="auto" w:fill="F2F5F9"/>
          </w:tcPr>
          <w:p>
            <w:pPr>
              <w:spacing w:after="20" w:before="20"/>
            </w:pPr>
            <w:r/>
            <w:r>
              <w:rPr>
                <w:b w:val="0"/>
                <w:sz w:val="15"/>
              </w:rPr>
              <w:t>Zoning confirmation: district, setbacks, min lot size, height, ADU, livestock, STR</w:t>
            </w:r>
          </w:p>
        </w:tc>
        <w:tc>
          <w:tcPr>
            <w:tcW w:type="dxa" w:w="2948"/>
            <w:shd w:val="clear" w:color="auto" w:fill="F2F5F9"/>
          </w:tcPr>
          <w:p>
            <w:pPr>
              <w:spacing w:after="20" w:before="20"/>
            </w:pPr>
            <w:r/>
            <w:r>
              <w:rPr>
                <w:b w:val="0"/>
                <w:sz w:val="15"/>
              </w:rPr>
              <w:t>Lincoln County Planning &amp; Zoning</w:t>
            </w:r>
          </w:p>
        </w:tc>
        <w:tc>
          <w:tcPr>
            <w:tcW w:type="dxa" w:w="1247"/>
            <w:shd w:val="clear" w:color="auto" w:fill="F2F5F9"/>
          </w:tcPr>
          <w:p>
            <w:pPr>
              <w:spacing w:after="20" w:before="20"/>
            </w:pPr>
            <w:r/>
            <w:r>
              <w:rPr>
                <w:b w:val="0"/>
                <w:sz w:val="15"/>
              </w:rPr>
              <w:t>High</w:t>
            </w:r>
          </w:p>
        </w:tc>
      </w:tr>
      <w:tr>
        <w:tc>
          <w:tcPr>
            <w:tcW w:type="dxa" w:w="454"/>
          </w:tcPr>
          <w:p>
            <w:pPr>
              <w:spacing w:after="20" w:before="20"/>
            </w:pPr>
            <w:r/>
            <w:r>
              <w:rPr>
                <w:b w:val="0"/>
                <w:sz w:val="15"/>
              </w:rPr>
              <w:t>9</w:t>
            </w:r>
          </w:p>
        </w:tc>
        <w:tc>
          <w:tcPr>
            <w:tcW w:type="dxa" w:w="3628"/>
          </w:tcPr>
          <w:p>
            <w:pPr>
              <w:spacing w:after="20" w:before="20"/>
            </w:pPr>
            <w:r/>
            <w:r>
              <w:rPr>
                <w:b w:val="0"/>
                <w:sz w:val="15"/>
              </w:rPr>
              <w:t>Title commitment — easements, reservations, mineral rights, dock covenants</w:t>
            </w:r>
          </w:p>
        </w:tc>
        <w:tc>
          <w:tcPr>
            <w:tcW w:type="dxa" w:w="2948"/>
          </w:tcPr>
          <w:p>
            <w:pPr>
              <w:spacing w:after="20" w:before="20"/>
            </w:pPr>
            <w:r/>
            <w:r>
              <w:rPr>
                <w:b w:val="0"/>
                <w:sz w:val="15"/>
              </w:rPr>
              <w:t>Title company / closing attorney</w:t>
            </w:r>
          </w:p>
        </w:tc>
        <w:tc>
          <w:tcPr>
            <w:tcW w:type="dxa" w:w="1247"/>
          </w:tcPr>
          <w:p>
            <w:pPr>
              <w:spacing w:after="20" w:before="20"/>
            </w:pPr>
            <w:r/>
            <w:r>
              <w:rPr>
                <w:b w:val="0"/>
                <w:sz w:val="15"/>
              </w:rPr>
              <w:t>High</w:t>
            </w:r>
          </w:p>
        </w:tc>
      </w:tr>
      <w:tr>
        <w:tc>
          <w:tcPr>
            <w:tcW w:type="dxa" w:w="454"/>
            <w:shd w:val="clear" w:color="auto" w:fill="F2F5F9"/>
          </w:tcPr>
          <w:p>
            <w:pPr>
              <w:spacing w:after="20" w:before="20"/>
            </w:pPr>
            <w:r/>
            <w:r>
              <w:rPr>
                <w:b w:val="0"/>
                <w:sz w:val="15"/>
              </w:rPr>
              <w:t>10</w:t>
            </w:r>
          </w:p>
        </w:tc>
        <w:tc>
          <w:tcPr>
            <w:tcW w:type="dxa" w:w="3628"/>
            <w:shd w:val="clear" w:color="auto" w:fill="F2F5F9"/>
          </w:tcPr>
          <w:p>
            <w:pPr>
              <w:spacing w:after="20" w:before="20"/>
            </w:pPr>
            <w:r/>
            <w:r>
              <w:rPr>
                <w:b w:val="0"/>
                <w:sz w:val="15"/>
              </w:rPr>
              <w:t>Utility availability letters: water, electricity (Rayle EMC or Georgia Power), broadband</w:t>
            </w:r>
          </w:p>
        </w:tc>
        <w:tc>
          <w:tcPr>
            <w:tcW w:type="dxa" w:w="2948"/>
            <w:shd w:val="clear" w:color="auto" w:fill="F2F5F9"/>
          </w:tcPr>
          <w:p>
            <w:pPr>
              <w:spacing w:after="20" w:before="20"/>
            </w:pPr>
            <w:r/>
            <w:r>
              <w:rPr>
                <w:b w:val="0"/>
                <w:sz w:val="15"/>
              </w:rPr>
              <w:t>Each utility, addressed to the parcel</w:t>
            </w:r>
          </w:p>
        </w:tc>
        <w:tc>
          <w:tcPr>
            <w:tcW w:type="dxa" w:w="1247"/>
            <w:shd w:val="clear" w:color="auto" w:fill="F2F5F9"/>
          </w:tcPr>
          <w:p>
            <w:pPr>
              <w:spacing w:after="20" w:before="20"/>
            </w:pPr>
            <w:r/>
            <w:r>
              <w:rPr>
                <w:b w:val="0"/>
                <w:sz w:val="15"/>
              </w:rPr>
              <w:t>High</w:t>
            </w:r>
          </w:p>
        </w:tc>
      </w:tr>
      <w:tr>
        <w:tc>
          <w:tcPr>
            <w:tcW w:type="dxa" w:w="454"/>
          </w:tcPr>
          <w:p>
            <w:pPr>
              <w:spacing w:after="20" w:before="20"/>
            </w:pPr>
            <w:r/>
            <w:r>
              <w:rPr>
                <w:b w:val="0"/>
                <w:sz w:val="15"/>
              </w:rPr>
              <w:t>11</w:t>
            </w:r>
          </w:p>
        </w:tc>
        <w:tc>
          <w:tcPr>
            <w:tcW w:type="dxa" w:w="3628"/>
          </w:tcPr>
          <w:p>
            <w:pPr>
              <w:spacing w:after="20" w:before="20"/>
            </w:pPr>
            <w:r/>
            <w:r>
              <w:rPr>
                <w:b w:val="0"/>
                <w:sz w:val="15"/>
              </w:rPr>
              <w:t>Floodplain determination, required flood elevation and freeboard</w:t>
            </w:r>
          </w:p>
        </w:tc>
        <w:tc>
          <w:tcPr>
            <w:tcW w:type="dxa" w:w="2948"/>
          </w:tcPr>
          <w:p>
            <w:pPr>
              <w:spacing w:after="20" w:before="20"/>
            </w:pPr>
            <w:r/>
            <w:r>
              <w:rPr>
                <w:b w:val="0"/>
                <w:sz w:val="15"/>
              </w:rPr>
              <w:t>Lincoln County floodplain administrator</w:t>
            </w:r>
          </w:p>
        </w:tc>
        <w:tc>
          <w:tcPr>
            <w:tcW w:type="dxa" w:w="1247"/>
          </w:tcPr>
          <w:p>
            <w:pPr>
              <w:spacing w:after="20" w:before="20"/>
            </w:pPr>
            <w:r/>
            <w:r>
              <w:rPr>
                <w:b w:val="0"/>
                <w:sz w:val="15"/>
              </w:rPr>
              <w:t>High</w:t>
            </w:r>
          </w:p>
        </w:tc>
      </w:tr>
      <w:tr>
        <w:tc>
          <w:tcPr>
            <w:tcW w:type="dxa" w:w="454"/>
            <w:shd w:val="clear" w:color="auto" w:fill="F2F5F9"/>
          </w:tcPr>
          <w:p>
            <w:pPr>
              <w:spacing w:after="20" w:before="20"/>
            </w:pPr>
            <w:r/>
            <w:r>
              <w:rPr>
                <w:b w:val="0"/>
                <w:sz w:val="15"/>
              </w:rPr>
              <w:t>12</w:t>
            </w:r>
          </w:p>
        </w:tc>
        <w:tc>
          <w:tcPr>
            <w:tcW w:type="dxa" w:w="3628"/>
            <w:shd w:val="clear" w:color="auto" w:fill="F2F5F9"/>
          </w:tcPr>
          <w:p>
            <w:pPr>
              <w:spacing w:after="20" w:before="20"/>
            </w:pPr>
            <w:r/>
            <w:r>
              <w:rPr>
                <w:b w:val="0"/>
                <w:sz w:val="15"/>
              </w:rPr>
              <w:t>FIRM panel number and effective date; Flood Insurance Study 13181CV000A</w:t>
            </w:r>
          </w:p>
        </w:tc>
        <w:tc>
          <w:tcPr>
            <w:tcW w:type="dxa" w:w="2948"/>
            <w:shd w:val="clear" w:color="auto" w:fill="F2F5F9"/>
          </w:tcPr>
          <w:p>
            <w:pPr>
              <w:spacing w:after="20" w:before="20"/>
            </w:pPr>
            <w:r/>
            <w:r>
              <w:rPr>
                <w:b w:val="0"/>
                <w:sz w:val="15"/>
              </w:rPr>
              <w:t>FEMA Map Service Center</w:t>
            </w:r>
          </w:p>
        </w:tc>
        <w:tc>
          <w:tcPr>
            <w:tcW w:type="dxa" w:w="1247"/>
            <w:shd w:val="clear" w:color="auto" w:fill="F2F5F9"/>
          </w:tcPr>
          <w:p>
            <w:pPr>
              <w:spacing w:after="20" w:before="20"/>
            </w:pPr>
            <w:r/>
            <w:r>
              <w:rPr>
                <w:b w:val="0"/>
                <w:sz w:val="15"/>
              </w:rPr>
              <w:t>Medium</w:t>
            </w:r>
          </w:p>
        </w:tc>
      </w:tr>
      <w:tr>
        <w:tc>
          <w:tcPr>
            <w:tcW w:type="dxa" w:w="454"/>
          </w:tcPr>
          <w:p>
            <w:pPr>
              <w:spacing w:after="20" w:before="20"/>
            </w:pPr>
            <w:r/>
            <w:r>
              <w:rPr>
                <w:b w:val="0"/>
                <w:sz w:val="15"/>
              </w:rPr>
              <w:t>13</w:t>
            </w:r>
          </w:p>
        </w:tc>
        <w:tc>
          <w:tcPr>
            <w:tcW w:type="dxa" w:w="3628"/>
          </w:tcPr>
          <w:p>
            <w:pPr>
              <w:spacing w:after="20" w:before="20"/>
            </w:pPr>
            <w:r/>
            <w:r>
              <w:rPr>
                <w:b w:val="0"/>
                <w:sz w:val="15"/>
              </w:rPr>
              <w:t>Geotechnical / soil engineering report</w:t>
            </w:r>
          </w:p>
        </w:tc>
        <w:tc>
          <w:tcPr>
            <w:tcW w:type="dxa" w:w="2948"/>
          </w:tcPr>
          <w:p>
            <w:pPr>
              <w:spacing w:after="20" w:before="20"/>
            </w:pPr>
            <w:r/>
            <w:r>
              <w:rPr>
                <w:b w:val="0"/>
                <w:sz w:val="15"/>
              </w:rPr>
              <w:t>Licensed geotechnical engineer</w:t>
            </w:r>
          </w:p>
        </w:tc>
        <w:tc>
          <w:tcPr>
            <w:tcW w:type="dxa" w:w="1247"/>
          </w:tcPr>
          <w:p>
            <w:pPr>
              <w:spacing w:after="20" w:before="20"/>
            </w:pPr>
            <w:r/>
            <w:r>
              <w:rPr>
                <w:b w:val="0"/>
                <w:sz w:val="15"/>
              </w:rPr>
              <w:t>Medium</w:t>
            </w:r>
          </w:p>
        </w:tc>
      </w:tr>
      <w:tr>
        <w:tc>
          <w:tcPr>
            <w:tcW w:type="dxa" w:w="454"/>
            <w:shd w:val="clear" w:color="auto" w:fill="F2F5F9"/>
          </w:tcPr>
          <w:p>
            <w:pPr>
              <w:spacing w:after="20" w:before="20"/>
            </w:pPr>
            <w:r/>
            <w:r>
              <w:rPr>
                <w:b w:val="0"/>
                <w:sz w:val="15"/>
              </w:rPr>
              <w:t>14</w:t>
            </w:r>
          </w:p>
        </w:tc>
        <w:tc>
          <w:tcPr>
            <w:tcW w:type="dxa" w:w="3628"/>
            <w:shd w:val="clear" w:color="auto" w:fill="F2F5F9"/>
          </w:tcPr>
          <w:p>
            <w:pPr>
              <w:spacing w:after="20" w:before="20"/>
            </w:pPr>
            <w:r/>
            <w:r>
              <w:rPr>
                <w:b w:val="0"/>
                <w:sz w:val="15"/>
              </w:rPr>
              <w:t>Topographic survey for grading design</w:t>
            </w:r>
          </w:p>
        </w:tc>
        <w:tc>
          <w:tcPr>
            <w:tcW w:type="dxa" w:w="2948"/>
            <w:shd w:val="clear" w:color="auto" w:fill="F2F5F9"/>
          </w:tcPr>
          <w:p>
            <w:pPr>
              <w:spacing w:after="20" w:before="20"/>
            </w:pPr>
            <w:r/>
            <w:r>
              <w:rPr>
                <w:b w:val="0"/>
                <w:sz w:val="15"/>
              </w:rPr>
              <w:t>Licensed surveyor</w:t>
            </w:r>
          </w:p>
        </w:tc>
        <w:tc>
          <w:tcPr>
            <w:tcW w:type="dxa" w:w="1247"/>
            <w:shd w:val="clear" w:color="auto" w:fill="F2F5F9"/>
          </w:tcPr>
          <w:p>
            <w:pPr>
              <w:spacing w:after="20" w:before="20"/>
            </w:pPr>
            <w:r/>
            <w:r>
              <w:rPr>
                <w:b w:val="0"/>
                <w:sz w:val="15"/>
              </w:rPr>
              <w:t>Medium</w:t>
            </w:r>
          </w:p>
        </w:tc>
      </w:tr>
      <w:tr>
        <w:tc>
          <w:tcPr>
            <w:tcW w:type="dxa" w:w="454"/>
          </w:tcPr>
          <w:p>
            <w:pPr>
              <w:spacing w:after="20" w:before="20"/>
            </w:pPr>
            <w:r/>
            <w:r>
              <w:rPr>
                <w:b w:val="0"/>
                <w:sz w:val="15"/>
              </w:rPr>
              <w:t>15</w:t>
            </w:r>
          </w:p>
        </w:tc>
        <w:tc>
          <w:tcPr>
            <w:tcW w:type="dxa" w:w="3628"/>
          </w:tcPr>
          <w:p>
            <w:pPr>
              <w:spacing w:after="20" w:before="20"/>
            </w:pPr>
            <w:r/>
            <w:r>
              <w:rPr>
                <w:b w:val="0"/>
                <w:sz w:val="15"/>
              </w:rPr>
              <w:t>Elevation Certificate (if any structure falls in Zone A)</w:t>
            </w:r>
          </w:p>
        </w:tc>
        <w:tc>
          <w:tcPr>
            <w:tcW w:type="dxa" w:w="2948"/>
          </w:tcPr>
          <w:p>
            <w:pPr>
              <w:spacing w:after="20" w:before="20"/>
            </w:pPr>
            <w:r/>
            <w:r>
              <w:rPr>
                <w:b w:val="0"/>
                <w:sz w:val="15"/>
              </w:rPr>
              <w:t>Licensed surveyor</w:t>
            </w:r>
          </w:p>
        </w:tc>
        <w:tc>
          <w:tcPr>
            <w:tcW w:type="dxa" w:w="1247"/>
          </w:tcPr>
          <w:p>
            <w:pPr>
              <w:spacing w:after="20" w:before="20"/>
            </w:pPr>
            <w:r/>
            <w:r>
              <w:rPr>
                <w:b w:val="0"/>
                <w:sz w:val="15"/>
              </w:rPr>
              <w:t>Medium</w:t>
            </w:r>
          </w:p>
        </w:tc>
      </w:tr>
      <w:tr>
        <w:tc>
          <w:tcPr>
            <w:tcW w:type="dxa" w:w="454"/>
            <w:shd w:val="clear" w:color="auto" w:fill="F2F5F9"/>
          </w:tcPr>
          <w:p>
            <w:pPr>
              <w:spacing w:after="20" w:before="20"/>
            </w:pPr>
            <w:r/>
            <w:r>
              <w:rPr>
                <w:b w:val="0"/>
                <w:sz w:val="15"/>
              </w:rPr>
              <w:t>16</w:t>
            </w:r>
          </w:p>
        </w:tc>
        <w:tc>
          <w:tcPr>
            <w:tcW w:type="dxa" w:w="3628"/>
            <w:shd w:val="clear" w:color="auto" w:fill="F2F5F9"/>
          </w:tcPr>
          <w:p>
            <w:pPr>
              <w:spacing w:after="20" w:before="20"/>
            </w:pPr>
            <w:r/>
            <w:r>
              <w:rPr>
                <w:b w:val="0"/>
                <w:sz w:val="15"/>
              </w:rPr>
              <w:t>Existing dock permit status for the subdivision / any community dock agreement</w:t>
            </w:r>
          </w:p>
        </w:tc>
        <w:tc>
          <w:tcPr>
            <w:tcW w:type="dxa" w:w="2948"/>
            <w:shd w:val="clear" w:color="auto" w:fill="F2F5F9"/>
          </w:tcPr>
          <w:p>
            <w:pPr>
              <w:spacing w:after="20" w:before="20"/>
            </w:pPr>
            <w:r/>
            <w:r>
              <w:rPr>
                <w:b w:val="0"/>
                <w:sz w:val="15"/>
              </w:rPr>
              <w:t>USACE + HOA</w:t>
            </w:r>
          </w:p>
        </w:tc>
        <w:tc>
          <w:tcPr>
            <w:tcW w:type="dxa" w:w="1247"/>
            <w:shd w:val="clear" w:color="auto" w:fill="F2F5F9"/>
          </w:tcPr>
          <w:p>
            <w:pPr>
              <w:spacing w:after="20" w:before="20"/>
            </w:pPr>
            <w:r/>
            <w:r>
              <w:rPr>
                <w:b w:val="0"/>
                <w:sz w:val="15"/>
              </w:rPr>
              <w:t>Medium</w:t>
            </w:r>
          </w:p>
        </w:tc>
      </w:tr>
      <w:tr>
        <w:tc>
          <w:tcPr>
            <w:tcW w:type="dxa" w:w="454"/>
          </w:tcPr>
          <w:p>
            <w:pPr>
              <w:spacing w:after="20" w:before="20"/>
            </w:pPr>
            <w:r/>
            <w:r>
              <w:rPr>
                <w:b w:val="0"/>
                <w:sz w:val="15"/>
              </w:rPr>
              <w:t>17</w:t>
            </w:r>
          </w:p>
        </w:tc>
        <w:tc>
          <w:tcPr>
            <w:tcW w:type="dxa" w:w="3628"/>
          </w:tcPr>
          <w:p>
            <w:pPr>
              <w:spacing w:after="20" w:before="20"/>
            </w:pPr>
            <w:r/>
            <w:r>
              <w:rPr>
                <w:b w:val="0"/>
                <w:sz w:val="15"/>
              </w:rPr>
              <w:t>Bathymetric data for the adjacent cove; boat-ramp bottom elevations</w:t>
            </w:r>
          </w:p>
        </w:tc>
        <w:tc>
          <w:tcPr>
            <w:tcW w:type="dxa" w:w="2948"/>
          </w:tcPr>
          <w:p>
            <w:pPr>
              <w:spacing w:after="20" w:before="20"/>
            </w:pPr>
            <w:r/>
            <w:r>
              <w:rPr>
                <w:b w:val="0"/>
                <w:sz w:val="15"/>
              </w:rPr>
              <w:t>USACE Savannah District</w:t>
            </w:r>
          </w:p>
        </w:tc>
        <w:tc>
          <w:tcPr>
            <w:tcW w:type="dxa" w:w="1247"/>
          </w:tcPr>
          <w:p>
            <w:pPr>
              <w:spacing w:after="20" w:before="20"/>
            </w:pPr>
            <w:r/>
            <w:r>
              <w:rPr>
                <w:b w:val="0"/>
                <w:sz w:val="15"/>
              </w:rPr>
              <w:t>Medium</w:t>
            </w:r>
          </w:p>
        </w:tc>
      </w:tr>
      <w:tr>
        <w:tc>
          <w:tcPr>
            <w:tcW w:type="dxa" w:w="454"/>
            <w:shd w:val="clear" w:color="auto" w:fill="F2F5F9"/>
          </w:tcPr>
          <w:p>
            <w:pPr>
              <w:spacing w:after="20" w:before="20"/>
            </w:pPr>
            <w:r/>
            <w:r>
              <w:rPr>
                <w:b w:val="0"/>
                <w:sz w:val="15"/>
              </w:rPr>
              <w:t>18</w:t>
            </w:r>
          </w:p>
        </w:tc>
        <w:tc>
          <w:tcPr>
            <w:tcW w:type="dxa" w:w="3628"/>
            <w:shd w:val="clear" w:color="auto" w:fill="F2F5F9"/>
          </w:tcPr>
          <w:p>
            <w:pPr>
              <w:spacing w:after="20" w:before="20"/>
            </w:pPr>
            <w:r/>
            <w:r>
              <w:rPr>
                <w:b w:val="0"/>
                <w:sz w:val="15"/>
              </w:rPr>
              <w:t>Laboratory soil test for pH, buffer pH and nutrients</w:t>
            </w:r>
          </w:p>
        </w:tc>
        <w:tc>
          <w:tcPr>
            <w:tcW w:type="dxa" w:w="2948"/>
            <w:shd w:val="clear" w:color="auto" w:fill="F2F5F9"/>
          </w:tcPr>
          <w:p>
            <w:pPr>
              <w:spacing w:after="20" w:before="20"/>
            </w:pPr>
            <w:r/>
            <w:r>
              <w:rPr>
                <w:b w:val="0"/>
                <w:sz w:val="15"/>
              </w:rPr>
              <w:t>UGA Extension, Lincoln County</w:t>
            </w:r>
          </w:p>
        </w:tc>
        <w:tc>
          <w:tcPr>
            <w:tcW w:type="dxa" w:w="1247"/>
            <w:shd w:val="clear" w:color="auto" w:fill="F2F5F9"/>
          </w:tcPr>
          <w:p>
            <w:pPr>
              <w:spacing w:after="20" w:before="20"/>
            </w:pPr>
            <w:r/>
            <w:r>
              <w:rPr>
                <w:b w:val="0"/>
                <w:sz w:val="15"/>
              </w:rPr>
              <w:t>Low (post-purchase)</w:t>
            </w:r>
          </w:p>
        </w:tc>
      </w:tr>
      <w:tr>
        <w:tc>
          <w:tcPr>
            <w:tcW w:type="dxa" w:w="454"/>
          </w:tcPr>
          <w:p>
            <w:pPr>
              <w:spacing w:after="20" w:before="20"/>
            </w:pPr>
            <w:r/>
            <w:r>
              <w:rPr>
                <w:b w:val="0"/>
                <w:sz w:val="15"/>
              </w:rPr>
              <w:t>19</w:t>
            </w:r>
          </w:p>
        </w:tc>
        <w:tc>
          <w:tcPr>
            <w:tcW w:type="dxa" w:w="3628"/>
          </w:tcPr>
          <w:p>
            <w:pPr>
              <w:spacing w:after="20" w:before="20"/>
            </w:pPr>
            <w:r/>
            <w:r>
              <w:rPr>
                <w:b w:val="0"/>
                <w:sz w:val="15"/>
              </w:rPr>
              <w:t>Radon test</w:t>
            </w:r>
          </w:p>
        </w:tc>
        <w:tc>
          <w:tcPr>
            <w:tcW w:type="dxa" w:w="2948"/>
          </w:tcPr>
          <w:p>
            <w:pPr>
              <w:spacing w:after="20" w:before="20"/>
            </w:pPr>
            <w:r/>
            <w:r>
              <w:rPr>
                <w:b w:val="0"/>
                <w:sz w:val="15"/>
              </w:rPr>
              <w:t>Certified radon tester</w:t>
            </w:r>
          </w:p>
        </w:tc>
        <w:tc>
          <w:tcPr>
            <w:tcW w:type="dxa" w:w="1247"/>
          </w:tcPr>
          <w:p>
            <w:pPr>
              <w:spacing w:after="20" w:before="20"/>
            </w:pPr>
            <w:r/>
            <w:r>
              <w:rPr>
                <w:b w:val="0"/>
                <w:sz w:val="15"/>
              </w:rPr>
              <w:t>Low (post-purchase)</w:t>
            </w:r>
          </w:p>
        </w:tc>
      </w:tr>
      <w:tr>
        <w:tc>
          <w:tcPr>
            <w:tcW w:type="dxa" w:w="454"/>
            <w:shd w:val="clear" w:color="auto" w:fill="F2F5F9"/>
          </w:tcPr>
          <w:p>
            <w:pPr>
              <w:spacing w:after="20" w:before="20"/>
            </w:pPr>
            <w:r/>
            <w:r>
              <w:rPr>
                <w:b w:val="0"/>
                <w:sz w:val="15"/>
              </w:rPr>
              <w:t>20</w:t>
            </w:r>
          </w:p>
        </w:tc>
        <w:tc>
          <w:tcPr>
            <w:tcW w:type="dxa" w:w="3628"/>
            <w:shd w:val="clear" w:color="auto" w:fill="F2F5F9"/>
          </w:tcPr>
          <w:p>
            <w:pPr>
              <w:spacing w:after="20" w:before="20"/>
            </w:pPr>
            <w:r/>
            <w:r>
              <w:rPr>
                <w:b w:val="0"/>
                <w:sz w:val="15"/>
              </w:rPr>
              <w:t>Property tax history and current assessment</w:t>
            </w:r>
          </w:p>
        </w:tc>
        <w:tc>
          <w:tcPr>
            <w:tcW w:type="dxa" w:w="2948"/>
            <w:shd w:val="clear" w:color="auto" w:fill="F2F5F9"/>
          </w:tcPr>
          <w:p>
            <w:pPr>
              <w:spacing w:after="20" w:before="20"/>
            </w:pPr>
            <w:r/>
            <w:r>
              <w:rPr>
                <w:b w:val="0"/>
                <w:sz w:val="15"/>
              </w:rPr>
              <w:t>Lincoln County Tax Assessor</w:t>
            </w:r>
          </w:p>
        </w:tc>
        <w:tc>
          <w:tcPr>
            <w:tcW w:type="dxa" w:w="1247"/>
            <w:shd w:val="clear" w:color="auto" w:fill="F2F5F9"/>
          </w:tcPr>
          <w:p>
            <w:pPr>
              <w:spacing w:after="20" w:before="20"/>
            </w:pPr>
            <w:r/>
            <w:r>
              <w:rPr>
                <w:b w:val="0"/>
                <w:sz w:val="15"/>
              </w:rPr>
              <w:t>Medium</w:t>
            </w:r>
          </w:p>
        </w:tc>
      </w:tr>
      <w:tr>
        <w:tc>
          <w:tcPr>
            <w:tcW w:type="dxa" w:w="454"/>
          </w:tcPr>
          <w:p>
            <w:pPr>
              <w:spacing w:after="20" w:before="20"/>
            </w:pPr>
            <w:r/>
            <w:r>
              <w:rPr>
                <w:b w:val="0"/>
                <w:sz w:val="15"/>
              </w:rPr>
              <w:t>21</w:t>
            </w:r>
          </w:p>
        </w:tc>
        <w:tc>
          <w:tcPr>
            <w:tcW w:type="dxa" w:w="3628"/>
          </w:tcPr>
          <w:p>
            <w:pPr>
              <w:spacing w:after="20" w:before="20"/>
            </w:pPr>
            <w:r/>
            <w:r>
              <w:rPr>
                <w:b w:val="0"/>
                <w:sz w:val="15"/>
              </w:rPr>
              <w:t>Building permit requirements and fee schedule</w:t>
            </w:r>
          </w:p>
        </w:tc>
        <w:tc>
          <w:tcPr>
            <w:tcW w:type="dxa" w:w="2948"/>
          </w:tcPr>
          <w:p>
            <w:pPr>
              <w:spacing w:after="20" w:before="20"/>
            </w:pPr>
            <w:r/>
            <w:r>
              <w:rPr>
                <w:b w:val="0"/>
                <w:sz w:val="15"/>
              </w:rPr>
              <w:t>Lincoln County building department</w:t>
            </w:r>
          </w:p>
        </w:tc>
        <w:tc>
          <w:tcPr>
            <w:tcW w:type="dxa" w:w="1247"/>
          </w:tcPr>
          <w:p>
            <w:pPr>
              <w:spacing w:after="20" w:before="20"/>
            </w:pPr>
            <w:r/>
            <w:r>
              <w:rPr>
                <w:b w:val="0"/>
                <w:sz w:val="15"/>
              </w:rPr>
              <w:t>Medium</w:t>
            </w:r>
          </w:p>
        </w:tc>
      </w:tr>
      <w:tr>
        <w:tc>
          <w:tcPr>
            <w:tcW w:type="dxa" w:w="454"/>
            <w:shd w:val="clear" w:color="auto" w:fill="F2F5F9"/>
          </w:tcPr>
          <w:p>
            <w:pPr>
              <w:spacing w:after="20" w:before="20"/>
            </w:pPr>
            <w:r/>
            <w:r>
              <w:rPr>
                <w:b w:val="0"/>
                <w:sz w:val="15"/>
              </w:rPr>
              <w:t>22</w:t>
            </w:r>
          </w:p>
        </w:tc>
        <w:tc>
          <w:tcPr>
            <w:tcW w:type="dxa" w:w="3628"/>
            <w:shd w:val="clear" w:color="auto" w:fill="F2F5F9"/>
          </w:tcPr>
          <w:p>
            <w:pPr>
              <w:spacing w:after="20" w:before="20"/>
            </w:pPr>
            <w:r/>
            <w:r>
              <w:rPr>
                <w:b w:val="0"/>
                <w:sz w:val="15"/>
              </w:rPr>
              <w:t>Well log data for neighbouring properties (if a well may be needed)</w:t>
            </w:r>
          </w:p>
        </w:tc>
        <w:tc>
          <w:tcPr>
            <w:tcW w:type="dxa" w:w="2948"/>
            <w:shd w:val="clear" w:color="auto" w:fill="F2F5F9"/>
          </w:tcPr>
          <w:p>
            <w:pPr>
              <w:spacing w:after="20" w:before="20"/>
            </w:pPr>
            <w:r/>
            <w:r>
              <w:rPr>
                <w:b w:val="0"/>
                <w:sz w:val="15"/>
              </w:rPr>
              <w:t>Georgia EPD well-log database</w:t>
            </w:r>
          </w:p>
        </w:tc>
        <w:tc>
          <w:tcPr>
            <w:tcW w:type="dxa" w:w="1247"/>
            <w:shd w:val="clear" w:color="auto" w:fill="F2F5F9"/>
          </w:tcPr>
          <w:p>
            <w:pPr>
              <w:spacing w:after="20" w:before="20"/>
            </w:pPr>
            <w:r/>
            <w:r>
              <w:rPr>
                <w:b w:val="0"/>
                <w:sz w:val="15"/>
              </w:rPr>
              <w:t>Low</w:t>
            </w:r>
          </w:p>
        </w:tc>
      </w:tr>
    </w:tbl>
    <w:p>
      <w:pPr>
        <w:spacing w:after="40"/>
      </w:pPr>
    </w:p>
    <w:p>
      <w:pPr>
        <w:pStyle w:val="Heading2"/>
      </w:pPr>
      <w:r>
        <w:t>59. Final construction feasibility</w:t>
      </w:r>
    </w:p>
    <w:tbl>
      <w:tblPr>
        <w:tblStyle w:val="TableGrid"/>
        <w:tblW w:type="auto" w:w="0"/>
        <w:jc w:val="center"/>
        <w:tblLook w:firstColumn="1" w:firstRow="1" w:lastColumn="0" w:lastRow="0" w:noHBand="0" w:noVBand="1" w:val="04A0"/>
      </w:tblPr>
      <w:tblGrid>
        <w:gridCol w:w="3288"/>
        <w:gridCol w:w="3288"/>
        <w:gridCol w:w="3288"/>
      </w:tblGrid>
      <w:tr>
        <w:tc>
          <w:tcPr>
            <w:tcW w:type="dxa" w:w="2381"/>
            <w:shd w:val="clear" w:color="auto" w:fill="1F4E79"/>
          </w:tcPr>
          <w:p>
            <w:pPr>
              <w:spacing w:after="20" w:before="20"/>
            </w:pPr>
            <w:r/>
            <w:r>
              <w:rPr>
                <w:b/>
                <w:color w:val="FFFFFF"/>
                <w:sz w:val="16"/>
              </w:rPr>
              <w:t>Can the lot reasonably accommodate...</w:t>
            </w:r>
          </w:p>
        </w:tc>
        <w:tc>
          <w:tcPr>
            <w:tcW w:type="dxa" w:w="1701"/>
            <w:shd w:val="clear" w:color="auto" w:fill="1F4E79"/>
          </w:tcPr>
          <w:p>
            <w:pPr>
              <w:spacing w:after="20" w:before="20"/>
            </w:pPr>
            <w:r/>
            <w:r>
              <w:rPr>
                <w:b/>
                <w:color w:val="FFFFFF"/>
                <w:sz w:val="16"/>
              </w:rPr>
              <w:t>Verdict</w:t>
            </w:r>
          </w:p>
        </w:tc>
        <w:tc>
          <w:tcPr>
            <w:tcW w:type="dxa" w:w="5329"/>
            <w:shd w:val="clear" w:color="auto" w:fill="1F4E79"/>
          </w:tcPr>
          <w:p>
            <w:pPr>
              <w:spacing w:after="20" w:before="20"/>
            </w:pPr>
            <w:r/>
            <w:r>
              <w:rPr>
                <w:b/>
                <w:color w:val="FFFFFF"/>
                <w:sz w:val="16"/>
              </w:rPr>
              <w:t>Reasoning</w:t>
            </w:r>
          </w:p>
        </w:tc>
      </w:tr>
      <w:tr>
        <w:tc>
          <w:tcPr>
            <w:tcW w:type="dxa" w:w="2381"/>
          </w:tcPr>
          <w:p>
            <w:pPr>
              <w:spacing w:after="20" w:before="20"/>
            </w:pPr>
            <w:r/>
            <w:r>
              <w:rPr>
                <w:b/>
                <w:sz w:val="16"/>
              </w:rPr>
              <w:t>Main house</w:t>
            </w:r>
          </w:p>
        </w:tc>
        <w:tc>
          <w:tcPr>
            <w:tcW w:type="dxa" w:w="1701"/>
          </w:tcPr>
          <w:p>
            <w:pPr>
              <w:spacing w:after="20" w:before="20"/>
            </w:pPr>
            <w:r/>
            <w:r>
              <w:rPr>
                <w:b/>
                <w:sz w:val="16"/>
              </w:rPr>
              <w:t>YES</w:t>
            </w:r>
          </w:p>
        </w:tc>
        <w:tc>
          <w:tcPr>
            <w:tcW w:type="dxa" w:w="5329"/>
          </w:tcPr>
          <w:p>
            <w:pPr>
              <w:spacing w:after="20" w:before="20"/>
            </w:pPr>
            <w:r/>
            <w:r>
              <w:rPr>
                <w:b w:val="0"/>
                <w:sz w:val="16"/>
              </w:rPr>
              <w:t>Cecil sandy loam at 2–6 % near the road is rated "Not limited" for dwellings. A 2,800 sq ft 4-bedroom footprint fits with room for setbacks.</w:t>
            </w:r>
          </w:p>
        </w:tc>
      </w:tr>
      <w:tr>
        <w:tc>
          <w:tcPr>
            <w:tcW w:type="dxa" w:w="2381"/>
            <w:shd w:val="clear" w:color="auto" w:fill="F2F5F9"/>
          </w:tcPr>
          <w:p>
            <w:pPr>
              <w:spacing w:after="20" w:before="20"/>
            </w:pPr>
            <w:r/>
            <w:r>
              <w:rPr>
                <w:b/>
                <w:sz w:val="16"/>
              </w:rPr>
              <w:t>Second in-law suite / ADU</w:t>
            </w:r>
          </w:p>
        </w:tc>
        <w:tc>
          <w:tcPr>
            <w:tcW w:type="dxa" w:w="1701"/>
            <w:shd w:val="clear" w:color="auto" w:fill="F2F5F9"/>
          </w:tcPr>
          <w:p>
            <w:pPr>
              <w:spacing w:after="20" w:before="20"/>
            </w:pPr>
            <w:r/>
            <w:r>
              <w:rPr>
                <w:b/>
                <w:sz w:val="16"/>
              </w:rPr>
              <w:t>CONDITIONAL</w:t>
            </w:r>
          </w:p>
        </w:tc>
        <w:tc>
          <w:tcPr>
            <w:tcW w:type="dxa" w:w="5329"/>
            <w:shd w:val="clear" w:color="auto" w:fill="F2F5F9"/>
          </w:tcPr>
          <w:p>
            <w:pPr>
              <w:spacing w:after="20" w:before="20"/>
            </w:pPr>
            <w:r/>
            <w:r>
              <w:rPr>
                <w:b w:val="0"/>
                <w:sz w:val="16"/>
              </w:rPr>
              <w:t>Physically yes on 2.14 acres. Constrained by (a) unknown zoning rules on dwelling units, (b) HOA architectural review, and (c) **septic capacity for the total bedroom count** — the real constraint.</w:t>
            </w:r>
          </w:p>
        </w:tc>
      </w:tr>
      <w:tr>
        <w:tc>
          <w:tcPr>
            <w:tcW w:type="dxa" w:w="2381"/>
          </w:tcPr>
          <w:p>
            <w:pPr>
              <w:spacing w:after="20" w:before="20"/>
            </w:pPr>
            <w:r/>
            <w:r>
              <w:rPr>
                <w:b/>
                <w:sz w:val="16"/>
              </w:rPr>
              <w:t>Garage</w:t>
            </w:r>
          </w:p>
        </w:tc>
        <w:tc>
          <w:tcPr>
            <w:tcW w:type="dxa" w:w="1701"/>
          </w:tcPr>
          <w:p>
            <w:pPr>
              <w:spacing w:after="20" w:before="20"/>
            </w:pPr>
            <w:r/>
            <w:r>
              <w:rPr>
                <w:b/>
                <w:sz w:val="16"/>
              </w:rPr>
              <w:t>YES</w:t>
            </w:r>
          </w:p>
        </w:tc>
        <w:tc>
          <w:tcPr>
            <w:tcW w:type="dxa" w:w="5329"/>
          </w:tcPr>
          <w:p>
            <w:pPr>
              <w:spacing w:after="20" w:before="20"/>
            </w:pPr>
            <w:r/>
            <w:r>
              <w:rPr>
                <w:b w:val="0"/>
                <w:sz w:val="16"/>
              </w:rPr>
              <w:t>Easily; a side-entry or lower-level garage suits the 6–13 % grade.</w:t>
            </w:r>
          </w:p>
        </w:tc>
      </w:tr>
      <w:tr>
        <w:tc>
          <w:tcPr>
            <w:tcW w:type="dxa" w:w="2381"/>
            <w:shd w:val="clear" w:color="auto" w:fill="F2F5F9"/>
          </w:tcPr>
          <w:p>
            <w:pPr>
              <w:spacing w:after="20" w:before="20"/>
            </w:pPr>
            <w:r/>
            <w:r>
              <w:rPr>
                <w:b/>
                <w:sz w:val="16"/>
              </w:rPr>
              <w:t>Septic system</w:t>
            </w:r>
          </w:p>
        </w:tc>
        <w:tc>
          <w:tcPr>
            <w:tcW w:type="dxa" w:w="1701"/>
            <w:shd w:val="clear" w:color="auto" w:fill="F2F5F9"/>
          </w:tcPr>
          <w:p>
            <w:pPr>
              <w:spacing w:after="20" w:before="20"/>
            </w:pPr>
            <w:r/>
            <w:r>
              <w:rPr>
                <w:b/>
                <w:sz w:val="16"/>
              </w:rPr>
              <w:t>CONDITIONAL — the central open question</w:t>
            </w:r>
          </w:p>
        </w:tc>
        <w:tc>
          <w:tcPr>
            <w:tcW w:type="dxa" w:w="5329"/>
            <w:shd w:val="clear" w:color="auto" w:fill="F2F5F9"/>
          </w:tcPr>
          <w:p>
            <w:pPr>
              <w:spacing w:after="20" w:before="20"/>
            </w:pPr>
            <w:r/>
            <w:r>
              <w:rPr>
                <w:b w:val="0"/>
                <w:sz w:val="16"/>
              </w:rPr>
              <w:t>A system is certainly achievable somewhere on 2.14 acres. Whether a CONVENTIONAL 4-BEDROOM system is permittable is unresolved: much of the slope rates "Very limited", and Zion's bedrock at 77 cm would disqualify a conventional field. May require an engineered or advanced-treatment system.</w:t>
            </w:r>
          </w:p>
        </w:tc>
      </w:tr>
      <w:tr>
        <w:tc>
          <w:tcPr>
            <w:tcW w:type="dxa" w:w="2381"/>
          </w:tcPr>
          <w:p>
            <w:pPr>
              <w:spacing w:after="20" w:before="20"/>
            </w:pPr>
            <w:r/>
            <w:r>
              <w:rPr>
                <w:b/>
                <w:sz w:val="16"/>
              </w:rPr>
              <w:t>Garden</w:t>
            </w:r>
          </w:p>
        </w:tc>
        <w:tc>
          <w:tcPr>
            <w:tcW w:type="dxa" w:w="1701"/>
          </w:tcPr>
          <w:p>
            <w:pPr>
              <w:spacing w:after="20" w:before="20"/>
            </w:pPr>
            <w:r/>
            <w:r>
              <w:rPr>
                <w:b/>
                <w:sz w:val="16"/>
              </w:rPr>
              <w:t>YES</w:t>
            </w:r>
          </w:p>
        </w:tc>
        <w:tc>
          <w:tcPr>
            <w:tcW w:type="dxa" w:w="5329"/>
          </w:tcPr>
          <w:p>
            <w:pPr>
              <w:spacing w:after="20" w:before="20"/>
            </w:pPr>
            <w:r/>
            <w:r>
              <w:rPr>
                <w:b w:val="0"/>
                <w:sz w:val="16"/>
              </w:rPr>
              <w:t>283 frost-free days. Requires liming (native pH 4.8–5.5), heavy compost (native OM under 1.3 %) and raised beds on slope. Blueberry and muscadine thrive in the native soil.</w:t>
            </w:r>
          </w:p>
        </w:tc>
      </w:tr>
      <w:tr>
        <w:tc>
          <w:tcPr>
            <w:tcW w:type="dxa" w:w="2381"/>
            <w:shd w:val="clear" w:color="auto" w:fill="F2F5F9"/>
          </w:tcPr>
          <w:p>
            <w:pPr>
              <w:spacing w:after="20" w:before="20"/>
            </w:pPr>
            <w:r/>
            <w:r>
              <w:rPr>
                <w:b/>
                <w:sz w:val="16"/>
              </w:rPr>
              <w:t>Hobby farming</w:t>
            </w:r>
          </w:p>
        </w:tc>
        <w:tc>
          <w:tcPr>
            <w:tcW w:type="dxa" w:w="1701"/>
            <w:shd w:val="clear" w:color="auto" w:fill="F2F5F9"/>
          </w:tcPr>
          <w:p>
            <w:pPr>
              <w:spacing w:after="20" w:before="20"/>
            </w:pPr>
            <w:r/>
            <w:r>
              <w:rPr>
                <w:b/>
                <w:sz w:val="16"/>
              </w:rPr>
              <w:t>CONDITIONAL</w:t>
            </w:r>
          </w:p>
        </w:tc>
        <w:tc>
          <w:tcPr>
            <w:tcW w:type="dxa" w:w="5329"/>
            <w:shd w:val="clear" w:color="auto" w:fill="F2F5F9"/>
          </w:tcPr>
          <w:p>
            <w:pPr>
              <w:spacing w:after="20" w:before="20"/>
            </w:pPr>
            <w:r/>
            <w:r>
              <w:rPr>
                <w:b w:val="0"/>
                <w:sz w:val="16"/>
              </w:rPr>
              <w:t>County zoning is likely permissive; **HOA covenants are the probable obstacle**. Rabbits and bees are most likely acceptable; goats and poultry commonly restricted in amenity lake communities.</w:t>
            </w:r>
          </w:p>
        </w:tc>
      </w:tr>
      <w:tr>
        <w:tc>
          <w:tcPr>
            <w:tcW w:type="dxa" w:w="2381"/>
          </w:tcPr>
          <w:p>
            <w:pPr>
              <w:spacing w:after="20" w:before="20"/>
            </w:pPr>
            <w:r/>
            <w:r>
              <w:rPr>
                <w:b/>
                <w:sz w:val="16"/>
              </w:rPr>
              <w:t>Dock</w:t>
            </w:r>
          </w:p>
        </w:tc>
        <w:tc>
          <w:tcPr>
            <w:tcW w:type="dxa" w:w="1701"/>
          </w:tcPr>
          <w:p>
            <w:pPr>
              <w:spacing w:after="20" w:before="20"/>
            </w:pPr>
            <w:r/>
            <w:r>
              <w:rPr>
                <w:b/>
                <w:sz w:val="16"/>
              </w:rPr>
              <w:t>DOUBTFUL — UNRESOLVED</w:t>
            </w:r>
          </w:p>
        </w:tc>
        <w:tc>
          <w:tcPr>
            <w:tcW w:type="dxa" w:w="5329"/>
          </w:tcPr>
          <w:p>
            <w:pPr>
              <w:spacing w:after="20" w:before="20"/>
            </w:pPr>
            <w:r/>
            <w:r>
              <w:rPr>
                <w:b w:val="0"/>
                <w:sz w:val="16"/>
              </w:rPr>
              <w:t>Requires a USACE Shoreline Use Permit. Blocked outright if the plat postdates 1 May 2018 (community docks only), and requires a 20 ft shared federal boundary. Allocation for this frontage unverified. **Do not pay a dock premium without written confirmation.**</w:t>
            </w:r>
          </w:p>
        </w:tc>
      </w:tr>
      <w:tr>
        <w:tc>
          <w:tcPr>
            <w:tcW w:type="dxa" w:w="2381"/>
            <w:shd w:val="clear" w:color="auto" w:fill="F2F5F9"/>
          </w:tcPr>
          <w:p>
            <w:pPr>
              <w:spacing w:after="20" w:before="20"/>
            </w:pPr>
            <w:r/>
            <w:r>
              <w:rPr>
                <w:b/>
                <w:sz w:val="16"/>
              </w:rPr>
              <w:t>Boat access</w:t>
            </w:r>
          </w:p>
        </w:tc>
        <w:tc>
          <w:tcPr>
            <w:tcW w:type="dxa" w:w="1701"/>
            <w:shd w:val="clear" w:color="auto" w:fill="F2F5F9"/>
          </w:tcPr>
          <w:p>
            <w:pPr>
              <w:spacing w:after="20" w:before="20"/>
            </w:pPr>
            <w:r/>
            <w:r>
              <w:rPr>
                <w:b/>
                <w:sz w:val="16"/>
              </w:rPr>
              <w:t>YES, but by trailer</w:t>
            </w:r>
          </w:p>
        </w:tc>
        <w:tc>
          <w:tcPr>
            <w:tcW w:type="dxa" w:w="5329"/>
            <w:shd w:val="clear" w:color="auto" w:fill="F2F5F9"/>
          </w:tcPr>
          <w:p>
            <w:pPr>
              <w:spacing w:after="20" w:before="20"/>
            </w:pPr>
            <w:r/>
            <w:r>
              <w:rPr>
                <w:b w:val="0"/>
                <w:sz w:val="16"/>
              </w:rPr>
              <w:t>Excellent public access at Hesters Ferry (adjacent) and Elijah Clark State Park (21 mi). Private water access from the lot is unconfirmed and involves a 470–690 ft walk.</w:t>
            </w:r>
          </w:p>
        </w:tc>
      </w:tr>
      <w:tr>
        <w:tc>
          <w:tcPr>
            <w:tcW w:type="dxa" w:w="2381"/>
          </w:tcPr>
          <w:p>
            <w:pPr>
              <w:spacing w:after="20" w:before="20"/>
            </w:pPr>
            <w:r/>
            <w:r>
              <w:rPr>
                <w:b/>
                <w:sz w:val="16"/>
              </w:rPr>
              <w:t>Short-term rental</w:t>
            </w:r>
          </w:p>
        </w:tc>
        <w:tc>
          <w:tcPr>
            <w:tcW w:type="dxa" w:w="1701"/>
          </w:tcPr>
          <w:p>
            <w:pPr>
              <w:spacing w:after="20" w:before="20"/>
            </w:pPr>
            <w:r/>
            <w:r>
              <w:rPr>
                <w:b/>
                <w:sz w:val="16"/>
              </w:rPr>
              <w:t>DOUBTFUL — UNRESOLVED</w:t>
            </w:r>
          </w:p>
        </w:tc>
        <w:tc>
          <w:tcPr>
            <w:tcW w:type="dxa" w:w="5329"/>
          </w:tcPr>
          <w:p>
            <w:pPr>
              <w:spacing w:after="20" w:before="20"/>
            </w:pPr>
            <w:r/>
            <w:r>
              <w:rPr>
                <w:b w:val="0"/>
                <w:sz w:val="16"/>
              </w:rPr>
              <w:t>HOA rules unknown and commonly prohibitive; county rules unknown; occupancy capped by septic bedrooms; and without a dock the property competes as a rural cabin rather than a lake house.</w:t>
            </w:r>
          </w:p>
        </w:tc>
      </w:tr>
      <w:tr>
        <w:tc>
          <w:tcPr>
            <w:tcW w:type="dxa" w:w="2381"/>
            <w:shd w:val="clear" w:color="auto" w:fill="F2F5F9"/>
          </w:tcPr>
          <w:p>
            <w:pPr>
              <w:spacing w:after="20" w:before="20"/>
            </w:pPr>
            <w:r/>
            <w:r>
              <w:rPr>
                <w:b/>
                <w:sz w:val="16"/>
              </w:rPr>
              <w:t>Pool / outdoor recreation</w:t>
            </w:r>
          </w:p>
        </w:tc>
        <w:tc>
          <w:tcPr>
            <w:tcW w:type="dxa" w:w="1701"/>
            <w:shd w:val="clear" w:color="auto" w:fill="F2F5F9"/>
          </w:tcPr>
          <w:p>
            <w:pPr>
              <w:spacing w:after="20" w:before="20"/>
            </w:pPr>
            <w:r/>
            <w:r>
              <w:rPr>
                <w:b/>
                <w:sz w:val="16"/>
              </w:rPr>
              <w:t>YES</w:t>
            </w:r>
          </w:p>
        </w:tc>
        <w:tc>
          <w:tcPr>
            <w:tcW w:type="dxa" w:w="5329"/>
            <w:shd w:val="clear" w:color="auto" w:fill="F2F5F9"/>
          </w:tcPr>
          <w:p>
            <w:pPr>
              <w:spacing w:after="20" w:before="20"/>
            </w:pPr>
            <w:r/>
            <w:r>
              <w:rPr>
                <w:b w:val="0"/>
                <w:sz w:val="16"/>
              </w:rPr>
              <w:t>Feasible on the near-road bench with retaining allowance. Subject to HOA architectural approval. Outdoor living suits the climate, with a north-facing rear elevation giving summer shade.</w:t>
            </w:r>
          </w:p>
        </w:tc>
      </w:tr>
    </w:tbl>
    <w:p>
      <w:pPr>
        <w:spacing w:after="40"/>
      </w:pPr>
    </w:p>
    <w:p>
      <w:pPr>
        <w:pStyle w:val="Heading2"/>
      </w:pPr>
      <w:r>
        <w:t>60. Key measurements summary</w:t>
      </w:r>
    </w:p>
    <w:tbl>
      <w:tblPr>
        <w:tblStyle w:val="TableGrid"/>
        <w:tblW w:type="auto" w:w="0"/>
        <w:jc w:val="center"/>
        <w:tblLook w:firstColumn="1" w:firstRow="1" w:lastColumn="0" w:lastRow="0" w:noHBand="0" w:noVBand="1" w:val="04A0"/>
      </w:tblPr>
      <w:tblGrid>
        <w:gridCol w:w="3288"/>
        <w:gridCol w:w="3288"/>
        <w:gridCol w:w="3288"/>
      </w:tblGrid>
      <w:tr>
        <w:tc>
          <w:tcPr>
            <w:tcW w:type="dxa" w:w="2608"/>
            <w:shd w:val="clear" w:color="auto" w:fill="1F4E79"/>
          </w:tcPr>
          <w:p>
            <w:pPr>
              <w:spacing w:after="20" w:before="20"/>
            </w:pPr>
            <w:r/>
            <w:r>
              <w:rPr>
                <w:b/>
                <w:color w:val="FFFFFF"/>
                <w:sz w:val="15"/>
              </w:rPr>
              <w:t>Parameter</w:t>
            </w:r>
          </w:p>
        </w:tc>
        <w:tc>
          <w:tcPr>
            <w:tcW w:type="dxa" w:w="5896"/>
            <w:shd w:val="clear" w:color="auto" w:fill="1F4E79"/>
          </w:tcPr>
          <w:p>
            <w:pPr>
              <w:spacing w:after="20" w:before="20"/>
            </w:pPr>
            <w:r/>
            <w:r>
              <w:rPr>
                <w:b/>
                <w:color w:val="FFFFFF"/>
                <w:sz w:val="15"/>
              </w:rPr>
              <w:t>Finding</w:t>
            </w:r>
          </w:p>
        </w:tc>
        <w:tc>
          <w:tcPr>
            <w:tcW w:type="dxa" w:w="907"/>
            <w:shd w:val="clear" w:color="auto" w:fill="1F4E79"/>
          </w:tcPr>
          <w:p>
            <w:pPr>
              <w:spacing w:after="20" w:before="20"/>
            </w:pPr>
            <w:r/>
            <w:r>
              <w:rPr>
                <w:b/>
                <w:color w:val="FFFFFF"/>
                <w:sz w:val="15"/>
              </w:rPr>
              <w:t>Tier</w:t>
            </w:r>
          </w:p>
        </w:tc>
      </w:tr>
      <w:tr>
        <w:tc>
          <w:tcPr>
            <w:tcW w:type="dxa" w:w="2608"/>
          </w:tcPr>
          <w:p>
            <w:pPr>
              <w:spacing w:after="20" w:before="20"/>
            </w:pPr>
            <w:r/>
            <w:r>
              <w:rPr>
                <w:b w:val="0"/>
                <w:sz w:val="15"/>
              </w:rPr>
              <w:t>Lot size</w:t>
            </w:r>
          </w:p>
        </w:tc>
        <w:tc>
          <w:tcPr>
            <w:tcW w:type="dxa" w:w="5896"/>
          </w:tcPr>
          <w:p>
            <w:pPr>
              <w:spacing w:after="20" w:before="20"/>
            </w:pPr>
            <w:r/>
            <w:r>
              <w:rPr>
                <w:b w:val="0"/>
                <w:sz w:val="15"/>
              </w:rPr>
              <w:t>1.07 ac each; 2.14 ac combined (46,609 sq ft each) — per listing</w:t>
            </w:r>
          </w:p>
        </w:tc>
        <w:tc>
          <w:tcPr>
            <w:tcW w:type="dxa" w:w="907"/>
          </w:tcPr>
          <w:p>
            <w:pPr>
              <w:spacing w:after="20" w:before="20"/>
            </w:pPr>
            <w:r/>
            <w:r>
              <w:rPr>
                <w:b w:val="0"/>
                <w:sz w:val="15"/>
              </w:rPr>
              <w:t>Listing</w:t>
            </w:r>
          </w:p>
        </w:tc>
      </w:tr>
      <w:tr>
        <w:tc>
          <w:tcPr>
            <w:tcW w:type="dxa" w:w="2608"/>
            <w:shd w:val="clear" w:color="auto" w:fill="F2F5F9"/>
          </w:tcPr>
          <w:p>
            <w:pPr>
              <w:spacing w:after="20" w:before="20"/>
            </w:pPr>
            <w:r/>
            <w:r>
              <w:rPr>
                <w:b w:val="0"/>
                <w:sz w:val="15"/>
              </w:rPr>
              <w:t>Lot dimensions</w:t>
            </w:r>
          </w:p>
        </w:tc>
        <w:tc>
          <w:tcPr>
            <w:tcW w:type="dxa" w:w="5896"/>
            <w:shd w:val="clear" w:color="auto" w:fill="F2F5F9"/>
          </w:tcPr>
          <w:p>
            <w:pPr>
              <w:spacing w:after="20" w:before="20"/>
            </w:pPr>
            <w:r/>
            <w:r>
              <w:rPr>
                <w:b w:val="0"/>
                <w:sz w:val="15"/>
              </w:rPr>
              <w:t>**Not published.** Modelled as 150 ft x 310 ft</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val="0"/>
                <w:sz w:val="15"/>
              </w:rPr>
              <w:t>Parcel ID / APN</w:t>
            </w:r>
          </w:p>
        </w:tc>
        <w:tc>
          <w:tcPr>
            <w:tcW w:type="dxa" w:w="5896"/>
          </w:tcPr>
          <w:p>
            <w:pPr>
              <w:spacing w:after="20" w:before="20"/>
            </w:pPr>
            <w:r/>
            <w:r>
              <w:rPr>
                <w:b w:val="0"/>
                <w:sz w:val="15"/>
              </w:rPr>
              <w:t>**Not obtained** — county GIS token-restricted</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Lowest elevation (study area)</w:t>
            </w:r>
          </w:p>
        </w:tc>
        <w:tc>
          <w:tcPr>
            <w:tcW w:type="dxa" w:w="5896"/>
            <w:shd w:val="clear" w:color="auto" w:fill="F2F5F9"/>
          </w:tcPr>
          <w:p>
            <w:pPr>
              <w:spacing w:after="20" w:before="20"/>
            </w:pPr>
            <w:r/>
            <w:r>
              <w:rPr>
                <w:b w:val="0"/>
                <w:sz w:val="15"/>
              </w:rPr>
              <w:t>326.9 ft NAVD 88 (lake bed, below full pool)</w:t>
            </w:r>
          </w:p>
        </w:tc>
        <w:tc>
          <w:tcPr>
            <w:tcW w:type="dxa" w:w="907"/>
            <w:shd w:val="clear" w:color="auto" w:fill="F2F5F9"/>
          </w:tcPr>
          <w:p>
            <w:pPr>
              <w:spacing w:after="20" w:before="20"/>
            </w:pPr>
            <w:r/>
            <w:r>
              <w:rPr>
                <w:b w:val="0"/>
                <w:sz w:val="15"/>
              </w:rPr>
              <w:t>Lidar</w:t>
            </w:r>
          </w:p>
        </w:tc>
      </w:tr>
      <w:tr>
        <w:tc>
          <w:tcPr>
            <w:tcW w:type="dxa" w:w="2608"/>
          </w:tcPr>
          <w:p>
            <w:pPr>
              <w:spacing w:after="20" w:before="20"/>
            </w:pPr>
            <w:r/>
            <w:r>
              <w:rPr>
                <w:b w:val="0"/>
                <w:sz w:val="15"/>
              </w:rPr>
              <w:t>Highest elevation (study area)</w:t>
            </w:r>
          </w:p>
        </w:tc>
        <w:tc>
          <w:tcPr>
            <w:tcW w:type="dxa" w:w="5896"/>
          </w:tcPr>
          <w:p>
            <w:pPr>
              <w:spacing w:after="20" w:before="20"/>
            </w:pPr>
            <w:r/>
            <w:r>
              <w:rPr>
                <w:b w:val="0"/>
                <w:sz w:val="15"/>
              </w:rPr>
              <w:t>446.8 ft NAVD 88</w:t>
            </w:r>
          </w:p>
        </w:tc>
        <w:tc>
          <w:tcPr>
            <w:tcW w:type="dxa" w:w="907"/>
          </w:tcPr>
          <w:p>
            <w:pPr>
              <w:spacing w:after="20" w:before="20"/>
            </w:pPr>
            <w:r/>
            <w:r>
              <w:rPr>
                <w:b w:val="0"/>
                <w:sz w:val="15"/>
              </w:rPr>
              <w:t>Lidar</w:t>
            </w:r>
          </w:p>
        </w:tc>
      </w:tr>
      <w:tr>
        <w:tc>
          <w:tcPr>
            <w:tcW w:type="dxa" w:w="2608"/>
            <w:shd w:val="clear" w:color="auto" w:fill="F2F5F9"/>
          </w:tcPr>
          <w:p>
            <w:pPr>
              <w:spacing w:after="20" w:before="20"/>
            </w:pPr>
            <w:r/>
            <w:r>
              <w:rPr>
                <w:b w:val="0"/>
                <w:sz w:val="15"/>
              </w:rPr>
              <w:t>Road frontage elevation</w:t>
            </w:r>
          </w:p>
        </w:tc>
        <w:tc>
          <w:tcPr>
            <w:tcW w:type="dxa" w:w="5896"/>
            <w:shd w:val="clear" w:color="auto" w:fill="F2F5F9"/>
          </w:tcPr>
          <w:p>
            <w:pPr>
              <w:spacing w:after="20" w:before="20"/>
            </w:pPr>
            <w:r/>
            <w:r>
              <w:rPr>
                <w:b w:val="0"/>
                <w:sz w:val="15"/>
              </w:rPr>
              <w:t>385.0 – 399.1 ft NAVD 88</w:t>
            </w:r>
          </w:p>
        </w:tc>
        <w:tc>
          <w:tcPr>
            <w:tcW w:type="dxa" w:w="907"/>
            <w:shd w:val="clear" w:color="auto" w:fill="F2F5F9"/>
          </w:tcPr>
          <w:p>
            <w:pPr>
              <w:spacing w:after="20" w:before="20"/>
            </w:pPr>
            <w:r/>
            <w:r>
              <w:rPr>
                <w:b w:val="0"/>
                <w:sz w:val="15"/>
              </w:rPr>
              <w:t>Lidar</w:t>
            </w:r>
          </w:p>
        </w:tc>
      </w:tr>
      <w:tr>
        <w:tc>
          <w:tcPr>
            <w:tcW w:type="dxa" w:w="2608"/>
          </w:tcPr>
          <w:p>
            <w:pPr>
              <w:spacing w:after="20" w:before="20"/>
            </w:pPr>
            <w:r/>
            <w:r>
              <w:rPr>
                <w:b w:val="0"/>
                <w:sz w:val="15"/>
              </w:rPr>
              <w:t>Elevation at rear of a 310 ft lot</w:t>
            </w:r>
          </w:p>
        </w:tc>
        <w:tc>
          <w:tcPr>
            <w:tcW w:type="dxa" w:w="5896"/>
          </w:tcPr>
          <w:p>
            <w:pPr>
              <w:spacing w:after="20" w:before="20"/>
            </w:pPr>
            <w:r/>
            <w:r>
              <w:rPr>
                <w:b w:val="0"/>
                <w:sz w:val="15"/>
              </w:rPr>
              <w:t>347.5 ft (west) to 371.9 ft (east)</w:t>
            </w:r>
          </w:p>
        </w:tc>
        <w:tc>
          <w:tcPr>
            <w:tcW w:type="dxa" w:w="907"/>
          </w:tcPr>
          <w:p>
            <w:pPr>
              <w:spacing w:after="20" w:before="20"/>
            </w:pPr>
            <w:r/>
            <w:r>
              <w:rPr>
                <w:b w:val="0"/>
                <w:sz w:val="15"/>
              </w:rPr>
              <w:t>Lidar</w:t>
            </w:r>
          </w:p>
        </w:tc>
      </w:tr>
      <w:tr>
        <w:tc>
          <w:tcPr>
            <w:tcW w:type="dxa" w:w="2608"/>
            <w:shd w:val="clear" w:color="auto" w:fill="F2F5F9"/>
          </w:tcPr>
          <w:p>
            <w:pPr>
              <w:spacing w:after="20" w:before="20"/>
            </w:pPr>
            <w:r/>
            <w:r>
              <w:rPr>
                <w:b w:val="0"/>
                <w:sz w:val="15"/>
              </w:rPr>
              <w:t>Elevation difference, road to full pool</w:t>
            </w:r>
          </w:p>
        </w:tc>
        <w:tc>
          <w:tcPr>
            <w:tcW w:type="dxa" w:w="5896"/>
            <w:shd w:val="clear" w:color="auto" w:fill="F2F5F9"/>
          </w:tcPr>
          <w:p>
            <w:pPr>
              <w:spacing w:after="20" w:before="20"/>
            </w:pPr>
            <w:r/>
            <w:r>
              <w:rPr>
                <w:b w:val="0"/>
                <w:sz w:val="15"/>
              </w:rPr>
              <w:t>52.6 – 65.0 ft</w:t>
            </w:r>
          </w:p>
        </w:tc>
        <w:tc>
          <w:tcPr>
            <w:tcW w:type="dxa" w:w="907"/>
            <w:shd w:val="clear" w:color="auto" w:fill="F2F5F9"/>
          </w:tcPr>
          <w:p>
            <w:pPr>
              <w:spacing w:after="20" w:before="20"/>
            </w:pPr>
            <w:r/>
            <w:r>
              <w:rPr>
                <w:b w:val="0"/>
                <w:sz w:val="15"/>
              </w:rPr>
              <w:t>Lidar</w:t>
            </w:r>
          </w:p>
        </w:tc>
      </w:tr>
      <w:tr>
        <w:tc>
          <w:tcPr>
            <w:tcW w:type="dxa" w:w="2608"/>
          </w:tcPr>
          <w:p>
            <w:pPr>
              <w:spacing w:after="20" w:before="20"/>
            </w:pPr>
            <w:r/>
            <w:r>
              <w:rPr>
                <w:b w:val="0"/>
                <w:sz w:val="15"/>
              </w:rPr>
              <w:t>Horizontal distance, road to full pool</w:t>
            </w:r>
          </w:p>
        </w:tc>
        <w:tc>
          <w:tcPr>
            <w:tcW w:type="dxa" w:w="5896"/>
          </w:tcPr>
          <w:p>
            <w:pPr>
              <w:spacing w:after="20" w:before="20"/>
            </w:pPr>
            <w:r/>
            <w:r>
              <w:rPr>
                <w:b w:val="0"/>
                <w:sz w:val="15"/>
              </w:rPr>
              <w:t>467 – 688 ft (142 – 210 m)</w:t>
            </w:r>
          </w:p>
        </w:tc>
        <w:tc>
          <w:tcPr>
            <w:tcW w:type="dxa" w:w="907"/>
          </w:tcPr>
          <w:p>
            <w:pPr>
              <w:spacing w:after="20" w:before="20"/>
            </w:pPr>
            <w:r/>
            <w:r>
              <w:rPr>
                <w:b w:val="0"/>
                <w:sz w:val="15"/>
              </w:rPr>
              <w:t>Lidar</w:t>
            </w:r>
          </w:p>
        </w:tc>
      </w:tr>
      <w:tr>
        <w:tc>
          <w:tcPr>
            <w:tcW w:type="dxa" w:w="2608"/>
            <w:shd w:val="clear" w:color="auto" w:fill="F2F5F9"/>
          </w:tcPr>
          <w:p>
            <w:pPr>
              <w:spacing w:after="20" w:before="20"/>
            </w:pPr>
            <w:r/>
            <w:r>
              <w:rPr>
                <w:b w:val="0"/>
                <w:sz w:val="15"/>
              </w:rPr>
              <w:t>Average slope, road to lake</w:t>
            </w:r>
          </w:p>
        </w:tc>
        <w:tc>
          <w:tcPr>
            <w:tcW w:type="dxa" w:w="5896"/>
            <w:shd w:val="clear" w:color="auto" w:fill="F2F5F9"/>
          </w:tcPr>
          <w:p>
            <w:pPr>
              <w:spacing w:after="20" w:before="20"/>
            </w:pPr>
            <w:r/>
            <w:r>
              <w:rPr>
                <w:b w:val="0"/>
                <w:sz w:val="15"/>
              </w:rPr>
              <w:t>9.0 – 11.7 % (5.1 – 6.7 deg)</w:t>
            </w:r>
          </w:p>
        </w:tc>
        <w:tc>
          <w:tcPr>
            <w:tcW w:type="dxa" w:w="907"/>
            <w:shd w:val="clear" w:color="auto" w:fill="F2F5F9"/>
          </w:tcPr>
          <w:p>
            <w:pPr>
              <w:spacing w:after="20" w:before="20"/>
            </w:pPr>
            <w:r/>
            <w:r>
              <w:rPr>
                <w:b w:val="0"/>
                <w:sz w:val="15"/>
              </w:rPr>
              <w:t>Lidar</w:t>
            </w:r>
          </w:p>
        </w:tc>
      </w:tr>
      <w:tr>
        <w:tc>
          <w:tcPr>
            <w:tcW w:type="dxa" w:w="2608"/>
          </w:tcPr>
          <w:p>
            <w:pPr>
              <w:spacing w:after="20" w:before="20"/>
            </w:pPr>
            <w:r/>
            <w:r>
              <w:rPr>
                <w:b w:val="0"/>
                <w:sz w:val="15"/>
              </w:rPr>
              <w:t>Average slope within first 310 ft</w:t>
            </w:r>
          </w:p>
        </w:tc>
        <w:tc>
          <w:tcPr>
            <w:tcW w:type="dxa" w:w="5896"/>
          </w:tcPr>
          <w:p>
            <w:pPr>
              <w:spacing w:after="20" w:before="20"/>
            </w:pPr>
            <w:r/>
            <w:r>
              <w:rPr>
                <w:b w:val="0"/>
                <w:sz w:val="15"/>
              </w:rPr>
              <w:t>6.0 – 12.8 % (3.4 – 7.3 deg)</w:t>
            </w:r>
          </w:p>
        </w:tc>
        <w:tc>
          <w:tcPr>
            <w:tcW w:type="dxa" w:w="907"/>
          </w:tcPr>
          <w:p>
            <w:pPr>
              <w:spacing w:after="20" w:before="20"/>
            </w:pPr>
            <w:r/>
            <w:r>
              <w:rPr>
                <w:b w:val="0"/>
                <w:sz w:val="15"/>
              </w:rPr>
              <w:t>Lidar</w:t>
            </w:r>
          </w:p>
        </w:tc>
      </w:tr>
      <w:tr>
        <w:tc>
          <w:tcPr>
            <w:tcW w:type="dxa" w:w="2608"/>
            <w:shd w:val="clear" w:color="auto" w:fill="F2F5F9"/>
          </w:tcPr>
          <w:p>
            <w:pPr>
              <w:spacing w:after="20" w:before="20"/>
            </w:pPr>
            <w:r/>
            <w:r>
              <w:rPr>
                <w:b/>
                <w:sz w:val="15"/>
              </w:rPr>
              <w:t>Maximum slope over any 50 ft</w:t>
            </w:r>
          </w:p>
        </w:tc>
        <w:tc>
          <w:tcPr>
            <w:tcW w:type="dxa" w:w="5896"/>
            <w:shd w:val="clear" w:color="auto" w:fill="F2F5F9"/>
          </w:tcPr>
          <w:p>
            <w:pPr>
              <w:spacing w:after="20" w:before="20"/>
            </w:pPr>
            <w:r/>
            <w:r>
              <w:rPr>
                <w:b/>
                <w:sz w:val="15"/>
              </w:rPr>
              <w:t>18.6 – 24.5 % (10.5 – 13.7 deg)</w:t>
            </w:r>
          </w:p>
        </w:tc>
        <w:tc>
          <w:tcPr>
            <w:tcW w:type="dxa" w:w="907"/>
            <w:shd w:val="clear" w:color="auto" w:fill="F2F5F9"/>
          </w:tcPr>
          <w:p>
            <w:pPr>
              <w:spacing w:after="20" w:before="20"/>
            </w:pPr>
            <w:r/>
            <w:r>
              <w:rPr>
                <w:b w:val="0"/>
                <w:sz w:val="15"/>
              </w:rPr>
              <w:t>Lidar</w:t>
            </w:r>
          </w:p>
        </w:tc>
      </w:tr>
      <w:tr>
        <w:tc>
          <w:tcPr>
            <w:tcW w:type="dxa" w:w="2608"/>
          </w:tcPr>
          <w:p>
            <w:pPr>
              <w:spacing w:after="20" w:before="20"/>
            </w:pPr>
            <w:r/>
            <w:r>
              <w:rPr>
                <w:b w:val="0"/>
                <w:sz w:val="15"/>
              </w:rPr>
              <w:t>Terrain classification</w:t>
            </w:r>
          </w:p>
        </w:tc>
        <w:tc>
          <w:tcPr>
            <w:tcW w:type="dxa" w:w="5896"/>
          </w:tcPr>
          <w:p>
            <w:pPr>
              <w:spacing w:after="20" w:before="20"/>
            </w:pPr>
            <w:r/>
            <w:r>
              <w:rPr>
                <w:b w:val="0"/>
                <w:sz w:val="15"/>
              </w:rPr>
              <w:t>Gentle to moderate slope; localised moderate-steep bands</w:t>
            </w:r>
          </w:p>
        </w:tc>
        <w:tc>
          <w:tcPr>
            <w:tcW w:type="dxa" w:w="907"/>
          </w:tcPr>
          <w:p>
            <w:pPr>
              <w:spacing w:after="20" w:before="20"/>
            </w:pPr>
            <w:r/>
            <w:r>
              <w:rPr>
                <w:b w:val="0"/>
                <w:sz w:val="15"/>
              </w:rPr>
              <w:t>Lidar</w:t>
            </w:r>
          </w:p>
        </w:tc>
      </w:tr>
      <w:tr>
        <w:tc>
          <w:tcPr>
            <w:tcW w:type="dxa" w:w="2608"/>
            <w:shd w:val="clear" w:color="auto" w:fill="F2F5F9"/>
          </w:tcPr>
          <w:p>
            <w:pPr>
              <w:spacing w:after="20" w:before="20"/>
            </w:pPr>
            <w:r/>
            <w:r>
              <w:rPr>
                <w:b/>
                <w:sz w:val="15"/>
              </w:rPr>
              <w:t>FEMA zone</w:t>
            </w:r>
          </w:p>
        </w:tc>
        <w:tc>
          <w:tcPr>
            <w:tcW w:type="dxa" w:w="5896"/>
            <w:shd w:val="clear" w:color="auto" w:fill="F2F5F9"/>
          </w:tcPr>
          <w:p>
            <w:pPr>
              <w:spacing w:after="20" w:before="20"/>
            </w:pPr>
            <w:r/>
            <w:r>
              <w:rPr>
                <w:b w:val="0"/>
                <w:sz w:val="15"/>
              </w:rPr>
              <w:t>**Zone A (SFHA, no BFE) at lake margin; Zone X over building envelope.** DFIRM 13181C</w:t>
            </w:r>
          </w:p>
        </w:tc>
        <w:tc>
          <w:tcPr>
            <w:tcW w:type="dxa" w:w="907"/>
            <w:shd w:val="clear" w:color="auto" w:fill="F2F5F9"/>
          </w:tcPr>
          <w:p>
            <w:pPr>
              <w:spacing w:after="20" w:before="20"/>
            </w:pPr>
            <w:r/>
            <w:r>
              <w:rPr>
                <w:b w:val="0"/>
                <w:sz w:val="15"/>
              </w:rPr>
              <w:t>FEMA</w:t>
            </w:r>
          </w:p>
        </w:tc>
      </w:tr>
      <w:tr>
        <w:tc>
          <w:tcPr>
            <w:tcW w:type="dxa" w:w="2608"/>
          </w:tcPr>
          <w:p>
            <w:pPr>
              <w:spacing w:after="20" w:before="20"/>
            </w:pPr>
            <w:r/>
            <w:r>
              <w:rPr>
                <w:b/>
                <w:sz w:val="15"/>
              </w:rPr>
              <w:t>BFE</w:t>
            </w:r>
          </w:p>
        </w:tc>
        <w:tc>
          <w:tcPr>
            <w:tcW w:type="dxa" w:w="5896"/>
          </w:tcPr>
          <w:p>
            <w:pPr>
              <w:spacing w:after="20" w:before="20"/>
            </w:pPr>
            <w:r/>
            <w:r>
              <w:rPr>
                <w:b w:val="0"/>
                <w:sz w:val="15"/>
              </w:rPr>
              <w:t>**None published** (STATIC_BFE = -9999)</w:t>
            </w:r>
          </w:p>
        </w:tc>
        <w:tc>
          <w:tcPr>
            <w:tcW w:type="dxa" w:w="907"/>
          </w:tcPr>
          <w:p>
            <w:pPr>
              <w:spacing w:after="20" w:before="20"/>
            </w:pPr>
            <w:r/>
            <w:r>
              <w:rPr>
                <w:b w:val="0"/>
                <w:sz w:val="15"/>
              </w:rPr>
              <w:t>FEMA</w:t>
            </w:r>
          </w:p>
        </w:tc>
      </w:tr>
      <w:tr>
        <w:tc>
          <w:tcPr>
            <w:tcW w:type="dxa" w:w="2608"/>
            <w:shd w:val="clear" w:color="auto" w:fill="F2F5F9"/>
          </w:tcPr>
          <w:p>
            <w:pPr>
              <w:spacing w:after="20" w:before="20"/>
            </w:pPr>
            <w:r/>
            <w:r>
              <w:rPr>
                <w:b w:val="0"/>
                <w:sz w:val="15"/>
              </w:rPr>
              <w:t>Minimum finished-floor elevation</w:t>
            </w:r>
          </w:p>
        </w:tc>
        <w:tc>
          <w:tcPr>
            <w:tcW w:type="dxa" w:w="5896"/>
            <w:shd w:val="clear" w:color="auto" w:fill="F2F5F9"/>
          </w:tcPr>
          <w:p>
            <w:pPr>
              <w:spacing w:after="20" w:before="20"/>
            </w:pPr>
            <w:r/>
            <w:r>
              <w:rPr>
                <w:b w:val="0"/>
                <w:sz w:val="15"/>
              </w:rPr>
              <w:t>**County-determined** — no BFE exists to compute from</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val="0"/>
                <w:sz w:val="15"/>
              </w:rPr>
              <w:t>Fill required?</w:t>
            </w:r>
          </w:p>
        </w:tc>
        <w:tc>
          <w:tcPr>
            <w:tcW w:type="dxa" w:w="5896"/>
          </w:tcPr>
          <w:p>
            <w:pPr>
              <w:spacing w:after="20" w:before="20"/>
            </w:pPr>
            <w:r/>
            <w:r>
              <w:rPr>
                <w:b w:val="0"/>
                <w:sz w:val="15"/>
              </w:rPr>
              <w:t>**Not for flood purposes.** Possibly for pad grading</w:t>
            </w:r>
          </w:p>
        </w:tc>
        <w:tc>
          <w:tcPr>
            <w:tcW w:type="dxa" w:w="907"/>
          </w:tcPr>
          <w:p>
            <w:pPr>
              <w:spacing w:after="20" w:before="20"/>
            </w:pPr>
            <w:r/>
            <w:r>
              <w:rPr>
                <w:b w:val="0"/>
                <w:sz w:val="15"/>
              </w:rPr>
              <w:t>Model</w:t>
            </w:r>
          </w:p>
        </w:tc>
      </w:tr>
      <w:tr>
        <w:tc>
          <w:tcPr>
            <w:tcW w:type="dxa" w:w="2608"/>
            <w:shd w:val="clear" w:color="auto" w:fill="F2F5F9"/>
          </w:tcPr>
          <w:p>
            <w:pPr>
              <w:spacing w:after="20" w:before="20"/>
            </w:pPr>
            <w:r/>
            <w:r>
              <w:rPr>
                <w:b w:val="0"/>
                <w:sz w:val="15"/>
              </w:rPr>
              <w:t>Sewer</w:t>
            </w:r>
          </w:p>
        </w:tc>
        <w:tc>
          <w:tcPr>
            <w:tcW w:type="dxa" w:w="5896"/>
            <w:shd w:val="clear" w:color="auto" w:fill="F2F5F9"/>
          </w:tcPr>
          <w:p>
            <w:pPr>
              <w:spacing w:after="20" w:before="20"/>
            </w:pPr>
            <w:r/>
            <w:r>
              <w:rPr>
                <w:b w:val="0"/>
                <w:sz w:val="15"/>
              </w:rPr>
              <w:t>**None.** Septic mandatory</w:t>
            </w:r>
          </w:p>
        </w:tc>
        <w:tc>
          <w:tcPr>
            <w:tcW w:type="dxa" w:w="907"/>
            <w:shd w:val="clear" w:color="auto" w:fill="F2F5F9"/>
          </w:tcPr>
          <w:p>
            <w:pPr>
              <w:spacing w:after="20" w:before="20"/>
            </w:pPr>
            <w:r/>
            <w:r>
              <w:rPr>
                <w:b w:val="0"/>
                <w:sz w:val="15"/>
              </w:rPr>
              <w:t>Documented</w:t>
            </w:r>
          </w:p>
        </w:tc>
      </w:tr>
      <w:tr>
        <w:tc>
          <w:tcPr>
            <w:tcW w:type="dxa" w:w="2608"/>
          </w:tcPr>
          <w:p>
            <w:pPr>
              <w:spacing w:after="20" w:before="20"/>
            </w:pPr>
            <w:r/>
            <w:r>
              <w:rPr>
                <w:b w:val="0"/>
                <w:sz w:val="15"/>
              </w:rPr>
              <w:t>Water</w:t>
            </w:r>
          </w:p>
        </w:tc>
        <w:tc>
          <w:tcPr>
            <w:tcW w:type="dxa" w:w="5896"/>
          </w:tcPr>
          <w:p>
            <w:pPr>
              <w:spacing w:after="20" w:before="20"/>
            </w:pPr>
            <w:r/>
            <w:r>
              <w:rPr>
                <w:b w:val="0"/>
                <w:sz w:val="15"/>
              </w:rPr>
              <w:t>Public/community water **reported**; parcel-level unconfirmed</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Electricity</w:t>
            </w:r>
          </w:p>
        </w:tc>
        <w:tc>
          <w:tcPr>
            <w:tcW w:type="dxa" w:w="5896"/>
            <w:shd w:val="clear" w:color="auto" w:fill="F2F5F9"/>
          </w:tcPr>
          <w:p>
            <w:pPr>
              <w:spacing w:after="20" w:before="20"/>
            </w:pPr>
            <w:r/>
            <w:r>
              <w:rPr>
                <w:b w:val="0"/>
                <w:sz w:val="15"/>
              </w:rPr>
              <w:t>**Rayle EMC or Georgia Power** — which one depends on location</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val="0"/>
                <w:sz w:val="15"/>
              </w:rPr>
              <w:t>Gas</w:t>
            </w:r>
          </w:p>
        </w:tc>
        <w:tc>
          <w:tcPr>
            <w:tcW w:type="dxa" w:w="5896"/>
          </w:tcPr>
          <w:p>
            <w:pPr>
              <w:spacing w:after="20" w:before="20"/>
            </w:pPr>
            <w:r/>
            <w:r>
              <w:rPr>
                <w:b w:val="0"/>
                <w:sz w:val="15"/>
              </w:rPr>
              <w:t>**No natural gas.** Propane expected</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Internet</w:t>
            </w:r>
          </w:p>
        </w:tc>
        <w:tc>
          <w:tcPr>
            <w:tcW w:type="dxa" w:w="5896"/>
            <w:shd w:val="clear" w:color="auto" w:fill="F2F5F9"/>
          </w:tcPr>
          <w:p>
            <w:pPr>
              <w:spacing w:after="20" w:before="20"/>
            </w:pPr>
            <w:r/>
            <w:r>
              <w:rPr>
                <w:b w:val="0"/>
                <w:sz w:val="15"/>
              </w:rPr>
              <w:t>Fibre reported (Relyant, up to ~1,000 Mbps) plus cable, 5G, satellite; approx. 8–9 providers in ZIP</w:t>
            </w:r>
          </w:p>
        </w:tc>
        <w:tc>
          <w:tcPr>
            <w:tcW w:type="dxa" w:w="907"/>
            <w:shd w:val="clear" w:color="auto" w:fill="F2F5F9"/>
          </w:tcPr>
          <w:p>
            <w:pPr>
              <w:spacing w:after="20" w:before="20"/>
            </w:pPr>
            <w:r/>
            <w:r>
              <w:rPr>
                <w:b w:val="0"/>
                <w:sz w:val="15"/>
              </w:rPr>
              <w:t>Verify at parcel</w:t>
            </w:r>
          </w:p>
        </w:tc>
      </w:tr>
      <w:tr>
        <w:tc>
          <w:tcPr>
            <w:tcW w:type="dxa" w:w="2608"/>
          </w:tcPr>
          <w:p>
            <w:pPr>
              <w:spacing w:after="20" w:before="20"/>
            </w:pPr>
            <w:r/>
            <w:r>
              <w:rPr>
                <w:b w:val="0"/>
                <w:sz w:val="15"/>
              </w:rPr>
              <w:t>Septic required?</w:t>
            </w:r>
          </w:p>
        </w:tc>
        <w:tc>
          <w:tcPr>
            <w:tcW w:type="dxa" w:w="5896"/>
          </w:tcPr>
          <w:p>
            <w:pPr>
              <w:spacing w:after="20" w:before="20"/>
            </w:pPr>
            <w:r/>
            <w:r>
              <w:rPr>
                <w:b w:val="0"/>
                <w:sz w:val="15"/>
              </w:rPr>
              <w:t>**Yes.** Bedroom count unresolved — soils rate "Very limited" on slope</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Soil</w:t>
            </w:r>
          </w:p>
        </w:tc>
        <w:tc>
          <w:tcPr>
            <w:tcW w:type="dxa" w:w="5896"/>
            <w:shd w:val="clear" w:color="auto" w:fill="F2F5F9"/>
          </w:tcPr>
          <w:p>
            <w:pPr>
              <w:spacing w:after="20" w:before="20"/>
            </w:pPr>
            <w:r/>
            <w:r>
              <w:rPr>
                <w:b w:val="0"/>
                <w:sz w:val="15"/>
              </w:rPr>
              <w:t>Cecil sandy loam 2–6 % (good); Pacolet 10–25 % severely eroded, Zion silt loam 10–25 % (bedrock at 77 cm), Madison — all "Very limited"</w:t>
            </w:r>
          </w:p>
        </w:tc>
        <w:tc>
          <w:tcPr>
            <w:tcW w:type="dxa" w:w="907"/>
            <w:shd w:val="clear" w:color="auto" w:fill="F2F5F9"/>
          </w:tcPr>
          <w:p>
            <w:pPr>
              <w:spacing w:after="20" w:before="20"/>
            </w:pPr>
            <w:r/>
            <w:r>
              <w:rPr>
                <w:b w:val="0"/>
                <w:sz w:val="15"/>
              </w:rPr>
              <w:t>NRCS</w:t>
            </w:r>
          </w:p>
        </w:tc>
      </w:tr>
      <w:tr>
        <w:tc>
          <w:tcPr>
            <w:tcW w:type="dxa" w:w="2608"/>
          </w:tcPr>
          <w:p>
            <w:pPr>
              <w:spacing w:after="20" w:before="20"/>
            </w:pPr>
            <w:r/>
            <w:r>
              <w:rPr>
                <w:b w:val="0"/>
                <w:sz w:val="15"/>
              </w:rPr>
              <w:t>Soil pH / organic matter</w:t>
            </w:r>
          </w:p>
        </w:tc>
        <w:tc>
          <w:tcPr>
            <w:tcW w:type="dxa" w:w="5896"/>
          </w:tcPr>
          <w:p>
            <w:pPr>
              <w:spacing w:after="20" w:before="20"/>
            </w:pPr>
            <w:r/>
            <w:r>
              <w:rPr>
                <w:b w:val="0"/>
                <w:sz w:val="15"/>
              </w:rPr>
              <w:t>pH 4.8 – 5.5; OM 0.25 – 1.25 % (both low)</w:t>
            </w:r>
          </w:p>
        </w:tc>
        <w:tc>
          <w:tcPr>
            <w:tcW w:type="dxa" w:w="907"/>
          </w:tcPr>
          <w:p>
            <w:pPr>
              <w:spacing w:after="20" w:before="20"/>
            </w:pPr>
            <w:r/>
            <w:r>
              <w:rPr>
                <w:b w:val="0"/>
                <w:sz w:val="15"/>
              </w:rPr>
              <w:t>NRCS</w:t>
            </w:r>
          </w:p>
        </w:tc>
      </w:tr>
      <w:tr>
        <w:tc>
          <w:tcPr>
            <w:tcW w:type="dxa" w:w="2608"/>
            <w:shd w:val="clear" w:color="auto" w:fill="F2F5F9"/>
          </w:tcPr>
          <w:p>
            <w:pPr>
              <w:spacing w:after="20" w:before="20"/>
            </w:pPr>
            <w:r/>
            <w:r>
              <w:rPr>
                <w:b w:val="0"/>
                <w:sz w:val="15"/>
              </w:rPr>
              <w:t>HOA</w:t>
            </w:r>
          </w:p>
        </w:tc>
        <w:tc>
          <w:tcPr>
            <w:tcW w:type="dxa" w:w="5896"/>
            <w:shd w:val="clear" w:color="auto" w:fill="F2F5F9"/>
          </w:tcPr>
          <w:p>
            <w:pPr>
              <w:spacing w:after="20" w:before="20"/>
            </w:pPr>
            <w:r/>
            <w:r>
              <w:rPr>
                <w:b w:val="0"/>
                <w:sz w:val="15"/>
              </w:rPr>
              <w:t>**Yes** — Stillwater Coves POA, with architectural approval required before any clearing or grading</w:t>
            </w:r>
          </w:p>
        </w:tc>
        <w:tc>
          <w:tcPr>
            <w:tcW w:type="dxa" w:w="907"/>
            <w:shd w:val="clear" w:color="auto" w:fill="F2F5F9"/>
          </w:tcPr>
          <w:p>
            <w:pPr>
              <w:spacing w:after="20" w:before="20"/>
            </w:pPr>
            <w:r/>
            <w:r>
              <w:rPr>
                <w:b w:val="0"/>
                <w:sz w:val="15"/>
              </w:rPr>
              <w:t>Documented</w:t>
            </w:r>
          </w:p>
        </w:tc>
      </w:tr>
      <w:tr>
        <w:tc>
          <w:tcPr>
            <w:tcW w:type="dxa" w:w="2608"/>
          </w:tcPr>
          <w:p>
            <w:pPr>
              <w:spacing w:after="20" w:before="20"/>
            </w:pPr>
            <w:r/>
            <w:r>
              <w:rPr>
                <w:b w:val="0"/>
                <w:sz w:val="15"/>
              </w:rPr>
              <w:t>HOA fee</w:t>
            </w:r>
          </w:p>
        </w:tc>
        <w:tc>
          <w:tcPr>
            <w:tcW w:type="dxa" w:w="5896"/>
          </w:tcPr>
          <w:p>
            <w:pPr>
              <w:spacing w:after="20" w:before="20"/>
            </w:pPr>
            <w:r/>
            <w:r>
              <w:rPr>
                <w:b/>
                <w:sz w:val="15"/>
              </w:rPr>
              <w:t>Not published</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Zoning</w:t>
            </w:r>
          </w:p>
        </w:tc>
        <w:tc>
          <w:tcPr>
            <w:tcW w:type="dxa" w:w="5896"/>
            <w:shd w:val="clear" w:color="auto" w:fill="F2F5F9"/>
          </w:tcPr>
          <w:p>
            <w:pPr>
              <w:spacing w:after="20" w:before="20"/>
            </w:pPr>
            <w:r/>
            <w:r>
              <w:rPr>
                <w:b/>
                <w:sz w:val="15"/>
              </w:rPr>
              <w:t>Not determined</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sz w:val="15"/>
              </w:rPr>
              <w:t>Dock possible?</w:t>
            </w:r>
          </w:p>
        </w:tc>
        <w:tc>
          <w:tcPr>
            <w:tcW w:type="dxa" w:w="5896"/>
          </w:tcPr>
          <w:p>
            <w:pPr>
              <w:spacing w:after="20" w:before="20"/>
            </w:pPr>
            <w:r/>
            <w:r>
              <w:rPr>
                <w:b w:val="0"/>
                <w:sz w:val="15"/>
              </w:rPr>
              <w:t>**UNRESOLVED.** USACE permit required; community-dock-only if plat postdates 1 May 2018; 20 ft federal boundary needed; allocation unverified</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Lake full pool / operating range</w:t>
            </w:r>
          </w:p>
        </w:tc>
        <w:tc>
          <w:tcPr>
            <w:tcW w:type="dxa" w:w="5896"/>
            <w:shd w:val="clear" w:color="auto" w:fill="F2F5F9"/>
          </w:tcPr>
          <w:p>
            <w:pPr>
              <w:spacing w:after="20" w:before="20"/>
            </w:pPr>
            <w:r/>
            <w:r>
              <w:rPr>
                <w:b w:val="0"/>
                <w:sz w:val="15"/>
              </w:rPr>
              <w:t>330 ft full pool; 312–330 ft conservation (18 ft range); 335 ft top of gates</w:t>
            </w:r>
          </w:p>
        </w:tc>
        <w:tc>
          <w:tcPr>
            <w:tcW w:type="dxa" w:w="907"/>
            <w:shd w:val="clear" w:color="auto" w:fill="F2F5F9"/>
          </w:tcPr>
          <w:p>
            <w:pPr>
              <w:spacing w:after="20" w:before="20"/>
            </w:pPr>
            <w:r/>
            <w:r>
              <w:rPr>
                <w:b w:val="0"/>
                <w:sz w:val="15"/>
              </w:rPr>
              <w:t>USACE</w:t>
            </w:r>
          </w:p>
        </w:tc>
      </w:tr>
      <w:tr>
        <w:tc>
          <w:tcPr>
            <w:tcW w:type="dxa" w:w="2608"/>
          </w:tcPr>
          <w:p>
            <w:pPr>
              <w:spacing w:after="20" w:before="20"/>
            </w:pPr>
            <w:r/>
            <w:r>
              <w:rPr>
                <w:b w:val="0"/>
                <w:sz w:val="15"/>
              </w:rPr>
              <w:t>Lake depth</w:t>
            </w:r>
          </w:p>
        </w:tc>
        <w:tc>
          <w:tcPr>
            <w:tcW w:type="dxa" w:w="5896"/>
          </w:tcPr>
          <w:p>
            <w:pPr>
              <w:spacing w:after="20" w:before="20"/>
            </w:pPr>
            <w:r/>
            <w:r>
              <w:rPr>
                <w:b w:val="0"/>
                <w:sz w:val="15"/>
              </w:rPr>
              <w:t>Lake average approx. 37 ft; maximum approx. 180 ft. **Depth at the property not determined**</w:t>
            </w:r>
          </w:p>
        </w:tc>
        <w:tc>
          <w:tcPr>
            <w:tcW w:type="dxa" w:w="907"/>
          </w:tcPr>
          <w:p>
            <w:pPr>
              <w:spacing w:after="20" w:before="20"/>
            </w:pPr>
            <w:r/>
            <w:r>
              <w:rPr>
                <w:b w:val="0"/>
                <w:sz w:val="15"/>
              </w:rPr>
              <w:t>Published / Verify</w:t>
            </w:r>
          </w:p>
        </w:tc>
      </w:tr>
      <w:tr>
        <w:tc>
          <w:tcPr>
            <w:tcW w:type="dxa" w:w="2608"/>
            <w:shd w:val="clear" w:color="auto" w:fill="F2F5F9"/>
          </w:tcPr>
          <w:p>
            <w:pPr>
              <w:spacing w:after="20" w:before="20"/>
            </w:pPr>
            <w:r/>
            <w:r>
              <w:rPr>
                <w:b w:val="0"/>
                <w:sz w:val="15"/>
              </w:rPr>
              <w:t>Boating</w:t>
            </w:r>
          </w:p>
        </w:tc>
        <w:tc>
          <w:tcPr>
            <w:tcW w:type="dxa" w:w="5896"/>
            <w:shd w:val="clear" w:color="auto" w:fill="F2F5F9"/>
          </w:tcPr>
          <w:p>
            <w:pPr>
              <w:spacing w:after="20" w:before="20"/>
            </w:pPr>
            <w:r/>
            <w:r>
              <w:rPr>
                <w:b w:val="0"/>
                <w:sz w:val="15"/>
              </w:rPr>
              <w:t>Permitted; full range of craft; public ramps nearby including Hesters Ferry</w:t>
            </w:r>
          </w:p>
        </w:tc>
        <w:tc>
          <w:tcPr>
            <w:tcW w:type="dxa" w:w="907"/>
            <w:shd w:val="clear" w:color="auto" w:fill="F2F5F9"/>
          </w:tcPr>
          <w:p>
            <w:pPr>
              <w:spacing w:after="20" w:before="20"/>
            </w:pPr>
            <w:r/>
            <w:r>
              <w:rPr>
                <w:b w:val="0"/>
                <w:sz w:val="15"/>
              </w:rPr>
              <w:t>Documented</w:t>
            </w:r>
          </w:p>
        </w:tc>
      </w:tr>
      <w:tr>
        <w:tc>
          <w:tcPr>
            <w:tcW w:type="dxa" w:w="2608"/>
          </w:tcPr>
          <w:p>
            <w:pPr>
              <w:spacing w:after="20" w:before="20"/>
            </w:pPr>
            <w:r/>
            <w:r>
              <w:rPr>
                <w:b w:val="0"/>
                <w:sz w:val="15"/>
              </w:rPr>
              <w:t>Fishing</w:t>
            </w:r>
          </w:p>
        </w:tc>
        <w:tc>
          <w:tcPr>
            <w:tcW w:type="dxa" w:w="5896"/>
          </w:tcPr>
          <w:p>
            <w:pPr>
              <w:spacing w:after="20" w:before="20"/>
            </w:pPr>
            <w:r/>
            <w:r>
              <w:rPr>
                <w:b w:val="0"/>
                <w:sz w:val="15"/>
              </w:rPr>
              <w:t>Largemouth, striped and hybrid bass, crappie, perch, bluegill, catfish; licence required; boundary-water rules apply</w:t>
            </w:r>
          </w:p>
        </w:tc>
        <w:tc>
          <w:tcPr>
            <w:tcW w:type="dxa" w:w="907"/>
          </w:tcPr>
          <w:p>
            <w:pPr>
              <w:spacing w:after="20" w:before="20"/>
            </w:pPr>
            <w:r/>
            <w:r>
              <w:rPr>
                <w:b w:val="0"/>
                <w:sz w:val="15"/>
              </w:rPr>
              <w:t>Documented</w:t>
            </w:r>
          </w:p>
        </w:tc>
      </w:tr>
      <w:tr>
        <w:tc>
          <w:tcPr>
            <w:tcW w:type="dxa" w:w="2608"/>
            <w:shd w:val="clear" w:color="auto" w:fill="F2F5F9"/>
          </w:tcPr>
          <w:p>
            <w:pPr>
              <w:spacing w:after="20" w:before="20"/>
            </w:pPr>
            <w:r/>
            <w:r>
              <w:rPr>
                <w:b w:val="0"/>
                <w:sz w:val="15"/>
              </w:rPr>
              <w:t>Hobby farming</w:t>
            </w:r>
          </w:p>
        </w:tc>
        <w:tc>
          <w:tcPr>
            <w:tcW w:type="dxa" w:w="5896"/>
            <w:shd w:val="clear" w:color="auto" w:fill="F2F5F9"/>
          </w:tcPr>
          <w:p>
            <w:pPr>
              <w:spacing w:after="20" w:before="20"/>
            </w:pPr>
            <w:r/>
            <w:r>
              <w:rPr>
                <w:b w:val="0"/>
                <w:sz w:val="15"/>
              </w:rPr>
              <w:t>County likely permissive; **HOA likely the obstacle**</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val="0"/>
                <w:sz w:val="15"/>
              </w:rPr>
              <w:t>Second in-law suite</w:t>
            </w:r>
          </w:p>
        </w:tc>
        <w:tc>
          <w:tcPr>
            <w:tcW w:type="dxa" w:w="5896"/>
          </w:tcPr>
          <w:p>
            <w:pPr>
              <w:spacing w:after="20" w:before="20"/>
            </w:pPr>
            <w:r/>
            <w:r>
              <w:rPr>
                <w:b w:val="0"/>
                <w:sz w:val="15"/>
              </w:rPr>
              <w:t>Conditional on zoning, HOA and septic capacity</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STR</w:t>
            </w:r>
          </w:p>
        </w:tc>
        <w:tc>
          <w:tcPr>
            <w:tcW w:type="dxa" w:w="5896"/>
            <w:shd w:val="clear" w:color="auto" w:fill="F2F5F9"/>
          </w:tcPr>
          <w:p>
            <w:pPr>
              <w:spacing w:after="20" w:before="20"/>
            </w:pPr>
            <w:r/>
            <w:r>
              <w:rPr>
                <w:b w:val="0"/>
                <w:sz w:val="15"/>
              </w:rPr>
              <w:t>Unresolved; no Georgia state STR law; 4 % sales tax + $5/night fee apply; HOA likely binding</w:t>
            </w:r>
          </w:p>
        </w:tc>
        <w:tc>
          <w:tcPr>
            <w:tcW w:type="dxa" w:w="907"/>
            <w:shd w:val="clear" w:color="auto" w:fill="F2F5F9"/>
          </w:tcPr>
          <w:p>
            <w:pPr>
              <w:spacing w:after="20" w:before="20"/>
            </w:pPr>
            <w:r/>
            <w:r>
              <w:rPr>
                <w:b w:val="0"/>
                <w:sz w:val="15"/>
              </w:rPr>
              <w:t>Verify</w:t>
            </w:r>
          </w:p>
        </w:tc>
      </w:tr>
      <w:tr>
        <w:tc>
          <w:tcPr>
            <w:tcW w:type="dxa" w:w="2608"/>
          </w:tcPr>
          <w:p>
            <w:pPr>
              <w:spacing w:after="20" w:before="20"/>
            </w:pPr>
            <w:r/>
            <w:r>
              <w:rPr>
                <w:b w:val="0"/>
                <w:sz w:val="15"/>
              </w:rPr>
              <w:t>Nearest hospital</w:t>
            </w:r>
          </w:p>
        </w:tc>
        <w:tc>
          <w:tcPr>
            <w:tcW w:type="dxa" w:w="5896"/>
          </w:tcPr>
          <w:p>
            <w:pPr>
              <w:spacing w:after="20" w:before="20"/>
            </w:pPr>
            <w:r/>
            <w:r>
              <w:rPr>
                <w:b w:val="0"/>
                <w:sz w:val="15"/>
              </w:rPr>
              <w:t>**Wills Memorial, Washington GA — 19.9 mi / 43 min** (25-bed critical access). Piedmont Augusta 54.5 mi / 1 h 38 min</w:t>
            </w:r>
          </w:p>
        </w:tc>
        <w:tc>
          <w:tcPr>
            <w:tcW w:type="dxa" w:w="907"/>
          </w:tcPr>
          <w:p>
            <w:pPr>
              <w:spacing w:after="20" w:before="20"/>
            </w:pPr>
            <w:r/>
            <w:r>
              <w:rPr>
                <w:b w:val="0"/>
                <w:sz w:val="15"/>
              </w:rPr>
              <w:t>OSRM</w:t>
            </w:r>
          </w:p>
        </w:tc>
      </w:tr>
      <w:tr>
        <w:tc>
          <w:tcPr>
            <w:tcW w:type="dxa" w:w="2608"/>
            <w:shd w:val="clear" w:color="auto" w:fill="F2F5F9"/>
          </w:tcPr>
          <w:p>
            <w:pPr>
              <w:spacing w:after="20" w:before="20"/>
            </w:pPr>
            <w:r/>
            <w:r>
              <w:rPr>
                <w:b w:val="0"/>
                <w:sz w:val="15"/>
              </w:rPr>
              <w:t>Nearest international airport</w:t>
            </w:r>
          </w:p>
        </w:tc>
        <w:tc>
          <w:tcPr>
            <w:tcW w:type="dxa" w:w="5896"/>
            <w:shd w:val="clear" w:color="auto" w:fill="F2F5F9"/>
          </w:tcPr>
          <w:p>
            <w:pPr>
              <w:spacing w:after="20" w:before="20"/>
            </w:pPr>
            <w:r/>
            <w:r>
              <w:rPr>
                <w:b w:val="0"/>
                <w:sz w:val="15"/>
              </w:rPr>
              <w:t>**Hartsfield-Jackson Atlanta (ATL) — 130.5 mi / 3 h 9 min.** Nearest commercial: Augusta Regional (AGS) 63.4 mi / 1 h 51 min</w:t>
            </w:r>
          </w:p>
        </w:tc>
        <w:tc>
          <w:tcPr>
            <w:tcW w:type="dxa" w:w="907"/>
            <w:shd w:val="clear" w:color="auto" w:fill="F2F5F9"/>
          </w:tcPr>
          <w:p>
            <w:pPr>
              <w:spacing w:after="20" w:before="20"/>
            </w:pPr>
            <w:r/>
            <w:r>
              <w:rPr>
                <w:b w:val="0"/>
                <w:sz w:val="15"/>
              </w:rPr>
              <w:t>OSRM</w:t>
            </w:r>
          </w:p>
        </w:tc>
      </w:tr>
      <w:tr>
        <w:tc>
          <w:tcPr>
            <w:tcW w:type="dxa" w:w="2608"/>
          </w:tcPr>
          <w:p>
            <w:pPr>
              <w:spacing w:after="20" w:before="20"/>
            </w:pPr>
            <w:r/>
            <w:r>
              <w:rPr>
                <w:b w:val="0"/>
                <w:sz w:val="15"/>
              </w:rPr>
              <w:t>Schools</w:t>
            </w:r>
          </w:p>
        </w:tc>
        <w:tc>
          <w:tcPr>
            <w:tcW w:type="dxa" w:w="5896"/>
          </w:tcPr>
          <w:p>
            <w:pPr>
              <w:spacing w:after="20" w:before="20"/>
            </w:pPr>
            <w:r/>
            <w:r>
              <w:rPr>
                <w:b w:val="0"/>
                <w:sz w:val="15"/>
              </w:rPr>
              <w:t>Lincoln County School District, approx. 1,261 students, 18:1, 17 mi / 37 min</w:t>
            </w:r>
          </w:p>
        </w:tc>
        <w:tc>
          <w:tcPr>
            <w:tcW w:type="dxa" w:w="907"/>
          </w:tcPr>
          <w:p>
            <w:pPr>
              <w:spacing w:after="20" w:before="20"/>
            </w:pPr>
            <w:r/>
            <w:r>
              <w:rPr>
                <w:b w:val="0"/>
                <w:sz w:val="15"/>
              </w:rPr>
              <w:t>Documented</w:t>
            </w:r>
          </w:p>
        </w:tc>
      </w:tr>
      <w:tr>
        <w:tc>
          <w:tcPr>
            <w:tcW w:type="dxa" w:w="2608"/>
            <w:shd w:val="clear" w:color="auto" w:fill="F2F5F9"/>
          </w:tcPr>
          <w:p>
            <w:pPr>
              <w:spacing w:after="20" w:before="20"/>
            </w:pPr>
            <w:r/>
            <w:r>
              <w:rPr>
                <w:b w:val="0"/>
                <w:sz w:val="15"/>
              </w:rPr>
              <w:t>Annual mean temperature</w:t>
            </w:r>
          </w:p>
        </w:tc>
        <w:tc>
          <w:tcPr>
            <w:tcW w:type="dxa" w:w="5896"/>
            <w:shd w:val="clear" w:color="auto" w:fill="F2F5F9"/>
          </w:tcPr>
          <w:p>
            <w:pPr>
              <w:spacing w:after="20" w:before="20"/>
            </w:pPr>
            <w:r/>
            <w:r>
              <w:rPr>
                <w:b w:val="0"/>
                <w:sz w:val="15"/>
              </w:rPr>
              <w:t>18.2 deg C (mean max 22.9, mean min 13.4)</w:t>
            </w:r>
          </w:p>
        </w:tc>
        <w:tc>
          <w:tcPr>
            <w:tcW w:type="dxa" w:w="907"/>
            <w:shd w:val="clear" w:color="auto" w:fill="F2F5F9"/>
          </w:tcPr>
          <w:p>
            <w:pPr>
              <w:spacing w:after="20" w:before="20"/>
            </w:pPr>
            <w:r/>
            <w:r>
              <w:rPr>
                <w:b w:val="0"/>
                <w:sz w:val="15"/>
              </w:rPr>
              <w:t>ERA5</w:t>
            </w:r>
          </w:p>
        </w:tc>
      </w:tr>
      <w:tr>
        <w:tc>
          <w:tcPr>
            <w:tcW w:type="dxa" w:w="2608"/>
          </w:tcPr>
          <w:p>
            <w:pPr>
              <w:spacing w:after="20" w:before="20"/>
            </w:pPr>
            <w:r/>
            <w:r>
              <w:rPr>
                <w:b w:val="0"/>
                <w:sz w:val="15"/>
              </w:rPr>
              <w:t>Annual precipitation</w:t>
            </w:r>
          </w:p>
        </w:tc>
        <w:tc>
          <w:tcPr>
            <w:tcW w:type="dxa" w:w="5896"/>
          </w:tcPr>
          <w:p>
            <w:pPr>
              <w:spacing w:after="20" w:before="20"/>
            </w:pPr>
            <w:r/>
            <w:r>
              <w:rPr>
                <w:b w:val="0"/>
                <w:sz w:val="15"/>
              </w:rPr>
              <w:t>1,070 mm (42.1 in)</w:t>
            </w:r>
          </w:p>
        </w:tc>
        <w:tc>
          <w:tcPr>
            <w:tcW w:type="dxa" w:w="907"/>
          </w:tcPr>
          <w:p>
            <w:pPr>
              <w:spacing w:after="20" w:before="20"/>
            </w:pPr>
            <w:r/>
            <w:r>
              <w:rPr>
                <w:b w:val="0"/>
                <w:sz w:val="15"/>
              </w:rPr>
              <w:t>ERA5</w:t>
            </w:r>
          </w:p>
        </w:tc>
      </w:tr>
      <w:tr>
        <w:tc>
          <w:tcPr>
            <w:tcW w:type="dxa" w:w="2608"/>
            <w:shd w:val="clear" w:color="auto" w:fill="F2F5F9"/>
          </w:tcPr>
          <w:p>
            <w:pPr>
              <w:spacing w:after="20" w:before="20"/>
            </w:pPr>
            <w:r/>
            <w:r>
              <w:rPr>
                <w:b w:val="0"/>
                <w:sz w:val="15"/>
              </w:rPr>
              <w:t>Growing season</w:t>
            </w:r>
          </w:p>
        </w:tc>
        <w:tc>
          <w:tcPr>
            <w:tcW w:type="dxa" w:w="5896"/>
            <w:shd w:val="clear" w:color="auto" w:fill="F2F5F9"/>
          </w:tcPr>
          <w:p>
            <w:pPr>
              <w:spacing w:after="20" w:before="20"/>
            </w:pPr>
            <w:r/>
            <w:r>
              <w:rPr>
                <w:b w:val="0"/>
                <w:sz w:val="15"/>
              </w:rPr>
              <w:t>approx. 283 frost-free days (26 Feb – 5 Dec mean)</w:t>
            </w:r>
          </w:p>
        </w:tc>
        <w:tc>
          <w:tcPr>
            <w:tcW w:type="dxa" w:w="907"/>
            <w:shd w:val="clear" w:color="auto" w:fill="F2F5F9"/>
          </w:tcPr>
          <w:p>
            <w:pPr>
              <w:spacing w:after="20" w:before="20"/>
            </w:pPr>
            <w:r/>
            <w:r>
              <w:rPr>
                <w:b w:val="0"/>
                <w:sz w:val="15"/>
              </w:rPr>
              <w:t>ERA5</w:t>
            </w:r>
          </w:p>
        </w:tc>
      </w:tr>
      <w:tr>
        <w:tc>
          <w:tcPr>
            <w:tcW w:type="dxa" w:w="2608"/>
          </w:tcPr>
          <w:p>
            <w:pPr>
              <w:spacing w:after="20" w:before="20"/>
            </w:pPr>
            <w:r/>
            <w:r>
              <w:rPr>
                <w:b w:val="0"/>
                <w:sz w:val="15"/>
              </w:rPr>
              <w:t>Radon</w:t>
            </w:r>
          </w:p>
        </w:tc>
        <w:tc>
          <w:tcPr>
            <w:tcW w:type="dxa" w:w="5896"/>
          </w:tcPr>
          <w:p>
            <w:pPr>
              <w:spacing w:after="20" w:before="20"/>
            </w:pPr>
            <w:r/>
            <w:r>
              <w:rPr>
                <w:b w:val="0"/>
                <w:sz w:val="15"/>
              </w:rPr>
              <w:t>**Zone not determined.** Test regardless</w:t>
            </w:r>
          </w:p>
        </w:tc>
        <w:tc>
          <w:tcPr>
            <w:tcW w:type="dxa" w:w="907"/>
          </w:tcPr>
          <w:p>
            <w:pPr>
              <w:spacing w:after="20" w:before="20"/>
            </w:pPr>
            <w:r/>
            <w:r>
              <w:rPr>
                <w:b w:val="0"/>
                <w:sz w:val="15"/>
              </w:rPr>
              <w:t>Verify</w:t>
            </w:r>
          </w:p>
        </w:tc>
      </w:tr>
      <w:tr>
        <w:tc>
          <w:tcPr>
            <w:tcW w:type="dxa" w:w="2608"/>
            <w:shd w:val="clear" w:color="auto" w:fill="F2F5F9"/>
          </w:tcPr>
          <w:p>
            <w:pPr>
              <w:spacing w:after="20" w:before="20"/>
            </w:pPr>
            <w:r/>
            <w:r>
              <w:rPr>
                <w:b w:val="0"/>
                <w:sz w:val="15"/>
              </w:rPr>
              <w:t>Sinkholes / karst</w:t>
            </w:r>
          </w:p>
        </w:tc>
        <w:tc>
          <w:tcPr>
            <w:tcW w:type="dxa" w:w="5896"/>
            <w:shd w:val="clear" w:color="auto" w:fill="F2F5F9"/>
          </w:tcPr>
          <w:p>
            <w:pPr>
              <w:spacing w:after="20" w:before="20"/>
            </w:pPr>
            <w:r/>
            <w:r>
              <w:rPr>
                <w:b w:val="0"/>
                <w:sz w:val="15"/>
              </w:rPr>
              <w:t>**Negligible risk** — crystalline Piedmont, not karst</w:t>
            </w:r>
          </w:p>
        </w:tc>
        <w:tc>
          <w:tcPr>
            <w:tcW w:type="dxa" w:w="907"/>
            <w:shd w:val="clear" w:color="auto" w:fill="F2F5F9"/>
          </w:tcPr>
          <w:p>
            <w:pPr>
              <w:spacing w:after="20" w:before="20"/>
            </w:pPr>
            <w:r/>
            <w:r>
              <w:rPr>
                <w:b w:val="0"/>
                <w:sz w:val="15"/>
              </w:rPr>
              <w:t>Documented</w:t>
            </w:r>
          </w:p>
        </w:tc>
      </w:tr>
    </w:tbl>
    <w:p>
      <w:pPr>
        <w:spacing w:after="40"/>
      </w:pPr>
    </w:p>
    <w:p>
      <w:pPr>
        <w:pStyle w:val="Heading2"/>
      </w:pPr>
      <w:r>
        <w:t>61. Visual deliverables — what is included and what is not</w:t>
      </w:r>
    </w:p>
    <w:tbl>
      <w:tblPr>
        <w:tblStyle w:val="TableGrid"/>
        <w:tblW w:type="auto" w:w="0"/>
        <w:jc w:val="center"/>
        <w:tblLook w:firstColumn="1" w:firstRow="1" w:lastColumn="0" w:lastRow="0" w:noHBand="0" w:noVBand="1" w:val="04A0"/>
      </w:tblPr>
      <w:tblGrid>
        <w:gridCol w:w="4932"/>
        <w:gridCol w:w="4932"/>
      </w:tblGrid>
      <w:tr>
        <w:tc>
          <w:tcPr>
            <w:tcW w:type="dxa" w:w="3175"/>
            <w:shd w:val="clear" w:color="auto" w:fill="1F4E79"/>
          </w:tcPr>
          <w:p>
            <w:pPr>
              <w:spacing w:after="20" w:before="20"/>
            </w:pPr>
            <w:r/>
            <w:r>
              <w:rPr>
                <w:b/>
                <w:color w:val="FFFFFF"/>
                <w:sz w:val="16"/>
              </w:rPr>
              <w:t>Required visual</w:t>
            </w:r>
          </w:p>
        </w:tc>
        <w:tc>
          <w:tcPr>
            <w:tcW w:type="dxa" w:w="6236"/>
            <w:shd w:val="clear" w:color="auto" w:fill="1F4E79"/>
          </w:tcPr>
          <w:p>
            <w:pPr>
              <w:spacing w:after="20" w:before="20"/>
            </w:pPr>
            <w:r/>
            <w:r>
              <w:rPr>
                <w:b/>
                <w:color w:val="FFFFFF"/>
                <w:sz w:val="16"/>
              </w:rPr>
              <w:t>Status in this report</w:t>
            </w:r>
          </w:p>
        </w:tc>
      </w:tr>
      <w:tr>
        <w:tc>
          <w:tcPr>
            <w:tcW w:type="dxa" w:w="3175"/>
          </w:tcPr>
          <w:p>
            <w:pPr>
              <w:spacing w:after="20" w:before="20"/>
            </w:pPr>
            <w:r/>
            <w:r>
              <w:rPr>
                <w:b w:val="0"/>
                <w:sz w:val="16"/>
              </w:rPr>
              <w:t>Zillow title / hero image</w:t>
            </w:r>
          </w:p>
        </w:tc>
        <w:tc>
          <w:tcPr>
            <w:tcW w:type="dxa" w:w="6236"/>
          </w:tcPr>
          <w:p>
            <w:pPr>
              <w:spacing w:after="20" w:before="20"/>
            </w:pPr>
            <w:r/>
            <w:r>
              <w:rPr>
                <w:b w:val="0"/>
                <w:sz w:val="16"/>
              </w:rPr>
              <w:t>**NOT INCLUDED.** Zillow returned HTTP 403 Forbidden on every attempt; Redfin 403 and realtor.com 429. The images are also third-party copyright material and are not reproduced.</w:t>
            </w:r>
          </w:p>
        </w:tc>
      </w:tr>
      <w:tr>
        <w:tc>
          <w:tcPr>
            <w:tcW w:type="dxa" w:w="3175"/>
            <w:shd w:val="clear" w:color="auto" w:fill="F2F5F9"/>
          </w:tcPr>
          <w:p>
            <w:pPr>
              <w:spacing w:after="20" w:before="20"/>
            </w:pPr>
            <w:r/>
            <w:r>
              <w:rPr>
                <w:b w:val="0"/>
                <w:sz w:val="16"/>
              </w:rPr>
              <w:t>Zillow surrounding-area image</w:t>
            </w:r>
          </w:p>
        </w:tc>
        <w:tc>
          <w:tcPr>
            <w:tcW w:type="dxa" w:w="6236"/>
            <w:shd w:val="clear" w:color="auto" w:fill="F2F5F9"/>
          </w:tcPr>
          <w:p>
            <w:pPr>
              <w:spacing w:after="20" w:before="20"/>
            </w:pPr>
            <w:r/>
            <w:r>
              <w:rPr>
                <w:b w:val="0"/>
                <w:sz w:val="16"/>
              </w:rPr>
              <w:t>**NOT INCLUDED** — same reason</w:t>
            </w:r>
          </w:p>
        </w:tc>
      </w:tr>
      <w:tr>
        <w:tc>
          <w:tcPr>
            <w:tcW w:type="dxa" w:w="3175"/>
          </w:tcPr>
          <w:p>
            <w:pPr>
              <w:spacing w:after="20" w:before="20"/>
            </w:pPr>
            <w:r/>
            <w:r>
              <w:rPr>
                <w:b w:val="0"/>
                <w:sz w:val="16"/>
              </w:rPr>
              <w:t>Official plat map</w:t>
            </w:r>
          </w:p>
        </w:tc>
        <w:tc>
          <w:tcPr>
            <w:tcW w:type="dxa" w:w="6236"/>
          </w:tcPr>
          <w:p>
            <w:pPr>
              <w:spacing w:after="20" w:before="20"/>
            </w:pPr>
            <w:r/>
            <w:r>
              <w:rPr>
                <w:b w:val="0"/>
                <w:sz w:val="16"/>
              </w:rPr>
              <w:t>**NOT INCLUDED** — not available online; obtain from the Lincoln County Clerk of Superior Court</w:t>
            </w:r>
          </w:p>
        </w:tc>
      </w:tr>
      <w:tr>
        <w:tc>
          <w:tcPr>
            <w:tcW w:type="dxa" w:w="3175"/>
            <w:shd w:val="clear" w:color="auto" w:fill="F2F5F9"/>
          </w:tcPr>
          <w:p>
            <w:pPr>
              <w:spacing w:after="20" w:before="20"/>
            </w:pPr>
            <w:r/>
            <w:r>
              <w:rPr>
                <w:b w:val="0"/>
                <w:sz w:val="16"/>
              </w:rPr>
              <w:t>Esri / GIS parcel map</w:t>
            </w:r>
          </w:p>
        </w:tc>
        <w:tc>
          <w:tcPr>
            <w:tcW w:type="dxa" w:w="6236"/>
            <w:shd w:val="clear" w:color="auto" w:fill="F2F5F9"/>
          </w:tcPr>
          <w:p>
            <w:pPr>
              <w:spacing w:after="20" w:before="20"/>
            </w:pPr>
            <w:r/>
            <w:r>
              <w:rPr>
                <w:b w:val="0"/>
                <w:sz w:val="16"/>
              </w:rPr>
              <w:t>**NOT INCLUDED** — Lincoln County ArcGIS services returned HTTP 499 "Token Required"</w:t>
            </w:r>
          </w:p>
        </w:tc>
      </w:tr>
      <w:tr>
        <w:tc>
          <w:tcPr>
            <w:tcW w:type="dxa" w:w="3175"/>
          </w:tcPr>
          <w:p>
            <w:pPr>
              <w:spacing w:after="20" w:before="20"/>
            </w:pPr>
            <w:r/>
            <w:r>
              <w:rPr>
                <w:b w:val="0"/>
                <w:sz w:val="16"/>
              </w:rPr>
              <w:t>True-scale boundary and contour map</w:t>
            </w:r>
          </w:p>
        </w:tc>
        <w:tc>
          <w:tcPr>
            <w:tcW w:type="dxa" w:w="6236"/>
          </w:tcPr>
          <w:p>
            <w:pPr>
              <w:spacing w:after="20" w:before="20"/>
            </w:pPr>
            <w:r/>
            <w:r>
              <w:rPr>
                <w:b/>
                <w:sz w:val="16"/>
              </w:rPr>
              <w:t>INCLUDED — Fig. 1</w:t>
            </w:r>
          </w:p>
        </w:tc>
      </w:tr>
      <w:tr>
        <w:tc>
          <w:tcPr>
            <w:tcW w:type="dxa" w:w="3175"/>
            <w:shd w:val="clear" w:color="auto" w:fill="F2F5F9"/>
          </w:tcPr>
          <w:p>
            <w:pPr>
              <w:spacing w:after="20" w:before="20"/>
            </w:pPr>
            <w:r/>
            <w:r>
              <w:rPr>
                <w:b w:val="0"/>
                <w:sz w:val="16"/>
              </w:rPr>
              <w:t>Road-to-lake elevation cross-section</w:t>
            </w:r>
          </w:p>
        </w:tc>
        <w:tc>
          <w:tcPr>
            <w:tcW w:type="dxa" w:w="6236"/>
            <w:shd w:val="clear" w:color="auto" w:fill="F2F5F9"/>
          </w:tcPr>
          <w:p>
            <w:pPr>
              <w:spacing w:after="20" w:before="20"/>
            </w:pPr>
            <w:r/>
            <w:r>
              <w:rPr>
                <w:b w:val="0"/>
                <w:sz w:val="16"/>
              </w:rPr>
              <w:t>**INCLUDED — Fig. 2**, shown both vertically exaggerated and at true 1:1 scale as required</w:t>
            </w:r>
          </w:p>
        </w:tc>
      </w:tr>
      <w:tr>
        <w:tc>
          <w:tcPr>
            <w:tcW w:type="dxa" w:w="3175"/>
          </w:tcPr>
          <w:p>
            <w:pPr>
              <w:spacing w:after="20" w:before="20"/>
            </w:pPr>
            <w:r/>
            <w:r>
              <w:rPr>
                <w:b w:val="0"/>
                <w:sz w:val="16"/>
              </w:rPr>
              <w:t>3-D terrain map</w:t>
            </w:r>
          </w:p>
        </w:tc>
        <w:tc>
          <w:tcPr>
            <w:tcW w:type="dxa" w:w="6236"/>
          </w:tcPr>
          <w:p>
            <w:pPr>
              <w:spacing w:after="20" w:before="20"/>
            </w:pPr>
            <w:r/>
            <w:r>
              <w:rPr>
                <w:b/>
                <w:sz w:val="16"/>
              </w:rPr>
              <w:t>INCLUDED — Fig. 3</w:t>
            </w:r>
          </w:p>
        </w:tc>
      </w:tr>
      <w:tr>
        <w:tc>
          <w:tcPr>
            <w:tcW w:type="dxa" w:w="3175"/>
            <w:shd w:val="clear" w:color="auto" w:fill="F2F5F9"/>
          </w:tcPr>
          <w:p>
            <w:pPr>
              <w:spacing w:after="20" w:before="20"/>
            </w:pPr>
            <w:r/>
            <w:r>
              <w:rPr>
                <w:b w:val="0"/>
                <w:sz w:val="16"/>
              </w:rPr>
              <w:t>Slope classification map</w:t>
            </w:r>
          </w:p>
        </w:tc>
        <w:tc>
          <w:tcPr>
            <w:tcW w:type="dxa" w:w="6236"/>
            <w:shd w:val="clear" w:color="auto" w:fill="F2F5F9"/>
          </w:tcPr>
          <w:p>
            <w:pPr>
              <w:spacing w:after="20" w:before="20"/>
            </w:pPr>
            <w:r/>
            <w:r>
              <w:rPr>
                <w:b w:val="0"/>
                <w:sz w:val="16"/>
              </w:rPr>
              <w:t>**INCLUDED — Fig. 4** (additional)</w:t>
            </w:r>
          </w:p>
        </w:tc>
      </w:tr>
      <w:tr>
        <w:tc>
          <w:tcPr>
            <w:tcW w:type="dxa" w:w="3175"/>
          </w:tcPr>
          <w:p>
            <w:pPr>
              <w:spacing w:after="20" w:before="20"/>
            </w:pPr>
            <w:r/>
            <w:r>
              <w:rPr>
                <w:b w:val="0"/>
                <w:sz w:val="16"/>
              </w:rPr>
              <w:t>FEMA flood map</w:t>
            </w:r>
          </w:p>
        </w:tc>
        <w:tc>
          <w:tcPr>
            <w:tcW w:type="dxa" w:w="6236"/>
          </w:tcPr>
          <w:p>
            <w:pPr>
              <w:spacing w:after="20" w:before="20"/>
            </w:pPr>
            <w:r/>
            <w:r>
              <w:rPr>
                <w:b/>
                <w:sz w:val="16"/>
              </w:rPr>
              <w:t>INCLUDED — Fig. 5</w:t>
            </w:r>
          </w:p>
        </w:tc>
      </w:tr>
      <w:tr>
        <w:tc>
          <w:tcPr>
            <w:tcW w:type="dxa" w:w="3175"/>
            <w:shd w:val="clear" w:color="auto" w:fill="F2F5F9"/>
          </w:tcPr>
          <w:p>
            <w:pPr>
              <w:spacing w:after="20" w:before="20"/>
            </w:pPr>
            <w:r/>
            <w:r>
              <w:rPr>
                <w:b w:val="0"/>
                <w:sz w:val="16"/>
              </w:rPr>
              <w:t>Lake / bathymetric map</w:t>
            </w:r>
          </w:p>
        </w:tc>
        <w:tc>
          <w:tcPr>
            <w:tcW w:type="dxa" w:w="6236"/>
            <w:shd w:val="clear" w:color="auto" w:fill="F2F5F9"/>
          </w:tcPr>
          <w:p>
            <w:pPr>
              <w:spacing w:after="20" w:before="20"/>
            </w:pPr>
            <w:r/>
            <w:r>
              <w:rPr>
                <w:b w:val="0"/>
                <w:sz w:val="16"/>
              </w:rPr>
              <w:t>**NOT INCLUDED** — no bathymetric data obtained for this cove</w:t>
            </w:r>
          </w:p>
        </w:tc>
      </w:tr>
      <w:tr>
        <w:tc>
          <w:tcPr>
            <w:tcW w:type="dxa" w:w="3175"/>
          </w:tcPr>
          <w:p>
            <w:pPr>
              <w:spacing w:after="20" w:before="20"/>
            </w:pPr>
            <w:r/>
            <w:r>
              <w:rPr>
                <w:b w:val="0"/>
                <w:sz w:val="16"/>
              </w:rPr>
              <w:t>Location / access map</w:t>
            </w:r>
          </w:p>
        </w:tc>
        <w:tc>
          <w:tcPr>
            <w:tcW w:type="dxa" w:w="6236"/>
          </w:tcPr>
          <w:p>
            <w:pPr>
              <w:spacing w:after="20" w:before="20"/>
            </w:pPr>
            <w:r/>
            <w:r>
              <w:rPr>
                <w:b/>
                <w:sz w:val="16"/>
              </w:rPr>
              <w:t>INCLUDED — Fig. 7</w:t>
            </w:r>
          </w:p>
        </w:tc>
      </w:tr>
      <w:tr>
        <w:tc>
          <w:tcPr>
            <w:tcW w:type="dxa" w:w="3175"/>
            <w:shd w:val="clear" w:color="auto" w:fill="F2F5F9"/>
          </w:tcPr>
          <w:p>
            <w:pPr>
              <w:spacing w:after="20" w:before="20"/>
            </w:pPr>
            <w:r/>
            <w:r>
              <w:rPr>
                <w:b w:val="0"/>
                <w:sz w:val="16"/>
              </w:rPr>
              <w:t>Building-envelope diagram</w:t>
            </w:r>
          </w:p>
        </w:tc>
        <w:tc>
          <w:tcPr>
            <w:tcW w:type="dxa" w:w="6236"/>
            <w:shd w:val="clear" w:color="auto" w:fill="F2F5F9"/>
          </w:tcPr>
          <w:p>
            <w:pPr>
              <w:spacing w:after="20" w:before="20"/>
            </w:pPr>
            <w:r/>
            <w:r>
              <w:rPr>
                <w:b/>
                <w:sz w:val="16"/>
              </w:rPr>
              <w:t>INCLUDED — Fig. 6</w:t>
            </w:r>
          </w:p>
        </w:tc>
      </w:tr>
      <w:tr>
        <w:tc>
          <w:tcPr>
            <w:tcW w:type="dxa" w:w="3175"/>
          </w:tcPr>
          <w:p>
            <w:pPr>
              <w:spacing w:after="20" w:before="20"/>
            </w:pPr>
            <w:r/>
            <w:r>
              <w:rPr>
                <w:b w:val="0"/>
                <w:sz w:val="16"/>
              </w:rPr>
              <w:t>Climate chart</w:t>
            </w:r>
          </w:p>
        </w:tc>
        <w:tc>
          <w:tcPr>
            <w:tcW w:type="dxa" w:w="6236"/>
          </w:tcPr>
          <w:p>
            <w:pPr>
              <w:spacing w:after="20" w:before="20"/>
            </w:pPr>
            <w:r/>
            <w:r>
              <w:rPr>
                <w:b w:val="0"/>
                <w:sz w:val="16"/>
              </w:rPr>
              <w:t>**INCLUDED — Fig. 8** (additional)</w:t>
            </w:r>
          </w:p>
        </w:tc>
      </w:tr>
    </w:tbl>
    <w:p>
      <w:pPr>
        <w:spacing w:after="40"/>
      </w:pPr>
    </w:p>
    <w:p>
      <w:r>
        <w:br w:type="page"/>
      </w:r>
    </w:p>
    <w:p>
      <w:pPr>
        <w:pStyle w:val="Heading1"/>
      </w:pPr>
      <w:r>
        <w:t>Recommended Next Actions</w:t>
      </w:r>
    </w:p>
    <w:p>
      <w:pPr>
        <w:spacing w:after="80" w:before="0"/>
      </w:pPr>
      <w:r>
        <w:rPr>
          <w:b w:val="0"/>
          <w:i w:val="0"/>
          <w:sz w:val="18"/>
        </w:rPr>
        <w:t>In order. Stop and reassess if any of the first four produces an unfavourable answer.</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510"/>
            <w:shd w:val="clear" w:color="auto" w:fill="1F4E79"/>
          </w:tcPr>
          <w:p>
            <w:pPr>
              <w:spacing w:after="20" w:before="20"/>
            </w:pPr>
            <w:r/>
            <w:r>
              <w:rPr>
                <w:b/>
                <w:color w:val="FFFFFF"/>
                <w:sz w:val="16"/>
              </w:rPr>
              <w:t>Step</w:t>
            </w:r>
          </w:p>
        </w:tc>
        <w:tc>
          <w:tcPr>
            <w:tcW w:type="dxa" w:w="3742"/>
            <w:shd w:val="clear" w:color="auto" w:fill="1F4E79"/>
          </w:tcPr>
          <w:p>
            <w:pPr>
              <w:spacing w:after="20" w:before="20"/>
            </w:pPr>
            <w:r/>
            <w:r>
              <w:rPr>
                <w:b/>
                <w:color w:val="FFFFFF"/>
                <w:sz w:val="16"/>
              </w:rPr>
              <w:t>Action</w:t>
            </w:r>
          </w:p>
        </w:tc>
        <w:tc>
          <w:tcPr>
            <w:tcW w:type="dxa" w:w="2041"/>
            <w:shd w:val="clear" w:color="auto" w:fill="1F4E79"/>
          </w:tcPr>
          <w:p>
            <w:pPr>
              <w:spacing w:after="20" w:before="20"/>
            </w:pPr>
            <w:r/>
            <w:r>
              <w:rPr>
                <w:b/>
                <w:color w:val="FFFFFF"/>
                <w:sz w:val="16"/>
              </w:rPr>
              <w:t>Who</w:t>
            </w:r>
          </w:p>
        </w:tc>
        <w:tc>
          <w:tcPr>
            <w:tcW w:type="dxa" w:w="3118"/>
            <w:shd w:val="clear" w:color="auto" w:fill="1F4E79"/>
          </w:tcPr>
          <w:p>
            <w:pPr>
              <w:spacing w:after="20" w:before="20"/>
            </w:pPr>
            <w:r/>
            <w:r>
              <w:rPr>
                <w:b/>
                <w:color w:val="FFFFFF"/>
                <w:sz w:val="16"/>
              </w:rPr>
              <w:t>Why it is in this position</w:t>
            </w:r>
          </w:p>
        </w:tc>
      </w:tr>
      <w:tr>
        <w:tc>
          <w:tcPr>
            <w:tcW w:type="dxa" w:w="510"/>
          </w:tcPr>
          <w:p>
            <w:pPr>
              <w:spacing w:after="20" w:before="20"/>
            </w:pPr>
            <w:r/>
            <w:r>
              <w:rPr>
                <w:b w:val="0"/>
                <w:sz w:val="16"/>
              </w:rPr>
              <w:t>1</w:t>
            </w:r>
          </w:p>
        </w:tc>
        <w:tc>
          <w:tcPr>
            <w:tcW w:type="dxa" w:w="3742"/>
          </w:tcPr>
          <w:p>
            <w:pPr>
              <w:spacing w:after="20" w:before="20"/>
            </w:pPr>
            <w:r/>
            <w:r>
              <w:rPr>
                <w:b w:val="0"/>
                <w:sz w:val="16"/>
              </w:rPr>
              <w:t>Call the USACE Thurmond Project Office on 800-533-3478. Ask for the shoreline allocation class adjacent to Lots 130 and 131, and whether a private dock is permittable. Get it in writing.</w:t>
            </w:r>
          </w:p>
        </w:tc>
        <w:tc>
          <w:tcPr>
            <w:tcW w:type="dxa" w:w="2041"/>
          </w:tcPr>
          <w:p>
            <w:pPr>
              <w:spacing w:after="20" w:before="20"/>
            </w:pPr>
            <w:r/>
            <w:r>
              <w:rPr>
                <w:b w:val="0"/>
                <w:sz w:val="16"/>
              </w:rPr>
              <w:t>You</w:t>
            </w:r>
          </w:p>
        </w:tc>
        <w:tc>
          <w:tcPr>
            <w:tcW w:type="dxa" w:w="3118"/>
          </w:tcPr>
          <w:p>
            <w:pPr>
              <w:spacing w:after="20" w:before="20"/>
            </w:pPr>
            <w:r/>
            <w:r>
              <w:rPr>
                <w:b w:val="0"/>
                <w:sz w:val="16"/>
              </w:rPr>
              <w:t>Free, fast, and it can kill or confirm the entire investment thesis in one call.</w:t>
            </w:r>
          </w:p>
        </w:tc>
      </w:tr>
      <w:tr>
        <w:tc>
          <w:tcPr>
            <w:tcW w:type="dxa" w:w="510"/>
            <w:shd w:val="clear" w:color="auto" w:fill="F2F5F9"/>
          </w:tcPr>
          <w:p>
            <w:pPr>
              <w:spacing w:after="20" w:before="20"/>
            </w:pPr>
            <w:r/>
            <w:r>
              <w:rPr>
                <w:b w:val="0"/>
                <w:sz w:val="16"/>
              </w:rPr>
              <w:t>2</w:t>
            </w:r>
          </w:p>
        </w:tc>
        <w:tc>
          <w:tcPr>
            <w:tcW w:type="dxa" w:w="3742"/>
            <w:shd w:val="clear" w:color="auto" w:fill="F2F5F9"/>
          </w:tcPr>
          <w:p>
            <w:pPr>
              <w:spacing w:after="20" w:before="20"/>
            </w:pPr>
            <w:r/>
            <w:r>
              <w:rPr>
                <w:b w:val="0"/>
                <w:sz w:val="16"/>
              </w:rPr>
              <w:t>Pull the recorded Stillwater Coves plat and note the RECORDING DATE.</w:t>
            </w:r>
          </w:p>
        </w:tc>
        <w:tc>
          <w:tcPr>
            <w:tcW w:type="dxa" w:w="2041"/>
            <w:shd w:val="clear" w:color="auto" w:fill="F2F5F9"/>
          </w:tcPr>
          <w:p>
            <w:pPr>
              <w:spacing w:after="20" w:before="20"/>
            </w:pPr>
            <w:r/>
            <w:r>
              <w:rPr>
                <w:b w:val="0"/>
                <w:sz w:val="16"/>
              </w:rPr>
              <w:t>Clerk of Superior Court</w:t>
            </w:r>
          </w:p>
        </w:tc>
        <w:tc>
          <w:tcPr>
            <w:tcW w:type="dxa" w:w="3118"/>
            <w:shd w:val="clear" w:color="auto" w:fill="F2F5F9"/>
          </w:tcPr>
          <w:p>
            <w:pPr>
              <w:spacing w:after="20" w:before="20"/>
            </w:pPr>
            <w:r/>
            <w:r>
              <w:rPr>
                <w:b w:val="0"/>
                <w:sz w:val="16"/>
              </w:rPr>
              <w:t>If it postdates 1 May 2018, private docks are off the table permanently.</w:t>
            </w:r>
          </w:p>
        </w:tc>
      </w:tr>
      <w:tr>
        <w:tc>
          <w:tcPr>
            <w:tcW w:type="dxa" w:w="510"/>
          </w:tcPr>
          <w:p>
            <w:pPr>
              <w:spacing w:after="20" w:before="20"/>
            </w:pPr>
            <w:r/>
            <w:r>
              <w:rPr>
                <w:b w:val="0"/>
                <w:sz w:val="16"/>
              </w:rPr>
              <w:t>3</w:t>
            </w:r>
          </w:p>
        </w:tc>
        <w:tc>
          <w:tcPr>
            <w:tcW w:type="dxa" w:w="3742"/>
          </w:tcPr>
          <w:p>
            <w:pPr>
              <w:spacing w:after="20" w:before="20"/>
            </w:pPr>
            <w:r/>
            <w:r>
              <w:rPr>
                <w:b w:val="0"/>
                <w:sz w:val="16"/>
              </w:rPr>
              <w:t>Get the current written asking price, status and listing history.</w:t>
            </w:r>
          </w:p>
        </w:tc>
        <w:tc>
          <w:tcPr>
            <w:tcW w:type="dxa" w:w="2041"/>
          </w:tcPr>
          <w:p>
            <w:pPr>
              <w:spacing w:after="20" w:before="20"/>
            </w:pPr>
            <w:r/>
            <w:r>
              <w:rPr>
                <w:b w:val="0"/>
                <w:sz w:val="16"/>
              </w:rPr>
              <w:t>Listing broker</w:t>
            </w:r>
          </w:p>
        </w:tc>
        <w:tc>
          <w:tcPr>
            <w:tcW w:type="dxa" w:w="3118"/>
          </w:tcPr>
          <w:p>
            <w:pPr>
              <w:spacing w:after="20" w:before="20"/>
            </w:pPr>
            <w:r/>
            <w:r>
              <w:rPr>
                <w:b w:val="0"/>
                <w:sz w:val="16"/>
              </w:rPr>
              <w:t>You cannot evaluate value against a 3x price spread from cached pages.</w:t>
            </w:r>
          </w:p>
        </w:tc>
      </w:tr>
      <w:tr>
        <w:tc>
          <w:tcPr>
            <w:tcW w:type="dxa" w:w="510"/>
            <w:shd w:val="clear" w:color="auto" w:fill="F2F5F9"/>
          </w:tcPr>
          <w:p>
            <w:pPr>
              <w:spacing w:after="20" w:before="20"/>
            </w:pPr>
            <w:r/>
            <w:r>
              <w:rPr>
                <w:b w:val="0"/>
                <w:sz w:val="16"/>
              </w:rPr>
              <w:t>4</w:t>
            </w:r>
          </w:p>
        </w:tc>
        <w:tc>
          <w:tcPr>
            <w:tcW w:type="dxa" w:w="3742"/>
            <w:shd w:val="clear" w:color="auto" w:fill="F2F5F9"/>
          </w:tcPr>
          <w:p>
            <w:pPr>
              <w:spacing w:after="20" w:before="20"/>
            </w:pPr>
            <w:r/>
            <w:r>
              <w:rPr>
                <w:b w:val="0"/>
                <w:sz w:val="16"/>
              </w:rPr>
              <w:t>Commission a Level 3 or 4 soil report and ask environmental health for the permittable bedroom count.</w:t>
            </w:r>
          </w:p>
        </w:tc>
        <w:tc>
          <w:tcPr>
            <w:tcW w:type="dxa" w:w="2041"/>
            <w:shd w:val="clear" w:color="auto" w:fill="F2F5F9"/>
          </w:tcPr>
          <w:p>
            <w:pPr>
              <w:spacing w:after="20" w:before="20"/>
            </w:pPr>
            <w:r/>
            <w:r>
              <w:rPr>
                <w:b w:val="0"/>
                <w:sz w:val="16"/>
              </w:rPr>
              <w:t>Soil classifier + county</w:t>
            </w:r>
          </w:p>
        </w:tc>
        <w:tc>
          <w:tcPr>
            <w:tcW w:type="dxa" w:w="3118"/>
            <w:shd w:val="clear" w:color="auto" w:fill="F2F5F9"/>
          </w:tcPr>
          <w:p>
            <w:pPr>
              <w:spacing w:after="20" w:before="20"/>
            </w:pPr>
            <w:r/>
            <w:r>
              <w:rPr>
                <w:b w:val="0"/>
                <w:sz w:val="16"/>
              </w:rPr>
              <w:t>Determines the house size, and therefore the whole budget.</w:t>
            </w:r>
          </w:p>
        </w:tc>
      </w:tr>
      <w:tr>
        <w:tc>
          <w:tcPr>
            <w:tcW w:type="dxa" w:w="510"/>
          </w:tcPr>
          <w:p>
            <w:pPr>
              <w:spacing w:after="20" w:before="20"/>
            </w:pPr>
            <w:r/>
            <w:r>
              <w:rPr>
                <w:b w:val="0"/>
                <w:sz w:val="16"/>
              </w:rPr>
              <w:t>5</w:t>
            </w:r>
          </w:p>
        </w:tc>
        <w:tc>
          <w:tcPr>
            <w:tcW w:type="dxa" w:w="3742"/>
          </w:tcPr>
          <w:p>
            <w:pPr>
              <w:spacing w:after="20" w:before="20"/>
            </w:pPr>
            <w:r/>
            <w:r>
              <w:rPr>
                <w:b w:val="0"/>
                <w:sz w:val="16"/>
              </w:rPr>
              <w:t>Request the full HOA document set: CC&amp;Rs, architectural guidelines, budget, dues, assessments, minutes.</w:t>
            </w:r>
          </w:p>
        </w:tc>
        <w:tc>
          <w:tcPr>
            <w:tcW w:type="dxa" w:w="2041"/>
          </w:tcPr>
          <w:p>
            <w:pPr>
              <w:spacing w:after="20" w:before="20"/>
            </w:pPr>
            <w:r/>
            <w:r>
              <w:rPr>
                <w:b w:val="0"/>
                <w:sz w:val="16"/>
              </w:rPr>
              <w:t>Stillwater Coves POA</w:t>
            </w:r>
          </w:p>
        </w:tc>
        <w:tc>
          <w:tcPr>
            <w:tcW w:type="dxa" w:w="3118"/>
          </w:tcPr>
          <w:p>
            <w:pPr>
              <w:spacing w:after="20" w:before="20"/>
            </w:pPr>
            <w:r/>
            <w:r>
              <w:rPr>
                <w:b w:val="0"/>
                <w:sz w:val="16"/>
              </w:rPr>
              <w:t>Resolves STR, livestock, tree clearing, minimum house size and dock covenants at once.</w:t>
            </w:r>
          </w:p>
        </w:tc>
      </w:tr>
      <w:tr>
        <w:tc>
          <w:tcPr>
            <w:tcW w:type="dxa" w:w="510"/>
            <w:shd w:val="clear" w:color="auto" w:fill="F2F5F9"/>
          </w:tcPr>
          <w:p>
            <w:pPr>
              <w:spacing w:after="20" w:before="20"/>
            </w:pPr>
            <w:r/>
            <w:r>
              <w:rPr>
                <w:b w:val="0"/>
                <w:sz w:val="16"/>
              </w:rPr>
              <w:t>6</w:t>
            </w:r>
          </w:p>
        </w:tc>
        <w:tc>
          <w:tcPr>
            <w:tcW w:type="dxa" w:w="3742"/>
            <w:shd w:val="clear" w:color="auto" w:fill="F2F5F9"/>
          </w:tcPr>
          <w:p>
            <w:pPr>
              <w:spacing w:after="20" w:before="20"/>
            </w:pPr>
            <w:r/>
            <w:r>
              <w:rPr>
                <w:b w:val="0"/>
                <w:sz w:val="16"/>
              </w:rPr>
              <w:t>Confirm zoning district, setbacks, minimum lot size, ADU and STR rules.</w:t>
            </w:r>
          </w:p>
        </w:tc>
        <w:tc>
          <w:tcPr>
            <w:tcW w:type="dxa" w:w="2041"/>
            <w:shd w:val="clear" w:color="auto" w:fill="F2F5F9"/>
          </w:tcPr>
          <w:p>
            <w:pPr>
              <w:spacing w:after="20" w:before="20"/>
            </w:pPr>
            <w:r/>
            <w:r>
              <w:rPr>
                <w:b w:val="0"/>
                <w:sz w:val="16"/>
              </w:rPr>
              <w:t>Lincoln County Planning &amp; Zoning</w:t>
            </w:r>
          </w:p>
        </w:tc>
        <w:tc>
          <w:tcPr>
            <w:tcW w:type="dxa" w:w="3118"/>
            <w:shd w:val="clear" w:color="auto" w:fill="F2F5F9"/>
          </w:tcPr>
          <w:p>
            <w:pPr>
              <w:spacing w:after="20" w:before="20"/>
            </w:pPr>
            <w:r/>
            <w:r>
              <w:rPr>
                <w:b w:val="0"/>
                <w:sz w:val="16"/>
              </w:rPr>
              <w:t>One conversation resolves most of Section G.</w:t>
            </w:r>
          </w:p>
        </w:tc>
      </w:tr>
      <w:tr>
        <w:tc>
          <w:tcPr>
            <w:tcW w:type="dxa" w:w="510"/>
          </w:tcPr>
          <w:p>
            <w:pPr>
              <w:spacing w:after="20" w:before="20"/>
            </w:pPr>
            <w:r/>
            <w:r>
              <w:rPr>
                <w:b w:val="0"/>
                <w:sz w:val="16"/>
              </w:rPr>
              <w:t>7</w:t>
            </w:r>
          </w:p>
        </w:tc>
        <w:tc>
          <w:tcPr>
            <w:tcW w:type="dxa" w:w="3742"/>
          </w:tcPr>
          <w:p>
            <w:pPr>
              <w:spacing w:after="20" w:before="20"/>
            </w:pPr>
            <w:r/>
            <w:r>
              <w:rPr>
                <w:b w:val="0"/>
                <w:sz w:val="16"/>
              </w:rPr>
              <w:t>Obtain utility availability letters for water, electricity and broadband, addressed to the parcel.</w:t>
            </w:r>
          </w:p>
        </w:tc>
        <w:tc>
          <w:tcPr>
            <w:tcW w:type="dxa" w:w="2041"/>
          </w:tcPr>
          <w:p>
            <w:pPr>
              <w:spacing w:after="20" w:before="20"/>
            </w:pPr>
            <w:r/>
            <w:r>
              <w:rPr>
                <w:b w:val="0"/>
                <w:sz w:val="16"/>
              </w:rPr>
              <w:t>Each utility</w:t>
            </w:r>
          </w:p>
        </w:tc>
        <w:tc>
          <w:tcPr>
            <w:tcW w:type="dxa" w:w="3118"/>
          </w:tcPr>
          <w:p>
            <w:pPr>
              <w:spacing w:after="20" w:before="20"/>
            </w:pPr>
            <w:r/>
            <w:r>
              <w:rPr>
                <w:b w:val="0"/>
                <w:sz w:val="16"/>
              </w:rPr>
              <w:t>Converts marketing claims into commitments.</w:t>
            </w:r>
          </w:p>
        </w:tc>
      </w:tr>
      <w:tr>
        <w:tc>
          <w:tcPr>
            <w:tcW w:type="dxa" w:w="510"/>
            <w:shd w:val="clear" w:color="auto" w:fill="F2F5F9"/>
          </w:tcPr>
          <w:p>
            <w:pPr>
              <w:spacing w:after="20" w:before="20"/>
            </w:pPr>
            <w:r/>
            <w:r>
              <w:rPr>
                <w:b w:val="0"/>
                <w:sz w:val="16"/>
              </w:rPr>
              <w:t>8</w:t>
            </w:r>
          </w:p>
        </w:tc>
        <w:tc>
          <w:tcPr>
            <w:tcW w:type="dxa" w:w="3742"/>
            <w:shd w:val="clear" w:color="auto" w:fill="F2F5F9"/>
          </w:tcPr>
          <w:p>
            <w:pPr>
              <w:spacing w:after="20" w:before="20"/>
            </w:pPr>
            <w:r/>
            <w:r>
              <w:rPr>
                <w:b w:val="0"/>
                <w:sz w:val="16"/>
              </w:rPr>
              <w:t>Order a boundary survey locating the USACE line at the rear.</w:t>
            </w:r>
          </w:p>
        </w:tc>
        <w:tc>
          <w:tcPr>
            <w:tcW w:type="dxa" w:w="2041"/>
            <w:shd w:val="clear" w:color="auto" w:fill="F2F5F9"/>
          </w:tcPr>
          <w:p>
            <w:pPr>
              <w:spacing w:after="20" w:before="20"/>
            </w:pPr>
            <w:r/>
            <w:r>
              <w:rPr>
                <w:b w:val="0"/>
                <w:sz w:val="16"/>
              </w:rPr>
              <w:t>Licensed surveyor</w:t>
            </w:r>
          </w:p>
        </w:tc>
        <w:tc>
          <w:tcPr>
            <w:tcW w:type="dxa" w:w="3118"/>
            <w:shd w:val="clear" w:color="auto" w:fill="F2F5F9"/>
          </w:tcPr>
          <w:p>
            <w:pPr>
              <w:spacing w:after="20" w:before="20"/>
            </w:pPr>
            <w:r/>
            <w:r>
              <w:rPr>
                <w:b w:val="0"/>
                <w:sz w:val="16"/>
              </w:rPr>
              <w:t>Establishes what you are actually buying.</w:t>
            </w:r>
          </w:p>
        </w:tc>
      </w:tr>
      <w:tr>
        <w:tc>
          <w:tcPr>
            <w:tcW w:type="dxa" w:w="510"/>
          </w:tcPr>
          <w:p>
            <w:pPr>
              <w:spacing w:after="20" w:before="20"/>
            </w:pPr>
            <w:r/>
            <w:r>
              <w:rPr>
                <w:b w:val="0"/>
                <w:sz w:val="16"/>
              </w:rPr>
              <w:t>9</w:t>
            </w:r>
          </w:p>
        </w:tc>
        <w:tc>
          <w:tcPr>
            <w:tcW w:type="dxa" w:w="3742"/>
          </w:tcPr>
          <w:p>
            <w:pPr>
              <w:spacing w:after="20" w:before="20"/>
            </w:pPr>
            <w:r/>
            <w:r>
              <w:rPr>
                <w:b w:val="0"/>
                <w:sz w:val="16"/>
              </w:rPr>
              <w:t>Obtain the county floodplain determination and required flood elevation.</w:t>
            </w:r>
          </w:p>
        </w:tc>
        <w:tc>
          <w:tcPr>
            <w:tcW w:type="dxa" w:w="2041"/>
          </w:tcPr>
          <w:p>
            <w:pPr>
              <w:spacing w:after="20" w:before="20"/>
            </w:pPr>
            <w:r/>
            <w:r>
              <w:rPr>
                <w:b w:val="0"/>
                <w:sz w:val="16"/>
              </w:rPr>
              <w:t>Floodplain administrator</w:t>
            </w:r>
          </w:p>
        </w:tc>
        <w:tc>
          <w:tcPr>
            <w:tcW w:type="dxa" w:w="3118"/>
          </w:tcPr>
          <w:p>
            <w:pPr>
              <w:spacing w:after="20" w:before="20"/>
            </w:pPr>
            <w:r/>
            <w:r>
              <w:rPr>
                <w:b w:val="0"/>
                <w:sz w:val="16"/>
              </w:rPr>
              <w:t>No BFE exists, so only the county can tell you.</w:t>
            </w:r>
          </w:p>
        </w:tc>
      </w:tr>
      <w:tr>
        <w:tc>
          <w:tcPr>
            <w:tcW w:type="dxa" w:w="510"/>
            <w:shd w:val="clear" w:color="auto" w:fill="F2F5F9"/>
          </w:tcPr>
          <w:p>
            <w:pPr>
              <w:spacing w:after="20" w:before="20"/>
            </w:pPr>
            <w:r/>
            <w:r>
              <w:rPr>
                <w:b w:val="0"/>
                <w:sz w:val="16"/>
              </w:rPr>
              <w:t>10</w:t>
            </w:r>
          </w:p>
        </w:tc>
        <w:tc>
          <w:tcPr>
            <w:tcW w:type="dxa" w:w="3742"/>
            <w:shd w:val="clear" w:color="auto" w:fill="F2F5F9"/>
          </w:tcPr>
          <w:p>
            <w:pPr>
              <w:spacing w:after="20" w:before="20"/>
            </w:pPr>
            <w:r/>
            <w:r>
              <w:rPr>
                <w:b w:val="0"/>
                <w:sz w:val="16"/>
              </w:rPr>
              <w:t>Commission a geotechnical report before finalising foundation design.</w:t>
            </w:r>
          </w:p>
        </w:tc>
        <w:tc>
          <w:tcPr>
            <w:tcW w:type="dxa" w:w="2041"/>
            <w:shd w:val="clear" w:color="auto" w:fill="F2F5F9"/>
          </w:tcPr>
          <w:p>
            <w:pPr>
              <w:spacing w:after="20" w:before="20"/>
            </w:pPr>
            <w:r/>
            <w:r>
              <w:rPr>
                <w:b w:val="0"/>
                <w:sz w:val="16"/>
              </w:rPr>
              <w:t>Geotechnical engineer</w:t>
            </w:r>
          </w:p>
        </w:tc>
        <w:tc>
          <w:tcPr>
            <w:tcW w:type="dxa" w:w="3118"/>
            <w:shd w:val="clear" w:color="auto" w:fill="F2F5F9"/>
          </w:tcPr>
          <w:p>
            <w:pPr>
              <w:spacing w:after="20" w:before="20"/>
            </w:pPr>
            <w:r/>
            <w:r>
              <w:rPr>
                <w:b w:val="0"/>
                <w:sz w:val="16"/>
              </w:rPr>
              <w:t>Clay subsoils, severely eroded surface, possible shallow rock.</w:t>
            </w:r>
          </w:p>
        </w:tc>
      </w:tr>
    </w:tbl>
    <w:p>
      <w:pPr>
        <w:spacing w:after="40"/>
      </w:pPr>
    </w:p>
    <w:p>
      <w:pPr>
        <w:pStyle w:val="Heading1"/>
      </w:pPr>
      <w:r>
        <w:t>Sources</w:t>
      </w:r>
    </w:p>
    <w:p>
      <w:pPr>
        <w:spacing w:after="80" w:before="0"/>
      </w:pPr>
      <w:r>
        <w:rPr>
          <w:b/>
          <w:i w:val="0"/>
          <w:sz w:val="18"/>
        </w:rPr>
        <w:t>Primary datasets queried directly on 7 October 2026:</w:t>
      </w:r>
    </w:p>
    <w:p>
      <w:pPr>
        <w:pStyle w:val="ListBullet"/>
        <w:spacing w:after="30"/>
        <w:ind w:left="369"/>
      </w:pPr>
      <w:r>
        <w:rPr>
          <w:b/>
          <w:sz w:val="17"/>
        </w:rPr>
        <w:t xml:space="preserve">USGS 3DEP elevation — </w:t>
      </w:r>
      <w:r>
        <w:rPr>
          <w:sz w:val="17"/>
        </w:rPr>
        <w:t>elevation.nationalmap.gov and epqs.nationalmap.gov. 1-metre lidar, GA_Statewide_2018_B18_DRRA, NAVD 88. 2,665 grid samples.</w:t>
      </w:r>
    </w:p>
    <w:p>
      <w:pPr>
        <w:pStyle w:val="ListBullet"/>
        <w:spacing w:after="30"/>
        <w:ind w:left="369"/>
      </w:pPr>
      <w:r>
        <w:rPr>
          <w:b/>
          <w:sz w:val="17"/>
        </w:rPr>
        <w:t xml:space="preserve">FEMA National Flood Hazard Layer — </w:t>
      </w:r>
      <w:r>
        <w:rPr>
          <w:sz w:val="17"/>
        </w:rPr>
        <w:t>hazards.fema.gov, layer 28 (S_FLD_HAZ_AR). DFIRM 13181C.</w:t>
      </w:r>
    </w:p>
    <w:p>
      <w:pPr>
        <w:pStyle w:val="ListBullet"/>
        <w:spacing w:after="30"/>
        <w:ind w:left="369"/>
      </w:pPr>
      <w:r>
        <w:rPr>
          <w:b/>
          <w:sz w:val="17"/>
        </w:rPr>
        <w:t xml:space="preserve">USDA NRCS SSURGO — </w:t>
      </w:r>
      <w:r>
        <w:rPr>
          <w:sz w:val="17"/>
        </w:rPr>
        <w:t>sdmdataaccess.sc.egov.usda.gov Soil Data Access (tabular and spatial).</w:t>
      </w:r>
    </w:p>
    <w:p>
      <w:pPr>
        <w:pStyle w:val="ListBullet"/>
        <w:spacing w:after="30"/>
        <w:ind w:left="369"/>
      </w:pPr>
      <w:r>
        <w:rPr>
          <w:b/>
          <w:sz w:val="17"/>
        </w:rPr>
        <w:t xml:space="preserve">OpenStreetMap — </w:t>
      </w:r>
      <w:r>
        <w:rPr>
          <w:sz w:val="17"/>
        </w:rPr>
        <w:t>Nominatim and the OSM API (way 409863360, Watersedge Cove). Data copyright OpenStreetMap contributors, ODbL 1.0.</w:t>
      </w:r>
    </w:p>
    <w:p>
      <w:pPr>
        <w:pStyle w:val="ListBullet"/>
        <w:spacing w:after="30"/>
        <w:ind w:left="369"/>
      </w:pPr>
      <w:r>
        <w:rPr>
          <w:b/>
          <w:sz w:val="17"/>
        </w:rPr>
        <w:t xml:space="preserve">OSRM — </w:t>
      </w:r>
      <w:r>
        <w:rPr>
          <w:sz w:val="17"/>
        </w:rPr>
        <w:t>router.project-osrm.org for road-network distances and drive times.</w:t>
      </w:r>
    </w:p>
    <w:p>
      <w:pPr>
        <w:pStyle w:val="ListBullet"/>
        <w:spacing w:after="30"/>
        <w:ind w:left="369"/>
      </w:pPr>
      <w:r>
        <w:rPr>
          <w:b/>
          <w:sz w:val="17"/>
        </w:rPr>
        <w:t xml:space="preserve">ERA5 reanalysis — </w:t>
      </w:r>
      <w:r>
        <w:rPr>
          <w:sz w:val="17"/>
        </w:rPr>
        <w:t>archive-api.open-meteo.com, daily 1995–2024 at the site coordinates.</w:t>
      </w:r>
    </w:p>
    <w:p>
      <w:pPr>
        <w:spacing w:after="80" w:before="0"/>
      </w:pPr>
      <w:r>
        <w:rPr>
          <w:b/>
          <w:i w:val="0"/>
          <w:sz w:val="18"/>
        </w:rPr>
        <w:t>Published and agency sources consulted:</w:t>
      </w:r>
    </w:p>
    <w:p>
      <w:pPr>
        <w:pStyle w:val="ListBullet"/>
        <w:spacing w:after="30"/>
        <w:ind w:left="369"/>
      </w:pPr>
      <w:r>
        <w:rPr>
          <w:b/>
          <w:sz w:val="17"/>
        </w:rPr>
        <w:t xml:space="preserve">USACE Savannah District — </w:t>
      </w:r>
      <w:r>
        <w:rPr>
          <w:sz w:val="17"/>
        </w:rPr>
        <w:t>J. Strom Thurmond Dam and Lake: Shoreline Management (allocation maps, permit conditions, FAQ, how to apply), Boat Ramp Bottom Elevations, and the 2018 Shoreline Management Plan news release. sas.usace.army.mil</w:t>
      </w:r>
    </w:p>
    <w:p>
      <w:pPr>
        <w:pStyle w:val="ListBullet"/>
        <w:spacing w:after="30"/>
        <w:ind w:left="369"/>
      </w:pPr>
      <w:r>
        <w:rPr>
          <w:b/>
          <w:sz w:val="17"/>
        </w:rPr>
        <w:t xml:space="preserve">USACE water management — </w:t>
      </w:r>
      <w:r>
        <w:rPr>
          <w:sz w:val="17"/>
        </w:rPr>
        <w:t>water.sas.usace.army.mil (conservation and flood-control storage).</w:t>
      </w:r>
    </w:p>
    <w:p>
      <w:pPr>
        <w:pStyle w:val="ListBullet"/>
        <w:spacing w:after="30"/>
        <w:ind w:left="369"/>
      </w:pPr>
      <w:r>
        <w:rPr>
          <w:b/>
          <w:sz w:val="17"/>
        </w:rPr>
        <w:t xml:space="preserve">USGS — </w:t>
      </w:r>
      <w:r>
        <w:rPr>
          <w:sz w:val="17"/>
        </w:rPr>
        <w:t>pubs.usgs.gov water-data report (spillway and drawdown elevations).</w:t>
      </w:r>
    </w:p>
    <w:p>
      <w:pPr>
        <w:pStyle w:val="ListBullet"/>
        <w:spacing w:after="30"/>
        <w:ind w:left="369"/>
      </w:pPr>
      <w:r>
        <w:rPr>
          <w:b/>
          <w:sz w:val="17"/>
        </w:rPr>
        <w:t xml:space="preserve">Georgia Department of Public Health — </w:t>
      </w:r>
      <w:r>
        <w:rPr>
          <w:sz w:val="17"/>
        </w:rPr>
        <w:t>On-Site Sewage Management Systems Manual and Rules Chapter 511-3-1. dph.georgia.gov and rules.sos.georgia.gov</w:t>
      </w:r>
    </w:p>
    <w:p>
      <w:pPr>
        <w:pStyle w:val="ListBullet"/>
        <w:spacing w:after="30"/>
        <w:ind w:left="369"/>
      </w:pPr>
      <w:r>
        <w:rPr>
          <w:b/>
          <w:sz w:val="17"/>
        </w:rPr>
        <w:t xml:space="preserve">US Census Bureau — </w:t>
      </w:r>
      <w:r>
        <w:rPr>
          <w:sz w:val="17"/>
        </w:rPr>
        <w:t>QuickFacts, Lincoln County, Georgia. census.gov</w:t>
      </w:r>
    </w:p>
    <w:p>
      <w:pPr>
        <w:pStyle w:val="ListBullet"/>
        <w:spacing w:after="30"/>
        <w:ind w:left="369"/>
      </w:pPr>
      <w:r>
        <w:rPr>
          <w:b/>
          <w:sz w:val="17"/>
        </w:rPr>
        <w:t xml:space="preserve">Georgia DNR / coastalgadnr.org and georgiawildlife.com — </w:t>
      </w:r>
      <w:r>
        <w:rPr>
          <w:sz w:val="17"/>
        </w:rPr>
        <w:t>Clarks Hill fish species.</w:t>
      </w:r>
    </w:p>
    <w:p>
      <w:pPr>
        <w:pStyle w:val="ListBullet"/>
        <w:spacing w:after="30"/>
        <w:ind w:left="369"/>
      </w:pPr>
      <w:r>
        <w:rPr>
          <w:b/>
          <w:sz w:val="17"/>
        </w:rPr>
        <w:t xml:space="preserve">South Carolina DNR — </w:t>
      </w:r>
      <w:r>
        <w:rPr>
          <w:sz w:val="17"/>
        </w:rPr>
        <w:t>dnr.sc.gov Thurmond Lake fishing regulations.</w:t>
      </w:r>
    </w:p>
    <w:p>
      <w:pPr>
        <w:pStyle w:val="ListBullet"/>
        <w:spacing w:after="30"/>
        <w:ind w:left="369"/>
      </w:pPr>
      <w:r>
        <w:rPr>
          <w:b/>
          <w:sz w:val="17"/>
        </w:rPr>
        <w:t xml:space="preserve">EPA — </w:t>
      </w:r>
      <w:r>
        <w:rPr>
          <w:sz w:val="17"/>
        </w:rPr>
        <w:t>Map of Radon Zones and radon action levels. epa.gov</w:t>
      </w:r>
    </w:p>
    <w:p>
      <w:pPr>
        <w:pStyle w:val="ListBullet"/>
        <w:spacing w:after="30"/>
        <w:ind w:left="369"/>
      </w:pPr>
      <w:r>
        <w:rPr>
          <w:b/>
          <w:sz w:val="17"/>
        </w:rPr>
        <w:t xml:space="preserve">Lincoln County, Georgia — </w:t>
      </w:r>
      <w:r>
        <w:rPr>
          <w:sz w:val="17"/>
        </w:rPr>
        <w:t>lincolncountyga.org (healthcare, infrastructure, electric providers).</w:t>
      </w:r>
    </w:p>
    <w:p>
      <w:pPr>
        <w:pStyle w:val="ListBullet"/>
        <w:spacing w:after="30"/>
        <w:ind w:left="369"/>
      </w:pPr>
      <w:r>
        <w:rPr>
          <w:b/>
          <w:sz w:val="17"/>
        </w:rPr>
        <w:t xml:space="preserve">Stillwater Coves POA — </w:t>
      </w:r>
      <w:r>
        <w:rPr>
          <w:sz w:val="17"/>
        </w:rPr>
        <w:t>stillwatercovesgeorgia.com (community description, Plan Approval Checklist).</w:t>
      </w:r>
    </w:p>
    <w:p>
      <w:pPr>
        <w:pStyle w:val="ListBullet"/>
        <w:spacing w:after="30"/>
        <w:ind w:left="369"/>
      </w:pPr>
      <w:r>
        <w:rPr>
          <w:b/>
          <w:sz w:val="17"/>
        </w:rPr>
        <w:t xml:space="preserve">CSRA Regional Commission / Georgia DCA — </w:t>
      </w:r>
      <w:r>
        <w:rPr>
          <w:sz w:val="17"/>
        </w:rPr>
        <w:t>Lincoln County and City of Lincolnton Joint Comprehensive Plan.</w:t>
      </w:r>
    </w:p>
    <w:p>
      <w:pPr>
        <w:pStyle w:val="ListBullet"/>
        <w:spacing w:after="30"/>
        <w:ind w:left="369"/>
      </w:pPr>
      <w:r>
        <w:rPr>
          <w:b/>
          <w:sz w:val="17"/>
        </w:rPr>
        <w:t xml:space="preserve">Listing aggregators — </w:t>
      </w:r>
      <w:r>
        <w:rPr>
          <w:sz w:val="17"/>
        </w:rPr>
        <w:t>realtor.com, redfin.com, trulia.com, georgiamls.com, homes.com (prices, lot descriptions, comparables). Accessed via search-engine cache; direct fetches were blocked.</w:t>
      </w:r>
    </w:p>
    <w:p>
      <w:pPr>
        <w:pStyle w:val="ListBullet"/>
        <w:spacing w:after="30"/>
        <w:ind w:left="369"/>
      </w:pPr>
      <w:r>
        <w:rPr>
          <w:b/>
          <w:sz w:val="17"/>
        </w:rPr>
        <w:t xml:space="preserve">Build-cost references — </w:t>
      </w:r>
      <w:r>
        <w:rPr>
          <w:sz w:val="17"/>
        </w:rPr>
        <w:t>homeguide.com, ibuyer.com, realpha.com, jnjcustomhomes.com, homeblue.com, homebuilderdigest.com (2026 Georgia and Augusta-area ranges).</w:t>
      </w:r>
    </w:p>
    <w:p>
      <w:pPr>
        <w:pStyle w:val="ListBullet"/>
        <w:spacing w:after="30"/>
        <w:ind w:left="369"/>
      </w:pPr>
      <w:r>
        <w:rPr>
          <w:b/>
          <w:sz w:val="17"/>
        </w:rPr>
        <w:t xml:space="preserve">Broadband references — </w:t>
      </w:r>
      <w:r>
        <w:rPr>
          <w:sz w:val="17"/>
        </w:rPr>
        <w:t>broadbandnow.com, broadbandmap.com, bestneighborhood.org (Tignall ZIP-level availability).</w:t>
      </w:r>
    </w:p>
    <w:p>
      <w:pPr>
        <w:pStyle w:val="ListBullet"/>
        <w:spacing w:after="30"/>
        <w:ind w:left="369"/>
      </w:pPr>
      <w:r>
        <w:rPr>
          <w:b/>
          <w:sz w:val="17"/>
        </w:rPr>
        <w:t xml:space="preserve">School references — </w:t>
      </w:r>
      <w:r>
        <w:rPr>
          <w:sz w:val="17"/>
        </w:rPr>
        <w:t>niche.com, publicschoolreview.com, greatschools.org.</w:t>
      </w:r>
    </w:p>
    <w:p>
      <w:pPr>
        <w:spacing w:after="80" w:before="0"/>
      </w:pPr>
      <w:r>
        <w:rPr>
          <w:b w:val="0"/>
          <w:i/>
          <w:color w:val="555555"/>
          <w:sz w:val="17"/>
        </w:rPr>
        <w:t>Content from third-party commercial sources has been paraphrased and summarised rather than quoted, and was rephrased for compliance with licensing restrictions. Agency and statutory material is public domain. No listing photographs are reproduced.</w:t>
      </w:r>
    </w:p>
    <w:p>
      <w:pPr>
        <w:pStyle w:val="Heading1"/>
      </w:pPr>
      <w:r>
        <w:t>Limitations and Disclaimer</w:t>
      </w:r>
    </w:p>
    <w:p>
      <w:pPr>
        <w:spacing w:after="80" w:before="0"/>
      </w:pPr>
      <w:r>
        <w:rPr>
          <w:b/>
          <w:i w:val="0"/>
          <w:sz w:val="18"/>
        </w:rPr>
        <w:t>This is an automated desk study compiled from public data on 7 October 2026. It is not a survey, an appraisal, a geotechnical or environmental assessment, a legal opinion, a flood determination or investment advice, and it must not be used in place of any of them.</w:t>
      </w:r>
    </w:p>
    <w:p>
      <w:pPr>
        <w:pStyle w:val="ListBullet"/>
        <w:spacing w:after="30"/>
        <w:ind w:left="369"/>
      </w:pPr>
      <w:r>
        <w:rPr>
          <w:sz w:val="17"/>
        </w:rPr>
        <w:t>No site visit was made. No part of the property was physically inspected.</w:t>
      </w:r>
    </w:p>
    <w:p>
      <w:pPr>
        <w:pStyle w:val="ListBullet"/>
        <w:spacing w:after="30"/>
        <w:ind w:left="369"/>
      </w:pPr>
      <w:r>
        <w:rPr>
          <w:sz w:val="17"/>
        </w:rPr>
        <w:t>No recorded plat, deed, title commitment, survey or HOA document was obtained. All statements about lot boundaries, dimensions, frontage, setbacks and buildable area rest on a modelled 150 ft x 310 ft rectangle and may be materially wrong.</w:t>
      </w:r>
    </w:p>
    <w:p>
      <w:pPr>
        <w:pStyle w:val="ListBullet"/>
        <w:spacing w:after="30"/>
        <w:ind w:left="369"/>
      </w:pPr>
      <w:r>
        <w:rPr>
          <w:sz w:val="17"/>
        </w:rPr>
        <w:t>Zillow, Redfin and realtor.com all blocked automated access. Price, status and listing history are unverified, and the figures found conflict with one another.</w:t>
      </w:r>
    </w:p>
    <w:p>
      <w:pPr>
        <w:pStyle w:val="ListBullet"/>
        <w:spacing w:after="30"/>
        <w:ind w:left="369"/>
      </w:pPr>
      <w:r>
        <w:rPr>
          <w:sz w:val="17"/>
        </w:rPr>
        <w:t>Lincoln County's parcel GIS is access-restricted, so no parcel ID, assessed value or official boundary was retrieved.</w:t>
      </w:r>
    </w:p>
    <w:p>
      <w:pPr>
        <w:pStyle w:val="ListBullet"/>
        <w:spacing w:after="30"/>
        <w:ind w:left="369"/>
      </w:pPr>
      <w:r>
        <w:rPr>
          <w:sz w:val="17"/>
        </w:rPr>
        <w:t>Elevations are lidar-derived to NAVD 88 and are suitable for planning only. Flood and permit decisions require a surveyed Elevation Certificate.</w:t>
      </w:r>
    </w:p>
    <w:p>
      <w:pPr>
        <w:pStyle w:val="ListBullet"/>
        <w:spacing w:after="30"/>
        <w:ind w:left="369"/>
      </w:pPr>
      <w:r>
        <w:rPr>
          <w:sz w:val="17"/>
        </w:rPr>
        <w:t>Soil interpretations come from survey-scale SSURGO mapping. NRCS states explicitly that survey-scale maps are insufficient to approve property for on-site sewage systems; an on-site evaluation is required.</w:t>
      </w:r>
    </w:p>
    <w:p>
      <w:pPr>
        <w:pStyle w:val="ListBullet"/>
        <w:spacing w:after="30"/>
        <w:ind w:left="369"/>
      </w:pPr>
      <w:r>
        <w:rPr>
          <w:sz w:val="17"/>
        </w:rPr>
        <w:t>Climate figures are from ERA5 reanalysis, a gridded model product that smooths extremes.</w:t>
      </w:r>
    </w:p>
    <w:p>
      <w:pPr>
        <w:pStyle w:val="ListBullet"/>
        <w:spacing w:after="30"/>
        <w:ind w:left="369"/>
      </w:pPr>
      <w:r>
        <w:rPr>
          <w:sz w:val="17"/>
        </w:rPr>
        <w:t>Dock feasibility is the single largest unresolved question and depends on USACE determinations that only the Thurmond Project Office can make.</w:t>
      </w:r>
    </w:p>
    <w:p>
      <w:pPr>
        <w:pStyle w:val="ListBullet"/>
        <w:spacing w:after="30"/>
        <w:ind w:left="369"/>
      </w:pPr>
      <w:r>
        <w:rPr>
          <w:sz w:val="17"/>
        </w:rPr>
        <w:t>Regulations, prices, agency policies and permit rules change. Verify currency of every item before relying on it.</w:t>
      </w:r>
    </w:p>
    <w:p>
      <w:pPr>
        <w:spacing w:after="80" w:before="0"/>
      </w:pPr>
      <w:r>
        <w:rPr>
          <w:b/>
          <w:i w:val="0"/>
          <w:sz w:val="18"/>
        </w:rPr>
        <w:t>Engage a licensed Georgia surveyor, geotechnical engineer, soil classifier and real-estate attorney, and obtain written determinations from the USACE Thurmond Project Office, Lincoln County Planning &amp; Zoning, Lincoln County environmental health and the county floodplain administrator, before committing funds.</w:t>
      </w:r>
    </w:p>
    <w:sectPr w:rsidR="00FC693F" w:rsidRPr="0006063C" w:rsidSect="00034616">
      <w:footerReference w:type="default" r:id="rId9"/>
      <w:pgSz w:w="11906" w:h="16838"/>
      <w:pgMar w:top="1020" w:right="907"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5"/>
      </w:rPr>
      <w:t xml:space="preserve">1147 / 1153 Watersedge Cove, Tignall (Lincoln County), GA 30668  —  Page </w:t>
    </w:r>
    <w:r>
      <w:rPr>
        <w:color w:val="555555"/>
        <w:sz w:val="15"/>
      </w:rPr>
      <w:fldChar w:fldCharType="begin"/>
      <w:instrText xml:space="preserve">PAGE</w:instrText>
      <w:fldChar w:fldCharType="end"/>
    </w:r>
    <w:r>
      <w:rPr>
        <w:color w:val="555555"/>
        <w:sz w:val="15"/>
      </w:rPr>
      <w:t xml:space="preserve"> of </w:t>
    </w:r>
    <w:r>
      <w:rPr>
        <w:color w:val="555555"/>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