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63407" w14:textId="00210436" w:rsidR="00B50221" w:rsidRPr="00511022" w:rsidRDefault="00511022" w:rsidP="00511022">
      <w:pPr>
        <w:jc w:val="center"/>
        <w:rPr>
          <w:rFonts w:eastAsia="Times New Roman" w:cs="Times New Roman"/>
          <w:b/>
          <w:bCs/>
          <w:sz w:val="28"/>
          <w:szCs w:val="28"/>
        </w:rPr>
      </w:pPr>
      <w:r w:rsidRPr="00511022">
        <w:rPr>
          <w:rFonts w:eastAsia="Times New Roman" w:cs="Times New Roman"/>
          <w:b/>
          <w:bCs/>
          <w:sz w:val="28"/>
          <w:szCs w:val="28"/>
        </w:rPr>
        <w:t>ANALYSING THE IMPACT OF RISK AND RETURN IN MUTUAL FUND INVESTMENT</w:t>
      </w:r>
    </w:p>
    <w:p w14:paraId="71B1C94B" w14:textId="77777777" w:rsidR="00B50221" w:rsidRDefault="00B50221">
      <w:pPr>
        <w:rPr>
          <w:rFonts w:eastAsia="Times New Roman" w:cs="Times New Roman"/>
          <w:sz w:val="24"/>
          <w:szCs w:val="24"/>
        </w:rPr>
      </w:pPr>
    </w:p>
    <w:p w14:paraId="5C2D84C3" w14:textId="77777777" w:rsidR="00511022" w:rsidRDefault="00511022">
      <w:pPr>
        <w:rPr>
          <w:rFonts w:eastAsia="Times New Roman" w:cs="Times New Roman"/>
          <w:b/>
          <w:bCs/>
          <w:sz w:val="24"/>
          <w:szCs w:val="24"/>
        </w:rPr>
      </w:pPr>
    </w:p>
    <w:p w14:paraId="6FBFC497" w14:textId="3F8B4046" w:rsidR="00D25741" w:rsidRPr="00511022" w:rsidRDefault="00000000">
      <w:pPr>
        <w:rPr>
          <w:rFonts w:eastAsia="Times New Roman" w:cs="Times New Roman"/>
          <w:b/>
          <w:bCs/>
          <w:sz w:val="24"/>
          <w:szCs w:val="24"/>
        </w:rPr>
      </w:pPr>
      <w:r w:rsidRPr="00511022">
        <w:rPr>
          <w:rFonts w:eastAsia="Times New Roman" w:cs="Times New Roman"/>
          <w:b/>
          <w:bCs/>
          <w:sz w:val="24"/>
          <w:szCs w:val="24"/>
        </w:rPr>
        <w:t>Chapter 1</w:t>
      </w:r>
      <w:r w:rsidR="00511022" w:rsidRPr="00511022">
        <w:rPr>
          <w:rFonts w:eastAsia="Times New Roman" w:cs="Times New Roman"/>
          <w:b/>
          <w:bCs/>
          <w:sz w:val="24"/>
          <w:szCs w:val="24"/>
        </w:rPr>
        <w:t>: INTRODUCTION</w:t>
      </w:r>
    </w:p>
    <w:p w14:paraId="2AE5C852" w14:textId="77777777" w:rsidR="00D25741" w:rsidRDefault="00D25741">
      <w:pPr>
        <w:rPr>
          <w:rFonts w:eastAsia="Times New Roman" w:cs="Times New Roman"/>
          <w:sz w:val="24"/>
          <w:szCs w:val="24"/>
        </w:rPr>
      </w:pPr>
    </w:p>
    <w:p w14:paraId="4C42C82E" w14:textId="77777777" w:rsidR="00D25741" w:rsidRPr="00596D09" w:rsidRDefault="00000000">
      <w:pPr>
        <w:rPr>
          <w:rFonts w:eastAsia="Times New Roman" w:cs="Times New Roman"/>
          <w:b/>
          <w:bCs/>
          <w:sz w:val="24"/>
          <w:szCs w:val="24"/>
        </w:rPr>
      </w:pPr>
      <w:r w:rsidRPr="00596D09">
        <w:rPr>
          <w:rFonts w:eastAsia="Times New Roman" w:cs="Times New Roman"/>
          <w:b/>
          <w:bCs/>
          <w:sz w:val="24"/>
          <w:szCs w:val="24"/>
        </w:rPr>
        <w:t>1.1 INTRODUCTION</w:t>
      </w:r>
    </w:p>
    <w:p w14:paraId="3906771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Mutual funds have become one of the most widely preferred investment vehicles in India, offering investors an opportunity to participate in financial markets with professional management and diversification benefits. With increasing awareness about financial planning and long-term wealth creation, mutual funds are now considered an essential component of modern investment portfolios. They pool money from </w:t>
      </w:r>
      <w:proofErr w:type="gramStart"/>
      <w:r>
        <w:rPr>
          <w:rFonts w:eastAsia="Times New Roman" w:cs="Times New Roman"/>
          <w:sz w:val="24"/>
          <w:szCs w:val="24"/>
        </w:rPr>
        <w:t>a large number of</w:t>
      </w:r>
      <w:proofErr w:type="gramEnd"/>
      <w:r>
        <w:rPr>
          <w:rFonts w:eastAsia="Times New Roman" w:cs="Times New Roman"/>
          <w:sz w:val="24"/>
          <w:szCs w:val="24"/>
        </w:rPr>
        <w:t xml:space="preserve"> investors and invest in a diversified basket of securities such as equities, bonds, and money market instruments, thereby reducing unsystematic risk.</w:t>
      </w:r>
    </w:p>
    <w:p w14:paraId="48144450"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In recent years, the Indian mutual fund industry has experienced significant growth driven by digital platforms, SIP adoption, regulatory initiatives by SEBI, and rising participation from young and first-time investors. However, the foundation of any investment decision lies in understanding the balance between risk and return. Investors expect higher returns but must also be aware that greater returns are usually associated with higher levels of risk. Therefore, evaluating the risk-return characteristics of mutual funds becomes essential for making informed investment decisions.</w:t>
      </w:r>
    </w:p>
    <w:p w14:paraId="4C8D946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analysis of risk and return helps investors understand how consistently a fund performs, how volatile it is, and whether the returns generated justify the risks undertaken. </w:t>
      </w:r>
      <w:proofErr w:type="gramStart"/>
      <w:r>
        <w:rPr>
          <w:rFonts w:eastAsia="Times New Roman" w:cs="Times New Roman"/>
          <w:sz w:val="24"/>
          <w:szCs w:val="24"/>
        </w:rPr>
        <w:t>Risk</w:t>
      </w:r>
      <w:proofErr w:type="gramEnd"/>
      <w:r>
        <w:rPr>
          <w:rFonts w:eastAsia="Times New Roman" w:cs="Times New Roman"/>
          <w:sz w:val="24"/>
          <w:szCs w:val="24"/>
        </w:rPr>
        <w:t xml:space="preserve"> can arise from various sources such as market movements, economic fluctuations, fund management strategies, and external shocks like the COVID-19 pandemic. At the same time, return analysis reveals how effectively the fund has grown investors’ wealth over different periods and market cycles. By evaluating performance indicators such as standard deviation, beta and Sharpe ratio investors can assess both absolute and risk-adjusted returns.</w:t>
      </w:r>
    </w:p>
    <w:p w14:paraId="6E83A12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This study titled “Analysis of Risk and Return of Mutual Funds” aims to examine the historical performance of selected mutual fund schemes, compare them with benchmark indices, and evaluate whether the fund managers have added value for investors. The findings of this research will help investors choose mutual fund schemes based on their risk appetite, financial objectives, and market conditions. Furthermore, the study contributes to understanding how mutual funds behave during stable periods as well as during economic uncertainties, making it highly relevant for both academics and practitioners in the field of finance.</w:t>
      </w:r>
    </w:p>
    <w:p w14:paraId="4ACAAF5C" w14:textId="77777777" w:rsidR="00D25741" w:rsidRDefault="00D25741"/>
    <w:p w14:paraId="5CB633DD" w14:textId="77777777" w:rsidR="00D25741" w:rsidRDefault="00D25741"/>
    <w:p w14:paraId="54F07E26" w14:textId="77777777" w:rsidR="00D25741" w:rsidRDefault="00D25741"/>
    <w:p w14:paraId="292461FB" w14:textId="77777777" w:rsidR="00D25741" w:rsidRDefault="00D25741"/>
    <w:p w14:paraId="73CF9C6B" w14:textId="77777777" w:rsidR="00D25741" w:rsidRDefault="00D25741"/>
    <w:p w14:paraId="7EB0A496" w14:textId="77777777" w:rsidR="00D25741" w:rsidRDefault="00D25741"/>
    <w:p w14:paraId="59A70819" w14:textId="77777777" w:rsidR="00D25741" w:rsidRDefault="00000000">
      <w:pPr>
        <w:pStyle w:val="Heading3"/>
        <w:keepNext w:val="0"/>
        <w:keepLines w:val="0"/>
        <w:spacing w:before="280"/>
        <w:jc w:val="both"/>
        <w:rPr>
          <w:rFonts w:eastAsia="Times New Roman" w:cs="Times New Roman"/>
          <w:b/>
          <w:bCs/>
          <w:color w:val="000000"/>
          <w:sz w:val="24"/>
          <w:szCs w:val="24"/>
        </w:rPr>
      </w:pPr>
      <w:bookmarkStart w:id="0" w:name="_l0obdf8le26z" w:colFirst="0" w:colLast="0"/>
      <w:bookmarkEnd w:id="0"/>
      <w:r>
        <w:rPr>
          <w:rFonts w:eastAsia="Times New Roman" w:cs="Times New Roman"/>
          <w:b/>
          <w:bCs/>
          <w:color w:val="000000"/>
          <w:sz w:val="24"/>
          <w:szCs w:val="24"/>
        </w:rPr>
        <w:lastRenderedPageBreak/>
        <w:t>1.2 DIFFERENT AVENUES OF INVESTMENT</w:t>
      </w:r>
    </w:p>
    <w:p w14:paraId="77EE9FCA" w14:textId="77777777" w:rsidR="00D25741" w:rsidRDefault="00D25741">
      <w:pPr>
        <w:jc w:val="both"/>
      </w:pPr>
    </w:p>
    <w:p w14:paraId="1874FA20" w14:textId="77777777" w:rsidR="00D25741" w:rsidRDefault="00000000">
      <w:pPr>
        <w:jc w:val="both"/>
      </w:pPr>
      <w:r>
        <w:t xml:space="preserve">There are various avenues for </w:t>
      </w:r>
      <w:proofErr w:type="gramStart"/>
      <w:r>
        <w:t>investment</w:t>
      </w:r>
      <w:proofErr w:type="gramEnd"/>
      <w:r>
        <w:t xml:space="preserve"> each with its own set of risk and potential return. Some of the most common </w:t>
      </w:r>
      <w:proofErr w:type="gramStart"/>
      <w:r>
        <w:t>type of</w:t>
      </w:r>
      <w:proofErr w:type="gramEnd"/>
      <w:r>
        <w:t xml:space="preserve"> </w:t>
      </w:r>
      <w:proofErr w:type="spellStart"/>
      <w:r>
        <w:t>of</w:t>
      </w:r>
      <w:proofErr w:type="spellEnd"/>
      <w:r>
        <w:t xml:space="preserve"> investment </w:t>
      </w:r>
      <w:proofErr w:type="gramStart"/>
      <w:r>
        <w:t>include:-</w:t>
      </w:r>
      <w:proofErr w:type="gramEnd"/>
    </w:p>
    <w:p w14:paraId="23E8F37E" w14:textId="22081B17" w:rsidR="00D25741" w:rsidRPr="00596D09" w:rsidRDefault="00000000" w:rsidP="00596D09">
      <w:pPr>
        <w:pStyle w:val="Heading3"/>
        <w:keepNext w:val="0"/>
        <w:keepLines w:val="0"/>
        <w:numPr>
          <w:ilvl w:val="0"/>
          <w:numId w:val="57"/>
        </w:numPr>
        <w:spacing w:before="280"/>
        <w:jc w:val="both"/>
        <w:rPr>
          <w:rFonts w:eastAsia="Times New Roman" w:cs="Times New Roman"/>
          <w:color w:val="000000"/>
          <w:sz w:val="24"/>
          <w:szCs w:val="24"/>
        </w:rPr>
      </w:pPr>
      <w:bookmarkStart w:id="1" w:name="_qp64cdz8i771" w:colFirst="0" w:colLast="0"/>
      <w:bookmarkEnd w:id="1"/>
      <w:r w:rsidRPr="00596D09">
        <w:rPr>
          <w:rFonts w:eastAsia="Times New Roman" w:cs="Times New Roman"/>
          <w:color w:val="000000"/>
          <w:sz w:val="24"/>
          <w:szCs w:val="24"/>
        </w:rPr>
        <w:t>Bank Deposits (Fixed &amp; Recurring Deposits)</w:t>
      </w:r>
    </w:p>
    <w:p w14:paraId="3AD1F32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Bank deposits are one of the most traditional and safest avenues of investment preferred by individuals who want capital protection. Fixed Deposits (FDs) and Recurring Deposits (RDs) offer a fixed rate of interest for a specific period, with returns guaranteed by the bank regardless of market fluctuations. Since they involve very low risk, they are suitable for conservative investors or those looking for stable income. Bank deposits also offer easy liquidity, although premature withdrawal may attract a penalty. They are widely used for emergency funds, short-term savings, and low-risk financial planning.</w:t>
      </w:r>
    </w:p>
    <w:p w14:paraId="58204DAA" w14:textId="77E21F9B" w:rsidR="00D25741" w:rsidRPr="00596D09" w:rsidRDefault="00000000" w:rsidP="00596D09">
      <w:pPr>
        <w:pStyle w:val="Heading3"/>
        <w:keepNext w:val="0"/>
        <w:keepLines w:val="0"/>
        <w:numPr>
          <w:ilvl w:val="0"/>
          <w:numId w:val="55"/>
        </w:numPr>
        <w:spacing w:before="280"/>
        <w:jc w:val="both"/>
        <w:rPr>
          <w:rFonts w:eastAsia="Times New Roman" w:cs="Times New Roman"/>
          <w:color w:val="000000"/>
          <w:sz w:val="24"/>
          <w:szCs w:val="24"/>
        </w:rPr>
      </w:pPr>
      <w:bookmarkStart w:id="2" w:name="_6bolh12y18vl" w:colFirst="0" w:colLast="0"/>
      <w:bookmarkStart w:id="3" w:name="_o7rtl7ktyk17" w:colFirst="0" w:colLast="0"/>
      <w:bookmarkEnd w:id="2"/>
      <w:bookmarkEnd w:id="3"/>
      <w:r w:rsidRPr="00596D09">
        <w:rPr>
          <w:rFonts w:eastAsia="Times New Roman" w:cs="Times New Roman"/>
          <w:color w:val="000000"/>
          <w:sz w:val="24"/>
          <w:szCs w:val="24"/>
        </w:rPr>
        <w:t>Public Provident Fund (PPF)</w:t>
      </w:r>
    </w:p>
    <w:p w14:paraId="29884DDD" w14:textId="03BA5F7F" w:rsidR="00D25741" w:rsidRDefault="00000000" w:rsidP="00596D09">
      <w:pPr>
        <w:spacing w:before="240" w:after="240"/>
        <w:jc w:val="both"/>
        <w:rPr>
          <w:rFonts w:eastAsia="Times New Roman" w:cs="Times New Roman"/>
          <w:sz w:val="24"/>
          <w:szCs w:val="24"/>
        </w:rPr>
      </w:pPr>
      <w:r>
        <w:rPr>
          <w:rFonts w:eastAsia="Times New Roman" w:cs="Times New Roman"/>
          <w:sz w:val="24"/>
          <w:szCs w:val="24"/>
        </w:rPr>
        <w:t xml:space="preserve">The Public Provident Fund is a long-term government-backed savings scheme designed to encourage household savings and provide tax benefits. It has a maturity period of 15 years, making it suitable for long-term goals such as retirement or children's education. PPF offers attractive interest rates that are revised quarterly by the government, and both the interest </w:t>
      </w:r>
      <w:proofErr w:type="gramStart"/>
      <w:r>
        <w:rPr>
          <w:rFonts w:eastAsia="Times New Roman" w:cs="Times New Roman"/>
          <w:sz w:val="24"/>
          <w:szCs w:val="24"/>
        </w:rPr>
        <w:t>earned</w:t>
      </w:r>
      <w:proofErr w:type="gramEnd"/>
      <w:r>
        <w:rPr>
          <w:rFonts w:eastAsia="Times New Roman" w:cs="Times New Roman"/>
          <w:sz w:val="24"/>
          <w:szCs w:val="24"/>
        </w:rPr>
        <w:t xml:space="preserve"> and the maturity amount are fully tax-free under Section 80C. The investment is considered extremely safe due to government support. Although it provides high security and tax advantages, the long lock-in period reduces liquidity.</w:t>
      </w:r>
    </w:p>
    <w:p w14:paraId="6D1FD5A0" w14:textId="2E0C078B" w:rsidR="00D25741" w:rsidRPr="00596D09" w:rsidRDefault="00000000" w:rsidP="00596D09">
      <w:pPr>
        <w:pStyle w:val="Heading3"/>
        <w:keepNext w:val="0"/>
        <w:keepLines w:val="0"/>
        <w:numPr>
          <w:ilvl w:val="0"/>
          <w:numId w:val="55"/>
        </w:numPr>
        <w:spacing w:before="280"/>
        <w:jc w:val="both"/>
        <w:rPr>
          <w:rFonts w:eastAsia="Times New Roman" w:cs="Times New Roman"/>
          <w:color w:val="000000"/>
          <w:sz w:val="24"/>
          <w:szCs w:val="24"/>
        </w:rPr>
      </w:pPr>
      <w:bookmarkStart w:id="4" w:name="_mgltohr9ebj2" w:colFirst="0" w:colLast="0"/>
      <w:bookmarkEnd w:id="4"/>
      <w:r w:rsidRPr="00596D09">
        <w:rPr>
          <w:rFonts w:eastAsia="Times New Roman" w:cs="Times New Roman"/>
          <w:color w:val="000000"/>
          <w:sz w:val="24"/>
          <w:szCs w:val="24"/>
        </w:rPr>
        <w:t xml:space="preserve"> Equity Shares (Stock Market)</w:t>
      </w:r>
    </w:p>
    <w:p w14:paraId="08DBB134" w14:textId="1E8A2D33" w:rsidR="00D25741" w:rsidRDefault="00000000" w:rsidP="00596D09">
      <w:pPr>
        <w:spacing w:before="240" w:after="240"/>
        <w:jc w:val="both"/>
        <w:rPr>
          <w:rFonts w:eastAsia="Times New Roman" w:cs="Times New Roman"/>
          <w:sz w:val="24"/>
          <w:szCs w:val="24"/>
        </w:rPr>
      </w:pPr>
      <w:r>
        <w:rPr>
          <w:rFonts w:eastAsia="Times New Roman" w:cs="Times New Roman"/>
          <w:sz w:val="24"/>
          <w:szCs w:val="24"/>
        </w:rPr>
        <w:t>Equity shares represent ownership in a company, allowing investors to participate in the firm’s growth and profitability. Investing in shares can generate high returns through capital appreciation and dividends, making it one of the most rewarding but also riskiest investment avenues. Share prices fluctuate widely due to market conditions, company performance, economic indicators, and global events. Equity investment is highly liquid and suitable for investors with higher risk tolerance and a long-term horizon. While it offers significant growth potential, it requires knowledge, research, and the ability to handle market volatility.</w:t>
      </w:r>
    </w:p>
    <w:p w14:paraId="6F29D6C1" w14:textId="232BDAC8" w:rsidR="00D25741" w:rsidRPr="00596D09" w:rsidRDefault="00000000" w:rsidP="00596D09">
      <w:pPr>
        <w:pStyle w:val="Heading3"/>
        <w:keepNext w:val="0"/>
        <w:keepLines w:val="0"/>
        <w:numPr>
          <w:ilvl w:val="0"/>
          <w:numId w:val="55"/>
        </w:numPr>
        <w:spacing w:before="280"/>
        <w:jc w:val="both"/>
        <w:rPr>
          <w:rFonts w:eastAsia="Times New Roman" w:cs="Times New Roman"/>
          <w:color w:val="000000"/>
          <w:sz w:val="24"/>
          <w:szCs w:val="24"/>
        </w:rPr>
      </w:pPr>
      <w:bookmarkStart w:id="5" w:name="_mpsgdarw1z0k" w:colFirst="0" w:colLast="0"/>
      <w:bookmarkEnd w:id="5"/>
      <w:r w:rsidRPr="00596D09">
        <w:rPr>
          <w:rFonts w:eastAsia="Times New Roman" w:cs="Times New Roman"/>
          <w:color w:val="000000"/>
          <w:sz w:val="24"/>
          <w:szCs w:val="24"/>
        </w:rPr>
        <w:t>Mutual Funds</w:t>
      </w:r>
    </w:p>
    <w:p w14:paraId="3320932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Mutual funds pool money from multiple investors and invest in a diversified portfolio of equity, debt, or hybrid securities. This diversification reduces risk and allows even small investors to access professionally managed investments. Mutual funds offer various categories such as equity funds, debt funds, hybrid funds, index funds, and sector-specific funds, catering to different risk profiles and investment goals. Investors can also invest systematically through SIPs (Systematic Investment Plans), making it easy to build wealth over time. Mutual funds provide better returns than traditional deposits but come with market-related risks that vary based on the chosen scheme.</w:t>
      </w:r>
    </w:p>
    <w:p w14:paraId="03BA7F37" w14:textId="77777777" w:rsidR="00D25741" w:rsidRDefault="00D25741">
      <w:pPr>
        <w:spacing w:before="240" w:after="240"/>
        <w:jc w:val="both"/>
        <w:rPr>
          <w:rFonts w:eastAsia="Times New Roman" w:cs="Times New Roman"/>
          <w:sz w:val="24"/>
          <w:szCs w:val="24"/>
        </w:rPr>
      </w:pPr>
    </w:p>
    <w:p w14:paraId="24AF0300" w14:textId="4E55FDFC" w:rsidR="00D25741" w:rsidRPr="00596D09" w:rsidRDefault="00000000" w:rsidP="00596D09">
      <w:pPr>
        <w:pStyle w:val="Heading3"/>
        <w:keepNext w:val="0"/>
        <w:keepLines w:val="0"/>
        <w:numPr>
          <w:ilvl w:val="0"/>
          <w:numId w:val="55"/>
        </w:numPr>
        <w:spacing w:before="280"/>
        <w:jc w:val="both"/>
        <w:rPr>
          <w:rFonts w:eastAsia="Times New Roman" w:cs="Times New Roman"/>
          <w:color w:val="000000"/>
          <w:sz w:val="24"/>
          <w:szCs w:val="24"/>
        </w:rPr>
      </w:pPr>
      <w:bookmarkStart w:id="6" w:name="_8rzyvhgzf9nl" w:colFirst="0" w:colLast="0"/>
      <w:bookmarkEnd w:id="6"/>
      <w:r w:rsidRPr="00596D09">
        <w:rPr>
          <w:rFonts w:eastAsia="Times New Roman" w:cs="Times New Roman"/>
          <w:color w:val="000000"/>
          <w:sz w:val="24"/>
          <w:szCs w:val="24"/>
        </w:rPr>
        <w:lastRenderedPageBreak/>
        <w:t>Real Estate</w:t>
      </w:r>
    </w:p>
    <w:p w14:paraId="139A9D37" w14:textId="53FD9346" w:rsidR="00D25741" w:rsidRDefault="00000000" w:rsidP="00596D09">
      <w:pPr>
        <w:spacing w:before="240" w:after="240"/>
        <w:jc w:val="both"/>
        <w:rPr>
          <w:rFonts w:eastAsia="Times New Roman" w:cs="Times New Roman"/>
          <w:sz w:val="24"/>
          <w:szCs w:val="24"/>
        </w:rPr>
      </w:pPr>
      <w:r>
        <w:rPr>
          <w:rFonts w:eastAsia="Times New Roman" w:cs="Times New Roman"/>
          <w:sz w:val="24"/>
          <w:szCs w:val="24"/>
        </w:rPr>
        <w:t xml:space="preserve">Real estate is a widely preferred investment avenue in India, involving the purchase of land, residential homes, or commercial properties. It offers the dual benefit of long-term capital appreciation and recurring income through rent. Real estate investments are considered stable over the long term, especially in rapidly developing urban areas. However, acquiring property requires substantial capital, and the investment </w:t>
      </w:r>
      <w:proofErr w:type="gramStart"/>
      <w:r>
        <w:rPr>
          <w:rFonts w:eastAsia="Times New Roman" w:cs="Times New Roman"/>
          <w:sz w:val="24"/>
          <w:szCs w:val="24"/>
        </w:rPr>
        <w:t>has</w:t>
      </w:r>
      <w:proofErr w:type="gramEnd"/>
      <w:r>
        <w:rPr>
          <w:rFonts w:eastAsia="Times New Roman" w:cs="Times New Roman"/>
          <w:sz w:val="24"/>
          <w:szCs w:val="24"/>
        </w:rPr>
        <w:t xml:space="preserve"> low liquidity due to lengthy selling processes. Additionally, factors such as location, infrastructure development, and economic conditions heavily influence returns. Real estate is ideal for investors with long-term goals and sufficient financial capacity.</w:t>
      </w:r>
    </w:p>
    <w:p w14:paraId="2D8E0AA4" w14:textId="60C1273B" w:rsidR="00D25741" w:rsidRPr="00596D09" w:rsidRDefault="00000000" w:rsidP="00596D09">
      <w:pPr>
        <w:pStyle w:val="Heading3"/>
        <w:keepNext w:val="0"/>
        <w:keepLines w:val="0"/>
        <w:numPr>
          <w:ilvl w:val="0"/>
          <w:numId w:val="55"/>
        </w:numPr>
        <w:spacing w:before="280"/>
        <w:jc w:val="both"/>
        <w:rPr>
          <w:rFonts w:eastAsia="Times New Roman" w:cs="Times New Roman"/>
          <w:color w:val="000000"/>
          <w:sz w:val="24"/>
          <w:szCs w:val="24"/>
        </w:rPr>
      </w:pPr>
      <w:bookmarkStart w:id="7" w:name="_wv7nw1upe8o8" w:colFirst="0" w:colLast="0"/>
      <w:bookmarkEnd w:id="7"/>
      <w:r w:rsidRPr="00596D09">
        <w:rPr>
          <w:rFonts w:eastAsia="Times New Roman" w:cs="Times New Roman"/>
          <w:color w:val="000000"/>
          <w:sz w:val="24"/>
          <w:szCs w:val="24"/>
        </w:rPr>
        <w:t>Gold and Precious Metals</w:t>
      </w:r>
    </w:p>
    <w:p w14:paraId="1DEAEC1F" w14:textId="6D0AEE2E" w:rsidR="00D25741" w:rsidRPr="00596D09" w:rsidRDefault="00000000" w:rsidP="00596D09">
      <w:pPr>
        <w:spacing w:before="240" w:after="240"/>
        <w:jc w:val="both"/>
        <w:rPr>
          <w:rFonts w:eastAsia="Times New Roman" w:cs="Times New Roman"/>
          <w:sz w:val="24"/>
          <w:szCs w:val="24"/>
        </w:rPr>
      </w:pPr>
      <w:r>
        <w:rPr>
          <w:rFonts w:eastAsia="Times New Roman" w:cs="Times New Roman"/>
          <w:sz w:val="24"/>
          <w:szCs w:val="24"/>
        </w:rPr>
        <w:t xml:space="preserve">Gold has traditionally been regarded as a safe investment and a hedge against inflation and economic uncertainty. Investors can purchase gold in various forms, including </w:t>
      </w:r>
      <w:proofErr w:type="spellStart"/>
      <w:r>
        <w:rPr>
          <w:rFonts w:eastAsia="Times New Roman" w:cs="Times New Roman"/>
          <w:sz w:val="24"/>
          <w:szCs w:val="24"/>
        </w:rPr>
        <w:t>jewellery</w:t>
      </w:r>
      <w:proofErr w:type="spellEnd"/>
      <w:r>
        <w:rPr>
          <w:rFonts w:eastAsia="Times New Roman" w:cs="Times New Roman"/>
          <w:sz w:val="24"/>
          <w:szCs w:val="24"/>
        </w:rPr>
        <w:t>, gold coins, gold ETFs, and Sovereign Gold Bonds. Gold tends to perform well during market instability, making it a preferred asset for risk-averse investors seeking security. It offers high liquidity because it can be easily bought or sold in the market. Although gold does not generate regular income like interest or dividends, its long-term value appreciation and ability to protect wealth make it a reliable investment avenue.</w:t>
      </w:r>
    </w:p>
    <w:p w14:paraId="587133AF" w14:textId="77777777" w:rsidR="00D25741" w:rsidRDefault="00D25741"/>
    <w:p w14:paraId="22629E7F" w14:textId="77777777" w:rsidR="00D25741" w:rsidRPr="00596D09" w:rsidRDefault="00000000">
      <w:pPr>
        <w:jc w:val="both"/>
        <w:rPr>
          <w:rFonts w:eastAsia="Times New Roman" w:cs="Times New Roman"/>
          <w:b/>
          <w:bCs/>
          <w:sz w:val="24"/>
          <w:szCs w:val="24"/>
        </w:rPr>
      </w:pPr>
      <w:r w:rsidRPr="00596D09">
        <w:rPr>
          <w:rFonts w:eastAsia="Times New Roman" w:cs="Times New Roman"/>
          <w:b/>
          <w:bCs/>
          <w:sz w:val="24"/>
          <w:szCs w:val="24"/>
        </w:rPr>
        <w:t>1.3 MUTUAL FUNDS</w:t>
      </w:r>
    </w:p>
    <w:p w14:paraId="5D3C01C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Mutual funds have become one of the most popular and trusted investment avenues for individuals seeking professional management, diversification, and long-term financial growth. A mutual fund is an investment vehicle that pools money from </w:t>
      </w:r>
      <w:proofErr w:type="gramStart"/>
      <w:r>
        <w:rPr>
          <w:rFonts w:eastAsia="Times New Roman" w:cs="Times New Roman"/>
          <w:sz w:val="24"/>
          <w:szCs w:val="24"/>
        </w:rPr>
        <w:t>a large number of</w:t>
      </w:r>
      <w:proofErr w:type="gramEnd"/>
      <w:r>
        <w:rPr>
          <w:rFonts w:eastAsia="Times New Roman" w:cs="Times New Roman"/>
          <w:sz w:val="24"/>
          <w:szCs w:val="24"/>
        </w:rPr>
        <w:t xml:space="preserve"> investors and invests it in a diversified portfolio of financial securities such as equity shares, bonds, government securities, money market instruments, and other assets. This pooled structure allows even small investors to access professionally managed portfolios that would otherwise require significant capital and expertise. The primary objective of a mutual fund is to generate returns for investors in line with the fund’s stated goal, whether it is capital appreciation, regular income, or balanced growth.</w:t>
      </w:r>
    </w:p>
    <w:p w14:paraId="621D8D4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One of the major advantages of mutual funds is diversification, which helps reduce risk by spreading investments across various sectors, companies, and asset classes. As a result, the poor performance of a single security has a limited impact on the overall portfolio. Mutual funds are managed by experienced fund managers who continuously monitor market trends, </w:t>
      </w:r>
      <w:proofErr w:type="spellStart"/>
      <w:r>
        <w:rPr>
          <w:rFonts w:eastAsia="Times New Roman" w:cs="Times New Roman"/>
          <w:sz w:val="24"/>
          <w:szCs w:val="24"/>
        </w:rPr>
        <w:t>analyse</w:t>
      </w:r>
      <w:proofErr w:type="spellEnd"/>
      <w:r>
        <w:rPr>
          <w:rFonts w:eastAsia="Times New Roman" w:cs="Times New Roman"/>
          <w:sz w:val="24"/>
          <w:szCs w:val="24"/>
        </w:rPr>
        <w:t xml:space="preserve"> financial data, and make informed investment decisions. This professional management ensures that investors benefit from expert knowledge without needing to actively manage their investments.</w:t>
      </w:r>
    </w:p>
    <w:p w14:paraId="22C2CAE5"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Indian mutual fund industry has witnessed rapid growth in recent years due to increasing financial awareness, digital investment platforms, and the convenience of investing through Systematic Investment Plans (SIPs). Regulatory oversight by the Securities and Exchange Board of India (SEBI) also enhances transparency and investor protection. With a wide range of schemes available—such as equity funds, debt funds, hybrid funds, index funds, sectoral funds, and tax-</w:t>
      </w:r>
      <w:r>
        <w:rPr>
          <w:rFonts w:eastAsia="Times New Roman" w:cs="Times New Roman"/>
          <w:sz w:val="24"/>
          <w:szCs w:val="24"/>
        </w:rPr>
        <w:lastRenderedPageBreak/>
        <w:t>saving ELSS funds—mutual funds cater to diverse financial goals, risk profiles, and investment horizons.</w:t>
      </w:r>
    </w:p>
    <w:p w14:paraId="25EE79B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Mutual funds thus play a crucial role in modern financial planning by offering liquidity, flexibility, affordability, and tax benefits. They serve as an ideal option for both beginners and experienced investors who wish to grow their wealth in a structured and disciplined manner. By combining professional expertise with diversified investment strategies, mutual funds have become an essential component of the investment landscape in India.</w:t>
      </w:r>
    </w:p>
    <w:p w14:paraId="48BF9EF2" w14:textId="77777777" w:rsidR="00D25741" w:rsidRPr="00596D09" w:rsidRDefault="00D25741">
      <w:pPr>
        <w:rPr>
          <w:sz w:val="24"/>
          <w:szCs w:val="24"/>
        </w:rPr>
      </w:pPr>
    </w:p>
    <w:p w14:paraId="7A41785C" w14:textId="77777777" w:rsidR="00D25741" w:rsidRPr="00596D09" w:rsidRDefault="00000000">
      <w:pPr>
        <w:jc w:val="both"/>
        <w:rPr>
          <w:rFonts w:eastAsia="Times New Roman" w:cs="Times New Roman"/>
          <w:sz w:val="24"/>
          <w:szCs w:val="24"/>
        </w:rPr>
      </w:pPr>
      <w:r w:rsidRPr="00596D09">
        <w:rPr>
          <w:rFonts w:eastAsia="Times New Roman" w:cs="Times New Roman"/>
          <w:sz w:val="24"/>
          <w:szCs w:val="24"/>
        </w:rPr>
        <w:t>1.3.1 Advantages of mutual funds</w:t>
      </w:r>
    </w:p>
    <w:p w14:paraId="3CB36871" w14:textId="77777777" w:rsidR="00D25741" w:rsidRDefault="00D25741">
      <w:pPr>
        <w:jc w:val="both"/>
        <w:rPr>
          <w:rFonts w:eastAsia="Times New Roman" w:cs="Times New Roman"/>
        </w:rPr>
      </w:pPr>
    </w:p>
    <w:p w14:paraId="49BA9D2E" w14:textId="77777777" w:rsidR="00D25741" w:rsidRDefault="00000000">
      <w:pPr>
        <w:pStyle w:val="Heading3"/>
        <w:keepNext w:val="0"/>
        <w:keepLines w:val="0"/>
        <w:numPr>
          <w:ilvl w:val="0"/>
          <w:numId w:val="48"/>
        </w:numPr>
        <w:spacing w:before="280"/>
        <w:jc w:val="both"/>
        <w:rPr>
          <w:rFonts w:eastAsia="Times New Roman" w:cs="Times New Roman"/>
          <w:color w:val="000000"/>
          <w:sz w:val="24"/>
          <w:szCs w:val="24"/>
        </w:rPr>
      </w:pPr>
      <w:bookmarkStart w:id="8" w:name="_jskdtu6cufsq" w:colFirst="0" w:colLast="0"/>
      <w:bookmarkEnd w:id="8"/>
      <w:r>
        <w:rPr>
          <w:rFonts w:eastAsia="Times New Roman" w:cs="Times New Roman"/>
          <w:color w:val="000000"/>
          <w:sz w:val="24"/>
          <w:szCs w:val="24"/>
        </w:rPr>
        <w:t xml:space="preserve"> Professional Management</w:t>
      </w:r>
    </w:p>
    <w:p w14:paraId="172CB74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Mutual funds are managed by experienced and qualified fund managers who </w:t>
      </w:r>
      <w:proofErr w:type="spellStart"/>
      <w:r>
        <w:rPr>
          <w:rFonts w:eastAsia="Times New Roman" w:cs="Times New Roman"/>
          <w:sz w:val="24"/>
          <w:szCs w:val="24"/>
        </w:rPr>
        <w:t>analyse</w:t>
      </w:r>
      <w:proofErr w:type="spellEnd"/>
      <w:r>
        <w:rPr>
          <w:rFonts w:eastAsia="Times New Roman" w:cs="Times New Roman"/>
          <w:sz w:val="24"/>
          <w:szCs w:val="24"/>
        </w:rPr>
        <w:t xml:space="preserve"> markets, study company performance, and make informed decisions. This expertise benefits investors who may not have the time or knowledge to manage their own investments.</w:t>
      </w:r>
    </w:p>
    <w:p w14:paraId="298079F6" w14:textId="77777777" w:rsidR="00D25741" w:rsidRDefault="00000000">
      <w:pPr>
        <w:pStyle w:val="Heading3"/>
        <w:keepNext w:val="0"/>
        <w:keepLines w:val="0"/>
        <w:numPr>
          <w:ilvl w:val="0"/>
          <w:numId w:val="32"/>
        </w:numPr>
        <w:spacing w:before="280"/>
        <w:jc w:val="both"/>
        <w:rPr>
          <w:rFonts w:eastAsia="Times New Roman" w:cs="Times New Roman"/>
          <w:color w:val="000000"/>
          <w:sz w:val="24"/>
          <w:szCs w:val="24"/>
        </w:rPr>
      </w:pPr>
      <w:bookmarkStart w:id="9" w:name="_ddfjdnrqsoup" w:colFirst="0" w:colLast="0"/>
      <w:bookmarkEnd w:id="9"/>
      <w:r>
        <w:rPr>
          <w:rFonts w:eastAsia="Times New Roman" w:cs="Times New Roman"/>
          <w:color w:val="000000"/>
          <w:sz w:val="24"/>
          <w:szCs w:val="24"/>
        </w:rPr>
        <w:t>Diversification of Risk</w:t>
      </w:r>
    </w:p>
    <w:p w14:paraId="40D3914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One of the biggest advantages of mutual funds is diversification. The fund invests in multiple securities across sectors and asset classes, which reduces the impact of poor performance of any single investment. This helps lower overall portfolio risk.</w:t>
      </w:r>
    </w:p>
    <w:p w14:paraId="0F7A4D5B" w14:textId="77777777" w:rsidR="00D25741" w:rsidRDefault="00000000">
      <w:pPr>
        <w:pStyle w:val="Heading3"/>
        <w:keepNext w:val="0"/>
        <w:keepLines w:val="0"/>
        <w:numPr>
          <w:ilvl w:val="0"/>
          <w:numId w:val="11"/>
        </w:numPr>
        <w:spacing w:before="280"/>
        <w:jc w:val="both"/>
        <w:rPr>
          <w:rFonts w:eastAsia="Times New Roman" w:cs="Times New Roman"/>
          <w:color w:val="000000"/>
          <w:sz w:val="24"/>
          <w:szCs w:val="24"/>
        </w:rPr>
      </w:pPr>
      <w:bookmarkStart w:id="10" w:name="_yteaf9s4ax0v" w:colFirst="0" w:colLast="0"/>
      <w:bookmarkEnd w:id="10"/>
      <w:r>
        <w:rPr>
          <w:rFonts w:eastAsia="Times New Roman" w:cs="Times New Roman"/>
          <w:color w:val="000000"/>
          <w:sz w:val="24"/>
          <w:szCs w:val="24"/>
        </w:rPr>
        <w:t>Liquidity</w:t>
      </w:r>
    </w:p>
    <w:p w14:paraId="61F664BD"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Mutual funds offer high liquidity, meaning investors can easily buy or sell units at any time (except close-ended funds). In open-ended schemes, investors can redeem their investment at the current Net Asset Value (NAV), making it convenient during emergencies.</w:t>
      </w:r>
    </w:p>
    <w:p w14:paraId="448387D8" w14:textId="77777777" w:rsidR="00D25741" w:rsidRDefault="00000000">
      <w:pPr>
        <w:pStyle w:val="Heading3"/>
        <w:keepNext w:val="0"/>
        <w:keepLines w:val="0"/>
        <w:numPr>
          <w:ilvl w:val="0"/>
          <w:numId w:val="39"/>
        </w:numPr>
        <w:spacing w:before="280"/>
        <w:jc w:val="both"/>
        <w:rPr>
          <w:rFonts w:eastAsia="Times New Roman" w:cs="Times New Roman"/>
          <w:color w:val="000000"/>
          <w:sz w:val="24"/>
          <w:szCs w:val="24"/>
        </w:rPr>
      </w:pPr>
      <w:bookmarkStart w:id="11" w:name="_toefwd4q2c12" w:colFirst="0" w:colLast="0"/>
      <w:bookmarkEnd w:id="11"/>
      <w:r>
        <w:rPr>
          <w:rFonts w:eastAsia="Times New Roman" w:cs="Times New Roman"/>
          <w:color w:val="000000"/>
          <w:sz w:val="24"/>
          <w:szCs w:val="24"/>
        </w:rPr>
        <w:t>Affordability and Flexibility</w:t>
      </w:r>
    </w:p>
    <w:p w14:paraId="04FF3380"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Investors can start investing in mutual funds with small amounts through SIPs (Systematic Investment Plans). This makes it accessible even for beginners and young investors. Investors can also choose from lump-sum or monthly investment options depending on their financial capacity.</w:t>
      </w:r>
    </w:p>
    <w:p w14:paraId="4D677AA9" w14:textId="77777777" w:rsidR="00D25741" w:rsidRDefault="00000000">
      <w:pPr>
        <w:pStyle w:val="Heading3"/>
        <w:keepNext w:val="0"/>
        <w:keepLines w:val="0"/>
        <w:numPr>
          <w:ilvl w:val="0"/>
          <w:numId w:val="7"/>
        </w:numPr>
        <w:spacing w:before="280"/>
        <w:jc w:val="both"/>
        <w:rPr>
          <w:rFonts w:eastAsia="Times New Roman" w:cs="Times New Roman"/>
          <w:color w:val="000000"/>
          <w:sz w:val="24"/>
          <w:szCs w:val="24"/>
        </w:rPr>
      </w:pPr>
      <w:bookmarkStart w:id="12" w:name="_82x4ut3g6ct4" w:colFirst="0" w:colLast="0"/>
      <w:bookmarkEnd w:id="12"/>
      <w:r>
        <w:rPr>
          <w:rFonts w:eastAsia="Times New Roman" w:cs="Times New Roman"/>
          <w:color w:val="000000"/>
          <w:sz w:val="24"/>
          <w:szCs w:val="24"/>
        </w:rPr>
        <w:t>Wide Variety of Schemes</w:t>
      </w:r>
    </w:p>
    <w:p w14:paraId="6E145218" w14:textId="1C9E4E9E" w:rsidR="00807CAF" w:rsidRDefault="00000000">
      <w:pPr>
        <w:spacing w:before="240" w:after="240"/>
        <w:jc w:val="both"/>
        <w:rPr>
          <w:rFonts w:eastAsia="Times New Roman" w:cs="Times New Roman"/>
          <w:sz w:val="24"/>
          <w:szCs w:val="24"/>
        </w:rPr>
      </w:pPr>
      <w:r>
        <w:rPr>
          <w:rFonts w:eastAsia="Times New Roman" w:cs="Times New Roman"/>
          <w:sz w:val="24"/>
          <w:szCs w:val="24"/>
        </w:rPr>
        <w:t>Mutual funds offer a large range of schemes such as equity funds, debt funds, hybrid funds, index funds, and sectoral funds. This variety allows investors to select funds based on their risk appetite, investment goals, and time horizon.</w:t>
      </w:r>
    </w:p>
    <w:p w14:paraId="13819758" w14:textId="77777777" w:rsidR="00807CAF" w:rsidRDefault="00807CAF">
      <w:pPr>
        <w:spacing w:before="240" w:after="240"/>
        <w:jc w:val="both"/>
        <w:rPr>
          <w:rFonts w:eastAsia="Times New Roman" w:cs="Times New Roman"/>
          <w:sz w:val="24"/>
          <w:szCs w:val="24"/>
        </w:rPr>
      </w:pPr>
    </w:p>
    <w:p w14:paraId="73AB137A" w14:textId="77777777" w:rsidR="00807CAF" w:rsidRDefault="00807CAF">
      <w:pPr>
        <w:spacing w:before="240" w:after="240"/>
        <w:jc w:val="both"/>
        <w:rPr>
          <w:rFonts w:eastAsia="Times New Roman" w:cs="Times New Roman"/>
          <w:sz w:val="24"/>
          <w:szCs w:val="24"/>
        </w:rPr>
      </w:pPr>
    </w:p>
    <w:p w14:paraId="63E90C0C" w14:textId="77777777" w:rsidR="00807CAF" w:rsidRDefault="00807CAF">
      <w:pPr>
        <w:spacing w:before="240" w:after="240"/>
        <w:jc w:val="both"/>
        <w:rPr>
          <w:rFonts w:eastAsia="Times New Roman" w:cs="Times New Roman"/>
          <w:sz w:val="24"/>
          <w:szCs w:val="24"/>
        </w:rPr>
      </w:pPr>
    </w:p>
    <w:p w14:paraId="5ECBB648" w14:textId="77777777" w:rsidR="00807CAF" w:rsidRDefault="00000000" w:rsidP="00807CAF">
      <w:pPr>
        <w:pStyle w:val="Heading3"/>
        <w:keepNext w:val="0"/>
        <w:keepLines w:val="0"/>
        <w:numPr>
          <w:ilvl w:val="0"/>
          <w:numId w:val="25"/>
        </w:numPr>
        <w:spacing w:before="280"/>
        <w:jc w:val="both"/>
        <w:rPr>
          <w:rFonts w:eastAsia="Times New Roman" w:cs="Times New Roman"/>
          <w:color w:val="000000"/>
          <w:sz w:val="24"/>
          <w:szCs w:val="24"/>
        </w:rPr>
      </w:pPr>
      <w:bookmarkStart w:id="13" w:name="_sfrl6ex3qh65" w:colFirst="0" w:colLast="0"/>
      <w:bookmarkEnd w:id="13"/>
      <w:r>
        <w:rPr>
          <w:rFonts w:eastAsia="Times New Roman" w:cs="Times New Roman"/>
          <w:color w:val="000000"/>
          <w:sz w:val="24"/>
          <w:szCs w:val="24"/>
        </w:rPr>
        <w:lastRenderedPageBreak/>
        <w:t>Transparency and Regulatory Protection</w:t>
      </w:r>
    </w:p>
    <w:p w14:paraId="6B9D8855" w14:textId="4AD4BFB7" w:rsidR="00D25741" w:rsidRPr="00807CAF" w:rsidRDefault="00000000" w:rsidP="00807CAF">
      <w:pPr>
        <w:pStyle w:val="Heading3"/>
        <w:keepNext w:val="0"/>
        <w:keepLines w:val="0"/>
        <w:spacing w:before="280"/>
        <w:jc w:val="both"/>
        <w:rPr>
          <w:rFonts w:eastAsia="Times New Roman" w:cs="Times New Roman"/>
          <w:color w:val="000000"/>
          <w:sz w:val="24"/>
          <w:szCs w:val="24"/>
        </w:rPr>
      </w:pPr>
      <w:r w:rsidRPr="00807CAF">
        <w:rPr>
          <w:rFonts w:eastAsia="Times New Roman" w:cs="Times New Roman"/>
          <w:sz w:val="24"/>
          <w:szCs w:val="24"/>
        </w:rPr>
        <w:t>Mutual funds in India are regulated by SEBI, ensuring fair practices, transparency, and investor protection. Regular disclosures of portfolio holdings, NAVs, fees, and performance make mutual funds a safe and reliable investment avenue.</w:t>
      </w:r>
    </w:p>
    <w:p w14:paraId="158423E3" w14:textId="77777777" w:rsidR="00D25741" w:rsidRDefault="00000000">
      <w:pPr>
        <w:pStyle w:val="Heading3"/>
        <w:keepNext w:val="0"/>
        <w:keepLines w:val="0"/>
        <w:numPr>
          <w:ilvl w:val="0"/>
          <w:numId w:val="9"/>
        </w:numPr>
        <w:spacing w:before="280"/>
        <w:jc w:val="both"/>
        <w:rPr>
          <w:rFonts w:eastAsia="Times New Roman" w:cs="Times New Roman"/>
          <w:color w:val="000000"/>
          <w:sz w:val="24"/>
          <w:szCs w:val="24"/>
        </w:rPr>
      </w:pPr>
      <w:bookmarkStart w:id="14" w:name="_y02t8w3sxnf" w:colFirst="0" w:colLast="0"/>
      <w:bookmarkEnd w:id="14"/>
      <w:r>
        <w:rPr>
          <w:rFonts w:eastAsia="Times New Roman" w:cs="Times New Roman"/>
          <w:color w:val="000000"/>
          <w:sz w:val="24"/>
          <w:szCs w:val="24"/>
        </w:rPr>
        <w:t>Tax Benefits</w:t>
      </w:r>
    </w:p>
    <w:p w14:paraId="09616A7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Certain types of mutual funds, such as ELSS (Equity-Linked Savings Scheme), offer tax benefits under Section 80C of the Income Tax Act. Long-term capital gains in many funds are also taxed at </w:t>
      </w:r>
      <w:proofErr w:type="spellStart"/>
      <w:r>
        <w:rPr>
          <w:rFonts w:eastAsia="Times New Roman" w:cs="Times New Roman"/>
          <w:sz w:val="24"/>
          <w:szCs w:val="24"/>
        </w:rPr>
        <w:t>favourable</w:t>
      </w:r>
      <w:proofErr w:type="spellEnd"/>
      <w:r>
        <w:rPr>
          <w:rFonts w:eastAsia="Times New Roman" w:cs="Times New Roman"/>
          <w:sz w:val="24"/>
          <w:szCs w:val="24"/>
        </w:rPr>
        <w:t xml:space="preserve"> rates compared to other investments.</w:t>
      </w:r>
    </w:p>
    <w:p w14:paraId="793D6CFB" w14:textId="77777777" w:rsidR="00D25741" w:rsidRDefault="00000000">
      <w:pPr>
        <w:pStyle w:val="Heading3"/>
        <w:keepNext w:val="0"/>
        <w:keepLines w:val="0"/>
        <w:numPr>
          <w:ilvl w:val="0"/>
          <w:numId w:val="19"/>
        </w:numPr>
        <w:spacing w:before="280"/>
        <w:jc w:val="both"/>
        <w:rPr>
          <w:rFonts w:eastAsia="Times New Roman" w:cs="Times New Roman"/>
          <w:color w:val="000000"/>
          <w:sz w:val="24"/>
          <w:szCs w:val="24"/>
        </w:rPr>
      </w:pPr>
      <w:bookmarkStart w:id="15" w:name="_nbg5ld2wwlxr" w:colFirst="0" w:colLast="0"/>
      <w:bookmarkEnd w:id="15"/>
      <w:r>
        <w:rPr>
          <w:rFonts w:eastAsia="Times New Roman" w:cs="Times New Roman"/>
          <w:color w:val="000000"/>
          <w:sz w:val="24"/>
          <w:szCs w:val="24"/>
        </w:rPr>
        <w:t>Convenience and Easy Investing</w:t>
      </w:r>
    </w:p>
    <w:p w14:paraId="1A80E238" w14:textId="7E801AB2" w:rsidR="00D25741" w:rsidRDefault="00000000" w:rsidP="00807CAF">
      <w:pPr>
        <w:spacing w:before="240" w:after="240"/>
        <w:jc w:val="both"/>
        <w:rPr>
          <w:rFonts w:eastAsia="Times New Roman" w:cs="Times New Roman"/>
          <w:sz w:val="24"/>
          <w:szCs w:val="24"/>
        </w:rPr>
      </w:pPr>
      <w:r>
        <w:rPr>
          <w:rFonts w:eastAsia="Times New Roman" w:cs="Times New Roman"/>
          <w:sz w:val="24"/>
          <w:szCs w:val="24"/>
        </w:rPr>
        <w:t>Investors can easily invest, monitor, and redeem mutual funds online. Automated features like SIP, SWP (Systematic Withdrawal Plan), and STP (Systematic Transfer Plan) add convenience and flexibility.</w:t>
      </w:r>
    </w:p>
    <w:p w14:paraId="5D733E2E" w14:textId="77777777" w:rsidR="00D25741" w:rsidRDefault="00000000">
      <w:pPr>
        <w:pStyle w:val="Heading3"/>
        <w:keepNext w:val="0"/>
        <w:keepLines w:val="0"/>
        <w:numPr>
          <w:ilvl w:val="0"/>
          <w:numId w:val="18"/>
        </w:numPr>
        <w:spacing w:before="280"/>
        <w:jc w:val="both"/>
        <w:rPr>
          <w:rFonts w:eastAsia="Times New Roman" w:cs="Times New Roman"/>
          <w:color w:val="000000"/>
          <w:sz w:val="24"/>
          <w:szCs w:val="24"/>
        </w:rPr>
      </w:pPr>
      <w:bookmarkStart w:id="16" w:name="_ms5ce9tnhxrs" w:colFirst="0" w:colLast="0"/>
      <w:bookmarkEnd w:id="16"/>
      <w:r>
        <w:rPr>
          <w:rFonts w:eastAsia="Times New Roman" w:cs="Times New Roman"/>
          <w:color w:val="000000"/>
          <w:sz w:val="24"/>
          <w:szCs w:val="24"/>
        </w:rPr>
        <w:t>Cost Efficiency</w:t>
      </w:r>
    </w:p>
    <w:p w14:paraId="292561A0"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Since mutual funds pool money from many investors, operating costs are spread out, resulting in lower expense ratios. This makes it a cost-effective way to invest in diversified portfolios without incurring high transaction costs individually.</w:t>
      </w:r>
    </w:p>
    <w:p w14:paraId="1A1EF4B8" w14:textId="77777777" w:rsidR="00D25741" w:rsidRDefault="00000000">
      <w:pPr>
        <w:pStyle w:val="Heading3"/>
        <w:keepNext w:val="0"/>
        <w:keepLines w:val="0"/>
        <w:numPr>
          <w:ilvl w:val="0"/>
          <w:numId w:val="14"/>
        </w:numPr>
        <w:spacing w:before="280"/>
        <w:jc w:val="both"/>
        <w:rPr>
          <w:rFonts w:eastAsia="Times New Roman" w:cs="Times New Roman"/>
          <w:color w:val="000000"/>
          <w:sz w:val="24"/>
          <w:szCs w:val="24"/>
        </w:rPr>
      </w:pPr>
      <w:bookmarkStart w:id="17" w:name="_ajbdwiykz8l2" w:colFirst="0" w:colLast="0"/>
      <w:bookmarkEnd w:id="17"/>
      <w:r>
        <w:rPr>
          <w:rFonts w:eastAsia="Times New Roman" w:cs="Times New Roman"/>
          <w:color w:val="000000"/>
          <w:sz w:val="24"/>
          <w:szCs w:val="24"/>
        </w:rPr>
        <w:t>Better Returns than Traditional Investments</w:t>
      </w:r>
    </w:p>
    <w:p w14:paraId="309EF629"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Mutual funds, especially equity and hybrid schemes, generally offer higher returns compared to traditional avenues like fixed deposits or savings accounts, making them suitable for long-term wealth creation.</w:t>
      </w:r>
    </w:p>
    <w:p w14:paraId="21F209C8" w14:textId="77777777" w:rsidR="00596D09" w:rsidRDefault="00596D09">
      <w:pPr>
        <w:spacing w:before="240" w:after="240"/>
        <w:jc w:val="both"/>
        <w:rPr>
          <w:rFonts w:eastAsia="Times New Roman" w:cs="Times New Roman"/>
          <w:sz w:val="24"/>
          <w:szCs w:val="24"/>
        </w:rPr>
      </w:pPr>
    </w:p>
    <w:p w14:paraId="523C6BFB" w14:textId="77777777" w:rsidR="00D25741" w:rsidRPr="00596D09" w:rsidRDefault="00000000">
      <w:pPr>
        <w:rPr>
          <w:rFonts w:eastAsia="Times New Roman" w:cs="Times New Roman"/>
          <w:sz w:val="24"/>
          <w:szCs w:val="24"/>
        </w:rPr>
      </w:pPr>
      <w:r w:rsidRPr="00596D09">
        <w:rPr>
          <w:rFonts w:eastAsia="Times New Roman" w:cs="Times New Roman"/>
          <w:sz w:val="24"/>
          <w:szCs w:val="24"/>
        </w:rPr>
        <w:t>1.3.2 DISADVANTAGE OF MUTUAL FUNDS</w:t>
      </w:r>
    </w:p>
    <w:p w14:paraId="73075F3C" w14:textId="77777777" w:rsidR="00D25741" w:rsidRDefault="00D25741">
      <w:pPr>
        <w:rPr>
          <w:rFonts w:eastAsia="Times New Roman" w:cs="Times New Roman"/>
          <w:b/>
          <w:bCs/>
          <w:sz w:val="24"/>
          <w:szCs w:val="24"/>
        </w:rPr>
      </w:pPr>
    </w:p>
    <w:p w14:paraId="7CDD85F1" w14:textId="77777777" w:rsidR="00D25741" w:rsidRDefault="00000000">
      <w:pPr>
        <w:pStyle w:val="Heading3"/>
        <w:keepNext w:val="0"/>
        <w:keepLines w:val="0"/>
        <w:numPr>
          <w:ilvl w:val="0"/>
          <w:numId w:val="34"/>
        </w:numPr>
        <w:spacing w:before="280"/>
        <w:rPr>
          <w:rFonts w:eastAsia="Times New Roman" w:cs="Times New Roman"/>
          <w:color w:val="000000"/>
          <w:sz w:val="24"/>
          <w:szCs w:val="24"/>
        </w:rPr>
      </w:pPr>
      <w:bookmarkStart w:id="18" w:name="_zapxzsz9yu3i" w:colFirst="0" w:colLast="0"/>
      <w:bookmarkEnd w:id="18"/>
      <w:r>
        <w:rPr>
          <w:rFonts w:eastAsia="Times New Roman" w:cs="Times New Roman"/>
          <w:color w:val="000000"/>
          <w:sz w:val="24"/>
          <w:szCs w:val="24"/>
        </w:rPr>
        <w:t xml:space="preserve"> Market Risk</w:t>
      </w:r>
    </w:p>
    <w:p w14:paraId="59686636" w14:textId="77777777" w:rsidR="00D25741" w:rsidRDefault="00000000">
      <w:pPr>
        <w:spacing w:before="240" w:after="240"/>
        <w:rPr>
          <w:rFonts w:eastAsia="Times New Roman" w:cs="Times New Roman"/>
          <w:sz w:val="24"/>
          <w:szCs w:val="24"/>
        </w:rPr>
      </w:pPr>
      <w:r>
        <w:rPr>
          <w:rFonts w:eastAsia="Times New Roman" w:cs="Times New Roman"/>
          <w:sz w:val="24"/>
          <w:szCs w:val="24"/>
        </w:rPr>
        <w:t xml:space="preserve">Mutual funds are directly affected by market fluctuations and economic changes. If the market performs poorly, the </w:t>
      </w:r>
      <w:proofErr w:type="gramStart"/>
      <w:r>
        <w:rPr>
          <w:rFonts w:eastAsia="Times New Roman" w:cs="Times New Roman"/>
          <w:sz w:val="24"/>
          <w:szCs w:val="24"/>
        </w:rPr>
        <w:t>fund value</w:t>
      </w:r>
      <w:proofErr w:type="gramEnd"/>
      <w:r>
        <w:rPr>
          <w:rFonts w:eastAsia="Times New Roman" w:cs="Times New Roman"/>
          <w:sz w:val="24"/>
          <w:szCs w:val="24"/>
        </w:rPr>
        <w:t xml:space="preserve"> may decline, causing losses. Equity funds are especially volatile in uncertain conditions. This makes them unsuitable for risk-averse investors.</w:t>
      </w:r>
    </w:p>
    <w:p w14:paraId="1526029B" w14:textId="77777777" w:rsidR="00D25741" w:rsidRDefault="00000000">
      <w:pPr>
        <w:pStyle w:val="Heading3"/>
        <w:keepNext w:val="0"/>
        <w:keepLines w:val="0"/>
        <w:numPr>
          <w:ilvl w:val="0"/>
          <w:numId w:val="28"/>
        </w:numPr>
        <w:spacing w:before="280"/>
        <w:rPr>
          <w:rFonts w:eastAsia="Times New Roman" w:cs="Times New Roman"/>
          <w:color w:val="000000"/>
          <w:sz w:val="24"/>
          <w:szCs w:val="24"/>
        </w:rPr>
      </w:pPr>
      <w:bookmarkStart w:id="19" w:name="_o1nvsloo4psk" w:colFirst="0" w:colLast="0"/>
      <w:bookmarkEnd w:id="19"/>
      <w:r>
        <w:rPr>
          <w:rFonts w:eastAsia="Times New Roman" w:cs="Times New Roman"/>
          <w:color w:val="000000"/>
          <w:sz w:val="24"/>
          <w:szCs w:val="24"/>
        </w:rPr>
        <w:t>No Guaranteed Returns</w:t>
      </w:r>
    </w:p>
    <w:p w14:paraId="5F01C8ED" w14:textId="138D25EA" w:rsidR="00596D09" w:rsidRDefault="00000000">
      <w:pPr>
        <w:spacing w:before="240" w:after="240"/>
        <w:rPr>
          <w:rFonts w:eastAsia="Times New Roman" w:cs="Times New Roman"/>
          <w:sz w:val="24"/>
          <w:szCs w:val="24"/>
        </w:rPr>
      </w:pPr>
      <w:r>
        <w:rPr>
          <w:rFonts w:eastAsia="Times New Roman" w:cs="Times New Roman"/>
          <w:sz w:val="24"/>
          <w:szCs w:val="24"/>
        </w:rPr>
        <w:t>Unlike fixed deposits or government schemes, mutual funds do not offer assured returns. The performance depends on market conditions and investment strategy. Investors may face losses, especially in the short term. Therefore, returns are unpredictable and not fixed.</w:t>
      </w:r>
    </w:p>
    <w:p w14:paraId="771BE024" w14:textId="77777777" w:rsidR="00D25741" w:rsidRDefault="00000000">
      <w:pPr>
        <w:pStyle w:val="Heading3"/>
        <w:keepNext w:val="0"/>
        <w:keepLines w:val="0"/>
        <w:numPr>
          <w:ilvl w:val="0"/>
          <w:numId w:val="50"/>
        </w:numPr>
        <w:spacing w:before="280"/>
        <w:rPr>
          <w:rFonts w:eastAsia="Times New Roman" w:cs="Times New Roman"/>
          <w:color w:val="000000"/>
          <w:sz w:val="24"/>
          <w:szCs w:val="24"/>
        </w:rPr>
      </w:pPr>
      <w:bookmarkStart w:id="20" w:name="_xx0qqwdh35" w:colFirst="0" w:colLast="0"/>
      <w:bookmarkEnd w:id="20"/>
      <w:r>
        <w:rPr>
          <w:rFonts w:eastAsia="Times New Roman" w:cs="Times New Roman"/>
          <w:color w:val="000000"/>
          <w:sz w:val="24"/>
          <w:szCs w:val="24"/>
        </w:rPr>
        <w:lastRenderedPageBreak/>
        <w:t>High Expense Ratio</w:t>
      </w:r>
    </w:p>
    <w:p w14:paraId="65A825A9" w14:textId="628610A6" w:rsidR="00D25741" w:rsidRPr="00596D09" w:rsidRDefault="00000000" w:rsidP="00596D09">
      <w:pPr>
        <w:spacing w:before="240" w:after="240"/>
        <w:rPr>
          <w:rFonts w:eastAsia="Times New Roman" w:cs="Times New Roman"/>
          <w:sz w:val="24"/>
          <w:szCs w:val="24"/>
        </w:rPr>
      </w:pPr>
      <w:r>
        <w:rPr>
          <w:rFonts w:eastAsia="Times New Roman" w:cs="Times New Roman"/>
          <w:sz w:val="24"/>
          <w:szCs w:val="24"/>
        </w:rPr>
        <w:t xml:space="preserve">Mutual funds charge fees for management and administrative activities, known as the expense ratio. Higher fees reduce the overall returns earned by investors. Some funds also charge exit loads for early withdrawal. These costs make investing slightly </w:t>
      </w:r>
      <w:proofErr w:type="gramStart"/>
      <w:r>
        <w:rPr>
          <w:rFonts w:eastAsia="Times New Roman" w:cs="Times New Roman"/>
          <w:sz w:val="24"/>
          <w:szCs w:val="24"/>
        </w:rPr>
        <w:t>expensive</w:t>
      </w:r>
      <w:proofErr w:type="gramEnd"/>
      <w:r>
        <w:rPr>
          <w:rFonts w:eastAsia="Times New Roman" w:cs="Times New Roman"/>
          <w:sz w:val="24"/>
          <w:szCs w:val="24"/>
        </w:rPr>
        <w:t>.</w:t>
      </w:r>
      <w:bookmarkStart w:id="21" w:name="_94fytkyorroq" w:colFirst="0" w:colLast="0"/>
      <w:bookmarkEnd w:id="21"/>
    </w:p>
    <w:p w14:paraId="7EB9A426" w14:textId="77777777" w:rsidR="00D25741" w:rsidRDefault="00000000">
      <w:pPr>
        <w:pStyle w:val="Heading3"/>
        <w:keepNext w:val="0"/>
        <w:keepLines w:val="0"/>
        <w:numPr>
          <w:ilvl w:val="0"/>
          <w:numId w:val="3"/>
        </w:numPr>
        <w:spacing w:before="280"/>
        <w:rPr>
          <w:rFonts w:eastAsia="Times New Roman" w:cs="Times New Roman"/>
          <w:color w:val="000000"/>
          <w:sz w:val="24"/>
          <w:szCs w:val="24"/>
        </w:rPr>
      </w:pPr>
      <w:bookmarkStart w:id="22" w:name="_3jrf29qskxin" w:colFirst="0" w:colLast="0"/>
      <w:bookmarkEnd w:id="22"/>
      <w:r>
        <w:rPr>
          <w:rFonts w:eastAsia="Times New Roman" w:cs="Times New Roman"/>
          <w:color w:val="000000"/>
          <w:sz w:val="24"/>
          <w:szCs w:val="24"/>
        </w:rPr>
        <w:t>Dependence on Fund Manager</w:t>
      </w:r>
    </w:p>
    <w:p w14:paraId="32DB4B41" w14:textId="77777777" w:rsidR="00D25741" w:rsidRDefault="00000000">
      <w:pPr>
        <w:spacing w:before="240" w:after="240"/>
        <w:rPr>
          <w:rFonts w:eastAsia="Times New Roman" w:cs="Times New Roman"/>
          <w:sz w:val="24"/>
          <w:szCs w:val="24"/>
        </w:rPr>
      </w:pPr>
      <w:r>
        <w:rPr>
          <w:rFonts w:eastAsia="Times New Roman" w:cs="Times New Roman"/>
          <w:sz w:val="24"/>
          <w:szCs w:val="24"/>
        </w:rPr>
        <w:t xml:space="preserve">The performance of a mutual fund largely depends on the skills and decisions of the fund manager. If the manager </w:t>
      </w:r>
      <w:proofErr w:type="gramStart"/>
      <w:r>
        <w:rPr>
          <w:rFonts w:eastAsia="Times New Roman" w:cs="Times New Roman"/>
          <w:sz w:val="24"/>
          <w:szCs w:val="24"/>
        </w:rPr>
        <w:t>takes</w:t>
      </w:r>
      <w:proofErr w:type="gramEnd"/>
      <w:r>
        <w:rPr>
          <w:rFonts w:eastAsia="Times New Roman" w:cs="Times New Roman"/>
          <w:sz w:val="24"/>
          <w:szCs w:val="24"/>
        </w:rPr>
        <w:t xml:space="preserve"> poor decisions, the fund may underperform. This dependency adds an additional </w:t>
      </w:r>
      <w:proofErr w:type="gramStart"/>
      <w:r>
        <w:rPr>
          <w:rFonts w:eastAsia="Times New Roman" w:cs="Times New Roman"/>
          <w:sz w:val="24"/>
          <w:szCs w:val="24"/>
        </w:rPr>
        <w:t>layer of risk</w:t>
      </w:r>
      <w:proofErr w:type="gramEnd"/>
      <w:r>
        <w:rPr>
          <w:rFonts w:eastAsia="Times New Roman" w:cs="Times New Roman"/>
          <w:sz w:val="24"/>
          <w:szCs w:val="24"/>
        </w:rPr>
        <w:t>. Investors have limited control over these decisions.</w:t>
      </w:r>
    </w:p>
    <w:p w14:paraId="21E2C36C" w14:textId="77777777" w:rsidR="00D25741" w:rsidRDefault="00000000">
      <w:pPr>
        <w:pStyle w:val="Heading3"/>
        <w:keepNext w:val="0"/>
        <w:keepLines w:val="0"/>
        <w:numPr>
          <w:ilvl w:val="0"/>
          <w:numId w:val="30"/>
        </w:numPr>
        <w:spacing w:before="280"/>
        <w:rPr>
          <w:rFonts w:eastAsia="Times New Roman" w:cs="Times New Roman"/>
          <w:color w:val="000000"/>
          <w:sz w:val="24"/>
          <w:szCs w:val="24"/>
        </w:rPr>
      </w:pPr>
      <w:bookmarkStart w:id="23" w:name="_m0234u5xlq12" w:colFirst="0" w:colLast="0"/>
      <w:bookmarkEnd w:id="23"/>
      <w:r>
        <w:rPr>
          <w:rFonts w:eastAsia="Times New Roman" w:cs="Times New Roman"/>
          <w:color w:val="000000"/>
          <w:sz w:val="24"/>
          <w:szCs w:val="24"/>
        </w:rPr>
        <w:t>Lack of Direct Control</w:t>
      </w:r>
    </w:p>
    <w:p w14:paraId="136FD2AA" w14:textId="77777777" w:rsidR="00D25741" w:rsidRDefault="00000000">
      <w:pPr>
        <w:spacing w:before="240" w:after="240"/>
        <w:rPr>
          <w:rFonts w:eastAsia="Times New Roman" w:cs="Times New Roman"/>
          <w:sz w:val="24"/>
          <w:szCs w:val="24"/>
        </w:rPr>
      </w:pPr>
      <w:r>
        <w:rPr>
          <w:rFonts w:eastAsia="Times New Roman" w:cs="Times New Roman"/>
          <w:sz w:val="24"/>
          <w:szCs w:val="24"/>
        </w:rPr>
        <w:t>Investors cannot choose individual securities within the fund’s portfolio. All investment decisions are taken by fund managers as per the scheme’s mandate. If investors disagree with the choices, they cannot modify them. This limits personal investment preferences.</w:t>
      </w:r>
    </w:p>
    <w:p w14:paraId="43F181B9" w14:textId="77777777" w:rsidR="00D25741" w:rsidRDefault="00000000">
      <w:pPr>
        <w:pStyle w:val="Heading3"/>
        <w:keepNext w:val="0"/>
        <w:keepLines w:val="0"/>
        <w:numPr>
          <w:ilvl w:val="0"/>
          <w:numId w:val="17"/>
        </w:numPr>
        <w:spacing w:before="280"/>
        <w:rPr>
          <w:rFonts w:eastAsia="Times New Roman" w:cs="Times New Roman"/>
          <w:color w:val="000000"/>
          <w:sz w:val="24"/>
          <w:szCs w:val="24"/>
        </w:rPr>
      </w:pPr>
      <w:bookmarkStart w:id="24" w:name="_dyi5l44p7w8x" w:colFirst="0" w:colLast="0"/>
      <w:bookmarkEnd w:id="24"/>
      <w:r>
        <w:rPr>
          <w:rFonts w:eastAsia="Times New Roman" w:cs="Times New Roman"/>
          <w:color w:val="000000"/>
          <w:sz w:val="24"/>
          <w:szCs w:val="24"/>
        </w:rPr>
        <w:t>NAV Volatility</w:t>
      </w:r>
    </w:p>
    <w:p w14:paraId="230A785D" w14:textId="77777777" w:rsidR="00D25741" w:rsidRDefault="00000000">
      <w:pPr>
        <w:spacing w:before="240" w:after="240"/>
        <w:rPr>
          <w:rFonts w:eastAsia="Times New Roman" w:cs="Times New Roman"/>
          <w:sz w:val="24"/>
          <w:szCs w:val="24"/>
        </w:rPr>
      </w:pPr>
      <w:r>
        <w:rPr>
          <w:rFonts w:eastAsia="Times New Roman" w:cs="Times New Roman"/>
          <w:sz w:val="24"/>
          <w:szCs w:val="24"/>
        </w:rPr>
        <w:t>The Net Asset Value (NAV) of a mutual fund changes daily based on market performance. This fluctuation may cause anxiety among investors who prefer stable returns. Short-term volatility can lead to temporary losses. It may also discourage new investors.</w:t>
      </w:r>
    </w:p>
    <w:p w14:paraId="63B85FAD" w14:textId="77777777" w:rsidR="00D25741" w:rsidRDefault="00000000">
      <w:pPr>
        <w:pStyle w:val="Heading3"/>
        <w:keepNext w:val="0"/>
        <w:keepLines w:val="0"/>
        <w:numPr>
          <w:ilvl w:val="0"/>
          <w:numId w:val="37"/>
        </w:numPr>
        <w:spacing w:before="280"/>
        <w:rPr>
          <w:rFonts w:eastAsia="Times New Roman" w:cs="Times New Roman"/>
          <w:color w:val="000000"/>
          <w:sz w:val="24"/>
          <w:szCs w:val="24"/>
        </w:rPr>
      </w:pPr>
      <w:bookmarkStart w:id="25" w:name="_g6x0dlhhjw3p" w:colFirst="0" w:colLast="0"/>
      <w:bookmarkEnd w:id="25"/>
      <w:r>
        <w:rPr>
          <w:rFonts w:eastAsia="Times New Roman" w:cs="Times New Roman"/>
          <w:color w:val="000000"/>
          <w:sz w:val="24"/>
          <w:szCs w:val="24"/>
        </w:rPr>
        <w:t>Tax Implications</w:t>
      </w:r>
    </w:p>
    <w:p w14:paraId="333B4C29" w14:textId="77777777" w:rsidR="00D25741" w:rsidRDefault="00000000">
      <w:pPr>
        <w:spacing w:before="240" w:after="240"/>
        <w:rPr>
          <w:rFonts w:eastAsia="Times New Roman" w:cs="Times New Roman"/>
          <w:sz w:val="24"/>
          <w:szCs w:val="24"/>
        </w:rPr>
      </w:pPr>
      <w:r>
        <w:rPr>
          <w:rFonts w:eastAsia="Times New Roman" w:cs="Times New Roman"/>
          <w:sz w:val="24"/>
          <w:szCs w:val="24"/>
        </w:rPr>
        <w:t>Capital gains from mutual fund redemptions are subject to taxation. Different tax rules apply for equity and debt funds, making it complex for beginners. Frequent buying and selling may increase tax liability. This reduces the net return earned by investors.</w:t>
      </w:r>
    </w:p>
    <w:p w14:paraId="04E59258" w14:textId="77777777" w:rsidR="00D25741" w:rsidRDefault="00000000">
      <w:pPr>
        <w:pStyle w:val="Heading3"/>
        <w:keepNext w:val="0"/>
        <w:keepLines w:val="0"/>
        <w:numPr>
          <w:ilvl w:val="0"/>
          <w:numId w:val="49"/>
        </w:numPr>
        <w:spacing w:before="280"/>
        <w:rPr>
          <w:rFonts w:eastAsia="Times New Roman" w:cs="Times New Roman"/>
          <w:color w:val="000000"/>
          <w:sz w:val="24"/>
          <w:szCs w:val="24"/>
        </w:rPr>
      </w:pPr>
      <w:bookmarkStart w:id="26" w:name="_4f4qvhyg6vaw" w:colFirst="0" w:colLast="0"/>
      <w:bookmarkEnd w:id="26"/>
      <w:r>
        <w:rPr>
          <w:rFonts w:eastAsia="Times New Roman" w:cs="Times New Roman"/>
          <w:color w:val="000000"/>
          <w:sz w:val="24"/>
          <w:szCs w:val="24"/>
        </w:rPr>
        <w:t>Long-Term Commitment Required</w:t>
      </w:r>
    </w:p>
    <w:p w14:paraId="10CD82BB" w14:textId="4C39A75E" w:rsidR="00D25741" w:rsidRDefault="00000000">
      <w:pPr>
        <w:spacing w:before="240" w:after="240"/>
        <w:rPr>
          <w:rFonts w:eastAsia="Times New Roman" w:cs="Times New Roman"/>
          <w:sz w:val="24"/>
          <w:szCs w:val="24"/>
        </w:rPr>
      </w:pPr>
      <w:r>
        <w:rPr>
          <w:rFonts w:eastAsia="Times New Roman" w:cs="Times New Roman"/>
          <w:sz w:val="24"/>
          <w:szCs w:val="24"/>
        </w:rPr>
        <w:t xml:space="preserve">Mutual funds generally perform well over long investment periods. Investors expecting quick returns may be disappointed. Exiting early may result in losses during market </w:t>
      </w:r>
      <w:proofErr w:type="gramStart"/>
      <w:r>
        <w:rPr>
          <w:rFonts w:eastAsia="Times New Roman" w:cs="Times New Roman"/>
          <w:sz w:val="24"/>
          <w:szCs w:val="24"/>
        </w:rPr>
        <w:t>downturns</w:t>
      </w:r>
      <w:proofErr w:type="gramEnd"/>
      <w:r>
        <w:rPr>
          <w:rFonts w:eastAsia="Times New Roman" w:cs="Times New Roman"/>
          <w:sz w:val="24"/>
          <w:szCs w:val="24"/>
        </w:rPr>
        <w:t>. Patience and discipline are required to benefit fully.</w:t>
      </w:r>
    </w:p>
    <w:p w14:paraId="371D0AA3" w14:textId="77777777" w:rsidR="00D25741" w:rsidRPr="00596D09" w:rsidRDefault="00000000">
      <w:pPr>
        <w:spacing w:before="240" w:after="240"/>
        <w:rPr>
          <w:rFonts w:eastAsia="Times New Roman" w:cs="Times New Roman"/>
          <w:b/>
          <w:bCs/>
          <w:sz w:val="24"/>
          <w:szCs w:val="24"/>
        </w:rPr>
      </w:pPr>
      <w:r w:rsidRPr="00596D09">
        <w:rPr>
          <w:rFonts w:eastAsia="Times New Roman" w:cs="Times New Roman"/>
          <w:b/>
          <w:bCs/>
          <w:sz w:val="24"/>
          <w:szCs w:val="24"/>
        </w:rPr>
        <w:t>1.4 STANDARD RISK FACTOR:</w:t>
      </w:r>
    </w:p>
    <w:p w14:paraId="702DECB9"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Standard risk factors play a crucial role in evaluating the performance of mutual funds, as they help investors understand the level of uncertainty and volatility associated with returns. Risk and return are closely linked in financial markets, and therefore </w:t>
      </w:r>
      <w:proofErr w:type="spellStart"/>
      <w:r>
        <w:rPr>
          <w:rFonts w:eastAsia="Times New Roman" w:cs="Times New Roman"/>
          <w:sz w:val="24"/>
          <w:szCs w:val="24"/>
        </w:rPr>
        <w:t>analysing</w:t>
      </w:r>
      <w:proofErr w:type="spellEnd"/>
      <w:r>
        <w:rPr>
          <w:rFonts w:eastAsia="Times New Roman" w:cs="Times New Roman"/>
          <w:sz w:val="24"/>
          <w:szCs w:val="24"/>
        </w:rPr>
        <w:t xml:space="preserve"> risk factors provides a clearer picture of whether a fund’s </w:t>
      </w:r>
      <w:proofErr w:type="gramStart"/>
      <w:r>
        <w:rPr>
          <w:rFonts w:eastAsia="Times New Roman" w:cs="Times New Roman"/>
          <w:sz w:val="24"/>
          <w:szCs w:val="24"/>
        </w:rPr>
        <w:t>returns justify</w:t>
      </w:r>
      <w:proofErr w:type="gramEnd"/>
      <w:r>
        <w:rPr>
          <w:rFonts w:eastAsia="Times New Roman" w:cs="Times New Roman"/>
          <w:sz w:val="24"/>
          <w:szCs w:val="24"/>
        </w:rPr>
        <w:t xml:space="preserve"> the risk undertaken. One of the </w:t>
      </w:r>
      <w:proofErr w:type="gramStart"/>
      <w:r>
        <w:rPr>
          <w:rFonts w:eastAsia="Times New Roman" w:cs="Times New Roman"/>
          <w:sz w:val="24"/>
          <w:szCs w:val="24"/>
        </w:rPr>
        <w:t>most commonly used</w:t>
      </w:r>
      <w:proofErr w:type="gramEnd"/>
      <w:r>
        <w:rPr>
          <w:rFonts w:eastAsia="Times New Roman" w:cs="Times New Roman"/>
          <w:sz w:val="24"/>
          <w:szCs w:val="24"/>
        </w:rPr>
        <w:t xml:space="preserve"> measures is Standard Deviation, which reflects the degree of variation in a fund’s returns over time. A higher standard deviation indicates greater volatility and therefore higher risk. Another important metric is Beta, which measures the sensitivity of a mutual fund to market movements. A beta greater than one suggests that the fund is more volatile than the market, while a beta less than one indicates lower volatility.</w:t>
      </w:r>
    </w:p>
    <w:p w14:paraId="2CDF696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lastRenderedPageBreak/>
        <w:t xml:space="preserve">In addition, Sharpe Ratio is used to assess risk-adjusted returns by comparing excess returns to total risk taken. A higher Sharpe Ratio indicates efficient performance relative to risk. The Treynor Ratio also evaluates risk-adjusted returns but uses systematic risk (beta) instead of total risk, making it useful for comparing funds exposed to market-based risk. Jensen’s Alpha measures the fund manager’s ability to generate returns above expected market returns; a positive alpha signifies superior performance. Together, these standard risk factors offer a comprehensive framework for </w:t>
      </w:r>
      <w:proofErr w:type="spellStart"/>
      <w:r>
        <w:rPr>
          <w:rFonts w:eastAsia="Times New Roman" w:cs="Times New Roman"/>
          <w:sz w:val="24"/>
          <w:szCs w:val="24"/>
        </w:rPr>
        <w:t>analysing</w:t>
      </w:r>
      <w:proofErr w:type="spellEnd"/>
      <w:r>
        <w:rPr>
          <w:rFonts w:eastAsia="Times New Roman" w:cs="Times New Roman"/>
          <w:sz w:val="24"/>
          <w:szCs w:val="24"/>
        </w:rPr>
        <w:t xml:space="preserve"> mutual funds, enabling investors to make informed decisions based on both risk and return characteristics.</w:t>
      </w:r>
    </w:p>
    <w:p w14:paraId="11DC2396" w14:textId="77777777" w:rsidR="00D25741" w:rsidRDefault="00D25741">
      <w:pPr>
        <w:spacing w:before="240" w:after="240"/>
        <w:rPr>
          <w:rFonts w:eastAsia="Times New Roman" w:cs="Times New Roman"/>
          <w:sz w:val="24"/>
          <w:szCs w:val="24"/>
        </w:rPr>
      </w:pPr>
    </w:p>
    <w:p w14:paraId="454DF2AE" w14:textId="77777777" w:rsidR="00D25741" w:rsidRDefault="00000000">
      <w:pPr>
        <w:rPr>
          <w:rFonts w:eastAsia="Times New Roman" w:cs="Times New Roman"/>
          <w:b/>
          <w:bCs/>
          <w:sz w:val="24"/>
          <w:szCs w:val="24"/>
        </w:rPr>
      </w:pPr>
      <w:r>
        <w:rPr>
          <w:rFonts w:eastAsia="Times New Roman" w:cs="Times New Roman"/>
          <w:b/>
          <w:bCs/>
          <w:sz w:val="24"/>
          <w:szCs w:val="24"/>
        </w:rPr>
        <w:t>1.5 CLASSIFICATION OF MUTUAL FUNDS</w:t>
      </w:r>
    </w:p>
    <w:p w14:paraId="43661D96"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Mutual funds can be classified into different types based on various criteria. The three most common and practical classifications are:</w:t>
      </w:r>
    </w:p>
    <w:p w14:paraId="3F89C98D" w14:textId="77777777" w:rsidR="00D25741" w:rsidRDefault="00000000">
      <w:pPr>
        <w:numPr>
          <w:ilvl w:val="0"/>
          <w:numId w:val="1"/>
        </w:numPr>
        <w:spacing w:before="240"/>
        <w:jc w:val="both"/>
        <w:rPr>
          <w:rFonts w:eastAsia="Times New Roman" w:cs="Times New Roman"/>
          <w:sz w:val="24"/>
          <w:szCs w:val="24"/>
        </w:rPr>
      </w:pPr>
      <w:r>
        <w:rPr>
          <w:rFonts w:eastAsia="Times New Roman" w:cs="Times New Roman"/>
          <w:sz w:val="24"/>
          <w:szCs w:val="24"/>
        </w:rPr>
        <w:t>Based on Structure</w:t>
      </w:r>
    </w:p>
    <w:p w14:paraId="2405F9B2" w14:textId="77777777" w:rsidR="00D25741" w:rsidRDefault="00000000">
      <w:pPr>
        <w:numPr>
          <w:ilvl w:val="0"/>
          <w:numId w:val="1"/>
        </w:numPr>
        <w:jc w:val="both"/>
        <w:rPr>
          <w:rFonts w:eastAsia="Times New Roman" w:cs="Times New Roman"/>
          <w:sz w:val="24"/>
          <w:szCs w:val="24"/>
        </w:rPr>
      </w:pPr>
      <w:r>
        <w:rPr>
          <w:rFonts w:eastAsia="Times New Roman" w:cs="Times New Roman"/>
          <w:sz w:val="24"/>
          <w:szCs w:val="24"/>
        </w:rPr>
        <w:t>Based on Asset Class</w:t>
      </w:r>
    </w:p>
    <w:p w14:paraId="1448E27B" w14:textId="0BC2E460" w:rsidR="00D25741" w:rsidRDefault="00000000" w:rsidP="000A10EE">
      <w:pPr>
        <w:numPr>
          <w:ilvl w:val="0"/>
          <w:numId w:val="1"/>
        </w:numPr>
        <w:spacing w:after="240"/>
        <w:rPr>
          <w:rFonts w:eastAsia="Times New Roman" w:cs="Times New Roman"/>
          <w:sz w:val="24"/>
          <w:szCs w:val="24"/>
        </w:rPr>
      </w:pPr>
      <w:r>
        <w:rPr>
          <w:rFonts w:eastAsia="Times New Roman" w:cs="Times New Roman"/>
          <w:sz w:val="24"/>
          <w:szCs w:val="24"/>
        </w:rPr>
        <w:t>Based</w:t>
      </w:r>
      <w:r w:rsidR="000A10EE">
        <w:rPr>
          <w:rFonts w:eastAsia="Times New Roman" w:cs="Times New Roman"/>
          <w:sz w:val="24"/>
          <w:szCs w:val="24"/>
        </w:rPr>
        <w:t xml:space="preserve"> </w:t>
      </w:r>
      <w:r>
        <w:rPr>
          <w:rFonts w:eastAsia="Times New Roman" w:cs="Times New Roman"/>
          <w:sz w:val="24"/>
          <w:szCs w:val="24"/>
        </w:rPr>
        <w:t>on Investment Objective</w:t>
      </w:r>
      <w:r>
        <w:rPr>
          <w:rFonts w:eastAsia="Times New Roman" w:cs="Times New Roman"/>
          <w:sz w:val="24"/>
          <w:szCs w:val="24"/>
        </w:rPr>
        <w:br/>
      </w:r>
    </w:p>
    <w:p w14:paraId="4B2540B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This classification helps investors choose suitable schemes according to their liquidity needs, risk appetite, and financial goals.</w:t>
      </w:r>
    </w:p>
    <w:p w14:paraId="6F311AAD" w14:textId="59766D53" w:rsidR="00D25741" w:rsidRDefault="00000000" w:rsidP="00596D09">
      <w:pPr>
        <w:pStyle w:val="Heading2"/>
        <w:keepNext w:val="0"/>
        <w:keepLines w:val="0"/>
        <w:numPr>
          <w:ilvl w:val="0"/>
          <w:numId w:val="58"/>
        </w:numPr>
        <w:spacing w:after="80"/>
        <w:jc w:val="both"/>
        <w:rPr>
          <w:rFonts w:eastAsia="Times New Roman" w:cs="Times New Roman"/>
          <w:b/>
          <w:bCs/>
          <w:sz w:val="24"/>
          <w:szCs w:val="24"/>
        </w:rPr>
      </w:pPr>
      <w:bookmarkStart w:id="27" w:name="_igm24hsfjz5a" w:colFirst="0" w:colLast="0"/>
      <w:bookmarkEnd w:id="27"/>
      <w:r>
        <w:rPr>
          <w:rFonts w:eastAsia="Times New Roman" w:cs="Times New Roman"/>
          <w:b/>
          <w:bCs/>
          <w:sz w:val="24"/>
          <w:szCs w:val="24"/>
        </w:rPr>
        <w:t>Based on Structure</w:t>
      </w:r>
    </w:p>
    <w:p w14:paraId="49D94965" w14:textId="77777777" w:rsidR="00D25741" w:rsidRDefault="00000000">
      <w:pPr>
        <w:pStyle w:val="Heading3"/>
        <w:keepNext w:val="0"/>
        <w:keepLines w:val="0"/>
        <w:spacing w:before="280"/>
        <w:jc w:val="both"/>
        <w:rPr>
          <w:rFonts w:eastAsia="Times New Roman" w:cs="Times New Roman"/>
          <w:color w:val="000000"/>
          <w:sz w:val="26"/>
          <w:szCs w:val="26"/>
        </w:rPr>
      </w:pPr>
      <w:bookmarkStart w:id="28" w:name="_12dq3d2ws9z9" w:colFirst="0" w:colLast="0"/>
      <w:bookmarkEnd w:id="28"/>
      <w:r>
        <w:rPr>
          <w:rFonts w:eastAsia="Times New Roman" w:cs="Times New Roman"/>
          <w:color w:val="000000"/>
          <w:sz w:val="26"/>
          <w:szCs w:val="26"/>
        </w:rPr>
        <w:t>a) Open-Ended Mutual Funds</w:t>
      </w:r>
    </w:p>
    <w:p w14:paraId="2FE18CE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Open-ended funds are the most flexible type of mutual funds. In this structure, investors can buy and sell units at any time directly from the fund at the prevailing Net Asset Value (NAV). There is no fixed maturity period, and the fund remains open for continuous subscription and redemption. These funds provide high liquidity, making them ideal for investors who may need to withdraw their money at short notice. The price of the units is linked to the market value of the securities held in the portfolio. Since investors can enter and exit at will, the fund manager must maintain sufficient liquidity in the portfolio. Open-ended funds are popular among retail investors due to convenience, flexibility, and ease of transaction through online platforms and SIPs.</w:t>
      </w:r>
    </w:p>
    <w:p w14:paraId="30CB880A" w14:textId="77777777" w:rsidR="00D25741" w:rsidRDefault="00000000">
      <w:pPr>
        <w:pStyle w:val="Heading3"/>
        <w:keepNext w:val="0"/>
        <w:keepLines w:val="0"/>
        <w:spacing w:before="280"/>
        <w:jc w:val="both"/>
        <w:rPr>
          <w:rFonts w:eastAsia="Times New Roman" w:cs="Times New Roman"/>
          <w:color w:val="000000"/>
          <w:sz w:val="26"/>
          <w:szCs w:val="26"/>
        </w:rPr>
      </w:pPr>
      <w:bookmarkStart w:id="29" w:name="_jvn7grgb1e45" w:colFirst="0" w:colLast="0"/>
      <w:bookmarkEnd w:id="29"/>
      <w:r>
        <w:rPr>
          <w:rFonts w:eastAsia="Times New Roman" w:cs="Times New Roman"/>
          <w:color w:val="000000"/>
          <w:sz w:val="26"/>
          <w:szCs w:val="26"/>
        </w:rPr>
        <w:t>b) Close-Ended Mutual Funds</w:t>
      </w:r>
    </w:p>
    <w:p w14:paraId="0B2EA228"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Close-ended funds have a fixed maturity period, such as 3, 5, or 7 years. Investors can subscribe to these funds only during the New Fund Offer (NFO) period. After that, no fresh units are issued, and investors cannot directly redeem units with the fund house until maturity. However, units are listed on the stock exchange, and investors who wish to exit earlier can sell their units in the secondary market, subject to demand and supply. Because there are limited redemption pressures, fund managers in close-ended funds can plan long-term strategies more efficiently. They are free from frequent inflows and outflows, which sometimes affect performance in open-ended funds. However, liquidity may be lower compared to open-ended schemes, as trading volumes in the </w:t>
      </w:r>
      <w:r>
        <w:rPr>
          <w:rFonts w:eastAsia="Times New Roman" w:cs="Times New Roman"/>
          <w:sz w:val="24"/>
          <w:szCs w:val="24"/>
        </w:rPr>
        <w:lastRenderedPageBreak/>
        <w:t xml:space="preserve">secondary market can be limited. Close-ended funds are suitable for investors who can </w:t>
      </w:r>
      <w:proofErr w:type="gramStart"/>
      <w:r>
        <w:rPr>
          <w:rFonts w:eastAsia="Times New Roman" w:cs="Times New Roman"/>
          <w:sz w:val="24"/>
          <w:szCs w:val="24"/>
        </w:rPr>
        <w:t>lock-in</w:t>
      </w:r>
      <w:proofErr w:type="gramEnd"/>
      <w:r>
        <w:rPr>
          <w:rFonts w:eastAsia="Times New Roman" w:cs="Times New Roman"/>
          <w:sz w:val="24"/>
          <w:szCs w:val="24"/>
        </w:rPr>
        <w:t xml:space="preserve"> their money for a fixed period and are comfortable with moderate liquidity.</w:t>
      </w:r>
    </w:p>
    <w:p w14:paraId="49AEE395" w14:textId="77777777" w:rsidR="00D25741" w:rsidRDefault="00000000">
      <w:pPr>
        <w:pStyle w:val="Heading3"/>
        <w:keepNext w:val="0"/>
        <w:keepLines w:val="0"/>
        <w:spacing w:before="280"/>
        <w:jc w:val="both"/>
        <w:rPr>
          <w:rFonts w:eastAsia="Times New Roman" w:cs="Times New Roman"/>
          <w:color w:val="000000"/>
          <w:sz w:val="26"/>
          <w:szCs w:val="26"/>
        </w:rPr>
      </w:pPr>
      <w:bookmarkStart w:id="30" w:name="_rqo17unn83lu" w:colFirst="0" w:colLast="0"/>
      <w:bookmarkEnd w:id="30"/>
      <w:r>
        <w:rPr>
          <w:rFonts w:eastAsia="Times New Roman" w:cs="Times New Roman"/>
          <w:color w:val="000000"/>
          <w:sz w:val="26"/>
          <w:szCs w:val="26"/>
        </w:rPr>
        <w:t>c) Interval Funds</w:t>
      </w:r>
    </w:p>
    <w:p w14:paraId="0258493F" w14:textId="755222E2" w:rsidR="00D25741" w:rsidRDefault="00000000" w:rsidP="00807CAF">
      <w:pPr>
        <w:spacing w:before="240" w:after="240"/>
        <w:jc w:val="both"/>
        <w:rPr>
          <w:rFonts w:eastAsia="Times New Roman" w:cs="Times New Roman"/>
          <w:sz w:val="24"/>
          <w:szCs w:val="24"/>
        </w:rPr>
      </w:pPr>
      <w:r>
        <w:rPr>
          <w:rFonts w:eastAsia="Times New Roman" w:cs="Times New Roman"/>
          <w:sz w:val="24"/>
          <w:szCs w:val="24"/>
        </w:rPr>
        <w:t xml:space="preserve">Interval funds are a hybrid structure that combines features of both open-ended and close-ended funds. These schemes are open for purchase or redemption only during specific intervals, which are pre-decided and disclosed in the offer document—for example, every three months or six months. Outside these intervals, units cannot be freely bought or redeemed. This structure provides fund managers with greater stability of funds, as investors cannot </w:t>
      </w:r>
      <w:proofErr w:type="gramStart"/>
      <w:r>
        <w:rPr>
          <w:rFonts w:eastAsia="Times New Roman" w:cs="Times New Roman"/>
          <w:sz w:val="24"/>
          <w:szCs w:val="24"/>
        </w:rPr>
        <w:t>withdraw money at all times</w:t>
      </w:r>
      <w:proofErr w:type="gramEnd"/>
      <w:r>
        <w:rPr>
          <w:rFonts w:eastAsia="Times New Roman" w:cs="Times New Roman"/>
          <w:sz w:val="24"/>
          <w:szCs w:val="24"/>
        </w:rPr>
        <w:t xml:space="preserve">. At the same time, investors are given periodic exit opportunities, making it more flexible than a purely close-ended scheme. Interval funds are generally suitable for investors with a medium-term investment horizon, who do not require daily liquidity but still prefer </w:t>
      </w:r>
      <w:proofErr w:type="gramStart"/>
      <w:r>
        <w:rPr>
          <w:rFonts w:eastAsia="Times New Roman" w:cs="Times New Roman"/>
          <w:sz w:val="24"/>
          <w:szCs w:val="24"/>
        </w:rPr>
        <w:t>some periodic</w:t>
      </w:r>
      <w:proofErr w:type="gramEnd"/>
      <w:r>
        <w:rPr>
          <w:rFonts w:eastAsia="Times New Roman" w:cs="Times New Roman"/>
          <w:sz w:val="24"/>
          <w:szCs w:val="24"/>
        </w:rPr>
        <w:t xml:space="preserve"> access to their money.</w:t>
      </w:r>
    </w:p>
    <w:p w14:paraId="0FFEAF23" w14:textId="520D27C5" w:rsidR="00D25741" w:rsidRDefault="00000000" w:rsidP="00596D09">
      <w:pPr>
        <w:pStyle w:val="Heading2"/>
        <w:keepNext w:val="0"/>
        <w:keepLines w:val="0"/>
        <w:numPr>
          <w:ilvl w:val="0"/>
          <w:numId w:val="58"/>
        </w:numPr>
        <w:spacing w:after="80"/>
        <w:jc w:val="both"/>
        <w:rPr>
          <w:rFonts w:eastAsia="Times New Roman" w:cs="Times New Roman"/>
          <w:b/>
          <w:bCs/>
          <w:sz w:val="24"/>
          <w:szCs w:val="24"/>
        </w:rPr>
      </w:pPr>
      <w:bookmarkStart w:id="31" w:name="_lx099joxhwwj" w:colFirst="0" w:colLast="0"/>
      <w:bookmarkEnd w:id="31"/>
      <w:r>
        <w:rPr>
          <w:rFonts w:eastAsia="Times New Roman" w:cs="Times New Roman"/>
          <w:b/>
          <w:bCs/>
          <w:sz w:val="24"/>
          <w:szCs w:val="24"/>
        </w:rPr>
        <w:t>Based on Asset Class</w:t>
      </w:r>
    </w:p>
    <w:p w14:paraId="38917C81" w14:textId="77777777" w:rsidR="00D25741" w:rsidRDefault="00000000">
      <w:pPr>
        <w:pStyle w:val="Heading3"/>
        <w:keepNext w:val="0"/>
        <w:keepLines w:val="0"/>
        <w:spacing w:before="280"/>
        <w:jc w:val="both"/>
        <w:rPr>
          <w:rFonts w:eastAsia="Times New Roman" w:cs="Times New Roman"/>
          <w:color w:val="000000"/>
          <w:sz w:val="26"/>
          <w:szCs w:val="26"/>
        </w:rPr>
      </w:pPr>
      <w:bookmarkStart w:id="32" w:name="_iwoz3l8919hz" w:colFirst="0" w:colLast="0"/>
      <w:bookmarkEnd w:id="32"/>
      <w:r>
        <w:rPr>
          <w:rFonts w:eastAsia="Times New Roman" w:cs="Times New Roman"/>
          <w:color w:val="000000"/>
          <w:sz w:val="26"/>
          <w:szCs w:val="26"/>
        </w:rPr>
        <w:t>a) Equity Mutual Funds</w:t>
      </w:r>
    </w:p>
    <w:p w14:paraId="4062207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Equity mutual funds primarily invest in shares of companies, with the objective of long-term capital appreciation. They are considered high-risk, high-return instruments because their performance depends on the stock market. Equity funds may be further divided into large-cap, mid-cap, small-cap, multi-cap, sectoral, and thematic funds. These funds are ideal for investors with a long-term horizon (5+ years) and a higher risk tolerance. Over the long run, equity funds have the potential to generate higher returns compared to traditional instruments like fixed deposits, but they are also subject to greater volatility in the short term. Equity mutual funds are often recommended for wealth creation, retirement planning, and long-term financial goals.</w:t>
      </w:r>
    </w:p>
    <w:p w14:paraId="7452C278" w14:textId="77777777" w:rsidR="00D25741" w:rsidRDefault="00000000">
      <w:pPr>
        <w:pStyle w:val="Heading3"/>
        <w:keepNext w:val="0"/>
        <w:keepLines w:val="0"/>
        <w:spacing w:before="280"/>
        <w:jc w:val="both"/>
        <w:rPr>
          <w:rFonts w:eastAsia="Times New Roman" w:cs="Times New Roman"/>
          <w:color w:val="000000"/>
          <w:sz w:val="26"/>
          <w:szCs w:val="26"/>
        </w:rPr>
      </w:pPr>
      <w:bookmarkStart w:id="33" w:name="_mvtbsw658dlz" w:colFirst="0" w:colLast="0"/>
      <w:bookmarkEnd w:id="33"/>
      <w:r>
        <w:rPr>
          <w:rFonts w:eastAsia="Times New Roman" w:cs="Times New Roman"/>
          <w:color w:val="000000"/>
          <w:sz w:val="26"/>
          <w:szCs w:val="26"/>
        </w:rPr>
        <w:t>b) Debt Mutual Funds</w:t>
      </w:r>
    </w:p>
    <w:p w14:paraId="52C02B09" w14:textId="6B1138D3" w:rsidR="00596D09" w:rsidRPr="00807CAF" w:rsidRDefault="00000000" w:rsidP="00807CAF">
      <w:pPr>
        <w:spacing w:before="240" w:after="240"/>
        <w:jc w:val="both"/>
        <w:rPr>
          <w:rFonts w:eastAsia="Times New Roman" w:cs="Times New Roman"/>
          <w:sz w:val="24"/>
          <w:szCs w:val="24"/>
        </w:rPr>
      </w:pPr>
      <w:r>
        <w:rPr>
          <w:rFonts w:eastAsia="Times New Roman" w:cs="Times New Roman"/>
          <w:sz w:val="24"/>
          <w:szCs w:val="24"/>
        </w:rPr>
        <w:t>Debt mutual funds invest primarily in fixed-income securities, such as government bonds, corporate debentures, treasury bills, commercial papers, and other money market instruments. The main objective of debt funds is to provide stable and regular returns with lower risk compared to equity funds. Different categories of debt funds include liquid funds, ultra-short duration funds, short-term funds, income funds, gilt funds, and credit risk funds. These funds are suitable for conservative investors, those looking for safety of capital, and individuals with short to medium-term financial goals. Although returns are relatively stable, debt funds are still subject to interest rate risk and credit risk.</w:t>
      </w:r>
      <w:bookmarkStart w:id="34" w:name="_wgi9h2d1b3yk" w:colFirst="0" w:colLast="0"/>
      <w:bookmarkEnd w:id="34"/>
    </w:p>
    <w:p w14:paraId="39F6C422" w14:textId="05CADE56" w:rsidR="00D25741" w:rsidRDefault="00000000">
      <w:pPr>
        <w:pStyle w:val="Heading3"/>
        <w:keepNext w:val="0"/>
        <w:keepLines w:val="0"/>
        <w:spacing w:before="280"/>
        <w:jc w:val="both"/>
        <w:rPr>
          <w:rFonts w:eastAsia="Times New Roman" w:cs="Times New Roman"/>
          <w:color w:val="000000"/>
          <w:sz w:val="26"/>
          <w:szCs w:val="26"/>
        </w:rPr>
      </w:pPr>
      <w:r>
        <w:rPr>
          <w:rFonts w:eastAsia="Times New Roman" w:cs="Times New Roman"/>
          <w:color w:val="000000"/>
          <w:sz w:val="26"/>
          <w:szCs w:val="26"/>
        </w:rPr>
        <w:t>c) Hybrid (Balanced) Mutual Funds</w:t>
      </w:r>
    </w:p>
    <w:p w14:paraId="4ACF218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Hybrid funds invest in a mix of equity and debt instruments to balance risk and return. The proportion of equity and debt varies from scheme to scheme:</w:t>
      </w:r>
    </w:p>
    <w:p w14:paraId="0746BF7F" w14:textId="77777777" w:rsidR="00D25741" w:rsidRDefault="00000000" w:rsidP="00596D09">
      <w:pPr>
        <w:numPr>
          <w:ilvl w:val="0"/>
          <w:numId w:val="13"/>
        </w:numPr>
        <w:spacing w:before="240"/>
        <w:rPr>
          <w:rFonts w:eastAsia="Times New Roman" w:cs="Times New Roman"/>
          <w:sz w:val="24"/>
          <w:szCs w:val="24"/>
        </w:rPr>
      </w:pPr>
      <w:r>
        <w:rPr>
          <w:rFonts w:eastAsia="Times New Roman" w:cs="Times New Roman"/>
          <w:sz w:val="24"/>
          <w:szCs w:val="24"/>
        </w:rPr>
        <w:t>Aggressive Hybrid Funds – higher equity component (e.g., 65–80%)</w:t>
      </w:r>
      <w:r>
        <w:rPr>
          <w:rFonts w:eastAsia="Times New Roman" w:cs="Times New Roman"/>
          <w:sz w:val="24"/>
          <w:szCs w:val="24"/>
        </w:rPr>
        <w:br/>
      </w:r>
    </w:p>
    <w:p w14:paraId="402D1120" w14:textId="77777777" w:rsidR="00D25741" w:rsidRDefault="00000000" w:rsidP="00596D09">
      <w:pPr>
        <w:numPr>
          <w:ilvl w:val="0"/>
          <w:numId w:val="13"/>
        </w:numPr>
        <w:rPr>
          <w:rFonts w:eastAsia="Times New Roman" w:cs="Times New Roman"/>
          <w:sz w:val="24"/>
          <w:szCs w:val="24"/>
        </w:rPr>
      </w:pPr>
      <w:r>
        <w:rPr>
          <w:rFonts w:eastAsia="Times New Roman" w:cs="Times New Roman"/>
          <w:sz w:val="24"/>
          <w:szCs w:val="24"/>
        </w:rPr>
        <w:lastRenderedPageBreak/>
        <w:t>Conservative Hybrid Funds – higher debt component (e.g., 75–90%)</w:t>
      </w:r>
      <w:r>
        <w:rPr>
          <w:rFonts w:eastAsia="Times New Roman" w:cs="Times New Roman"/>
          <w:sz w:val="24"/>
          <w:szCs w:val="24"/>
        </w:rPr>
        <w:br/>
      </w:r>
    </w:p>
    <w:p w14:paraId="1BF6D5FD" w14:textId="77777777" w:rsidR="00D25741" w:rsidRDefault="00000000" w:rsidP="00596D09">
      <w:pPr>
        <w:numPr>
          <w:ilvl w:val="0"/>
          <w:numId w:val="13"/>
        </w:numPr>
        <w:spacing w:after="240"/>
        <w:rPr>
          <w:rFonts w:eastAsia="Times New Roman" w:cs="Times New Roman"/>
          <w:sz w:val="24"/>
          <w:szCs w:val="24"/>
        </w:rPr>
      </w:pPr>
      <w:r>
        <w:rPr>
          <w:rFonts w:eastAsia="Times New Roman" w:cs="Times New Roman"/>
          <w:sz w:val="24"/>
          <w:szCs w:val="24"/>
        </w:rPr>
        <w:t>Balanced Advantage/ Dynamic Funds – flexible allocation based on market conditions</w:t>
      </w:r>
      <w:r>
        <w:rPr>
          <w:rFonts w:eastAsia="Times New Roman" w:cs="Times New Roman"/>
          <w:sz w:val="24"/>
          <w:szCs w:val="24"/>
        </w:rPr>
        <w:br/>
      </w:r>
    </w:p>
    <w:p w14:paraId="677C0AD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aim is to provide moderate growth with controlled risk, making hybrid funds suitable for investors with a moderate risk appetite who want some exposure to equity but also prefer stability through debt. These are often recommended for first-time mutual fund investors.</w:t>
      </w:r>
    </w:p>
    <w:p w14:paraId="5D840974" w14:textId="77777777" w:rsidR="00D25741" w:rsidRDefault="00000000">
      <w:pPr>
        <w:pStyle w:val="Heading3"/>
        <w:keepNext w:val="0"/>
        <w:keepLines w:val="0"/>
        <w:spacing w:before="280"/>
        <w:jc w:val="both"/>
        <w:rPr>
          <w:rFonts w:eastAsia="Times New Roman" w:cs="Times New Roman"/>
          <w:color w:val="000000"/>
          <w:sz w:val="26"/>
          <w:szCs w:val="26"/>
        </w:rPr>
      </w:pPr>
      <w:bookmarkStart w:id="35" w:name="_sqp47po32ksa" w:colFirst="0" w:colLast="0"/>
      <w:bookmarkEnd w:id="35"/>
      <w:r>
        <w:rPr>
          <w:rFonts w:eastAsia="Times New Roman" w:cs="Times New Roman"/>
          <w:color w:val="000000"/>
          <w:sz w:val="26"/>
          <w:szCs w:val="26"/>
        </w:rPr>
        <w:t>d) Money Market Funds</w:t>
      </w:r>
    </w:p>
    <w:p w14:paraId="2D6B8D3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Money market funds invest in short-term, highly liquid instruments such as treasury bills, commercial papers, certificates of deposit, and other money market securities. These schemes are designed to provide high liquidity and low risk, with returns usually slightly higher than savings bank </w:t>
      </w:r>
      <w:proofErr w:type="spellStart"/>
      <w:proofErr w:type="gramStart"/>
      <w:r>
        <w:rPr>
          <w:rFonts w:eastAsia="Times New Roman" w:cs="Times New Roman"/>
          <w:sz w:val="24"/>
          <w:szCs w:val="24"/>
        </w:rPr>
        <w:t>accounts.They</w:t>
      </w:r>
      <w:proofErr w:type="spellEnd"/>
      <w:proofErr w:type="gramEnd"/>
      <w:r>
        <w:rPr>
          <w:rFonts w:eastAsia="Times New Roman" w:cs="Times New Roman"/>
          <w:sz w:val="24"/>
          <w:szCs w:val="24"/>
        </w:rPr>
        <w:t xml:space="preserve"> are ideal for investors who wish to park surplus funds for very short durations, such as a few days to a few months, without taking high risk. Corporates and institutions also use money market funds for efficient cash management.</w:t>
      </w:r>
    </w:p>
    <w:p w14:paraId="36908D21" w14:textId="77777777" w:rsidR="00D25741" w:rsidRDefault="00000000">
      <w:pPr>
        <w:pStyle w:val="Heading3"/>
        <w:keepNext w:val="0"/>
        <w:keepLines w:val="0"/>
        <w:spacing w:before="280"/>
        <w:jc w:val="both"/>
        <w:rPr>
          <w:rFonts w:eastAsia="Times New Roman" w:cs="Times New Roman"/>
          <w:color w:val="000000"/>
          <w:sz w:val="26"/>
          <w:szCs w:val="26"/>
        </w:rPr>
      </w:pPr>
      <w:bookmarkStart w:id="36" w:name="_q6v4qx2cwvv4" w:colFirst="0" w:colLast="0"/>
      <w:bookmarkEnd w:id="36"/>
      <w:r>
        <w:rPr>
          <w:rFonts w:eastAsia="Times New Roman" w:cs="Times New Roman"/>
          <w:color w:val="000000"/>
          <w:sz w:val="26"/>
          <w:szCs w:val="26"/>
        </w:rPr>
        <w:t>e) International / Global Funds</w:t>
      </w:r>
    </w:p>
    <w:p w14:paraId="5346B9C3" w14:textId="0EBDF941" w:rsidR="00D25741" w:rsidRDefault="00000000" w:rsidP="00807CAF">
      <w:pPr>
        <w:spacing w:before="240" w:after="240"/>
        <w:jc w:val="both"/>
        <w:rPr>
          <w:rFonts w:eastAsia="Times New Roman" w:cs="Times New Roman"/>
          <w:sz w:val="24"/>
          <w:szCs w:val="24"/>
        </w:rPr>
      </w:pPr>
      <w:r>
        <w:rPr>
          <w:rFonts w:eastAsia="Times New Roman" w:cs="Times New Roman"/>
          <w:sz w:val="24"/>
          <w:szCs w:val="24"/>
        </w:rPr>
        <w:t xml:space="preserve">International or global funds invest in foreign markets and overseas companies. These funds may invest directly in international stocks, or they may invest in units of foreign mutual funds or ETFs. The main advantage is geographical diversification, allowing investors to benefit from opportunities in global economies and sectors not available in the domestic market. However, these funds also carry additional risks such as currency risk, geopolitical risk, and foreign market volatility. They are suitable for informed investors seeking diversification beyond </w:t>
      </w:r>
      <w:proofErr w:type="gramStart"/>
      <w:r>
        <w:rPr>
          <w:rFonts w:eastAsia="Times New Roman" w:cs="Times New Roman"/>
          <w:sz w:val="24"/>
          <w:szCs w:val="24"/>
        </w:rPr>
        <w:t>the</w:t>
      </w:r>
      <w:proofErr w:type="gramEnd"/>
      <w:r>
        <w:rPr>
          <w:rFonts w:eastAsia="Times New Roman" w:cs="Times New Roman"/>
          <w:sz w:val="24"/>
          <w:szCs w:val="24"/>
        </w:rPr>
        <w:t xml:space="preserve"> home country.</w:t>
      </w:r>
    </w:p>
    <w:p w14:paraId="5B514B20" w14:textId="7F29A468" w:rsidR="00D25741" w:rsidRDefault="00000000" w:rsidP="00596D09">
      <w:pPr>
        <w:pStyle w:val="Heading2"/>
        <w:keepNext w:val="0"/>
        <w:keepLines w:val="0"/>
        <w:numPr>
          <w:ilvl w:val="0"/>
          <w:numId w:val="58"/>
        </w:numPr>
        <w:spacing w:after="80"/>
        <w:jc w:val="both"/>
        <w:rPr>
          <w:rFonts w:eastAsia="Times New Roman" w:cs="Times New Roman"/>
          <w:b/>
          <w:bCs/>
          <w:sz w:val="24"/>
          <w:szCs w:val="24"/>
        </w:rPr>
      </w:pPr>
      <w:bookmarkStart w:id="37" w:name="_21fovowbhltm" w:colFirst="0" w:colLast="0"/>
      <w:bookmarkEnd w:id="37"/>
      <w:r>
        <w:rPr>
          <w:rFonts w:eastAsia="Times New Roman" w:cs="Times New Roman"/>
          <w:b/>
          <w:bCs/>
          <w:sz w:val="24"/>
          <w:szCs w:val="24"/>
        </w:rPr>
        <w:t>Based on Investment Objective</w:t>
      </w:r>
    </w:p>
    <w:p w14:paraId="58BBE9EF" w14:textId="77777777" w:rsidR="00D25741" w:rsidRDefault="00000000">
      <w:pPr>
        <w:pStyle w:val="Heading3"/>
        <w:keepNext w:val="0"/>
        <w:keepLines w:val="0"/>
        <w:spacing w:before="280"/>
        <w:jc w:val="both"/>
        <w:rPr>
          <w:rFonts w:eastAsia="Times New Roman" w:cs="Times New Roman"/>
          <w:color w:val="000000"/>
          <w:sz w:val="26"/>
          <w:szCs w:val="26"/>
        </w:rPr>
      </w:pPr>
      <w:bookmarkStart w:id="38" w:name="_v72osxamz4sq" w:colFirst="0" w:colLast="0"/>
      <w:bookmarkEnd w:id="38"/>
      <w:r>
        <w:rPr>
          <w:rFonts w:eastAsia="Times New Roman" w:cs="Times New Roman"/>
          <w:color w:val="000000"/>
          <w:sz w:val="26"/>
          <w:szCs w:val="26"/>
        </w:rPr>
        <w:t>a) Growth Funds</w:t>
      </w:r>
    </w:p>
    <w:p w14:paraId="3C0A5176"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Growth funds focus on capital appreciation over the long term by investing largely in equity shares and growth-oriented companies. These funds reinvest profits instead of distributing regular income. The NAV may rise significantly over time if the underlying stocks perform well. Such funds are ideal for investors aiming to build wealth for long-term goals like retirement, higher education, or property purchase. However, they are subject to higher market risk, and returns may fluctuate in the short term.</w:t>
      </w:r>
    </w:p>
    <w:p w14:paraId="2F2D88BA" w14:textId="77777777" w:rsidR="00D25741" w:rsidRDefault="00000000">
      <w:pPr>
        <w:pStyle w:val="Heading3"/>
        <w:keepNext w:val="0"/>
        <w:keepLines w:val="0"/>
        <w:spacing w:before="280"/>
        <w:jc w:val="both"/>
        <w:rPr>
          <w:rFonts w:eastAsia="Times New Roman" w:cs="Times New Roman"/>
          <w:color w:val="000000"/>
          <w:sz w:val="26"/>
          <w:szCs w:val="26"/>
        </w:rPr>
      </w:pPr>
      <w:bookmarkStart w:id="39" w:name="_jjyd4vk9gwy" w:colFirst="0" w:colLast="0"/>
      <w:bookmarkEnd w:id="39"/>
      <w:r>
        <w:rPr>
          <w:rFonts w:eastAsia="Times New Roman" w:cs="Times New Roman"/>
          <w:color w:val="000000"/>
          <w:sz w:val="26"/>
          <w:szCs w:val="26"/>
        </w:rPr>
        <w:t>b) Income Funds</w:t>
      </w:r>
    </w:p>
    <w:p w14:paraId="00E31ED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Income funds primarily aim to provide regular and steady income to investors rather than capital appreciation. They generally invest in fixed-income securities like bonds, debentures, and other interest-bearing instruments. The returns are relatively stable, although not guaranteed. These funds are suitable for retirees, pensioners, or conservative investors who prefer consistent income </w:t>
      </w:r>
      <w:r>
        <w:rPr>
          <w:rFonts w:eastAsia="Times New Roman" w:cs="Times New Roman"/>
          <w:sz w:val="24"/>
          <w:szCs w:val="24"/>
        </w:rPr>
        <w:lastRenderedPageBreak/>
        <w:t>over high growth. They may be sensitive to interest rate changes but are still considered lower risk compared to growth-oriented equity funds.</w:t>
      </w:r>
    </w:p>
    <w:p w14:paraId="0CD13D0A" w14:textId="77777777" w:rsidR="00D25741" w:rsidRDefault="00000000">
      <w:pPr>
        <w:pStyle w:val="Heading3"/>
        <w:keepNext w:val="0"/>
        <w:keepLines w:val="0"/>
        <w:spacing w:before="280"/>
        <w:jc w:val="both"/>
        <w:rPr>
          <w:rFonts w:eastAsia="Times New Roman" w:cs="Times New Roman"/>
          <w:color w:val="000000"/>
          <w:sz w:val="26"/>
          <w:szCs w:val="26"/>
        </w:rPr>
      </w:pPr>
      <w:bookmarkStart w:id="40" w:name="_7brv7noxsvn4" w:colFirst="0" w:colLast="0"/>
      <w:bookmarkEnd w:id="40"/>
      <w:r>
        <w:rPr>
          <w:rFonts w:eastAsia="Times New Roman" w:cs="Times New Roman"/>
          <w:color w:val="000000"/>
          <w:sz w:val="26"/>
          <w:szCs w:val="26"/>
        </w:rPr>
        <w:t>c) Liquid Funds</w:t>
      </w:r>
    </w:p>
    <w:p w14:paraId="521F4F4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Liquid funds are a sub-category of debt or money market funds, specifically designed to meet very short-term liquidity needs. They invest in instruments with extremely short maturities, often up to 91 days, and allow quick redemption without significant loss of value. They are ideal for investors who want to keep their money safe and accessible, such as emergency funds or temporary surplus cash. Liquid funds are preferred over keeping large balances in savings accounts as they generally provide slightly better returns with comparable safety.</w:t>
      </w:r>
    </w:p>
    <w:p w14:paraId="5C2C9AA5" w14:textId="77777777" w:rsidR="00D25741" w:rsidRDefault="00000000">
      <w:pPr>
        <w:pStyle w:val="Heading3"/>
        <w:keepNext w:val="0"/>
        <w:keepLines w:val="0"/>
        <w:spacing w:before="280"/>
        <w:jc w:val="both"/>
        <w:rPr>
          <w:rFonts w:eastAsia="Times New Roman" w:cs="Times New Roman"/>
          <w:color w:val="000000"/>
          <w:sz w:val="26"/>
          <w:szCs w:val="26"/>
        </w:rPr>
      </w:pPr>
      <w:bookmarkStart w:id="41" w:name="_299g8w92w9t5" w:colFirst="0" w:colLast="0"/>
      <w:bookmarkEnd w:id="41"/>
      <w:r>
        <w:rPr>
          <w:rFonts w:eastAsia="Times New Roman" w:cs="Times New Roman"/>
          <w:color w:val="000000"/>
          <w:sz w:val="26"/>
          <w:szCs w:val="26"/>
        </w:rPr>
        <w:t>d) Tax-Saving Funds (ELSS – Equity Linked Savings Scheme)</w:t>
      </w:r>
    </w:p>
    <w:p w14:paraId="36359D4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ELSS funds are special types of equity mutual funds that offer tax benefits under Section 80C of the Income Tax Act. Investments up to a specified limit are eligible for tax deduction, and these schemes have a mandatory lock-in period of 3 years. Since ELSS funds invest mainly in equities, they provide the dual benefit of tax saving and long-term capital growth. They are suitable for salaried and self-employed individuals who wish to reduce their taxable income while creating wealth over time. However, as they are equity-oriented, they also carry market risk.</w:t>
      </w:r>
    </w:p>
    <w:p w14:paraId="64352092" w14:textId="77777777" w:rsidR="00D25741" w:rsidRDefault="00000000">
      <w:pPr>
        <w:pStyle w:val="Heading3"/>
        <w:keepNext w:val="0"/>
        <w:keepLines w:val="0"/>
        <w:spacing w:before="280"/>
        <w:jc w:val="both"/>
        <w:rPr>
          <w:rFonts w:eastAsia="Times New Roman" w:cs="Times New Roman"/>
          <w:color w:val="000000"/>
          <w:sz w:val="26"/>
          <w:szCs w:val="26"/>
        </w:rPr>
      </w:pPr>
      <w:bookmarkStart w:id="42" w:name="_tsduhcsyaxov" w:colFirst="0" w:colLast="0"/>
      <w:bookmarkEnd w:id="42"/>
      <w:r>
        <w:rPr>
          <w:rFonts w:eastAsia="Times New Roman" w:cs="Times New Roman"/>
          <w:color w:val="000000"/>
          <w:sz w:val="26"/>
          <w:szCs w:val="26"/>
        </w:rPr>
        <w:t>e) Capital Protection-Oriented Funds</w:t>
      </w:r>
    </w:p>
    <w:p w14:paraId="652F782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These funds are structured to protect the principal amount while aiming to provide moderate returns. They invest a large portion of the portfolio in safe debt instruments and a smaller portion in equity for growth. Although not fully guaranteed, the focus is on </w:t>
      </w:r>
      <w:proofErr w:type="spellStart"/>
      <w:r>
        <w:rPr>
          <w:rFonts w:eastAsia="Times New Roman" w:cs="Times New Roman"/>
          <w:sz w:val="24"/>
          <w:szCs w:val="24"/>
        </w:rPr>
        <w:t>minimising</w:t>
      </w:r>
      <w:proofErr w:type="spellEnd"/>
      <w:r>
        <w:rPr>
          <w:rFonts w:eastAsia="Times New Roman" w:cs="Times New Roman"/>
          <w:sz w:val="24"/>
          <w:szCs w:val="24"/>
        </w:rPr>
        <w:t xml:space="preserve"> the risk of capital loss. Such funds are suitable for investors with a </w:t>
      </w:r>
      <w:proofErr w:type="gramStart"/>
      <w:r>
        <w:rPr>
          <w:rFonts w:eastAsia="Times New Roman" w:cs="Times New Roman"/>
          <w:sz w:val="24"/>
          <w:szCs w:val="24"/>
        </w:rPr>
        <w:t>low risk</w:t>
      </w:r>
      <w:proofErr w:type="gramEnd"/>
      <w:r>
        <w:rPr>
          <w:rFonts w:eastAsia="Times New Roman" w:cs="Times New Roman"/>
          <w:sz w:val="24"/>
          <w:szCs w:val="24"/>
        </w:rPr>
        <w:t xml:space="preserve"> appetite, especially those nearing retirement or with short-term financial goals, who do not want to risk losing their invested amount.</w:t>
      </w:r>
    </w:p>
    <w:p w14:paraId="44AC3B57" w14:textId="77777777" w:rsidR="00596D09" w:rsidRDefault="00596D09">
      <w:pPr>
        <w:rPr>
          <w:rFonts w:eastAsia="Times New Roman" w:cs="Times New Roman"/>
          <w:b/>
          <w:bCs/>
          <w:sz w:val="24"/>
          <w:szCs w:val="24"/>
        </w:rPr>
      </w:pPr>
    </w:p>
    <w:p w14:paraId="5E85BFC8" w14:textId="77F67325" w:rsidR="00D25741" w:rsidRDefault="00000000">
      <w:pPr>
        <w:rPr>
          <w:rFonts w:eastAsia="Times New Roman" w:cs="Times New Roman"/>
          <w:b/>
          <w:bCs/>
          <w:sz w:val="24"/>
          <w:szCs w:val="24"/>
        </w:rPr>
      </w:pPr>
      <w:r>
        <w:rPr>
          <w:rFonts w:eastAsia="Times New Roman" w:cs="Times New Roman"/>
          <w:b/>
          <w:bCs/>
          <w:sz w:val="24"/>
          <w:szCs w:val="24"/>
        </w:rPr>
        <w:t>1.6 OPEN ENDED MUTUAL FUNDS</w:t>
      </w:r>
    </w:p>
    <w:p w14:paraId="4C1B494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Open-ended mutual funds are investment schemes that allow investors to buy and sell units at any time, as they do not have a fixed maturity period. These funds remain open for continuous subscription and redemption, giving investors the flexibility to enter or exit whenever they choose. Transactions take place directly with the fund house at the prevailing Net Asset Value (NAV), which is calculated daily based on market performance. This makes open-ended funds highly liquid, enabling investors to access their money quickly when needed.</w:t>
      </w:r>
    </w:p>
    <w:p w14:paraId="4DD6F8A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Because there is no lock-in period (except for specific schemes like ELSS), open-ended funds are suitable for investors seeking convenience, flexibility, and accessibility. The fund manager must maintain adequate liquidity within the portfolio to handle frequent redemption requests, which may influence investment strategies. Despite this, open-ended funds remain one of the most popular categories due to their ability to offer diversified investment options across equity, debt, hybrid, and index schemes. Overall, they are ideal for investors who prefer active management, easy entry and exit, and the opportunity to invest through systematic plans such as SIPs.</w:t>
      </w:r>
    </w:p>
    <w:p w14:paraId="4B0E83B9" w14:textId="64B59D6D" w:rsidR="00D25741" w:rsidRDefault="00000000">
      <w:pPr>
        <w:rPr>
          <w:rFonts w:eastAsia="Times New Roman" w:cs="Times New Roman"/>
          <w:sz w:val="24"/>
          <w:szCs w:val="24"/>
        </w:rPr>
      </w:pPr>
      <w:r>
        <w:rPr>
          <w:rFonts w:eastAsia="Times New Roman" w:cs="Times New Roman"/>
          <w:sz w:val="24"/>
          <w:szCs w:val="24"/>
        </w:rPr>
        <w:lastRenderedPageBreak/>
        <w:t>Some of the selected Open Ended mutual funds under study</w:t>
      </w:r>
      <w:r w:rsidR="00596D09">
        <w:rPr>
          <w:rFonts w:eastAsia="Times New Roman" w:cs="Times New Roman"/>
          <w:sz w:val="24"/>
          <w:szCs w:val="24"/>
        </w:rPr>
        <w:t>:</w:t>
      </w:r>
    </w:p>
    <w:p w14:paraId="06E0349D" w14:textId="77777777" w:rsidR="00D25741" w:rsidRDefault="00D25741">
      <w:pPr>
        <w:rPr>
          <w:rFonts w:eastAsia="Times New Roman" w:cs="Times New Roman"/>
          <w:sz w:val="24"/>
          <w:szCs w:val="24"/>
        </w:rPr>
      </w:pPr>
    </w:p>
    <w:p w14:paraId="624F2DCB" w14:textId="77777777" w:rsidR="00D25741" w:rsidRDefault="00000000">
      <w:pPr>
        <w:rPr>
          <w:rFonts w:eastAsia="Times New Roman" w:cs="Times New Roman"/>
          <w:sz w:val="24"/>
          <w:szCs w:val="24"/>
        </w:rPr>
      </w:pPr>
      <w:r>
        <w:rPr>
          <w:rFonts w:eastAsia="Times New Roman" w:cs="Times New Roman"/>
          <w:sz w:val="24"/>
          <w:szCs w:val="24"/>
        </w:rPr>
        <w:t>1.6.1 ICICI PRUDENTIAL NIFTY 50 INDEX FUND</w:t>
      </w:r>
    </w:p>
    <w:p w14:paraId="129CBEE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ICICI Prudential Nifty 50 Index Fund is an open-ended index mutual fund that aims to replicate and track the performance of the Nifty 50 Index. The Nifty 50 is one of India’s leading benchmark indices, consisting of the top 50 large-cap companies listed on the National Stock Exchange (NSE). The fund follows a passive investment strategy, meaning it does not actively select stocks but simply mirrors the index composition and weightage. This approach allows the fund to provide returns closely aligned with the overall performance of the Indian equity market. Since it invests only in the Nifty 50 companies, the fund offers exposure to diversified sectors such as banking, IT, pharmaceuticals, energy, and FMCG. This reduces company-specific risk and provides stability through well-established blue-chip companies. Being a passive fund, its expense ratio is lower compared to actively managed equity funds, which helps improve long-term returns. However, like all equity investments, it is subject to market </w:t>
      </w:r>
      <w:proofErr w:type="gramStart"/>
      <w:r>
        <w:rPr>
          <w:rFonts w:eastAsia="Times New Roman" w:cs="Times New Roman"/>
          <w:sz w:val="24"/>
          <w:szCs w:val="24"/>
        </w:rPr>
        <w:t>volatility, and</w:t>
      </w:r>
      <w:proofErr w:type="gramEnd"/>
      <w:r>
        <w:rPr>
          <w:rFonts w:eastAsia="Times New Roman" w:cs="Times New Roman"/>
          <w:sz w:val="24"/>
          <w:szCs w:val="24"/>
        </w:rPr>
        <w:t xml:space="preserve"> returns depend on the performance of the broader market.</w:t>
      </w:r>
    </w:p>
    <w:p w14:paraId="7C581585" w14:textId="290FFD2B" w:rsidR="00D25741" w:rsidRDefault="00000000">
      <w:pPr>
        <w:spacing w:before="240" w:after="240"/>
        <w:jc w:val="both"/>
        <w:rPr>
          <w:rFonts w:eastAsia="Times New Roman" w:cs="Times New Roman"/>
          <w:sz w:val="24"/>
          <w:szCs w:val="24"/>
        </w:rPr>
      </w:pPr>
      <w:r>
        <w:rPr>
          <w:rFonts w:eastAsia="Times New Roman" w:cs="Times New Roman"/>
          <w:sz w:val="24"/>
          <w:szCs w:val="24"/>
        </w:rPr>
        <w:t>The ICICI Prudential Nifty 50 Index Fund is suitable for investors looking for a low-cost, long-term wealth creation option with moderate risk. It is ideal for beginners, SIP investors, and those seeking to invest in India’s top companies without active decision-making. The fund also provides transparency since its holdings match the Nifty 50 index and are easy to track. Overall, this index fund serves as a simple and efficient way to gain exposure to India’s large-cap equity market through a disciplined passive investment strategy.</w:t>
      </w:r>
    </w:p>
    <w:p w14:paraId="5A3E8BE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1.6.2 HDFC INDEX FUND</w:t>
      </w:r>
    </w:p>
    <w:p w14:paraId="2C8AB946"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HDFC Index Fund is an open-ended passive equity mutual fund designed to replicate and track the performance of a specific market index, such as the Nifty 50 or Sensex, depending on the plan chosen. Being an index fund, it follows a passive investment strategy, meaning the fund manager does not actively pick stocks. Instead, the fund invests in the same companies and in the same proportion as the benchmark index. This approach ensures that the fund aims to closely match the returns of the index, with minimal tracking error.</w:t>
      </w:r>
    </w:p>
    <w:p w14:paraId="60F2726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One of the key advantages of the HDFC Index Fund is its low expense ratio, as passive management requires fewer resources compared to actively managed funds. Lower costs help investors retain more of the returns generated over the long term. The fund provides diversified exposure to India’s top companies across major sectors like banking, information technology, energy, pharmaceuticals, and consumer goods. Because it tracks a market index, it eliminates stock-selection risk and provides transparent, predictable asset allocation.</w:t>
      </w:r>
    </w:p>
    <w:p w14:paraId="6969EBC5" w14:textId="65702A31" w:rsidR="00D25741" w:rsidRDefault="00000000">
      <w:pPr>
        <w:spacing w:before="240" w:after="240"/>
        <w:jc w:val="both"/>
        <w:rPr>
          <w:rFonts w:eastAsia="Times New Roman" w:cs="Times New Roman"/>
          <w:sz w:val="24"/>
          <w:szCs w:val="24"/>
        </w:rPr>
      </w:pPr>
      <w:r>
        <w:rPr>
          <w:rFonts w:eastAsia="Times New Roman" w:cs="Times New Roman"/>
          <w:sz w:val="24"/>
          <w:szCs w:val="24"/>
        </w:rPr>
        <w:t>The HDFC Index Fund is considered suitable for long-term investors, beginners, and individuals looking for a low-risk approach to equity investing compared to active funds. It is ideal for those who want steady market-linked growth without relying on a fund manager’s decisions. Like all equity funds, it is subject to market volatility, but its returns typically mirror the broader market’s performance. Overall, the HDFC Index Fund offers a simple, low-cost, and effective way to invest in India’s leading companies through a disciplined passive investment strategy.</w:t>
      </w:r>
    </w:p>
    <w:p w14:paraId="1F86CAFF" w14:textId="77777777" w:rsidR="00D25741" w:rsidRDefault="00000000">
      <w:pPr>
        <w:rPr>
          <w:rFonts w:eastAsia="Times New Roman" w:cs="Times New Roman"/>
          <w:sz w:val="24"/>
          <w:szCs w:val="24"/>
        </w:rPr>
      </w:pPr>
      <w:r>
        <w:rPr>
          <w:rFonts w:eastAsia="Times New Roman" w:cs="Times New Roman"/>
          <w:sz w:val="24"/>
          <w:szCs w:val="24"/>
        </w:rPr>
        <w:lastRenderedPageBreak/>
        <w:t>1.6.3 UTI NIFTY 50 INDEX FUND</w:t>
      </w:r>
    </w:p>
    <w:p w14:paraId="0700522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UTI Nifty 50 Index Fund is an open-ended equity index mutual fund that seeks to replicate and track the performance of the Nifty 50 Index, one of India’s most widely followed stock market benchmarks. The Nifty 50 represents the top 50 large-cap companies listed on the National Stock Exchange (NSE), covering major sectors such as banking, IT, energy, pharmaceuticals, and consumer goods. By mirroring the index composition, the UTI Nifty 50 Index Fund provides investors with diversified exposure to India’s leading blue-chip companies.</w:t>
      </w:r>
    </w:p>
    <w:p w14:paraId="325CD5B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This fund follows a passive investment strategy, meaning it does not rely on active stock selection. Instead, it invests in the same companies in the same proportion as the index, with the objective of achieving returns </w:t>
      </w:r>
      <w:proofErr w:type="gramStart"/>
      <w:r>
        <w:rPr>
          <w:rFonts w:eastAsia="Times New Roman" w:cs="Times New Roman"/>
          <w:sz w:val="24"/>
          <w:szCs w:val="24"/>
        </w:rPr>
        <w:t>similar to</w:t>
      </w:r>
      <w:proofErr w:type="gramEnd"/>
      <w:r>
        <w:rPr>
          <w:rFonts w:eastAsia="Times New Roman" w:cs="Times New Roman"/>
          <w:sz w:val="24"/>
          <w:szCs w:val="24"/>
        </w:rPr>
        <w:t xml:space="preserve"> the Nifty 50. Because it is passively managed, the fund typically carries a lower expense ratio, making it a cost-efficient investment option. The performance of the fund depends on how closely it can track the index, which is measured by a metric called tracking error. Lower tracking error indicates effective replication of the index.</w:t>
      </w:r>
    </w:p>
    <w:p w14:paraId="2E7EEF99"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UTI Nifty 50 Index Fund is suitable for investors seeking long-term </w:t>
      </w:r>
      <w:proofErr w:type="gramStart"/>
      <w:r>
        <w:rPr>
          <w:rFonts w:eastAsia="Times New Roman" w:cs="Times New Roman"/>
          <w:sz w:val="24"/>
          <w:szCs w:val="24"/>
        </w:rPr>
        <w:t>wealth creation</w:t>
      </w:r>
      <w:proofErr w:type="gramEnd"/>
      <w:r>
        <w:rPr>
          <w:rFonts w:eastAsia="Times New Roman" w:cs="Times New Roman"/>
          <w:sz w:val="24"/>
          <w:szCs w:val="24"/>
        </w:rPr>
        <w:t xml:space="preserve"> with moderate risk. It is especially beneficial for beginners, conservative equity investors, and those who prefer a systematic and low-cost approach to investing. The fund also supports SIP and lump-sum investments, making it easy to build a disciplined investment habit. While the fund’s returns are subject to market fluctuations, its diversified large-cap portfolio provides stability and steady market-linked returns over time. Overall, the UTI Nifty 50 Index Fund offers a simple, transparent, and effective way to participate in India’s economic growth through a passive investment strategy.</w:t>
      </w:r>
    </w:p>
    <w:p w14:paraId="17FE86A6" w14:textId="77777777" w:rsidR="00596D09" w:rsidRDefault="00596D09">
      <w:pPr>
        <w:rPr>
          <w:rFonts w:eastAsia="Times New Roman" w:cs="Times New Roman"/>
          <w:sz w:val="24"/>
          <w:szCs w:val="24"/>
        </w:rPr>
      </w:pPr>
    </w:p>
    <w:p w14:paraId="56BA8391" w14:textId="266551C4" w:rsidR="00D25741" w:rsidRDefault="00000000">
      <w:pPr>
        <w:rPr>
          <w:rFonts w:eastAsia="Times New Roman" w:cs="Times New Roman"/>
          <w:sz w:val="24"/>
          <w:szCs w:val="24"/>
        </w:rPr>
      </w:pPr>
      <w:r>
        <w:rPr>
          <w:rFonts w:eastAsia="Times New Roman" w:cs="Times New Roman"/>
          <w:sz w:val="24"/>
          <w:szCs w:val="24"/>
        </w:rPr>
        <w:t>1.6.4 NIPPON INDIA INDEX FUND</w:t>
      </w:r>
    </w:p>
    <w:p w14:paraId="23095F05"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Nippon India Index Fund is an open-ended passive equity mutual fund that aims to replicate and track the performance of a major benchmark index, such as the Nifty 50 Index or Sensex, depending on the plan selected. As an index fund, it follows a passive investment strategy, meaning the fund manager does not actively pick or time stocks. Instead, the fund invests in the exact same companies and in the same proportion as the underlying index. This strategy ensures that the fund’s returns closely mirror the overall performance of the Indian stock market.</w:t>
      </w:r>
    </w:p>
    <w:p w14:paraId="398F11D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One of the major advantages of the Nippon India Index Fund is its low expense ratio, which makes it an affordable investment option for long-term investors. Since index funds do not require high research or active management, their operational costs are lower compared to actively managed equity funds. Lower expenses directly benefit investors by improving long-term returns. The fund provides exposure to top large-cap companies across key sectors such as banking, IT, energy, FMCG, and pharmaceuticals, ensuring broad diversification and reduced stock-specific risk.</w:t>
      </w:r>
    </w:p>
    <w:p w14:paraId="40AD3D54"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Nippon India Index Fund is ideal for investors seeking steady, market-linked growth with moderate risk. It is especially suitable for beginners, long-term SIP investors, and individuals who prefer a simple, transparent investment approach without active decision-making. Because it tracks a well-established index, the fund’s performance is easy to monitor, and its portfolio remains consistent with the benchmark. Although returns may fluctuate in the short term due to market </w:t>
      </w:r>
      <w:r>
        <w:rPr>
          <w:rFonts w:eastAsia="Times New Roman" w:cs="Times New Roman"/>
          <w:sz w:val="24"/>
          <w:szCs w:val="24"/>
        </w:rPr>
        <w:lastRenderedPageBreak/>
        <w:t>volatility, the fund is designed to deliver stable wealth creation over the long run by aligning with the overall growth of the Indian economy.</w:t>
      </w:r>
    </w:p>
    <w:p w14:paraId="4950BA53" w14:textId="77777777" w:rsidR="00596D09" w:rsidRDefault="00596D09">
      <w:pPr>
        <w:pBdr>
          <w:top w:val="nil"/>
          <w:left w:val="nil"/>
          <w:bottom w:val="nil"/>
          <w:right w:val="nil"/>
          <w:between w:val="nil"/>
        </w:pBdr>
        <w:spacing w:before="240" w:after="240"/>
        <w:rPr>
          <w:rFonts w:eastAsia="Times New Roman" w:cs="Times New Roman"/>
          <w:sz w:val="24"/>
          <w:szCs w:val="24"/>
        </w:rPr>
      </w:pPr>
    </w:p>
    <w:p w14:paraId="51168486" w14:textId="1A805BDC" w:rsidR="00D25741" w:rsidRDefault="00000000">
      <w:pPr>
        <w:pBdr>
          <w:top w:val="nil"/>
          <w:left w:val="nil"/>
          <w:bottom w:val="nil"/>
          <w:right w:val="nil"/>
          <w:between w:val="nil"/>
        </w:pBdr>
        <w:spacing w:before="240" w:after="240"/>
        <w:rPr>
          <w:rFonts w:eastAsia="Times New Roman" w:cs="Times New Roman"/>
          <w:sz w:val="24"/>
          <w:szCs w:val="24"/>
        </w:rPr>
      </w:pPr>
      <w:r>
        <w:rPr>
          <w:rFonts w:eastAsia="Times New Roman" w:cs="Times New Roman"/>
          <w:sz w:val="24"/>
          <w:szCs w:val="24"/>
        </w:rPr>
        <w:t>1.6.5 SBI NIFTY INDEX FUND</w:t>
      </w:r>
    </w:p>
    <w:p w14:paraId="67E6EDA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SBI Nifty Index Fund is an open-ended passive equity mutual fund designed to replicate and track the performance of the Nifty 50 Index, which represents the top 50 large-cap companies listed on the National Stock Exchange (NSE). The fund follows a passive investment strategy, meaning the fund manager does not actively select stocks. Instead, the portfolio mirrors the index composition and weightage to generate returns that closely match the Nifty 50’s performance. This makes the fund a simple, transparent, and reliable way for investors to participate in the growth of India’s major companies.</w:t>
      </w:r>
    </w:p>
    <w:p w14:paraId="213926B9"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One of the key features of the SBI Nifty Index Fund is its low expense ratio, which enhances long-term returns compared to actively managed funds. Since the fund simply tracks the index, operational and management costs are relatively low. The fund offers diversified exposure across major sectors like banking, IT, pharmaceuticals, FMCG, energy, and telecom, reducing company-specific risk. The fund’s performance depends on how effectively it minimizes tracking error, which measures the difference between the fund’s returns and the index’s returns.</w:t>
      </w:r>
    </w:p>
    <w:p w14:paraId="288F3A0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SBI Nifty Index Fund is particularly suitable for long-term investors, beginners, and those seeking a disciplined, low-cost investment option. It allows investors to benefit from the overall performance of India’s blue-chip companies without requiring active market knowledge or stock-picking skills. The fund also supports SIP investments, making it ideal for systematic and long-term wealth creation. Although market volatility can affect short-term returns, the fund is designed to deliver stable and consistent returns over the long run, aligned with India's economic growth.</w:t>
      </w:r>
    </w:p>
    <w:p w14:paraId="0FD6B536" w14:textId="77777777" w:rsidR="00807CAF" w:rsidRDefault="00807CAF">
      <w:pPr>
        <w:spacing w:before="240" w:after="240"/>
        <w:jc w:val="both"/>
        <w:rPr>
          <w:rFonts w:eastAsia="Times New Roman" w:cs="Times New Roman"/>
          <w:sz w:val="24"/>
          <w:szCs w:val="24"/>
        </w:rPr>
      </w:pPr>
    </w:p>
    <w:p w14:paraId="3FB41A43" w14:textId="114143E7" w:rsidR="00D25741" w:rsidRDefault="00000000">
      <w:pPr>
        <w:spacing w:before="240" w:after="240"/>
        <w:jc w:val="both"/>
        <w:rPr>
          <w:rFonts w:eastAsia="Times New Roman" w:cs="Times New Roman"/>
          <w:b/>
          <w:bCs/>
          <w:sz w:val="24"/>
          <w:szCs w:val="24"/>
        </w:rPr>
      </w:pPr>
      <w:r>
        <w:rPr>
          <w:rFonts w:eastAsia="Times New Roman" w:cs="Times New Roman"/>
          <w:b/>
          <w:bCs/>
          <w:sz w:val="24"/>
          <w:szCs w:val="24"/>
        </w:rPr>
        <w:t>1.7 PERFORMANCE PARAMETER</w:t>
      </w:r>
    </w:p>
    <w:p w14:paraId="7F5AAE99" w14:textId="7772186C" w:rsidR="00596D09" w:rsidRDefault="00000000">
      <w:pPr>
        <w:spacing w:before="240" w:after="240"/>
        <w:jc w:val="both"/>
        <w:rPr>
          <w:rFonts w:eastAsia="Times New Roman" w:cs="Times New Roman"/>
          <w:sz w:val="24"/>
          <w:szCs w:val="24"/>
        </w:rPr>
      </w:pPr>
      <w:r>
        <w:rPr>
          <w:rFonts w:eastAsia="Times New Roman" w:cs="Times New Roman"/>
          <w:sz w:val="24"/>
          <w:szCs w:val="24"/>
        </w:rPr>
        <w:t>Mutual funds are evaluated based on several quantitative and qualitative performance parameters. These metrics help investors understand how well a fund has performed relative to risk, market conditions, and benchmark indices.</w:t>
      </w:r>
    </w:p>
    <w:p w14:paraId="37980E40" w14:textId="3D263F64" w:rsidR="00D25741" w:rsidRDefault="00000000">
      <w:pPr>
        <w:spacing w:before="240" w:after="240"/>
        <w:jc w:val="both"/>
        <w:rPr>
          <w:rFonts w:eastAsia="Times New Roman" w:cs="Times New Roman"/>
          <w:sz w:val="24"/>
          <w:szCs w:val="24"/>
        </w:rPr>
      </w:pPr>
      <w:r>
        <w:rPr>
          <w:rFonts w:eastAsia="Times New Roman" w:cs="Times New Roman"/>
          <w:sz w:val="24"/>
          <w:szCs w:val="24"/>
        </w:rPr>
        <w:t>1.7.1 EXPENSE RATIO</w:t>
      </w:r>
    </w:p>
    <w:p w14:paraId="1EB3F1B0" w14:textId="6F1FD933"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expense ratio is the annual fee charged by a mutual fund to cover its operating expenses, including fund management fees, administrative costs, registrar and transfer agent fees, marketing expenses, auditing, and other operational charges. It is expressed as a percentage of the fund’s total assets under management (AUM) and is deducted directly from the fund’s returns. A lower expense ratio indicates that a smaller portion of the investor’s money goes toward fees, allowing more of the returns to be retained. Passive funds such as index funds and ETFs generally have lower expense ratios because they simply track an index rather than relying on extensive research or active management. On the other hand, actively managed funds tend to have higher expense ratios due to frequent trading and detailed stock analysis. For investors, the expense ratio is an </w:t>
      </w:r>
      <w:r>
        <w:rPr>
          <w:rFonts w:eastAsia="Times New Roman" w:cs="Times New Roman"/>
          <w:sz w:val="24"/>
          <w:szCs w:val="24"/>
        </w:rPr>
        <w:lastRenderedPageBreak/>
        <w:t>important parameter because even a small difference in cost can significantly affect long-term returns through compounding. Therefore, choosing funds with reasonable and competitive expense ratios is crucial for maximizing investment efficiency.</w:t>
      </w:r>
    </w:p>
    <w:p w14:paraId="784BBE3B" w14:textId="77777777" w:rsidR="00D25741" w:rsidRDefault="00000000">
      <w:pPr>
        <w:pBdr>
          <w:top w:val="nil"/>
          <w:left w:val="nil"/>
          <w:bottom w:val="nil"/>
          <w:right w:val="nil"/>
          <w:between w:val="nil"/>
        </w:pBdr>
        <w:spacing w:before="240" w:after="240"/>
        <w:jc w:val="both"/>
        <w:rPr>
          <w:rFonts w:eastAsia="Times New Roman" w:cs="Times New Roman"/>
          <w:sz w:val="24"/>
          <w:szCs w:val="24"/>
        </w:rPr>
      </w:pPr>
      <w:r>
        <w:rPr>
          <w:rFonts w:eastAsia="Times New Roman" w:cs="Times New Roman"/>
          <w:sz w:val="24"/>
          <w:szCs w:val="24"/>
        </w:rPr>
        <w:t>1.7.2 STANDARD DEVIATION</w:t>
      </w:r>
    </w:p>
    <w:p w14:paraId="0CCDE0B6" w14:textId="77777777" w:rsidR="00D25741" w:rsidRDefault="00000000" w:rsidP="000A10EE">
      <w:pPr>
        <w:spacing w:before="240" w:after="240"/>
        <w:jc w:val="both"/>
        <w:rPr>
          <w:rFonts w:eastAsia="Times New Roman" w:cs="Times New Roman"/>
          <w:sz w:val="24"/>
          <w:szCs w:val="24"/>
        </w:rPr>
      </w:pPr>
      <w:r>
        <w:rPr>
          <w:rFonts w:eastAsia="Times New Roman" w:cs="Times New Roman"/>
          <w:sz w:val="24"/>
          <w:szCs w:val="24"/>
        </w:rPr>
        <w:t>Standard deviation (SD) is a statistical measure of risk that shows how much a fund’s returns fluctuate around its average (mean) return over a period. In simple words, it tells you how “unstable” or “volatile” the returns are.</w:t>
      </w:r>
    </w:p>
    <w:p w14:paraId="51326295" w14:textId="77777777" w:rsidR="00D25741" w:rsidRDefault="00000000" w:rsidP="000A10EE">
      <w:pPr>
        <w:numPr>
          <w:ilvl w:val="0"/>
          <w:numId w:val="38"/>
        </w:numPr>
        <w:spacing w:before="240"/>
        <w:rPr>
          <w:rFonts w:eastAsia="Times New Roman" w:cs="Times New Roman"/>
          <w:sz w:val="24"/>
          <w:szCs w:val="24"/>
        </w:rPr>
      </w:pPr>
      <w:r>
        <w:rPr>
          <w:rFonts w:ascii="Cardo" w:eastAsia="Cardo" w:hAnsi="Cardo" w:cs="Cardo"/>
          <w:sz w:val="24"/>
          <w:szCs w:val="24"/>
        </w:rPr>
        <w:t>High SD → returns move up and down a lot → high risk</w:t>
      </w:r>
      <w:r>
        <w:rPr>
          <w:rFonts w:ascii="Cardo" w:eastAsia="Cardo" w:hAnsi="Cardo" w:cs="Cardo"/>
          <w:sz w:val="24"/>
          <w:szCs w:val="24"/>
        </w:rPr>
        <w:br/>
      </w:r>
    </w:p>
    <w:p w14:paraId="4B633F86" w14:textId="77777777" w:rsidR="00596D09" w:rsidRDefault="00000000" w:rsidP="00596D09">
      <w:pPr>
        <w:numPr>
          <w:ilvl w:val="0"/>
          <w:numId w:val="38"/>
        </w:numPr>
        <w:spacing w:after="240"/>
        <w:rPr>
          <w:rFonts w:eastAsia="Times New Roman" w:cs="Times New Roman"/>
          <w:sz w:val="24"/>
          <w:szCs w:val="24"/>
        </w:rPr>
      </w:pPr>
      <w:r>
        <w:rPr>
          <w:rFonts w:ascii="Cardo" w:eastAsia="Cardo" w:hAnsi="Cardo" w:cs="Cardo"/>
          <w:sz w:val="24"/>
          <w:szCs w:val="24"/>
        </w:rPr>
        <w:t>Low SD → returns are more stable and predictable → low risk</w:t>
      </w:r>
      <w:r>
        <w:rPr>
          <w:rFonts w:ascii="Cardo" w:eastAsia="Cardo" w:hAnsi="Cardo" w:cs="Cardo"/>
          <w:sz w:val="24"/>
          <w:szCs w:val="24"/>
        </w:rPr>
        <w:br/>
      </w:r>
    </w:p>
    <w:p w14:paraId="43EBC019" w14:textId="332FC9F3" w:rsidR="00D25741" w:rsidRPr="00596D09" w:rsidRDefault="00000000" w:rsidP="00596D09">
      <w:pPr>
        <w:spacing w:after="240"/>
        <w:rPr>
          <w:rFonts w:eastAsia="Times New Roman" w:cs="Times New Roman"/>
          <w:sz w:val="24"/>
          <w:szCs w:val="24"/>
        </w:rPr>
      </w:pPr>
      <w:r w:rsidRPr="00596D09">
        <w:rPr>
          <w:rFonts w:eastAsia="Times New Roman" w:cs="Times New Roman"/>
          <w:sz w:val="24"/>
          <w:szCs w:val="24"/>
        </w:rPr>
        <w:t>Interpretation in mutual funds:</w:t>
      </w:r>
    </w:p>
    <w:p w14:paraId="463553E7" w14:textId="77777777" w:rsidR="00D25741" w:rsidRDefault="00000000" w:rsidP="000A10EE">
      <w:pPr>
        <w:numPr>
          <w:ilvl w:val="0"/>
          <w:numId w:val="8"/>
        </w:numPr>
        <w:spacing w:before="240"/>
        <w:rPr>
          <w:rFonts w:eastAsia="Times New Roman" w:cs="Times New Roman"/>
          <w:sz w:val="24"/>
          <w:szCs w:val="24"/>
        </w:rPr>
      </w:pPr>
      <w:r>
        <w:rPr>
          <w:rFonts w:eastAsia="Times New Roman" w:cs="Times New Roman"/>
          <w:sz w:val="24"/>
          <w:szCs w:val="24"/>
        </w:rPr>
        <w:t>If Fund A has an average return of 10% with SD of 5%, and Fund B has 10% with SD of 12%,</w:t>
      </w:r>
      <w:r>
        <w:rPr>
          <w:rFonts w:eastAsia="Times New Roman" w:cs="Times New Roman"/>
          <w:sz w:val="24"/>
          <w:szCs w:val="24"/>
        </w:rPr>
        <w:br/>
      </w:r>
    </w:p>
    <w:p w14:paraId="06E09013" w14:textId="77777777" w:rsidR="00D25741" w:rsidRDefault="00000000" w:rsidP="000A10EE">
      <w:pPr>
        <w:numPr>
          <w:ilvl w:val="1"/>
          <w:numId w:val="8"/>
        </w:numPr>
        <w:rPr>
          <w:rFonts w:eastAsia="Times New Roman" w:cs="Times New Roman"/>
          <w:sz w:val="24"/>
          <w:szCs w:val="24"/>
        </w:rPr>
      </w:pPr>
      <w:r>
        <w:rPr>
          <w:rFonts w:eastAsia="Times New Roman" w:cs="Times New Roman"/>
          <w:sz w:val="24"/>
          <w:szCs w:val="24"/>
        </w:rPr>
        <w:t>Both give same average return,</w:t>
      </w:r>
      <w:r>
        <w:rPr>
          <w:rFonts w:eastAsia="Times New Roman" w:cs="Times New Roman"/>
          <w:sz w:val="24"/>
          <w:szCs w:val="24"/>
        </w:rPr>
        <w:br/>
      </w:r>
    </w:p>
    <w:p w14:paraId="7003E37E" w14:textId="77777777" w:rsidR="00D25741" w:rsidRDefault="00000000" w:rsidP="000A10EE">
      <w:pPr>
        <w:numPr>
          <w:ilvl w:val="1"/>
          <w:numId w:val="8"/>
        </w:numPr>
        <w:rPr>
          <w:rFonts w:eastAsia="Times New Roman" w:cs="Times New Roman"/>
          <w:sz w:val="24"/>
          <w:szCs w:val="24"/>
        </w:rPr>
      </w:pPr>
      <w:r>
        <w:rPr>
          <w:rFonts w:eastAsia="Times New Roman" w:cs="Times New Roman"/>
          <w:sz w:val="24"/>
          <w:szCs w:val="24"/>
        </w:rPr>
        <w:t xml:space="preserve">But Fund B is much </w:t>
      </w:r>
      <w:proofErr w:type="gramStart"/>
      <w:r>
        <w:rPr>
          <w:rFonts w:eastAsia="Times New Roman" w:cs="Times New Roman"/>
          <w:sz w:val="24"/>
          <w:szCs w:val="24"/>
        </w:rPr>
        <w:t>more risky</w:t>
      </w:r>
      <w:proofErr w:type="gramEnd"/>
      <w:r>
        <w:rPr>
          <w:rFonts w:eastAsia="Times New Roman" w:cs="Times New Roman"/>
          <w:sz w:val="24"/>
          <w:szCs w:val="24"/>
        </w:rPr>
        <w:t>/volatile.</w:t>
      </w:r>
      <w:r>
        <w:rPr>
          <w:rFonts w:eastAsia="Times New Roman" w:cs="Times New Roman"/>
          <w:sz w:val="24"/>
          <w:szCs w:val="24"/>
        </w:rPr>
        <w:br/>
      </w:r>
    </w:p>
    <w:p w14:paraId="603B5A9F" w14:textId="77777777" w:rsidR="00D25741" w:rsidRDefault="00000000">
      <w:pPr>
        <w:numPr>
          <w:ilvl w:val="0"/>
          <w:numId w:val="8"/>
        </w:numPr>
        <w:spacing w:after="240"/>
        <w:jc w:val="both"/>
        <w:rPr>
          <w:rFonts w:eastAsia="Times New Roman" w:cs="Times New Roman"/>
          <w:sz w:val="24"/>
          <w:szCs w:val="24"/>
        </w:rPr>
      </w:pPr>
      <w:r>
        <w:rPr>
          <w:rFonts w:eastAsia="Times New Roman" w:cs="Times New Roman"/>
          <w:sz w:val="24"/>
          <w:szCs w:val="24"/>
        </w:rPr>
        <w:t>Standard deviation is used along with Sharpe Ratio to see whether extra risk is giving extra returns.</w:t>
      </w:r>
    </w:p>
    <w:p w14:paraId="6B920405" w14:textId="77777777" w:rsidR="00596D09" w:rsidRDefault="00000000" w:rsidP="00596D09">
      <w:pPr>
        <w:spacing w:before="240" w:after="240"/>
        <w:jc w:val="both"/>
        <w:rPr>
          <w:rFonts w:eastAsia="Times New Roman" w:cs="Times New Roman"/>
          <w:sz w:val="24"/>
          <w:szCs w:val="24"/>
        </w:rPr>
      </w:pPr>
      <w:r>
        <w:rPr>
          <w:rFonts w:eastAsia="Times New Roman" w:cs="Times New Roman"/>
          <w:sz w:val="24"/>
          <w:szCs w:val="24"/>
        </w:rPr>
        <w:t>Standard deviation is used to measure total risk or volatility of returns of selected mutual funds over the study period.</w:t>
      </w:r>
    </w:p>
    <w:p w14:paraId="59BC96D5" w14:textId="280F3C88" w:rsidR="00D25741" w:rsidRDefault="00000000" w:rsidP="00596D09">
      <w:pPr>
        <w:spacing w:before="240" w:after="240"/>
        <w:jc w:val="both"/>
        <w:rPr>
          <w:rFonts w:eastAsia="Times New Roman" w:cs="Times New Roman"/>
          <w:sz w:val="24"/>
          <w:szCs w:val="24"/>
        </w:rPr>
      </w:pPr>
      <w:r>
        <w:rPr>
          <w:rFonts w:eastAsia="Times New Roman" w:cs="Times New Roman"/>
          <w:sz w:val="24"/>
          <w:szCs w:val="24"/>
        </w:rPr>
        <w:t xml:space="preserve">1.7.3 BETA </w:t>
      </w:r>
    </w:p>
    <w:p w14:paraId="32F35B3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Beta (β) measures how sensitive a mutual fund’s returns are to movements in the overall market or benchmark index (like Nifty 50). It captures systematic risk, which is the risk that comes from overall market conditions and cannot be diversified away.</w:t>
      </w:r>
    </w:p>
    <w:p w14:paraId="3CFE63A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Interpretation of Beta values:</w:t>
      </w:r>
    </w:p>
    <w:p w14:paraId="064108DC" w14:textId="77777777" w:rsidR="00D25741" w:rsidRDefault="00000000" w:rsidP="000A10EE">
      <w:pPr>
        <w:numPr>
          <w:ilvl w:val="0"/>
          <w:numId w:val="35"/>
        </w:numPr>
        <w:spacing w:before="240"/>
        <w:rPr>
          <w:rFonts w:eastAsia="Times New Roman" w:cs="Times New Roman"/>
          <w:sz w:val="24"/>
          <w:szCs w:val="24"/>
        </w:rPr>
      </w:pPr>
      <w:r>
        <w:rPr>
          <w:rFonts w:ascii="Cardo" w:eastAsia="Cardo" w:hAnsi="Cardo" w:cs="Cardo"/>
          <w:sz w:val="24"/>
          <w:szCs w:val="24"/>
        </w:rPr>
        <w:t>β = 1 → Fund moves</w:t>
      </w:r>
      <w:r>
        <w:rPr>
          <w:rFonts w:eastAsia="Times New Roman" w:cs="Times New Roman"/>
          <w:sz w:val="24"/>
          <w:szCs w:val="24"/>
        </w:rPr>
        <w:t xml:space="preserve"> in line with the market</w:t>
      </w:r>
      <w:r>
        <w:rPr>
          <w:rFonts w:eastAsia="Times New Roman" w:cs="Times New Roman"/>
          <w:sz w:val="24"/>
          <w:szCs w:val="24"/>
        </w:rPr>
        <w:br/>
      </w:r>
    </w:p>
    <w:p w14:paraId="07FD8C95" w14:textId="77777777" w:rsidR="00D25741" w:rsidRDefault="00000000" w:rsidP="000A10EE">
      <w:pPr>
        <w:numPr>
          <w:ilvl w:val="1"/>
          <w:numId w:val="35"/>
        </w:numPr>
        <w:rPr>
          <w:rFonts w:eastAsia="Times New Roman" w:cs="Times New Roman"/>
          <w:sz w:val="24"/>
          <w:szCs w:val="24"/>
        </w:rPr>
      </w:pPr>
      <w:r>
        <w:rPr>
          <w:rFonts w:eastAsia="Times New Roman" w:cs="Times New Roman"/>
          <w:sz w:val="24"/>
          <w:szCs w:val="24"/>
        </w:rPr>
        <w:t xml:space="preserve">If market goes up by 10%, </w:t>
      </w:r>
      <w:proofErr w:type="gramStart"/>
      <w:r>
        <w:rPr>
          <w:rFonts w:eastAsia="Times New Roman" w:cs="Times New Roman"/>
          <w:sz w:val="24"/>
          <w:szCs w:val="24"/>
        </w:rPr>
        <w:t>fund also goes</w:t>
      </w:r>
      <w:proofErr w:type="gramEnd"/>
      <w:r>
        <w:rPr>
          <w:rFonts w:eastAsia="Times New Roman" w:cs="Times New Roman"/>
          <w:sz w:val="24"/>
          <w:szCs w:val="24"/>
        </w:rPr>
        <w:t xml:space="preserve"> </w:t>
      </w:r>
      <w:proofErr w:type="gramStart"/>
      <w:r>
        <w:rPr>
          <w:rFonts w:eastAsia="Times New Roman" w:cs="Times New Roman"/>
          <w:sz w:val="24"/>
          <w:szCs w:val="24"/>
        </w:rPr>
        <w:t>up</w:t>
      </w:r>
      <w:proofErr w:type="gramEnd"/>
      <w:r>
        <w:rPr>
          <w:rFonts w:eastAsia="Times New Roman" w:cs="Times New Roman"/>
          <w:sz w:val="24"/>
          <w:szCs w:val="24"/>
        </w:rPr>
        <w:t xml:space="preserve"> 10%.</w:t>
      </w:r>
      <w:r>
        <w:rPr>
          <w:rFonts w:eastAsia="Times New Roman" w:cs="Times New Roman"/>
          <w:sz w:val="24"/>
          <w:szCs w:val="24"/>
        </w:rPr>
        <w:br/>
      </w:r>
    </w:p>
    <w:p w14:paraId="2506ED7F" w14:textId="77777777" w:rsidR="00D25741" w:rsidRDefault="00000000" w:rsidP="000A10EE">
      <w:pPr>
        <w:numPr>
          <w:ilvl w:val="0"/>
          <w:numId w:val="35"/>
        </w:numPr>
        <w:rPr>
          <w:rFonts w:eastAsia="Times New Roman" w:cs="Times New Roman"/>
          <w:sz w:val="24"/>
          <w:szCs w:val="24"/>
        </w:rPr>
      </w:pPr>
      <w:r>
        <w:rPr>
          <w:rFonts w:ascii="Cardo" w:eastAsia="Cardo" w:hAnsi="Cardo" w:cs="Cardo"/>
          <w:sz w:val="24"/>
          <w:szCs w:val="24"/>
        </w:rPr>
        <w:t>β &gt; 1 → Fund is more volatile than the market</w:t>
      </w:r>
      <w:r>
        <w:rPr>
          <w:rFonts w:ascii="Cardo" w:eastAsia="Cardo" w:hAnsi="Cardo" w:cs="Cardo"/>
          <w:sz w:val="24"/>
          <w:szCs w:val="24"/>
        </w:rPr>
        <w:br/>
      </w:r>
    </w:p>
    <w:p w14:paraId="15D1F1EA" w14:textId="77777777" w:rsidR="00D25741" w:rsidRDefault="00000000" w:rsidP="000A10EE">
      <w:pPr>
        <w:numPr>
          <w:ilvl w:val="1"/>
          <w:numId w:val="35"/>
        </w:numPr>
        <w:rPr>
          <w:rFonts w:eastAsia="Times New Roman" w:cs="Times New Roman"/>
          <w:sz w:val="24"/>
          <w:szCs w:val="24"/>
        </w:rPr>
      </w:pPr>
      <w:r>
        <w:rPr>
          <w:rFonts w:ascii="Cardo" w:eastAsia="Cardo" w:hAnsi="Cardo" w:cs="Cardo"/>
          <w:sz w:val="24"/>
          <w:szCs w:val="24"/>
        </w:rPr>
        <w:t xml:space="preserve">β = 1.2 → If market rises 10%, </w:t>
      </w:r>
      <w:proofErr w:type="gramStart"/>
      <w:r>
        <w:rPr>
          <w:rFonts w:ascii="Cardo" w:eastAsia="Cardo" w:hAnsi="Cardo" w:cs="Cardo"/>
          <w:sz w:val="24"/>
          <w:szCs w:val="24"/>
        </w:rPr>
        <w:t>fund tends</w:t>
      </w:r>
      <w:proofErr w:type="gramEnd"/>
      <w:r>
        <w:rPr>
          <w:rFonts w:ascii="Cardo" w:eastAsia="Cardo" w:hAnsi="Cardo" w:cs="Cardo"/>
          <w:sz w:val="24"/>
          <w:szCs w:val="24"/>
        </w:rPr>
        <w:t xml:space="preserve"> to rise 12% (and fall 12% if market falls 10%).</w:t>
      </w:r>
      <w:r>
        <w:rPr>
          <w:rFonts w:ascii="Cardo" w:eastAsia="Cardo" w:hAnsi="Cardo" w:cs="Cardo"/>
          <w:sz w:val="24"/>
          <w:szCs w:val="24"/>
        </w:rPr>
        <w:br/>
      </w:r>
    </w:p>
    <w:p w14:paraId="323A4A24" w14:textId="77777777" w:rsidR="00D25741" w:rsidRDefault="00000000" w:rsidP="000A10EE">
      <w:pPr>
        <w:numPr>
          <w:ilvl w:val="0"/>
          <w:numId w:val="35"/>
        </w:numPr>
        <w:rPr>
          <w:rFonts w:eastAsia="Times New Roman" w:cs="Times New Roman"/>
          <w:sz w:val="24"/>
          <w:szCs w:val="24"/>
        </w:rPr>
      </w:pPr>
      <w:r>
        <w:rPr>
          <w:rFonts w:ascii="Cardo" w:eastAsia="Cardo" w:hAnsi="Cardo" w:cs="Cardo"/>
          <w:sz w:val="24"/>
          <w:szCs w:val="24"/>
        </w:rPr>
        <w:lastRenderedPageBreak/>
        <w:t>β &lt; 1 → Fund is less volatile than the market</w:t>
      </w:r>
      <w:r>
        <w:rPr>
          <w:rFonts w:ascii="Cardo" w:eastAsia="Cardo" w:hAnsi="Cardo" w:cs="Cardo"/>
          <w:sz w:val="24"/>
          <w:szCs w:val="24"/>
        </w:rPr>
        <w:br/>
      </w:r>
    </w:p>
    <w:p w14:paraId="013B2066" w14:textId="77777777" w:rsidR="00D25741" w:rsidRDefault="00000000" w:rsidP="000A10EE">
      <w:pPr>
        <w:numPr>
          <w:ilvl w:val="1"/>
          <w:numId w:val="35"/>
        </w:numPr>
        <w:rPr>
          <w:rFonts w:eastAsia="Times New Roman" w:cs="Times New Roman"/>
          <w:sz w:val="24"/>
          <w:szCs w:val="24"/>
        </w:rPr>
      </w:pPr>
      <w:r>
        <w:rPr>
          <w:rFonts w:ascii="Cardo" w:eastAsia="Cardo" w:hAnsi="Cardo" w:cs="Cardo"/>
          <w:sz w:val="24"/>
          <w:szCs w:val="24"/>
        </w:rPr>
        <w:t xml:space="preserve">β = 0.8 → If market rises 10%, </w:t>
      </w:r>
      <w:proofErr w:type="gramStart"/>
      <w:r>
        <w:rPr>
          <w:rFonts w:ascii="Cardo" w:eastAsia="Cardo" w:hAnsi="Cardo" w:cs="Cardo"/>
          <w:sz w:val="24"/>
          <w:szCs w:val="24"/>
        </w:rPr>
        <w:t>fund</w:t>
      </w:r>
      <w:proofErr w:type="gramEnd"/>
      <w:r>
        <w:rPr>
          <w:rFonts w:ascii="Cardo" w:eastAsia="Cardo" w:hAnsi="Cardo" w:cs="Cardo"/>
          <w:sz w:val="24"/>
          <w:szCs w:val="24"/>
        </w:rPr>
        <w:t xml:space="preserve"> may rise 8% (and fall only 8%).</w:t>
      </w:r>
      <w:r>
        <w:rPr>
          <w:rFonts w:ascii="Cardo" w:eastAsia="Cardo" w:hAnsi="Cardo" w:cs="Cardo"/>
          <w:sz w:val="24"/>
          <w:szCs w:val="24"/>
        </w:rPr>
        <w:br/>
      </w:r>
    </w:p>
    <w:p w14:paraId="545689F3" w14:textId="77777777" w:rsidR="00D25741" w:rsidRDefault="00000000" w:rsidP="000A10EE">
      <w:pPr>
        <w:numPr>
          <w:ilvl w:val="0"/>
          <w:numId w:val="35"/>
        </w:numPr>
        <w:spacing w:after="240"/>
        <w:rPr>
          <w:rFonts w:eastAsia="Times New Roman" w:cs="Times New Roman"/>
          <w:sz w:val="24"/>
          <w:szCs w:val="24"/>
        </w:rPr>
      </w:pPr>
      <w:r>
        <w:rPr>
          <w:rFonts w:ascii="Cardo" w:eastAsia="Cardo" w:hAnsi="Cardo" w:cs="Cardo"/>
          <w:sz w:val="24"/>
          <w:szCs w:val="24"/>
        </w:rPr>
        <w:t>β &lt; 0 → Very rare in mutual funds; indicates movement opposite to market.</w:t>
      </w:r>
      <w:r>
        <w:rPr>
          <w:rFonts w:ascii="Cardo" w:eastAsia="Cardo" w:hAnsi="Cardo" w:cs="Cardo"/>
          <w:sz w:val="24"/>
          <w:szCs w:val="24"/>
        </w:rPr>
        <w:br/>
      </w:r>
    </w:p>
    <w:p w14:paraId="16F6FF28"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Role in risk–return analysis:</w:t>
      </w:r>
    </w:p>
    <w:p w14:paraId="1CA7523D" w14:textId="77777777" w:rsidR="00D25741" w:rsidRDefault="00000000" w:rsidP="000A10EE">
      <w:pPr>
        <w:numPr>
          <w:ilvl w:val="0"/>
          <w:numId w:val="20"/>
        </w:numPr>
        <w:spacing w:before="240"/>
        <w:rPr>
          <w:rFonts w:eastAsia="Times New Roman" w:cs="Times New Roman"/>
          <w:sz w:val="24"/>
          <w:szCs w:val="24"/>
        </w:rPr>
      </w:pPr>
      <w:r>
        <w:rPr>
          <w:rFonts w:eastAsia="Times New Roman" w:cs="Times New Roman"/>
          <w:sz w:val="24"/>
          <w:szCs w:val="24"/>
        </w:rPr>
        <w:t>Beta shows market-related risk.</w:t>
      </w:r>
      <w:r>
        <w:rPr>
          <w:rFonts w:eastAsia="Times New Roman" w:cs="Times New Roman"/>
          <w:sz w:val="24"/>
          <w:szCs w:val="24"/>
        </w:rPr>
        <w:br/>
      </w:r>
    </w:p>
    <w:p w14:paraId="5A0AA42F" w14:textId="77777777" w:rsidR="00D25741" w:rsidRDefault="00000000" w:rsidP="000A10EE">
      <w:pPr>
        <w:numPr>
          <w:ilvl w:val="0"/>
          <w:numId w:val="20"/>
        </w:numPr>
        <w:rPr>
          <w:rFonts w:eastAsia="Times New Roman" w:cs="Times New Roman"/>
          <w:sz w:val="24"/>
          <w:szCs w:val="24"/>
        </w:rPr>
      </w:pPr>
      <w:r>
        <w:rPr>
          <w:rFonts w:eastAsia="Times New Roman" w:cs="Times New Roman"/>
          <w:sz w:val="24"/>
          <w:szCs w:val="24"/>
        </w:rPr>
        <w:t>Useful to compare aggressive vs defensive funds:</w:t>
      </w:r>
      <w:r>
        <w:rPr>
          <w:rFonts w:eastAsia="Times New Roman" w:cs="Times New Roman"/>
          <w:sz w:val="24"/>
          <w:szCs w:val="24"/>
        </w:rPr>
        <w:br/>
      </w:r>
    </w:p>
    <w:p w14:paraId="6549777D" w14:textId="77777777" w:rsidR="00D25741" w:rsidRDefault="00000000" w:rsidP="000A10EE">
      <w:pPr>
        <w:numPr>
          <w:ilvl w:val="1"/>
          <w:numId w:val="20"/>
        </w:numPr>
        <w:rPr>
          <w:rFonts w:eastAsia="Times New Roman" w:cs="Times New Roman"/>
          <w:sz w:val="24"/>
          <w:szCs w:val="24"/>
        </w:rPr>
      </w:pPr>
      <w:r>
        <w:rPr>
          <w:rFonts w:eastAsia="Times New Roman" w:cs="Times New Roman"/>
          <w:sz w:val="24"/>
          <w:szCs w:val="24"/>
        </w:rPr>
        <w:t>High beta (&gt;1): aggressive growth funds</w:t>
      </w:r>
      <w:r>
        <w:rPr>
          <w:rFonts w:eastAsia="Times New Roman" w:cs="Times New Roman"/>
          <w:sz w:val="24"/>
          <w:szCs w:val="24"/>
        </w:rPr>
        <w:br/>
      </w:r>
    </w:p>
    <w:p w14:paraId="4E79DD23" w14:textId="77777777" w:rsidR="00D25741" w:rsidRDefault="00000000" w:rsidP="000A10EE">
      <w:pPr>
        <w:numPr>
          <w:ilvl w:val="1"/>
          <w:numId w:val="20"/>
        </w:numPr>
        <w:rPr>
          <w:rFonts w:eastAsia="Times New Roman" w:cs="Times New Roman"/>
          <w:sz w:val="24"/>
          <w:szCs w:val="24"/>
        </w:rPr>
      </w:pPr>
      <w:r>
        <w:rPr>
          <w:rFonts w:eastAsia="Times New Roman" w:cs="Times New Roman"/>
          <w:sz w:val="24"/>
          <w:szCs w:val="24"/>
        </w:rPr>
        <w:t>Low beta (&lt;1): defensive or conservative funds</w:t>
      </w:r>
      <w:r>
        <w:rPr>
          <w:rFonts w:eastAsia="Times New Roman" w:cs="Times New Roman"/>
          <w:sz w:val="24"/>
          <w:szCs w:val="24"/>
        </w:rPr>
        <w:br/>
      </w:r>
    </w:p>
    <w:p w14:paraId="342562AE" w14:textId="77777777" w:rsidR="00D25741" w:rsidRDefault="00000000" w:rsidP="000A10EE">
      <w:pPr>
        <w:numPr>
          <w:ilvl w:val="0"/>
          <w:numId w:val="20"/>
        </w:numPr>
        <w:spacing w:after="240"/>
        <w:rPr>
          <w:rFonts w:eastAsia="Times New Roman" w:cs="Times New Roman"/>
          <w:sz w:val="24"/>
          <w:szCs w:val="24"/>
        </w:rPr>
      </w:pPr>
      <w:r>
        <w:rPr>
          <w:rFonts w:eastAsia="Times New Roman" w:cs="Times New Roman"/>
          <w:sz w:val="24"/>
          <w:szCs w:val="24"/>
        </w:rPr>
        <w:t>Beta is also used in CAPM (Capital Asset Pricing Model) and for calculating Treynor Ratio and Jensen’s Alpha.</w:t>
      </w:r>
    </w:p>
    <w:p w14:paraId="19477452" w14:textId="77777777" w:rsidR="00D25741" w:rsidRDefault="00000000">
      <w:pPr>
        <w:pStyle w:val="Heading1"/>
        <w:keepNext w:val="0"/>
        <w:keepLines w:val="0"/>
        <w:spacing w:before="480"/>
        <w:jc w:val="both"/>
        <w:rPr>
          <w:rFonts w:eastAsia="Times New Roman" w:cs="Times New Roman"/>
          <w:color w:val="000000"/>
          <w:sz w:val="24"/>
          <w:szCs w:val="24"/>
        </w:rPr>
      </w:pPr>
      <w:bookmarkStart w:id="43" w:name="_nwqaudh1rf68" w:colFirst="0" w:colLast="0"/>
      <w:bookmarkEnd w:id="43"/>
      <w:r>
        <w:rPr>
          <w:rFonts w:eastAsia="Times New Roman" w:cs="Times New Roman"/>
          <w:sz w:val="24"/>
          <w:szCs w:val="24"/>
        </w:rPr>
        <w:t>1.7.4 Sharpe Ratio (Sharpe Index)</w:t>
      </w:r>
    </w:p>
    <w:p w14:paraId="65462FB9"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Sharpe Ratio measures the risk-adjusted return of a mutual fund. It shows how much excess return (above the risk-free rate) the fund generates for each unit of total risk taken.</w:t>
      </w:r>
      <w:r>
        <w:rPr>
          <w:rFonts w:eastAsia="Times New Roman" w:cs="Times New Roman"/>
          <w:sz w:val="24"/>
          <w:szCs w:val="24"/>
        </w:rPr>
        <w:br/>
        <w:t xml:space="preserve"> Total risk is measured through Standard Deviation.</w:t>
      </w:r>
    </w:p>
    <w:p w14:paraId="50A1C66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A higher Sharpe Ratio means the fund offers better returns </w:t>
      </w:r>
      <w:proofErr w:type="gramStart"/>
      <w:r>
        <w:rPr>
          <w:rFonts w:eastAsia="Times New Roman" w:cs="Times New Roman"/>
          <w:sz w:val="24"/>
          <w:szCs w:val="24"/>
        </w:rPr>
        <w:t>for the amount of</w:t>
      </w:r>
      <w:proofErr w:type="gramEnd"/>
      <w:r>
        <w:rPr>
          <w:rFonts w:eastAsia="Times New Roman" w:cs="Times New Roman"/>
          <w:sz w:val="24"/>
          <w:szCs w:val="24"/>
        </w:rPr>
        <w:t xml:space="preserve"> risk taken.</w:t>
      </w:r>
    </w:p>
    <w:p w14:paraId="6945B429" w14:textId="77777777" w:rsidR="00D25741" w:rsidRDefault="00000000">
      <w:pPr>
        <w:pStyle w:val="Heading3"/>
        <w:keepNext w:val="0"/>
        <w:keepLines w:val="0"/>
        <w:spacing w:before="280"/>
        <w:jc w:val="both"/>
        <w:rPr>
          <w:rFonts w:eastAsia="Times New Roman" w:cs="Times New Roman"/>
          <w:sz w:val="24"/>
          <w:szCs w:val="24"/>
        </w:rPr>
      </w:pPr>
      <w:bookmarkStart w:id="44" w:name="_f9ca1mmy2ijh" w:colFirst="0" w:colLast="0"/>
      <w:bookmarkEnd w:id="44"/>
      <w:r>
        <w:rPr>
          <w:rFonts w:eastAsia="Times New Roman" w:cs="Times New Roman"/>
          <w:color w:val="000000"/>
          <w:sz w:val="24"/>
          <w:szCs w:val="24"/>
        </w:rPr>
        <w:t>Formula:</w:t>
      </w:r>
    </w:p>
    <w:p w14:paraId="39E17C2B" w14:textId="1A655A03" w:rsidR="000A10EE" w:rsidRDefault="00000000" w:rsidP="000A10EE">
      <w:pPr>
        <w:spacing w:before="240" w:after="240"/>
        <w:rPr>
          <w:rFonts w:eastAsia="Gungsuh" w:cs="Times New Roman"/>
          <w:sz w:val="24"/>
          <w:szCs w:val="24"/>
          <w:u w:val="single"/>
        </w:rPr>
      </w:pPr>
      <w:r w:rsidRPr="000A10EE">
        <w:rPr>
          <w:rFonts w:eastAsia="Times New Roman" w:cs="Times New Roman"/>
          <w:sz w:val="24"/>
          <w:szCs w:val="24"/>
        </w:rPr>
        <w:t xml:space="preserve">Sharpe Ratio =​ </w:t>
      </w:r>
      <w:r w:rsidRPr="000A10EE">
        <w:rPr>
          <w:rFonts w:eastAsia="Gungsuh" w:cs="Times New Roman"/>
          <w:sz w:val="24"/>
          <w:szCs w:val="24"/>
          <w:u w:val="single"/>
        </w:rPr>
        <w:t>Rp​−Rf​</w:t>
      </w:r>
    </w:p>
    <w:p w14:paraId="155C66CF" w14:textId="674B0AEF" w:rsidR="000A10EE" w:rsidRPr="000A10EE" w:rsidRDefault="000A10EE" w:rsidP="000A10EE">
      <w:pPr>
        <w:spacing w:before="240" w:after="240"/>
        <w:rPr>
          <w:rFonts w:eastAsia="Gungsuh" w:cs="Times New Roman"/>
          <w:sz w:val="24"/>
          <w:szCs w:val="24"/>
          <w:u w:val="single"/>
        </w:rPr>
      </w:pPr>
      <w:r w:rsidRPr="000A10EE">
        <w:rPr>
          <w:rFonts w:eastAsia="Gungsuh" w:cs="Times New Roman"/>
          <w:sz w:val="24"/>
          <w:szCs w:val="24"/>
        </w:rPr>
        <w:t xml:space="preserve">                            </w:t>
      </w:r>
      <w:r>
        <w:rPr>
          <w:rFonts w:eastAsia="Times New Roman" w:cs="Times New Roman"/>
          <w:sz w:val="24"/>
          <w:szCs w:val="24"/>
        </w:rPr>
        <w:t>σp</w:t>
      </w:r>
      <w:r>
        <w:rPr>
          <w:rFonts w:ascii="Gungsuh" w:eastAsia="Gungsuh" w:hAnsi="Gungsuh" w:cs="Gungsuh"/>
          <w:sz w:val="24"/>
          <w:szCs w:val="24"/>
          <w:u w:val="single"/>
        </w:rPr>
        <w:t xml:space="preserve">                        </w:t>
      </w:r>
    </w:p>
    <w:p w14:paraId="150721E7" w14:textId="7AB982F2" w:rsidR="00D25741" w:rsidRPr="000A10EE" w:rsidRDefault="00000000" w:rsidP="000A10EE">
      <w:pPr>
        <w:spacing w:before="240" w:after="240" w:line="276" w:lineRule="auto"/>
        <w:rPr>
          <w:rFonts w:ascii="Gungsuh" w:eastAsia="Gungsuh" w:hAnsi="Gungsuh" w:cs="Gungsuh"/>
          <w:sz w:val="24"/>
          <w:szCs w:val="24"/>
          <w:u w:val="single"/>
        </w:rPr>
      </w:pPr>
      <w:r>
        <w:rPr>
          <w:rFonts w:eastAsia="Times New Roman" w:cs="Times New Roman"/>
          <w:sz w:val="24"/>
          <w:szCs w:val="24"/>
        </w:rPr>
        <w:t>Where:</w:t>
      </w:r>
    </w:p>
    <w:p w14:paraId="4DAC65B2" w14:textId="77777777" w:rsidR="00D25741" w:rsidRDefault="00000000" w:rsidP="000A10EE">
      <w:pPr>
        <w:numPr>
          <w:ilvl w:val="0"/>
          <w:numId w:val="44"/>
        </w:numPr>
        <w:spacing w:before="240"/>
        <w:rPr>
          <w:rFonts w:eastAsia="Times New Roman" w:cs="Times New Roman"/>
          <w:sz w:val="24"/>
          <w:szCs w:val="24"/>
        </w:rPr>
      </w:pPr>
      <w:r>
        <w:rPr>
          <w:rFonts w:eastAsia="Times New Roman" w:cs="Times New Roman"/>
          <w:sz w:val="24"/>
          <w:szCs w:val="24"/>
        </w:rPr>
        <w:t>Rp​ = Return of the portfolio</w:t>
      </w:r>
      <w:r>
        <w:rPr>
          <w:rFonts w:eastAsia="Times New Roman" w:cs="Times New Roman"/>
          <w:sz w:val="24"/>
          <w:szCs w:val="24"/>
        </w:rPr>
        <w:br/>
      </w:r>
    </w:p>
    <w:p w14:paraId="69C64224" w14:textId="77777777" w:rsidR="00D25741" w:rsidRDefault="00000000" w:rsidP="000A10EE">
      <w:pPr>
        <w:numPr>
          <w:ilvl w:val="0"/>
          <w:numId w:val="44"/>
        </w:numPr>
        <w:rPr>
          <w:rFonts w:eastAsia="Times New Roman" w:cs="Times New Roman"/>
          <w:sz w:val="24"/>
          <w:szCs w:val="24"/>
        </w:rPr>
      </w:pPr>
      <w:r>
        <w:rPr>
          <w:rFonts w:eastAsia="Times New Roman" w:cs="Times New Roman"/>
          <w:sz w:val="24"/>
          <w:szCs w:val="24"/>
        </w:rPr>
        <w:t>Rf​ = Risk-free rate</w:t>
      </w:r>
      <w:r>
        <w:rPr>
          <w:rFonts w:eastAsia="Times New Roman" w:cs="Times New Roman"/>
          <w:sz w:val="24"/>
          <w:szCs w:val="24"/>
        </w:rPr>
        <w:br/>
      </w:r>
    </w:p>
    <w:p w14:paraId="75E44F2B" w14:textId="77777777" w:rsidR="00D25741" w:rsidRDefault="00000000" w:rsidP="000A10EE">
      <w:pPr>
        <w:numPr>
          <w:ilvl w:val="0"/>
          <w:numId w:val="44"/>
        </w:numPr>
        <w:spacing w:after="240"/>
        <w:rPr>
          <w:rFonts w:eastAsia="Times New Roman" w:cs="Times New Roman"/>
          <w:sz w:val="24"/>
          <w:szCs w:val="24"/>
        </w:rPr>
      </w:pPr>
      <w:r>
        <w:rPr>
          <w:rFonts w:eastAsia="Times New Roman" w:cs="Times New Roman"/>
          <w:sz w:val="24"/>
          <w:szCs w:val="24"/>
        </w:rPr>
        <w:t>σp​ = Standard deviation of the portfolio (total risk)</w:t>
      </w:r>
      <w:r>
        <w:rPr>
          <w:rFonts w:eastAsia="Times New Roman" w:cs="Times New Roman"/>
          <w:sz w:val="24"/>
          <w:szCs w:val="24"/>
        </w:rPr>
        <w:br/>
      </w:r>
    </w:p>
    <w:p w14:paraId="0515107B" w14:textId="77777777" w:rsidR="00807CAF" w:rsidRDefault="00807CAF">
      <w:pPr>
        <w:pStyle w:val="Heading3"/>
        <w:keepNext w:val="0"/>
        <w:keepLines w:val="0"/>
        <w:spacing w:before="280"/>
        <w:jc w:val="both"/>
        <w:rPr>
          <w:rFonts w:eastAsia="Times New Roman" w:cs="Times New Roman"/>
          <w:color w:val="000000"/>
          <w:sz w:val="24"/>
          <w:szCs w:val="24"/>
        </w:rPr>
      </w:pPr>
      <w:bookmarkStart w:id="45" w:name="_lkkm4nms9rtj" w:colFirst="0" w:colLast="0"/>
      <w:bookmarkEnd w:id="45"/>
    </w:p>
    <w:p w14:paraId="10E44842" w14:textId="77777777" w:rsidR="00807CAF" w:rsidRDefault="00807CAF">
      <w:pPr>
        <w:pStyle w:val="Heading3"/>
        <w:keepNext w:val="0"/>
        <w:keepLines w:val="0"/>
        <w:spacing w:before="280"/>
        <w:jc w:val="both"/>
        <w:rPr>
          <w:rFonts w:eastAsia="Times New Roman" w:cs="Times New Roman"/>
          <w:color w:val="000000"/>
          <w:sz w:val="24"/>
          <w:szCs w:val="24"/>
        </w:rPr>
      </w:pPr>
    </w:p>
    <w:p w14:paraId="52BE1AA2" w14:textId="14260040" w:rsidR="00D25741" w:rsidRDefault="00000000">
      <w:pPr>
        <w:pStyle w:val="Heading3"/>
        <w:keepNext w:val="0"/>
        <w:keepLines w:val="0"/>
        <w:spacing w:before="280"/>
        <w:jc w:val="both"/>
        <w:rPr>
          <w:rFonts w:eastAsia="Times New Roman" w:cs="Times New Roman"/>
          <w:color w:val="000000"/>
          <w:sz w:val="24"/>
          <w:szCs w:val="24"/>
        </w:rPr>
      </w:pPr>
      <w:r>
        <w:rPr>
          <w:rFonts w:eastAsia="Times New Roman" w:cs="Times New Roman"/>
          <w:color w:val="000000"/>
          <w:sz w:val="24"/>
          <w:szCs w:val="24"/>
        </w:rPr>
        <w:lastRenderedPageBreak/>
        <w:t>Interpretation:</w:t>
      </w:r>
    </w:p>
    <w:p w14:paraId="621095FC" w14:textId="77777777" w:rsidR="00D25741" w:rsidRDefault="00000000" w:rsidP="000A10EE">
      <w:pPr>
        <w:numPr>
          <w:ilvl w:val="0"/>
          <w:numId w:val="42"/>
        </w:numPr>
        <w:spacing w:before="240"/>
        <w:rPr>
          <w:rFonts w:eastAsia="Times New Roman" w:cs="Times New Roman"/>
          <w:sz w:val="24"/>
          <w:szCs w:val="24"/>
        </w:rPr>
      </w:pPr>
      <w:r>
        <w:rPr>
          <w:rFonts w:eastAsia="Times New Roman" w:cs="Times New Roman"/>
          <w:sz w:val="24"/>
          <w:szCs w:val="24"/>
        </w:rPr>
        <w:t>Higher Sharpe Ratio: better risk-adjusted performance</w:t>
      </w:r>
      <w:r>
        <w:rPr>
          <w:rFonts w:eastAsia="Times New Roman" w:cs="Times New Roman"/>
          <w:sz w:val="24"/>
          <w:szCs w:val="24"/>
        </w:rPr>
        <w:br/>
      </w:r>
    </w:p>
    <w:p w14:paraId="3156DC49" w14:textId="77777777" w:rsidR="00D25741" w:rsidRDefault="00000000" w:rsidP="000A10EE">
      <w:pPr>
        <w:numPr>
          <w:ilvl w:val="0"/>
          <w:numId w:val="42"/>
        </w:numPr>
        <w:rPr>
          <w:rFonts w:eastAsia="Times New Roman" w:cs="Times New Roman"/>
          <w:sz w:val="24"/>
          <w:szCs w:val="24"/>
        </w:rPr>
      </w:pPr>
      <w:r>
        <w:rPr>
          <w:rFonts w:eastAsia="Times New Roman" w:cs="Times New Roman"/>
          <w:sz w:val="24"/>
          <w:szCs w:val="24"/>
        </w:rPr>
        <w:t>Sharpe &gt; 1: Good</w:t>
      </w:r>
      <w:r>
        <w:rPr>
          <w:rFonts w:eastAsia="Times New Roman" w:cs="Times New Roman"/>
          <w:sz w:val="24"/>
          <w:szCs w:val="24"/>
        </w:rPr>
        <w:br/>
      </w:r>
    </w:p>
    <w:p w14:paraId="6C4D9A09" w14:textId="77777777" w:rsidR="00D25741" w:rsidRDefault="00000000" w:rsidP="000A10EE">
      <w:pPr>
        <w:numPr>
          <w:ilvl w:val="0"/>
          <w:numId w:val="42"/>
        </w:numPr>
        <w:rPr>
          <w:rFonts w:eastAsia="Times New Roman" w:cs="Times New Roman"/>
          <w:sz w:val="24"/>
          <w:szCs w:val="24"/>
        </w:rPr>
      </w:pPr>
      <w:r>
        <w:rPr>
          <w:rFonts w:eastAsia="Times New Roman" w:cs="Times New Roman"/>
          <w:sz w:val="24"/>
          <w:szCs w:val="24"/>
        </w:rPr>
        <w:t>Sharpe &gt; 2: Very good</w:t>
      </w:r>
      <w:r>
        <w:rPr>
          <w:rFonts w:eastAsia="Times New Roman" w:cs="Times New Roman"/>
          <w:sz w:val="24"/>
          <w:szCs w:val="24"/>
        </w:rPr>
        <w:br/>
      </w:r>
    </w:p>
    <w:p w14:paraId="781B29FA" w14:textId="77777777" w:rsidR="00D25741" w:rsidRDefault="00000000" w:rsidP="000A10EE">
      <w:pPr>
        <w:numPr>
          <w:ilvl w:val="0"/>
          <w:numId w:val="42"/>
        </w:numPr>
        <w:spacing w:after="240"/>
        <w:rPr>
          <w:rFonts w:eastAsia="Times New Roman" w:cs="Times New Roman"/>
          <w:sz w:val="24"/>
          <w:szCs w:val="24"/>
        </w:rPr>
      </w:pPr>
      <w:r>
        <w:rPr>
          <w:rFonts w:eastAsia="Times New Roman" w:cs="Times New Roman"/>
          <w:sz w:val="24"/>
          <w:szCs w:val="24"/>
        </w:rPr>
        <w:t>Sharpe &lt; 1: Poor risk-adjusted return</w:t>
      </w:r>
      <w:r>
        <w:rPr>
          <w:rFonts w:eastAsia="Times New Roman" w:cs="Times New Roman"/>
          <w:sz w:val="24"/>
          <w:szCs w:val="24"/>
        </w:rPr>
        <w:br/>
      </w:r>
    </w:p>
    <w:p w14:paraId="45264C70" w14:textId="77777777" w:rsidR="00D25741" w:rsidRDefault="00000000">
      <w:pPr>
        <w:pStyle w:val="Heading1"/>
        <w:keepNext w:val="0"/>
        <w:keepLines w:val="0"/>
        <w:spacing w:before="480"/>
        <w:jc w:val="both"/>
        <w:rPr>
          <w:rFonts w:eastAsia="Times New Roman" w:cs="Times New Roman"/>
          <w:color w:val="000000"/>
          <w:sz w:val="24"/>
          <w:szCs w:val="24"/>
        </w:rPr>
      </w:pPr>
      <w:bookmarkStart w:id="46" w:name="_6zrvc6639n5r" w:colFirst="0" w:colLast="0"/>
      <w:bookmarkEnd w:id="46"/>
      <w:r>
        <w:rPr>
          <w:rFonts w:eastAsia="Times New Roman" w:cs="Times New Roman"/>
          <w:sz w:val="24"/>
          <w:szCs w:val="24"/>
        </w:rPr>
        <w:t>1.7.5 Treynor Ratio</w:t>
      </w:r>
    </w:p>
    <w:p w14:paraId="694F3ED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Treynor Ratio also measures risk-adjusted return, but instead of total risk, it uses systematic risk (Beta). It tells how much excess return the fund earns per unit of market risk.</w:t>
      </w:r>
    </w:p>
    <w:p w14:paraId="202A123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This ratio is useful when comparing funds that are part of well-diversified portfolios.</w:t>
      </w:r>
    </w:p>
    <w:p w14:paraId="0908F770" w14:textId="77777777" w:rsidR="00D25741" w:rsidRDefault="00000000">
      <w:pPr>
        <w:pStyle w:val="Heading3"/>
        <w:keepNext w:val="0"/>
        <w:keepLines w:val="0"/>
        <w:spacing w:before="280"/>
        <w:jc w:val="both"/>
        <w:rPr>
          <w:rFonts w:eastAsia="Times New Roman" w:cs="Times New Roman"/>
          <w:color w:val="000000"/>
          <w:sz w:val="24"/>
          <w:szCs w:val="24"/>
        </w:rPr>
      </w:pPr>
      <w:bookmarkStart w:id="47" w:name="_7sgjx36ygds1" w:colFirst="0" w:colLast="0"/>
      <w:bookmarkEnd w:id="47"/>
      <w:r>
        <w:rPr>
          <w:rFonts w:eastAsia="Times New Roman" w:cs="Times New Roman"/>
          <w:color w:val="000000"/>
          <w:sz w:val="24"/>
          <w:szCs w:val="24"/>
        </w:rPr>
        <w:t>Formula:</w:t>
      </w:r>
    </w:p>
    <w:p w14:paraId="38092D0C" w14:textId="77777777" w:rsidR="00D25741" w:rsidRPr="00596D09" w:rsidRDefault="00000000">
      <w:pPr>
        <w:jc w:val="both"/>
        <w:rPr>
          <w:rFonts w:eastAsia="Times New Roman" w:cs="Times New Roman"/>
          <w:sz w:val="24"/>
          <w:szCs w:val="24"/>
        </w:rPr>
      </w:pPr>
      <w:r>
        <w:rPr>
          <w:rFonts w:eastAsia="Times New Roman" w:cs="Times New Roman"/>
          <w:sz w:val="24"/>
          <w:szCs w:val="24"/>
        </w:rPr>
        <w:t>Treynor Ratio =  ​</w:t>
      </w:r>
      <w:r w:rsidRPr="00596D09">
        <w:rPr>
          <w:rFonts w:eastAsia="Gungsuh" w:cs="Times New Roman"/>
          <w:sz w:val="24"/>
          <w:szCs w:val="24"/>
          <w:u w:val="single"/>
        </w:rPr>
        <w:t>Rp​−Rf</w:t>
      </w:r>
      <w:r w:rsidRPr="00596D09">
        <w:rPr>
          <w:rFonts w:eastAsia="Times New Roman" w:cs="Times New Roman"/>
          <w:sz w:val="24"/>
          <w:szCs w:val="24"/>
        </w:rPr>
        <w:t>​​</w:t>
      </w:r>
    </w:p>
    <w:p w14:paraId="53120963" w14:textId="77777777" w:rsidR="00D25741" w:rsidRPr="00596D09" w:rsidRDefault="00000000">
      <w:pPr>
        <w:jc w:val="both"/>
        <w:rPr>
          <w:rFonts w:eastAsia="Times New Roman" w:cs="Times New Roman"/>
          <w:sz w:val="24"/>
          <w:szCs w:val="24"/>
        </w:rPr>
      </w:pPr>
      <w:r w:rsidRPr="00596D09">
        <w:rPr>
          <w:rFonts w:eastAsia="Times New Roman" w:cs="Times New Roman"/>
          <w:sz w:val="24"/>
          <w:szCs w:val="24"/>
        </w:rPr>
        <w:t xml:space="preserve">                               βp</w:t>
      </w:r>
    </w:p>
    <w:p w14:paraId="75FF079C" w14:textId="77777777" w:rsidR="00D25741" w:rsidRDefault="00D25741">
      <w:pPr>
        <w:jc w:val="both"/>
        <w:rPr>
          <w:rFonts w:eastAsia="Times New Roman" w:cs="Times New Roman"/>
          <w:sz w:val="24"/>
          <w:szCs w:val="24"/>
        </w:rPr>
      </w:pPr>
    </w:p>
    <w:p w14:paraId="53D3D40C" w14:textId="77777777" w:rsidR="00D25741" w:rsidRDefault="00000000">
      <w:pPr>
        <w:jc w:val="both"/>
        <w:rPr>
          <w:rFonts w:eastAsia="Times New Roman" w:cs="Times New Roman"/>
          <w:sz w:val="24"/>
          <w:szCs w:val="24"/>
        </w:rPr>
      </w:pPr>
      <w:r>
        <w:rPr>
          <w:rFonts w:eastAsia="Times New Roman" w:cs="Times New Roman"/>
          <w:sz w:val="24"/>
          <w:szCs w:val="24"/>
        </w:rPr>
        <w:t>Where:</w:t>
      </w:r>
    </w:p>
    <w:p w14:paraId="007AAB40" w14:textId="77777777" w:rsidR="00D25741" w:rsidRDefault="00000000" w:rsidP="000A10EE">
      <w:pPr>
        <w:numPr>
          <w:ilvl w:val="0"/>
          <w:numId w:val="41"/>
        </w:numPr>
        <w:spacing w:before="240"/>
        <w:rPr>
          <w:rFonts w:eastAsia="Times New Roman" w:cs="Times New Roman"/>
          <w:sz w:val="24"/>
          <w:szCs w:val="24"/>
        </w:rPr>
      </w:pPr>
      <w:r>
        <w:rPr>
          <w:rFonts w:eastAsia="Times New Roman" w:cs="Times New Roman"/>
          <w:sz w:val="24"/>
          <w:szCs w:val="24"/>
        </w:rPr>
        <w:t>Rp​ = Return of the portfolio</w:t>
      </w:r>
      <w:r>
        <w:rPr>
          <w:rFonts w:eastAsia="Times New Roman" w:cs="Times New Roman"/>
          <w:sz w:val="24"/>
          <w:szCs w:val="24"/>
        </w:rPr>
        <w:br/>
      </w:r>
    </w:p>
    <w:p w14:paraId="7D087663" w14:textId="77777777" w:rsidR="00D25741" w:rsidRDefault="00000000" w:rsidP="000A10EE">
      <w:pPr>
        <w:numPr>
          <w:ilvl w:val="0"/>
          <w:numId w:val="41"/>
        </w:numPr>
        <w:rPr>
          <w:rFonts w:eastAsia="Times New Roman" w:cs="Times New Roman"/>
          <w:sz w:val="24"/>
          <w:szCs w:val="24"/>
        </w:rPr>
      </w:pPr>
      <w:r>
        <w:rPr>
          <w:rFonts w:eastAsia="Times New Roman" w:cs="Times New Roman"/>
          <w:sz w:val="24"/>
          <w:szCs w:val="24"/>
        </w:rPr>
        <w:t>Rf​ = Risk-free rate</w:t>
      </w:r>
      <w:r>
        <w:rPr>
          <w:rFonts w:eastAsia="Times New Roman" w:cs="Times New Roman"/>
          <w:sz w:val="24"/>
          <w:szCs w:val="24"/>
        </w:rPr>
        <w:br/>
      </w:r>
    </w:p>
    <w:p w14:paraId="07BFD50D" w14:textId="3B104A2B" w:rsidR="00D25741" w:rsidRPr="00807CAF" w:rsidRDefault="00000000" w:rsidP="00807CAF">
      <w:pPr>
        <w:numPr>
          <w:ilvl w:val="0"/>
          <w:numId w:val="41"/>
        </w:numPr>
        <w:spacing w:after="240"/>
        <w:rPr>
          <w:rFonts w:eastAsia="Times New Roman" w:cs="Times New Roman"/>
          <w:sz w:val="24"/>
          <w:szCs w:val="24"/>
        </w:rPr>
      </w:pPr>
      <w:r>
        <w:rPr>
          <w:rFonts w:eastAsia="Times New Roman" w:cs="Times New Roman"/>
          <w:sz w:val="24"/>
          <w:szCs w:val="24"/>
        </w:rPr>
        <w:t>βp​ = Beta of the portfolio (systematic risk)</w:t>
      </w:r>
      <w:r>
        <w:rPr>
          <w:rFonts w:eastAsia="Times New Roman" w:cs="Times New Roman"/>
          <w:sz w:val="24"/>
          <w:szCs w:val="24"/>
        </w:rPr>
        <w:br/>
      </w:r>
      <w:bookmarkStart w:id="48" w:name="_1r3ed5yqcuip" w:colFirst="0" w:colLast="0"/>
      <w:bookmarkEnd w:id="48"/>
    </w:p>
    <w:p w14:paraId="655D1A74" w14:textId="77777777" w:rsidR="00D25741" w:rsidRDefault="00000000">
      <w:pPr>
        <w:pStyle w:val="Heading3"/>
        <w:keepNext w:val="0"/>
        <w:keepLines w:val="0"/>
        <w:spacing w:before="280"/>
        <w:jc w:val="both"/>
        <w:rPr>
          <w:rFonts w:eastAsia="Times New Roman" w:cs="Times New Roman"/>
          <w:color w:val="000000"/>
          <w:sz w:val="24"/>
          <w:szCs w:val="24"/>
        </w:rPr>
      </w:pPr>
      <w:bookmarkStart w:id="49" w:name="_59e56va259gu" w:colFirst="0" w:colLast="0"/>
      <w:bookmarkEnd w:id="49"/>
      <w:r>
        <w:rPr>
          <w:rFonts w:eastAsia="Times New Roman" w:cs="Times New Roman"/>
          <w:color w:val="000000"/>
          <w:sz w:val="24"/>
          <w:szCs w:val="24"/>
        </w:rPr>
        <w:t>Interpretation:</w:t>
      </w:r>
    </w:p>
    <w:p w14:paraId="3FCCBFF6" w14:textId="77777777" w:rsidR="00D25741" w:rsidRDefault="00000000" w:rsidP="000A10EE">
      <w:pPr>
        <w:numPr>
          <w:ilvl w:val="0"/>
          <w:numId w:val="5"/>
        </w:numPr>
        <w:spacing w:before="240"/>
        <w:rPr>
          <w:rFonts w:eastAsia="Times New Roman" w:cs="Times New Roman"/>
          <w:sz w:val="24"/>
          <w:szCs w:val="24"/>
        </w:rPr>
      </w:pPr>
      <w:r>
        <w:rPr>
          <w:rFonts w:eastAsia="Times New Roman" w:cs="Times New Roman"/>
          <w:sz w:val="24"/>
          <w:szCs w:val="24"/>
        </w:rPr>
        <w:t>Higher Treynor Ratio = better performance given the market risk.</w:t>
      </w:r>
      <w:r>
        <w:rPr>
          <w:rFonts w:eastAsia="Times New Roman" w:cs="Times New Roman"/>
          <w:sz w:val="24"/>
          <w:szCs w:val="24"/>
        </w:rPr>
        <w:br/>
      </w:r>
    </w:p>
    <w:p w14:paraId="2CED28D2" w14:textId="77777777" w:rsidR="00D25741" w:rsidRDefault="00000000" w:rsidP="000A10EE">
      <w:pPr>
        <w:numPr>
          <w:ilvl w:val="0"/>
          <w:numId w:val="5"/>
        </w:numPr>
        <w:spacing w:after="240"/>
        <w:rPr>
          <w:rFonts w:eastAsia="Times New Roman" w:cs="Times New Roman"/>
          <w:sz w:val="24"/>
          <w:szCs w:val="24"/>
        </w:rPr>
      </w:pPr>
      <w:r>
        <w:rPr>
          <w:rFonts w:eastAsia="Times New Roman" w:cs="Times New Roman"/>
          <w:sz w:val="24"/>
          <w:szCs w:val="24"/>
        </w:rPr>
        <w:t>If Beta is very low or negative, Treynor Ratio becomes less meaningful.</w:t>
      </w:r>
      <w:r>
        <w:rPr>
          <w:rFonts w:eastAsia="Times New Roman" w:cs="Times New Roman"/>
          <w:sz w:val="24"/>
          <w:szCs w:val="24"/>
        </w:rPr>
        <w:br/>
      </w:r>
    </w:p>
    <w:p w14:paraId="2143BBB6" w14:textId="77777777" w:rsidR="00D25741" w:rsidRDefault="00000000">
      <w:pPr>
        <w:pStyle w:val="Heading1"/>
        <w:keepNext w:val="0"/>
        <w:keepLines w:val="0"/>
        <w:spacing w:before="480"/>
        <w:jc w:val="both"/>
        <w:rPr>
          <w:rFonts w:eastAsia="Times New Roman" w:cs="Times New Roman"/>
          <w:color w:val="000000"/>
          <w:sz w:val="24"/>
          <w:szCs w:val="24"/>
        </w:rPr>
      </w:pPr>
      <w:bookmarkStart w:id="50" w:name="_moayux5xnbuv" w:colFirst="0" w:colLast="0"/>
      <w:bookmarkEnd w:id="50"/>
      <w:r>
        <w:rPr>
          <w:rFonts w:eastAsia="Times New Roman" w:cs="Times New Roman"/>
          <w:sz w:val="24"/>
          <w:szCs w:val="24"/>
        </w:rPr>
        <w:t>1.7.6 Jensen’s Alpha (Jensen Ratio)</w:t>
      </w:r>
    </w:p>
    <w:p w14:paraId="3E84EA2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Jensen’s Alpha measures the fund manager’s ability to generate returns above the expected return predicted by the Capital Asset Pricing Model (CAPM). It shows whether the fund has outperformed or underperformed the market after adjusting for risk.</w:t>
      </w:r>
    </w:p>
    <w:p w14:paraId="6B137503" w14:textId="77777777" w:rsidR="00807CAF" w:rsidRDefault="00000000">
      <w:pPr>
        <w:pStyle w:val="Heading3"/>
        <w:keepNext w:val="0"/>
        <w:keepLines w:val="0"/>
        <w:spacing w:before="280"/>
        <w:jc w:val="both"/>
        <w:rPr>
          <w:rFonts w:eastAsia="Times New Roman" w:cs="Times New Roman"/>
          <w:color w:val="000000"/>
          <w:sz w:val="24"/>
          <w:szCs w:val="24"/>
        </w:rPr>
      </w:pPr>
      <w:bookmarkStart w:id="51" w:name="_dnr8ku5lxmfq" w:colFirst="0" w:colLast="0"/>
      <w:bookmarkEnd w:id="51"/>
      <w:r>
        <w:rPr>
          <w:rFonts w:eastAsia="Times New Roman" w:cs="Times New Roman"/>
          <w:color w:val="000000"/>
          <w:sz w:val="24"/>
          <w:szCs w:val="24"/>
        </w:rPr>
        <w:t xml:space="preserve"> </w:t>
      </w:r>
    </w:p>
    <w:p w14:paraId="0C183E2E" w14:textId="7AFA3014" w:rsidR="00D25741" w:rsidRDefault="00000000">
      <w:pPr>
        <w:pStyle w:val="Heading3"/>
        <w:keepNext w:val="0"/>
        <w:keepLines w:val="0"/>
        <w:spacing w:before="280"/>
        <w:jc w:val="both"/>
        <w:rPr>
          <w:rFonts w:eastAsia="Times New Roman" w:cs="Times New Roman"/>
          <w:color w:val="000000"/>
          <w:sz w:val="24"/>
          <w:szCs w:val="24"/>
        </w:rPr>
      </w:pPr>
      <w:r>
        <w:rPr>
          <w:rFonts w:eastAsia="Times New Roman" w:cs="Times New Roman"/>
          <w:color w:val="000000"/>
          <w:sz w:val="24"/>
          <w:szCs w:val="24"/>
        </w:rPr>
        <w:lastRenderedPageBreak/>
        <w:t>Formula:</w:t>
      </w:r>
    </w:p>
    <w:p w14:paraId="191613ED" w14:textId="687B7387" w:rsidR="00D25741" w:rsidRDefault="00000000">
      <w:pPr>
        <w:spacing w:before="240" w:after="240"/>
        <w:jc w:val="both"/>
        <w:rPr>
          <w:rFonts w:eastAsia="Times New Roman" w:cs="Times New Roman"/>
          <w:sz w:val="24"/>
          <w:szCs w:val="24"/>
        </w:rPr>
      </w:pPr>
      <w:r>
        <w:rPr>
          <w:rFonts w:ascii="Cardo" w:eastAsia="Cardo" w:hAnsi="Cardo" w:cs="Cardo"/>
          <w:sz w:val="24"/>
          <w:szCs w:val="24"/>
        </w:rPr>
        <w:t>Jensen ratio α</w:t>
      </w:r>
      <w:r w:rsidR="00B50221">
        <w:rPr>
          <w:rFonts w:ascii="Cardo" w:eastAsia="Cardo" w:hAnsi="Cardo" w:cs="Cardo"/>
          <w:sz w:val="24"/>
          <w:szCs w:val="24"/>
        </w:rPr>
        <w:t xml:space="preserve"> </w:t>
      </w:r>
      <w:r>
        <w:rPr>
          <w:rFonts w:ascii="Cardo" w:eastAsia="Cardo" w:hAnsi="Cardo" w:cs="Cardo"/>
          <w:sz w:val="24"/>
          <w:szCs w:val="24"/>
        </w:rPr>
        <w:t>=</w:t>
      </w:r>
      <w:r w:rsidR="00B50221">
        <w:rPr>
          <w:rFonts w:ascii="Cardo" w:eastAsia="Cardo" w:hAnsi="Cardo" w:cs="Cardo"/>
          <w:sz w:val="24"/>
          <w:szCs w:val="24"/>
        </w:rPr>
        <w:t xml:space="preserve"> </w:t>
      </w:r>
      <w:r>
        <w:rPr>
          <w:rFonts w:ascii="Cardo" w:eastAsia="Cardo" w:hAnsi="Cardo" w:cs="Cardo"/>
          <w:sz w:val="24"/>
          <w:szCs w:val="24"/>
        </w:rPr>
        <w:t>Rp</w:t>
      </w:r>
      <w:r w:rsidR="00B50221">
        <w:rPr>
          <w:rFonts w:ascii="Cardo" w:eastAsia="Cardo" w:hAnsi="Cardo" w:cs="Cardo"/>
          <w:sz w:val="24"/>
          <w:szCs w:val="24"/>
        </w:rPr>
        <w:t xml:space="preserve"> </w:t>
      </w:r>
      <w:r>
        <w:rPr>
          <w:rFonts w:ascii="Cardo" w:eastAsia="Cardo" w:hAnsi="Cardo" w:cs="Cardo"/>
          <w:sz w:val="24"/>
          <w:szCs w:val="24"/>
        </w:rPr>
        <w:t>​−</w:t>
      </w:r>
      <w:r w:rsidR="00B50221">
        <w:rPr>
          <w:rFonts w:ascii="Cardo" w:eastAsia="Cardo" w:hAnsi="Cardo" w:cs="Cardo"/>
          <w:sz w:val="24"/>
          <w:szCs w:val="24"/>
        </w:rPr>
        <w:t xml:space="preserve"> </w:t>
      </w:r>
      <w:r>
        <w:rPr>
          <w:rFonts w:ascii="Cardo" w:eastAsia="Cardo" w:hAnsi="Cardo" w:cs="Cardo"/>
          <w:sz w:val="24"/>
          <w:szCs w:val="24"/>
        </w:rPr>
        <w:t>(Rf</w:t>
      </w:r>
      <w:r w:rsidR="00B50221">
        <w:rPr>
          <w:rFonts w:ascii="Cardo" w:eastAsia="Cardo" w:hAnsi="Cardo" w:cs="Cardo"/>
          <w:sz w:val="24"/>
          <w:szCs w:val="24"/>
        </w:rPr>
        <w:t xml:space="preserve"> </w:t>
      </w:r>
      <w:r>
        <w:rPr>
          <w:rFonts w:ascii="Cardo" w:eastAsia="Cardo" w:hAnsi="Cardo" w:cs="Cardo"/>
          <w:sz w:val="24"/>
          <w:szCs w:val="24"/>
        </w:rPr>
        <w:t>​+</w:t>
      </w:r>
      <w:r w:rsidR="00B50221">
        <w:rPr>
          <w:rFonts w:ascii="Cardo" w:eastAsia="Cardo" w:hAnsi="Cardo" w:cs="Cardo"/>
          <w:sz w:val="24"/>
          <w:szCs w:val="24"/>
        </w:rPr>
        <w:t xml:space="preserve"> </w:t>
      </w:r>
      <w:r>
        <w:rPr>
          <w:rFonts w:ascii="Cardo" w:eastAsia="Cardo" w:hAnsi="Cardo" w:cs="Cardo"/>
          <w:sz w:val="24"/>
          <w:szCs w:val="24"/>
        </w:rPr>
        <w:t>βp</w:t>
      </w:r>
      <w:r w:rsidR="00B50221">
        <w:rPr>
          <w:rFonts w:ascii="Cardo" w:eastAsia="Cardo" w:hAnsi="Cardo" w:cs="Cardo"/>
          <w:sz w:val="24"/>
          <w:szCs w:val="24"/>
        </w:rPr>
        <w:t xml:space="preserve"> </w:t>
      </w:r>
      <w:r>
        <w:rPr>
          <w:rFonts w:ascii="Cardo" w:eastAsia="Cardo" w:hAnsi="Cardo" w:cs="Cardo"/>
          <w:sz w:val="24"/>
          <w:szCs w:val="24"/>
        </w:rPr>
        <w:t>​(Rm​−Rf​))</w:t>
      </w:r>
    </w:p>
    <w:p w14:paraId="7F071AD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Where:</w:t>
      </w:r>
    </w:p>
    <w:p w14:paraId="4E9D058A" w14:textId="77777777" w:rsidR="00D25741" w:rsidRDefault="00000000" w:rsidP="000A10EE">
      <w:pPr>
        <w:numPr>
          <w:ilvl w:val="0"/>
          <w:numId w:val="46"/>
        </w:numPr>
        <w:spacing w:before="240"/>
        <w:rPr>
          <w:rFonts w:eastAsia="Times New Roman" w:cs="Times New Roman"/>
          <w:sz w:val="24"/>
          <w:szCs w:val="24"/>
        </w:rPr>
      </w:pPr>
      <w:r>
        <w:rPr>
          <w:rFonts w:eastAsia="Times New Roman" w:cs="Times New Roman"/>
          <w:sz w:val="24"/>
          <w:szCs w:val="24"/>
        </w:rPr>
        <w:t>Rp​ = Actual return of the portfolio</w:t>
      </w:r>
      <w:r>
        <w:rPr>
          <w:rFonts w:eastAsia="Times New Roman" w:cs="Times New Roman"/>
          <w:sz w:val="24"/>
          <w:szCs w:val="24"/>
        </w:rPr>
        <w:br/>
      </w:r>
    </w:p>
    <w:p w14:paraId="78EA66C1" w14:textId="77777777" w:rsidR="00D25741" w:rsidRDefault="00000000" w:rsidP="000A10EE">
      <w:pPr>
        <w:numPr>
          <w:ilvl w:val="0"/>
          <w:numId w:val="46"/>
        </w:numPr>
        <w:rPr>
          <w:rFonts w:eastAsia="Times New Roman" w:cs="Times New Roman"/>
          <w:sz w:val="24"/>
          <w:szCs w:val="24"/>
        </w:rPr>
      </w:pPr>
      <w:r>
        <w:rPr>
          <w:rFonts w:eastAsia="Times New Roman" w:cs="Times New Roman"/>
          <w:sz w:val="24"/>
          <w:szCs w:val="24"/>
        </w:rPr>
        <w:t>Rf​ = Risk-free rate</w:t>
      </w:r>
      <w:r>
        <w:rPr>
          <w:rFonts w:eastAsia="Times New Roman" w:cs="Times New Roman"/>
          <w:sz w:val="24"/>
          <w:szCs w:val="24"/>
        </w:rPr>
        <w:br/>
      </w:r>
    </w:p>
    <w:p w14:paraId="53750255" w14:textId="77777777" w:rsidR="00D25741" w:rsidRDefault="00000000" w:rsidP="000A10EE">
      <w:pPr>
        <w:numPr>
          <w:ilvl w:val="0"/>
          <w:numId w:val="46"/>
        </w:numPr>
        <w:rPr>
          <w:rFonts w:eastAsia="Times New Roman" w:cs="Times New Roman"/>
          <w:sz w:val="24"/>
          <w:szCs w:val="24"/>
        </w:rPr>
      </w:pPr>
      <w:r>
        <w:rPr>
          <w:rFonts w:eastAsia="Times New Roman" w:cs="Times New Roman"/>
          <w:sz w:val="24"/>
          <w:szCs w:val="24"/>
        </w:rPr>
        <w:t>βp​ = Beta of the portfolio</w:t>
      </w:r>
      <w:r>
        <w:rPr>
          <w:rFonts w:eastAsia="Times New Roman" w:cs="Times New Roman"/>
          <w:sz w:val="24"/>
          <w:szCs w:val="24"/>
        </w:rPr>
        <w:br/>
      </w:r>
    </w:p>
    <w:p w14:paraId="4AE75969" w14:textId="77777777" w:rsidR="00D25741" w:rsidRDefault="00000000" w:rsidP="000A10EE">
      <w:pPr>
        <w:numPr>
          <w:ilvl w:val="0"/>
          <w:numId w:val="46"/>
        </w:numPr>
        <w:rPr>
          <w:rFonts w:eastAsia="Times New Roman" w:cs="Times New Roman"/>
          <w:sz w:val="24"/>
          <w:szCs w:val="24"/>
        </w:rPr>
      </w:pPr>
      <w:r>
        <w:rPr>
          <w:rFonts w:eastAsia="Times New Roman" w:cs="Times New Roman"/>
          <w:sz w:val="24"/>
          <w:szCs w:val="24"/>
        </w:rPr>
        <w:t>Rm​ = Market return</w:t>
      </w:r>
      <w:r>
        <w:rPr>
          <w:rFonts w:eastAsia="Times New Roman" w:cs="Times New Roman"/>
          <w:sz w:val="24"/>
          <w:szCs w:val="24"/>
        </w:rPr>
        <w:br/>
      </w:r>
    </w:p>
    <w:p w14:paraId="285DE584" w14:textId="77777777" w:rsidR="00D25741" w:rsidRPr="000A10EE" w:rsidRDefault="00000000" w:rsidP="000A10EE">
      <w:pPr>
        <w:numPr>
          <w:ilvl w:val="0"/>
          <w:numId w:val="46"/>
        </w:numPr>
        <w:spacing w:after="240"/>
        <w:rPr>
          <w:rFonts w:eastAsia="Times New Roman" w:cs="Times New Roman"/>
          <w:sz w:val="24"/>
          <w:szCs w:val="24"/>
        </w:rPr>
      </w:pPr>
      <w:r w:rsidRPr="000A10EE">
        <w:rPr>
          <w:rFonts w:eastAsia="Gungsuh" w:cs="Times New Roman"/>
          <w:sz w:val="24"/>
          <w:szCs w:val="24"/>
        </w:rPr>
        <w:t>Rm​−Rf​ = Market risk premium</w:t>
      </w:r>
      <w:r w:rsidRPr="000A10EE">
        <w:rPr>
          <w:rFonts w:eastAsia="Gungsuh" w:cs="Times New Roman"/>
          <w:sz w:val="24"/>
          <w:szCs w:val="24"/>
        </w:rPr>
        <w:br/>
      </w:r>
    </w:p>
    <w:p w14:paraId="353AC0A9" w14:textId="77777777" w:rsidR="00D25741" w:rsidRDefault="00000000">
      <w:pPr>
        <w:spacing w:before="240" w:after="240"/>
        <w:jc w:val="both"/>
        <w:rPr>
          <w:rFonts w:eastAsia="Times New Roman" w:cs="Times New Roman"/>
          <w:color w:val="000000"/>
          <w:sz w:val="24"/>
          <w:szCs w:val="24"/>
        </w:rPr>
      </w:pPr>
      <w:r>
        <w:rPr>
          <w:rFonts w:eastAsia="Times New Roman" w:cs="Times New Roman"/>
          <w:color w:val="000000"/>
          <w:sz w:val="24"/>
          <w:szCs w:val="24"/>
        </w:rPr>
        <w:t>Interpretation:</w:t>
      </w:r>
    </w:p>
    <w:p w14:paraId="29FDE6B7" w14:textId="77777777" w:rsidR="00D25741" w:rsidRDefault="00000000" w:rsidP="000A10EE">
      <w:pPr>
        <w:numPr>
          <w:ilvl w:val="0"/>
          <w:numId w:val="21"/>
        </w:numPr>
        <w:spacing w:before="240"/>
        <w:rPr>
          <w:rFonts w:eastAsia="Times New Roman" w:cs="Times New Roman"/>
          <w:sz w:val="24"/>
          <w:szCs w:val="24"/>
        </w:rPr>
      </w:pPr>
      <w:r>
        <w:rPr>
          <w:rFonts w:eastAsia="Times New Roman" w:cs="Times New Roman"/>
          <w:sz w:val="24"/>
          <w:szCs w:val="24"/>
        </w:rPr>
        <w:t>Positive Alpha (&gt; 0): Fund outperformed the market; manager added value.</w:t>
      </w:r>
      <w:r>
        <w:rPr>
          <w:rFonts w:eastAsia="Times New Roman" w:cs="Times New Roman"/>
          <w:sz w:val="24"/>
          <w:szCs w:val="24"/>
        </w:rPr>
        <w:br/>
      </w:r>
    </w:p>
    <w:p w14:paraId="0C88D3B9" w14:textId="77777777" w:rsidR="00D25741" w:rsidRDefault="00000000" w:rsidP="000A10EE">
      <w:pPr>
        <w:numPr>
          <w:ilvl w:val="0"/>
          <w:numId w:val="21"/>
        </w:numPr>
        <w:rPr>
          <w:rFonts w:eastAsia="Times New Roman" w:cs="Times New Roman"/>
          <w:sz w:val="24"/>
          <w:szCs w:val="24"/>
        </w:rPr>
      </w:pPr>
      <w:r>
        <w:rPr>
          <w:rFonts w:eastAsia="Times New Roman" w:cs="Times New Roman"/>
          <w:sz w:val="24"/>
          <w:szCs w:val="24"/>
        </w:rPr>
        <w:t>Negative Alpha (&lt; 0): Fund underperformed; manager destroyed value.</w:t>
      </w:r>
      <w:r>
        <w:rPr>
          <w:rFonts w:eastAsia="Times New Roman" w:cs="Times New Roman"/>
          <w:sz w:val="24"/>
          <w:szCs w:val="24"/>
        </w:rPr>
        <w:br/>
      </w:r>
    </w:p>
    <w:p w14:paraId="782F207E" w14:textId="77777777" w:rsidR="00D25741" w:rsidRDefault="00000000" w:rsidP="000A10EE">
      <w:pPr>
        <w:numPr>
          <w:ilvl w:val="0"/>
          <w:numId w:val="21"/>
        </w:numPr>
        <w:spacing w:after="240"/>
        <w:rPr>
          <w:rFonts w:eastAsia="Times New Roman" w:cs="Times New Roman"/>
          <w:sz w:val="24"/>
          <w:szCs w:val="24"/>
        </w:rPr>
      </w:pPr>
      <w:r>
        <w:rPr>
          <w:rFonts w:eastAsia="Times New Roman" w:cs="Times New Roman"/>
          <w:sz w:val="24"/>
          <w:szCs w:val="24"/>
        </w:rPr>
        <w:t xml:space="preserve">Alpha = 0: Performance matches </w:t>
      </w:r>
      <w:proofErr w:type="gramStart"/>
      <w:r>
        <w:rPr>
          <w:rFonts w:eastAsia="Times New Roman" w:cs="Times New Roman"/>
          <w:sz w:val="24"/>
          <w:szCs w:val="24"/>
        </w:rPr>
        <w:t>the market</w:t>
      </w:r>
      <w:proofErr w:type="gramEnd"/>
      <w:r>
        <w:rPr>
          <w:rFonts w:eastAsia="Times New Roman" w:cs="Times New Roman"/>
          <w:sz w:val="24"/>
          <w:szCs w:val="24"/>
        </w:rPr>
        <w:t xml:space="preserve"> expectations.</w:t>
      </w:r>
    </w:p>
    <w:p w14:paraId="42FE7C22" w14:textId="77777777" w:rsidR="00D25741" w:rsidRDefault="00D25741">
      <w:pPr>
        <w:spacing w:before="240" w:after="240"/>
        <w:jc w:val="both"/>
        <w:rPr>
          <w:rFonts w:eastAsia="Times New Roman" w:cs="Times New Roman"/>
          <w:sz w:val="24"/>
          <w:szCs w:val="24"/>
        </w:rPr>
      </w:pPr>
    </w:p>
    <w:p w14:paraId="37ECEFA8" w14:textId="77777777" w:rsidR="00D25741" w:rsidRDefault="00000000">
      <w:pPr>
        <w:spacing w:before="240" w:after="240"/>
        <w:rPr>
          <w:rFonts w:eastAsia="Times New Roman" w:cs="Times New Roman"/>
          <w:sz w:val="24"/>
          <w:szCs w:val="24"/>
        </w:rPr>
      </w:pPr>
      <w:r>
        <w:rPr>
          <w:rFonts w:eastAsia="Times New Roman" w:cs="Times New Roman"/>
          <w:sz w:val="24"/>
          <w:szCs w:val="24"/>
        </w:rPr>
        <w:br/>
      </w:r>
    </w:p>
    <w:p w14:paraId="12643342" w14:textId="77777777" w:rsidR="001874D9" w:rsidRDefault="001874D9">
      <w:pPr>
        <w:spacing w:before="240" w:after="240"/>
        <w:rPr>
          <w:rFonts w:eastAsia="Times New Roman" w:cs="Times New Roman"/>
          <w:sz w:val="24"/>
          <w:szCs w:val="24"/>
        </w:rPr>
      </w:pPr>
    </w:p>
    <w:p w14:paraId="244825F3" w14:textId="77777777" w:rsidR="00807CAF" w:rsidRDefault="00807CAF" w:rsidP="001874D9">
      <w:pPr>
        <w:spacing w:before="240" w:after="240"/>
        <w:jc w:val="center"/>
        <w:rPr>
          <w:rFonts w:eastAsia="Times New Roman" w:cs="Times New Roman"/>
          <w:b/>
          <w:bCs/>
          <w:sz w:val="24"/>
          <w:szCs w:val="24"/>
        </w:rPr>
      </w:pPr>
    </w:p>
    <w:p w14:paraId="241C9311" w14:textId="77777777" w:rsidR="00807CAF" w:rsidRDefault="00807CAF" w:rsidP="001874D9">
      <w:pPr>
        <w:spacing w:before="240" w:after="240"/>
        <w:jc w:val="center"/>
        <w:rPr>
          <w:rFonts w:eastAsia="Times New Roman" w:cs="Times New Roman"/>
          <w:b/>
          <w:bCs/>
          <w:sz w:val="24"/>
          <w:szCs w:val="24"/>
        </w:rPr>
      </w:pPr>
    </w:p>
    <w:p w14:paraId="57ABF08A" w14:textId="77777777" w:rsidR="00807CAF" w:rsidRDefault="00807CAF" w:rsidP="001874D9">
      <w:pPr>
        <w:spacing w:before="240" w:after="240"/>
        <w:jc w:val="center"/>
        <w:rPr>
          <w:rFonts w:eastAsia="Times New Roman" w:cs="Times New Roman"/>
          <w:b/>
          <w:bCs/>
          <w:sz w:val="24"/>
          <w:szCs w:val="24"/>
        </w:rPr>
      </w:pPr>
    </w:p>
    <w:p w14:paraId="485A08F4" w14:textId="77777777" w:rsidR="00807CAF" w:rsidRDefault="00807CAF" w:rsidP="001874D9">
      <w:pPr>
        <w:spacing w:before="240" w:after="240"/>
        <w:jc w:val="center"/>
        <w:rPr>
          <w:rFonts w:eastAsia="Times New Roman" w:cs="Times New Roman"/>
          <w:b/>
          <w:bCs/>
          <w:sz w:val="24"/>
          <w:szCs w:val="24"/>
        </w:rPr>
      </w:pPr>
    </w:p>
    <w:p w14:paraId="11BFFAD7" w14:textId="77777777" w:rsidR="00807CAF" w:rsidRDefault="00807CAF" w:rsidP="001874D9">
      <w:pPr>
        <w:spacing w:before="240" w:after="240"/>
        <w:jc w:val="center"/>
        <w:rPr>
          <w:rFonts w:eastAsia="Times New Roman" w:cs="Times New Roman"/>
          <w:b/>
          <w:bCs/>
          <w:sz w:val="24"/>
          <w:szCs w:val="24"/>
        </w:rPr>
      </w:pPr>
    </w:p>
    <w:p w14:paraId="57338855" w14:textId="77777777" w:rsidR="00807CAF" w:rsidRDefault="00807CAF" w:rsidP="001874D9">
      <w:pPr>
        <w:spacing w:before="240" w:after="240"/>
        <w:jc w:val="center"/>
        <w:rPr>
          <w:rFonts w:eastAsia="Times New Roman" w:cs="Times New Roman"/>
          <w:b/>
          <w:bCs/>
          <w:sz w:val="24"/>
          <w:szCs w:val="24"/>
        </w:rPr>
      </w:pPr>
    </w:p>
    <w:p w14:paraId="3E2201A6" w14:textId="77777777" w:rsidR="00807CAF" w:rsidRDefault="00807CAF" w:rsidP="001874D9">
      <w:pPr>
        <w:spacing w:before="240" w:after="240"/>
        <w:jc w:val="center"/>
        <w:rPr>
          <w:rFonts w:eastAsia="Times New Roman" w:cs="Times New Roman"/>
          <w:b/>
          <w:bCs/>
          <w:sz w:val="24"/>
          <w:szCs w:val="24"/>
        </w:rPr>
      </w:pPr>
    </w:p>
    <w:p w14:paraId="1EDAD404" w14:textId="77777777" w:rsidR="00807CAF" w:rsidRDefault="00807CAF" w:rsidP="001874D9">
      <w:pPr>
        <w:spacing w:before="240" w:after="240"/>
        <w:jc w:val="center"/>
        <w:rPr>
          <w:rFonts w:eastAsia="Times New Roman" w:cs="Times New Roman"/>
          <w:b/>
          <w:bCs/>
          <w:sz w:val="24"/>
          <w:szCs w:val="24"/>
        </w:rPr>
      </w:pPr>
    </w:p>
    <w:p w14:paraId="014E9CBF" w14:textId="127147C4" w:rsidR="00D25741" w:rsidRPr="001874D9" w:rsidRDefault="00000000" w:rsidP="001874D9">
      <w:pPr>
        <w:spacing w:before="240" w:after="240"/>
        <w:jc w:val="center"/>
        <w:rPr>
          <w:rFonts w:eastAsia="Times New Roman" w:cs="Times New Roman"/>
          <w:b/>
          <w:bCs/>
          <w:sz w:val="24"/>
          <w:szCs w:val="24"/>
        </w:rPr>
      </w:pPr>
      <w:r w:rsidRPr="001874D9">
        <w:rPr>
          <w:rFonts w:eastAsia="Times New Roman" w:cs="Times New Roman"/>
          <w:b/>
          <w:bCs/>
          <w:sz w:val="24"/>
          <w:szCs w:val="24"/>
        </w:rPr>
        <w:lastRenderedPageBreak/>
        <w:t xml:space="preserve">CHAPTER </w:t>
      </w:r>
      <w:proofErr w:type="gramStart"/>
      <w:r w:rsidRPr="001874D9">
        <w:rPr>
          <w:rFonts w:eastAsia="Times New Roman" w:cs="Times New Roman"/>
          <w:b/>
          <w:bCs/>
          <w:sz w:val="24"/>
          <w:szCs w:val="24"/>
        </w:rPr>
        <w:t>2 :</w:t>
      </w:r>
      <w:proofErr w:type="gramEnd"/>
      <w:r w:rsidRPr="001874D9">
        <w:rPr>
          <w:rFonts w:eastAsia="Times New Roman" w:cs="Times New Roman"/>
          <w:b/>
          <w:bCs/>
          <w:sz w:val="24"/>
          <w:szCs w:val="24"/>
        </w:rPr>
        <w:t xml:space="preserve"> REVIEW OF LITERATURE AND RESEARCH DESIGN</w:t>
      </w:r>
    </w:p>
    <w:p w14:paraId="3FE003E2" w14:textId="77777777" w:rsidR="00D25741" w:rsidRDefault="00D25741">
      <w:pPr>
        <w:spacing w:before="240" w:after="240"/>
        <w:rPr>
          <w:rFonts w:eastAsia="Times New Roman" w:cs="Times New Roman"/>
          <w:sz w:val="24"/>
          <w:szCs w:val="24"/>
        </w:rPr>
      </w:pPr>
    </w:p>
    <w:p w14:paraId="1001D8CB" w14:textId="77777777" w:rsidR="00D25741" w:rsidRPr="001874D9" w:rsidRDefault="00000000">
      <w:pPr>
        <w:spacing w:before="240" w:after="240"/>
        <w:rPr>
          <w:rFonts w:eastAsia="Times New Roman" w:cs="Times New Roman"/>
          <w:b/>
          <w:bCs/>
          <w:sz w:val="24"/>
          <w:szCs w:val="24"/>
        </w:rPr>
      </w:pPr>
      <w:r w:rsidRPr="001874D9">
        <w:rPr>
          <w:rFonts w:eastAsia="Times New Roman" w:cs="Times New Roman"/>
          <w:b/>
          <w:bCs/>
          <w:sz w:val="24"/>
          <w:szCs w:val="24"/>
        </w:rPr>
        <w:t>2.1 REVIEW OF LITERATURE</w:t>
      </w:r>
    </w:p>
    <w:p w14:paraId="31E6AD40" w14:textId="77777777" w:rsidR="00D25741" w:rsidRDefault="00000000">
      <w:pPr>
        <w:spacing w:before="240" w:after="240"/>
        <w:jc w:val="both"/>
        <w:rPr>
          <w:rFonts w:eastAsia="Times New Roman" w:cs="Times New Roman"/>
          <w:sz w:val="24"/>
          <w:szCs w:val="24"/>
        </w:rPr>
      </w:pPr>
      <w:r>
        <w:rPr>
          <w:rFonts w:eastAsia="Times New Roman" w:cs="Times New Roman"/>
          <w:color w:val="222222"/>
          <w:sz w:val="24"/>
          <w:szCs w:val="24"/>
          <w:highlight w:val="white"/>
        </w:rPr>
        <w:t xml:space="preserve">1. Krishnamoorthi, M., &amp; Murugesan, T. K. (2018) </w:t>
      </w:r>
      <w:r>
        <w:rPr>
          <w:rFonts w:eastAsia="Times New Roman" w:cs="Times New Roman"/>
          <w:sz w:val="24"/>
          <w:szCs w:val="24"/>
        </w:rPr>
        <w:t>Mutual funds have gained popularity as investment options, offering varied schemes to cater to different investor needs. Dividend funds, targeted at providing regular income, typically invest heavily in equities. This study evaluates the average returns and risks associated with mutual funds, utilizing BETA values to assess investment risk across six companies. Performance is measured through Sharpe, Treynor, and Jensen alpha methods. The annual return analysis indicates that all sampled equity funds achieved positive returns above the risk-free rate, positioning them as suitable for small investors. However, despite their potential, mutual funds have not consistently met market expectations.</w:t>
      </w:r>
    </w:p>
    <w:p w14:paraId="7991515B"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Krishnamoorthi, M., &amp; Murugesan, T. K. (2018). Analysis of risk and return of selected mutual funds schemes in India. </w:t>
      </w:r>
      <w:r>
        <w:rPr>
          <w:rFonts w:eastAsia="Times New Roman" w:cs="Times New Roman"/>
          <w:i/>
          <w:iCs/>
          <w:color w:val="222222"/>
          <w:sz w:val="24"/>
          <w:szCs w:val="24"/>
          <w:highlight w:val="white"/>
        </w:rPr>
        <w:t>Int. J. Mech. Prod. Eng. Res. Dev</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8</w:t>
      </w:r>
      <w:r>
        <w:rPr>
          <w:rFonts w:eastAsia="Times New Roman" w:cs="Times New Roman"/>
          <w:color w:val="222222"/>
          <w:sz w:val="24"/>
          <w:szCs w:val="24"/>
          <w:highlight w:val="white"/>
        </w:rPr>
        <w:t>(3), 884-890.</w:t>
      </w:r>
    </w:p>
    <w:p w14:paraId="56EAF97B"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2. Haralayya, B. (2022) project aims to provide students with practical knowledge and exposure to the operations of an organization, specifically </w:t>
      </w:r>
      <w:proofErr w:type="spellStart"/>
      <w:r>
        <w:rPr>
          <w:rFonts w:eastAsia="Times New Roman" w:cs="Times New Roman"/>
          <w:color w:val="222222"/>
          <w:sz w:val="24"/>
          <w:szCs w:val="24"/>
          <w:highlight w:val="white"/>
        </w:rPr>
        <w:t>Zerodha</w:t>
      </w:r>
      <w:proofErr w:type="spellEnd"/>
      <w:r>
        <w:rPr>
          <w:rFonts w:eastAsia="Times New Roman" w:cs="Times New Roman"/>
          <w:color w:val="222222"/>
          <w:sz w:val="24"/>
          <w:szCs w:val="24"/>
          <w:highlight w:val="white"/>
        </w:rPr>
        <w:t xml:space="preserve"> brokerage. It offers an opportunity to observe and learn about the organization's vision and objectives, linking theoretical concepts to real-world applications. This experience is intended to prepare future managers for upcoming challenges and foster relationships with organizational officials.</w:t>
      </w:r>
    </w:p>
    <w:p w14:paraId="0F71D368"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Haralayya, B. (2022). Risk &amp; Return Analysis of Mutual Funds with Reference to Banks. </w:t>
      </w:r>
      <w:r>
        <w:rPr>
          <w:rFonts w:eastAsia="Times New Roman" w:cs="Times New Roman"/>
          <w:i/>
          <w:iCs/>
          <w:color w:val="222222"/>
          <w:sz w:val="24"/>
          <w:szCs w:val="24"/>
          <w:highlight w:val="white"/>
        </w:rPr>
        <w:t xml:space="preserve">Iconic </w:t>
      </w:r>
      <w:proofErr w:type="spellStart"/>
      <w:r>
        <w:rPr>
          <w:rFonts w:eastAsia="Times New Roman" w:cs="Times New Roman"/>
          <w:i/>
          <w:iCs/>
          <w:color w:val="222222"/>
          <w:sz w:val="24"/>
          <w:szCs w:val="24"/>
          <w:highlight w:val="white"/>
        </w:rPr>
        <w:t>Reserach</w:t>
      </w:r>
      <w:proofErr w:type="spellEnd"/>
      <w:r>
        <w:rPr>
          <w:rFonts w:eastAsia="Times New Roman" w:cs="Times New Roman"/>
          <w:i/>
          <w:iCs/>
          <w:color w:val="222222"/>
          <w:sz w:val="24"/>
          <w:szCs w:val="24"/>
          <w:highlight w:val="white"/>
        </w:rPr>
        <w:t xml:space="preserve"> &amp; Engineering Journals</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5</w:t>
      </w:r>
      <w:r>
        <w:rPr>
          <w:rFonts w:eastAsia="Times New Roman" w:cs="Times New Roman"/>
          <w:color w:val="222222"/>
          <w:sz w:val="24"/>
          <w:szCs w:val="24"/>
          <w:highlight w:val="white"/>
        </w:rPr>
        <w:t>(10), 45-55.</w:t>
      </w:r>
    </w:p>
    <w:p w14:paraId="1CC7E997"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3. Ali, M. A., Aqil, M et al (2023) The study investigates the efficiency of mutual funds in Pakistan, specifically focusing on open-ended equity funds and their risk-adjusted performance from 2011 to 2019. The selection of equity funds is justified by their alignment with the 100-index benchmark. A novel contribution is the introduction of the Martin (Ulcer) ratio, which is underutilized in local research. Analysis indicates no significant evidence against the efficient market hypothesis, revealing that fund managers typically achieve average market returns, with risk-adjusted returns (Sharpe, Treynor, Jensen's, and Ulcer measures) showing average negative values. The study suggests that qualitative factors such as management qualifications and macroeconomic conditions might influence fund performance, indicating avenues for further research.</w:t>
      </w:r>
    </w:p>
    <w:p w14:paraId="3C591129"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Ali, M. A., Aqil, M., Alam Kazmi, S. H., &amp; Zaman, S. I. (2023). Evaluation of risk adjusted performance of mutual funds in an emerging market. </w:t>
      </w:r>
      <w:r>
        <w:rPr>
          <w:rFonts w:eastAsia="Times New Roman" w:cs="Times New Roman"/>
          <w:i/>
          <w:iCs/>
          <w:color w:val="222222"/>
          <w:sz w:val="24"/>
          <w:szCs w:val="24"/>
          <w:highlight w:val="white"/>
        </w:rPr>
        <w:t>International journal of finance &amp; economics</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28</w:t>
      </w:r>
      <w:r>
        <w:rPr>
          <w:rFonts w:eastAsia="Times New Roman" w:cs="Times New Roman"/>
          <w:color w:val="222222"/>
          <w:sz w:val="24"/>
          <w:szCs w:val="24"/>
          <w:highlight w:val="white"/>
        </w:rPr>
        <w:t>(2), 1436-1449.</w:t>
      </w:r>
    </w:p>
    <w:p w14:paraId="3FF41A6D"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4. Tripathi, S., &amp; </w:t>
      </w:r>
      <w:proofErr w:type="spellStart"/>
      <w:r>
        <w:rPr>
          <w:rFonts w:eastAsia="Times New Roman" w:cs="Times New Roman"/>
          <w:color w:val="222222"/>
          <w:sz w:val="24"/>
          <w:szCs w:val="24"/>
          <w:highlight w:val="white"/>
        </w:rPr>
        <w:t>Japee</w:t>
      </w:r>
      <w:proofErr w:type="spellEnd"/>
      <w:r>
        <w:rPr>
          <w:rFonts w:eastAsia="Times New Roman" w:cs="Times New Roman"/>
          <w:color w:val="222222"/>
          <w:sz w:val="24"/>
          <w:szCs w:val="24"/>
          <w:highlight w:val="white"/>
        </w:rPr>
        <w:t xml:space="preserve">, D. G. P. (2020) In India, the capital market offers various investment options, particularly through open-end mutual funds that aim to minimize risks while maximizing returns. This study evaluates the performance of selected equity mutual fund schemes (large-cap, mid-cap, small-cap) using statistical measures like Jenson’s alpha, beta, standard deviation, and Sharpe ratio. It concludes that 10 out of 15 funds performed well in a volatile market, emphasizing </w:t>
      </w:r>
      <w:r>
        <w:rPr>
          <w:rFonts w:eastAsia="Times New Roman" w:cs="Times New Roman"/>
          <w:color w:val="222222"/>
          <w:sz w:val="24"/>
          <w:szCs w:val="24"/>
          <w:highlight w:val="white"/>
        </w:rPr>
        <w:lastRenderedPageBreak/>
        <w:t>the importance of considering risk ratios when investing. The findings serve as a guide for investors in making informed future investment decisions.</w:t>
      </w:r>
    </w:p>
    <w:p w14:paraId="12A69AD9"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Tripathi, S., &amp; </w:t>
      </w:r>
      <w:proofErr w:type="spellStart"/>
      <w:r>
        <w:rPr>
          <w:rFonts w:eastAsia="Times New Roman" w:cs="Times New Roman"/>
          <w:color w:val="222222"/>
          <w:sz w:val="24"/>
          <w:szCs w:val="24"/>
          <w:highlight w:val="white"/>
        </w:rPr>
        <w:t>Japee</w:t>
      </w:r>
      <w:proofErr w:type="spellEnd"/>
      <w:r>
        <w:rPr>
          <w:rFonts w:eastAsia="Times New Roman" w:cs="Times New Roman"/>
          <w:color w:val="222222"/>
          <w:sz w:val="24"/>
          <w:szCs w:val="24"/>
          <w:highlight w:val="white"/>
        </w:rPr>
        <w:t xml:space="preserve">, D. G. P. (2020). Performance evaluation of selected equity mutual funds in India. </w:t>
      </w:r>
      <w:r>
        <w:rPr>
          <w:rFonts w:eastAsia="Times New Roman" w:cs="Times New Roman"/>
          <w:i/>
          <w:iCs/>
          <w:color w:val="222222"/>
          <w:sz w:val="24"/>
          <w:szCs w:val="24"/>
          <w:highlight w:val="white"/>
        </w:rPr>
        <w:t xml:space="preserve">gap </w:t>
      </w:r>
      <w:proofErr w:type="spellStart"/>
      <w:r>
        <w:rPr>
          <w:rFonts w:eastAsia="Times New Roman" w:cs="Times New Roman"/>
          <w:i/>
          <w:iCs/>
          <w:color w:val="222222"/>
          <w:sz w:val="24"/>
          <w:szCs w:val="24"/>
          <w:highlight w:val="white"/>
        </w:rPr>
        <w:t>gyan</w:t>
      </w:r>
      <w:proofErr w:type="spellEnd"/>
      <w:r>
        <w:rPr>
          <w:rFonts w:eastAsia="Times New Roman" w:cs="Times New Roman"/>
          <w:i/>
          <w:iCs/>
          <w:color w:val="222222"/>
          <w:sz w:val="24"/>
          <w:szCs w:val="24"/>
          <w:highlight w:val="white"/>
        </w:rPr>
        <w:t>-a global journal of social sciences</w:t>
      </w:r>
      <w:r>
        <w:rPr>
          <w:rFonts w:eastAsia="Times New Roman" w:cs="Times New Roman"/>
          <w:color w:val="222222"/>
          <w:sz w:val="24"/>
          <w:szCs w:val="24"/>
          <w:highlight w:val="white"/>
        </w:rPr>
        <w:t>.</w:t>
      </w:r>
    </w:p>
    <w:p w14:paraId="1C8F22BE"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5. </w:t>
      </w:r>
      <w:proofErr w:type="spellStart"/>
      <w:r>
        <w:rPr>
          <w:rFonts w:eastAsia="Times New Roman" w:cs="Times New Roman"/>
          <w:color w:val="222222"/>
          <w:sz w:val="24"/>
          <w:szCs w:val="24"/>
          <w:highlight w:val="white"/>
        </w:rPr>
        <w:t>Riandini</w:t>
      </w:r>
      <w:proofErr w:type="spellEnd"/>
      <w:r>
        <w:rPr>
          <w:rFonts w:eastAsia="Times New Roman" w:cs="Times New Roman"/>
          <w:color w:val="222222"/>
          <w:sz w:val="24"/>
          <w:szCs w:val="24"/>
          <w:highlight w:val="white"/>
        </w:rPr>
        <w:t xml:space="preserve">, A., &amp; Risman, A. (2022) Investors can consider mutual funds as an alternative investment, particularly for beginners or risk-averse individuals. There are four types of mutual funds: equity, fixed income, money market, and balanced. Equity mutual funds invest at least 80% in stocks, posing higher risk. This study evaluates the performance of seven equity mutual funds in Indonesia from 2018 to 2020 using the Sharpe Index, Treynor Ratio, and Jensen Index. It concludes that </w:t>
      </w:r>
      <w:proofErr w:type="spellStart"/>
      <w:r>
        <w:rPr>
          <w:rFonts w:eastAsia="Times New Roman" w:cs="Times New Roman"/>
          <w:color w:val="222222"/>
          <w:sz w:val="24"/>
          <w:szCs w:val="24"/>
          <w:highlight w:val="white"/>
        </w:rPr>
        <w:t>Sucorinvest</w:t>
      </w:r>
      <w:proofErr w:type="spellEnd"/>
      <w:r>
        <w:rPr>
          <w:rFonts w:eastAsia="Times New Roman" w:cs="Times New Roman"/>
          <w:color w:val="222222"/>
          <w:sz w:val="24"/>
          <w:szCs w:val="24"/>
          <w:highlight w:val="white"/>
        </w:rPr>
        <w:t xml:space="preserve"> Equity was the best-performing fund during this period.</w:t>
      </w:r>
    </w:p>
    <w:p w14:paraId="3A34976F" w14:textId="77777777" w:rsidR="00D25741" w:rsidRDefault="00000000">
      <w:pPr>
        <w:spacing w:before="240" w:after="240"/>
        <w:jc w:val="both"/>
        <w:rPr>
          <w:rFonts w:eastAsia="Times New Roman" w:cs="Times New Roman"/>
          <w:color w:val="222222"/>
          <w:sz w:val="24"/>
          <w:szCs w:val="24"/>
          <w:highlight w:val="white"/>
        </w:rPr>
      </w:pPr>
      <w:proofErr w:type="spellStart"/>
      <w:r>
        <w:rPr>
          <w:rFonts w:eastAsia="Times New Roman" w:cs="Times New Roman"/>
          <w:color w:val="222222"/>
          <w:sz w:val="24"/>
          <w:szCs w:val="24"/>
          <w:highlight w:val="white"/>
        </w:rPr>
        <w:t>Riandini</w:t>
      </w:r>
      <w:proofErr w:type="spellEnd"/>
      <w:r>
        <w:rPr>
          <w:rFonts w:eastAsia="Times New Roman" w:cs="Times New Roman"/>
          <w:color w:val="222222"/>
          <w:sz w:val="24"/>
          <w:szCs w:val="24"/>
          <w:highlight w:val="white"/>
        </w:rPr>
        <w:t xml:space="preserve">, A., &amp; Risman, A. (2022). Evaluation of Equity Mutual Funds Portfolio Performance </w:t>
      </w:r>
      <w:proofErr w:type="gramStart"/>
      <w:r>
        <w:rPr>
          <w:rFonts w:eastAsia="Times New Roman" w:cs="Times New Roman"/>
          <w:color w:val="222222"/>
          <w:sz w:val="24"/>
          <w:szCs w:val="24"/>
          <w:highlight w:val="white"/>
        </w:rPr>
        <w:t>In</w:t>
      </w:r>
      <w:proofErr w:type="gramEnd"/>
      <w:r>
        <w:rPr>
          <w:rFonts w:eastAsia="Times New Roman" w:cs="Times New Roman"/>
          <w:color w:val="222222"/>
          <w:sz w:val="24"/>
          <w:szCs w:val="24"/>
          <w:highlight w:val="white"/>
        </w:rPr>
        <w:t xml:space="preserve"> Indonesia Using Sharpe, Treynor </w:t>
      </w:r>
      <w:proofErr w:type="gramStart"/>
      <w:r>
        <w:rPr>
          <w:rFonts w:eastAsia="Times New Roman" w:cs="Times New Roman"/>
          <w:color w:val="222222"/>
          <w:sz w:val="24"/>
          <w:szCs w:val="24"/>
          <w:highlight w:val="white"/>
        </w:rPr>
        <w:t>And</w:t>
      </w:r>
      <w:proofErr w:type="gramEnd"/>
      <w:r>
        <w:rPr>
          <w:rFonts w:eastAsia="Times New Roman" w:cs="Times New Roman"/>
          <w:color w:val="222222"/>
          <w:sz w:val="24"/>
          <w:szCs w:val="24"/>
          <w:highlight w:val="white"/>
        </w:rPr>
        <w:t xml:space="preserve"> Jensen Methods. </w:t>
      </w:r>
      <w:r>
        <w:rPr>
          <w:rFonts w:eastAsia="Times New Roman" w:cs="Times New Roman"/>
          <w:i/>
          <w:iCs/>
          <w:color w:val="222222"/>
          <w:sz w:val="24"/>
          <w:szCs w:val="24"/>
          <w:highlight w:val="white"/>
        </w:rPr>
        <w:t xml:space="preserve">The </w:t>
      </w:r>
      <w:proofErr w:type="spellStart"/>
      <w:r>
        <w:rPr>
          <w:rFonts w:eastAsia="Times New Roman" w:cs="Times New Roman"/>
          <w:i/>
          <w:iCs/>
          <w:color w:val="222222"/>
          <w:sz w:val="24"/>
          <w:szCs w:val="24"/>
          <w:highlight w:val="white"/>
        </w:rPr>
        <w:t>EUrASEANs</w:t>
      </w:r>
      <w:proofErr w:type="spellEnd"/>
      <w:r>
        <w:rPr>
          <w:rFonts w:eastAsia="Times New Roman" w:cs="Times New Roman"/>
          <w:i/>
          <w:iCs/>
          <w:color w:val="222222"/>
          <w:sz w:val="24"/>
          <w:szCs w:val="24"/>
          <w:highlight w:val="white"/>
        </w:rPr>
        <w:t xml:space="preserve">: Journal on Global Socio-Economic </w:t>
      </w:r>
      <w:proofErr w:type="gramStart"/>
      <w:r>
        <w:rPr>
          <w:rFonts w:eastAsia="Times New Roman" w:cs="Times New Roman"/>
          <w:i/>
          <w:iCs/>
          <w:color w:val="222222"/>
          <w:sz w:val="24"/>
          <w:szCs w:val="24"/>
          <w:highlight w:val="white"/>
        </w:rPr>
        <w:t>Dynamics,(</w:t>
      </w:r>
      <w:proofErr w:type="gramEnd"/>
      <w:r>
        <w:rPr>
          <w:rFonts w:eastAsia="Times New Roman" w:cs="Times New Roman"/>
          <w:i/>
          <w:iCs/>
          <w:color w:val="222222"/>
          <w:sz w:val="24"/>
          <w:szCs w:val="24"/>
          <w:highlight w:val="white"/>
        </w:rPr>
        <w:t>3 (34), 34-40. https://doi. org/10.35678/2539-5645.3 (34). 2022.34-40</w:t>
      </w:r>
      <w:r>
        <w:rPr>
          <w:rFonts w:eastAsia="Times New Roman" w:cs="Times New Roman"/>
          <w:color w:val="222222"/>
          <w:sz w:val="24"/>
          <w:szCs w:val="24"/>
          <w:highlight w:val="white"/>
        </w:rPr>
        <w:t>.</w:t>
      </w:r>
    </w:p>
    <w:p w14:paraId="0EA250F3"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6. Ji, X., Zhan et al (2021</w:t>
      </w:r>
      <w:proofErr w:type="gramStart"/>
      <w:r>
        <w:rPr>
          <w:rFonts w:eastAsia="Times New Roman" w:cs="Times New Roman"/>
          <w:color w:val="222222"/>
          <w:sz w:val="24"/>
          <w:szCs w:val="24"/>
          <w:highlight w:val="white"/>
        </w:rPr>
        <w:t>).,</w:t>
      </w:r>
      <w:proofErr w:type="gramEnd"/>
      <w:r>
        <w:rPr>
          <w:rFonts w:eastAsia="Times New Roman" w:cs="Times New Roman"/>
          <w:color w:val="222222"/>
          <w:sz w:val="24"/>
          <w:szCs w:val="24"/>
          <w:highlight w:val="white"/>
        </w:rPr>
        <w:t xml:space="preserve"> The promotion of carbon-neutral investments is crucial for developing a carbon-neutral economy, particularly in emerging economies with limited financial markets. This study analyzes 6,519 actively managed mutual funds in BRICS from 2011 to 2019, categorizing them as black, brown, or green based on their investments. Results reveal that green funds consistently outperform their counterparts, exhibiting lower volatility and better market timing, especially noted in Chinese green funds due to supportive ecological policies. The study suggests interventions to enhance the carbon-neutral investment landscape.</w:t>
      </w:r>
    </w:p>
    <w:p w14:paraId="040822AB"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Ji, X., Zhang, Y., Mirza, N., Umar, M., &amp; Rizvi, S. K. A. (2021). The impact of carbon neutrality on </w:t>
      </w:r>
      <w:proofErr w:type="gramStart"/>
      <w:r>
        <w:rPr>
          <w:rFonts w:eastAsia="Times New Roman" w:cs="Times New Roman"/>
          <w:color w:val="222222"/>
          <w:sz w:val="24"/>
          <w:szCs w:val="24"/>
          <w:highlight w:val="white"/>
        </w:rPr>
        <w:t>the investment</w:t>
      </w:r>
      <w:proofErr w:type="gramEnd"/>
      <w:r>
        <w:rPr>
          <w:rFonts w:eastAsia="Times New Roman" w:cs="Times New Roman"/>
          <w:color w:val="222222"/>
          <w:sz w:val="24"/>
          <w:szCs w:val="24"/>
          <w:highlight w:val="white"/>
        </w:rPr>
        <w:t xml:space="preserve"> performance: Evidence from the equity mutual funds in BRICS. </w:t>
      </w:r>
      <w:r>
        <w:rPr>
          <w:rFonts w:eastAsia="Times New Roman" w:cs="Times New Roman"/>
          <w:i/>
          <w:iCs/>
          <w:color w:val="222222"/>
          <w:sz w:val="24"/>
          <w:szCs w:val="24"/>
          <w:highlight w:val="white"/>
        </w:rPr>
        <w:t>Journal of Environmental Management</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297</w:t>
      </w:r>
      <w:r>
        <w:rPr>
          <w:rFonts w:eastAsia="Times New Roman" w:cs="Times New Roman"/>
          <w:color w:val="222222"/>
          <w:sz w:val="24"/>
          <w:szCs w:val="24"/>
          <w:highlight w:val="white"/>
        </w:rPr>
        <w:t>, 113228.</w:t>
      </w:r>
    </w:p>
    <w:p w14:paraId="4726A9ED"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7.Ningrum, M., &amp; Risman, A. (2022) assesses the performance of capital-protected and equity mutual funds between February and August 2021, analyzing return, risk, and various performance indices. It includes data from 462 capital-protected and 273 equity funds. While equity funds had a higher average Sharpe index, indicating better performance overall, capital-protected funds outperformed in specific months and on the Treynor and Jensen indices. The findings, derived from an Independent T-Test, indicated no significant differences in overall performance, suggesting investors can consider investing in either type of fund.</w:t>
      </w:r>
    </w:p>
    <w:p w14:paraId="3151BE98"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Ningrum, M., &amp; Risman, A. (2022). Performance analysis of protected </w:t>
      </w:r>
      <w:proofErr w:type="gramStart"/>
      <w:r>
        <w:rPr>
          <w:rFonts w:eastAsia="Times New Roman" w:cs="Times New Roman"/>
          <w:color w:val="222222"/>
          <w:sz w:val="24"/>
          <w:szCs w:val="24"/>
          <w:highlight w:val="white"/>
        </w:rPr>
        <w:t>fund</w:t>
      </w:r>
      <w:proofErr w:type="gramEnd"/>
      <w:r>
        <w:rPr>
          <w:rFonts w:eastAsia="Times New Roman" w:cs="Times New Roman"/>
          <w:color w:val="222222"/>
          <w:sz w:val="24"/>
          <w:szCs w:val="24"/>
          <w:highlight w:val="white"/>
        </w:rPr>
        <w:t xml:space="preserve"> and equity </w:t>
      </w:r>
      <w:proofErr w:type="gramStart"/>
      <w:r>
        <w:rPr>
          <w:rFonts w:eastAsia="Times New Roman" w:cs="Times New Roman"/>
          <w:color w:val="222222"/>
          <w:sz w:val="24"/>
          <w:szCs w:val="24"/>
          <w:highlight w:val="white"/>
        </w:rPr>
        <w:t>fund</w:t>
      </w:r>
      <w:proofErr w:type="gramEnd"/>
      <w:r>
        <w:rPr>
          <w:rFonts w:eastAsia="Times New Roman" w:cs="Times New Roman"/>
          <w:color w:val="222222"/>
          <w:sz w:val="24"/>
          <w:szCs w:val="24"/>
          <w:highlight w:val="white"/>
        </w:rPr>
        <w:t xml:space="preserve"> using Sharpe, Treynor, Jensen. </w:t>
      </w:r>
      <w:proofErr w:type="spellStart"/>
      <w:r>
        <w:rPr>
          <w:rFonts w:eastAsia="Times New Roman" w:cs="Times New Roman"/>
          <w:i/>
          <w:iCs/>
          <w:color w:val="222222"/>
          <w:sz w:val="24"/>
          <w:szCs w:val="24"/>
          <w:highlight w:val="white"/>
        </w:rPr>
        <w:t>Indikator</w:t>
      </w:r>
      <w:proofErr w:type="spellEnd"/>
      <w:r>
        <w:rPr>
          <w:rFonts w:eastAsia="Times New Roman" w:cs="Times New Roman"/>
          <w:i/>
          <w:iCs/>
          <w:color w:val="222222"/>
          <w:sz w:val="24"/>
          <w:szCs w:val="24"/>
          <w:highlight w:val="white"/>
        </w:rPr>
        <w:t xml:space="preserve">: </w:t>
      </w:r>
      <w:proofErr w:type="spellStart"/>
      <w:r>
        <w:rPr>
          <w:rFonts w:eastAsia="Times New Roman" w:cs="Times New Roman"/>
          <w:i/>
          <w:iCs/>
          <w:color w:val="222222"/>
          <w:sz w:val="24"/>
          <w:szCs w:val="24"/>
          <w:highlight w:val="white"/>
        </w:rPr>
        <w:t>Jurnal</w:t>
      </w:r>
      <w:proofErr w:type="spellEnd"/>
      <w:r>
        <w:rPr>
          <w:rFonts w:eastAsia="Times New Roman" w:cs="Times New Roman"/>
          <w:i/>
          <w:iCs/>
          <w:color w:val="222222"/>
          <w:sz w:val="24"/>
          <w:szCs w:val="24"/>
          <w:highlight w:val="white"/>
        </w:rPr>
        <w:t xml:space="preserve"> </w:t>
      </w:r>
      <w:proofErr w:type="spellStart"/>
      <w:r>
        <w:rPr>
          <w:rFonts w:eastAsia="Times New Roman" w:cs="Times New Roman"/>
          <w:i/>
          <w:iCs/>
          <w:color w:val="222222"/>
          <w:sz w:val="24"/>
          <w:szCs w:val="24"/>
          <w:highlight w:val="white"/>
        </w:rPr>
        <w:t>Ilmiah</w:t>
      </w:r>
      <w:proofErr w:type="spellEnd"/>
      <w:r>
        <w:rPr>
          <w:rFonts w:eastAsia="Times New Roman" w:cs="Times New Roman"/>
          <w:i/>
          <w:iCs/>
          <w:color w:val="222222"/>
          <w:sz w:val="24"/>
          <w:szCs w:val="24"/>
          <w:highlight w:val="white"/>
        </w:rPr>
        <w:t xml:space="preserve"> </w:t>
      </w:r>
      <w:proofErr w:type="spellStart"/>
      <w:r>
        <w:rPr>
          <w:rFonts w:eastAsia="Times New Roman" w:cs="Times New Roman"/>
          <w:i/>
          <w:iCs/>
          <w:color w:val="222222"/>
          <w:sz w:val="24"/>
          <w:szCs w:val="24"/>
          <w:highlight w:val="white"/>
        </w:rPr>
        <w:t>Manajemen</w:t>
      </w:r>
      <w:proofErr w:type="spellEnd"/>
      <w:r>
        <w:rPr>
          <w:rFonts w:eastAsia="Times New Roman" w:cs="Times New Roman"/>
          <w:i/>
          <w:iCs/>
          <w:color w:val="222222"/>
          <w:sz w:val="24"/>
          <w:szCs w:val="24"/>
          <w:highlight w:val="white"/>
        </w:rPr>
        <w:t xml:space="preserve"> dan </w:t>
      </w:r>
      <w:proofErr w:type="spellStart"/>
      <w:r>
        <w:rPr>
          <w:rFonts w:eastAsia="Times New Roman" w:cs="Times New Roman"/>
          <w:i/>
          <w:iCs/>
          <w:color w:val="222222"/>
          <w:sz w:val="24"/>
          <w:szCs w:val="24"/>
          <w:highlight w:val="white"/>
        </w:rPr>
        <w:t>Bisnis</w:t>
      </w:r>
      <w:proofErr w:type="spellEnd"/>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6</w:t>
      </w:r>
      <w:r>
        <w:rPr>
          <w:rFonts w:eastAsia="Times New Roman" w:cs="Times New Roman"/>
          <w:color w:val="222222"/>
          <w:sz w:val="24"/>
          <w:szCs w:val="24"/>
          <w:highlight w:val="white"/>
        </w:rPr>
        <w:t>(1), 52-62.</w:t>
      </w:r>
    </w:p>
    <w:p w14:paraId="28098A5D"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8 Akbas, F., &amp; Genc, E. (2020</w:t>
      </w:r>
      <w:proofErr w:type="gramStart"/>
      <w:r>
        <w:rPr>
          <w:rFonts w:eastAsia="Times New Roman" w:cs="Times New Roman"/>
          <w:color w:val="222222"/>
          <w:sz w:val="24"/>
          <w:szCs w:val="24"/>
          <w:highlight w:val="white"/>
        </w:rPr>
        <w:t>).We</w:t>
      </w:r>
      <w:proofErr w:type="gramEnd"/>
      <w:r>
        <w:rPr>
          <w:rFonts w:eastAsia="Times New Roman" w:cs="Times New Roman"/>
          <w:color w:val="222222"/>
          <w:sz w:val="24"/>
          <w:szCs w:val="24"/>
          <w:highlight w:val="white"/>
        </w:rPr>
        <w:t xml:space="preserve"> explore how extreme positive payoffs affect monthly fund returns in mutual fund preferences, finding a significant positive correlation between maximum style-adjusted monthly return (MAX) and future fund flows. This relationship holds even when accounting for average performance and other characteristics. Our results suggest that investors tend to overvalue past high payoffs, despite MAX being a poor predictor of future performance, and increased fund visibility does not account for our findings.</w:t>
      </w:r>
    </w:p>
    <w:p w14:paraId="110DCDA8"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lastRenderedPageBreak/>
        <w:t xml:space="preserve">Akbas, F., &amp; Genc, E. (2020). Do mutual fund investors </w:t>
      </w:r>
      <w:proofErr w:type="gramStart"/>
      <w:r>
        <w:rPr>
          <w:rFonts w:eastAsia="Times New Roman" w:cs="Times New Roman"/>
          <w:color w:val="222222"/>
          <w:sz w:val="24"/>
          <w:szCs w:val="24"/>
          <w:highlight w:val="white"/>
        </w:rPr>
        <w:t>overweight</w:t>
      </w:r>
      <w:proofErr w:type="gramEnd"/>
      <w:r>
        <w:rPr>
          <w:rFonts w:eastAsia="Times New Roman" w:cs="Times New Roman"/>
          <w:color w:val="222222"/>
          <w:sz w:val="24"/>
          <w:szCs w:val="24"/>
          <w:highlight w:val="white"/>
        </w:rPr>
        <w:t xml:space="preserve"> the probability of extreme payoffs in the return </w:t>
      </w:r>
      <w:proofErr w:type="gramStart"/>
      <w:r>
        <w:rPr>
          <w:rFonts w:eastAsia="Times New Roman" w:cs="Times New Roman"/>
          <w:color w:val="222222"/>
          <w:sz w:val="24"/>
          <w:szCs w:val="24"/>
          <w:highlight w:val="white"/>
        </w:rPr>
        <w:t>distribution?.</w:t>
      </w:r>
      <w:proofErr w:type="gramEnd"/>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Journal of Financial and Quantitative Analysis</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55</w:t>
      </w:r>
      <w:r>
        <w:rPr>
          <w:rFonts w:eastAsia="Times New Roman" w:cs="Times New Roman"/>
          <w:color w:val="222222"/>
          <w:sz w:val="24"/>
          <w:szCs w:val="24"/>
          <w:highlight w:val="white"/>
        </w:rPr>
        <w:t>(1), 223-261.</w:t>
      </w:r>
    </w:p>
    <w:p w14:paraId="59975E87"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9. Abate, G. et </w:t>
      </w:r>
      <w:proofErr w:type="gramStart"/>
      <w:r>
        <w:rPr>
          <w:rFonts w:eastAsia="Times New Roman" w:cs="Times New Roman"/>
          <w:color w:val="222222"/>
          <w:sz w:val="24"/>
          <w:szCs w:val="24"/>
          <w:highlight w:val="white"/>
        </w:rPr>
        <w:t>al  (</w:t>
      </w:r>
      <w:proofErr w:type="gramEnd"/>
      <w:r>
        <w:rPr>
          <w:rFonts w:eastAsia="Times New Roman" w:cs="Times New Roman"/>
          <w:color w:val="222222"/>
          <w:sz w:val="24"/>
          <w:szCs w:val="24"/>
          <w:highlight w:val="white"/>
        </w:rPr>
        <w:t>2021) Recent years have seen an increased focus on environmental, social, and governance (ESG) factors by investors. This study investigates whether mutual funds prioritizing ESG-compliant assets outperform those with lower ESG commitments by analyzing a sample of 634 European mutual funds. It employs data envelopment analysis to assess the sustainability of fund portfolios, measured through ESG ratings. The findings indicate that funds with high ESG ratings demonstrate superior efficiency compared to those with low ratings, factoring in associated risks and costs.</w:t>
      </w:r>
    </w:p>
    <w:p w14:paraId="1F12393C"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Abate, G., Basile, I., &amp; Ferrari, P. (2021). The level of sustainability and mutual fund performance in Europe: An empirical analysis using ESG ratings. </w:t>
      </w:r>
      <w:r>
        <w:rPr>
          <w:rFonts w:eastAsia="Times New Roman" w:cs="Times New Roman"/>
          <w:i/>
          <w:iCs/>
          <w:color w:val="222222"/>
          <w:sz w:val="24"/>
          <w:szCs w:val="24"/>
          <w:highlight w:val="white"/>
        </w:rPr>
        <w:t>Corporate Social Responsibility and Environmental Management</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28</w:t>
      </w:r>
      <w:r>
        <w:rPr>
          <w:rFonts w:eastAsia="Times New Roman" w:cs="Times New Roman"/>
          <w:color w:val="222222"/>
          <w:sz w:val="24"/>
          <w:szCs w:val="24"/>
          <w:highlight w:val="white"/>
        </w:rPr>
        <w:t>(5), 1446-1455.</w:t>
      </w:r>
    </w:p>
    <w:p w14:paraId="192A849F"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10. Soler‐Domínguez et al (2021) Sustainable investment is increasingly aligned with the transition to carbon-neutral societies. Morningstar has introduced the Low Carbon Designation (LCD) to highlight portfolios with low carbon risk and fossil fuel exposure. This study analyzes 3,920 socially responsible mutual funds globally to explore the link between these scores and financial performance. Findings indicate that funds with higher sustainability levels performed better than those more exposed to fossil fuel industries. The study underscores the LCD's usefulness for investors seeking eco-friendly options and suggests that sustainability enhances financial performance, advocating for strategies to foster green finance and low-carbon economies.</w:t>
      </w:r>
    </w:p>
    <w:p w14:paraId="0F2E88BA"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Soler‐Domínguez, A., </w:t>
      </w:r>
      <w:proofErr w:type="spellStart"/>
      <w:r>
        <w:rPr>
          <w:rFonts w:eastAsia="Times New Roman" w:cs="Times New Roman"/>
          <w:color w:val="222222"/>
          <w:sz w:val="24"/>
          <w:szCs w:val="24"/>
          <w:highlight w:val="white"/>
        </w:rPr>
        <w:t>Matallín</w:t>
      </w:r>
      <w:proofErr w:type="spellEnd"/>
      <w:r>
        <w:rPr>
          <w:rFonts w:eastAsia="Times New Roman" w:cs="Times New Roman"/>
          <w:color w:val="222222"/>
          <w:sz w:val="24"/>
          <w:szCs w:val="24"/>
          <w:highlight w:val="white"/>
        </w:rPr>
        <w:t>‐Sáez, J. C., de Mingo‐López, D. V., &amp; Tortosa‐</w:t>
      </w:r>
      <w:proofErr w:type="spellStart"/>
      <w:r>
        <w:rPr>
          <w:rFonts w:eastAsia="Times New Roman" w:cs="Times New Roman"/>
          <w:color w:val="222222"/>
          <w:sz w:val="24"/>
          <w:szCs w:val="24"/>
          <w:highlight w:val="white"/>
        </w:rPr>
        <w:t>Ausina</w:t>
      </w:r>
      <w:proofErr w:type="spellEnd"/>
      <w:r>
        <w:rPr>
          <w:rFonts w:eastAsia="Times New Roman" w:cs="Times New Roman"/>
          <w:color w:val="222222"/>
          <w:sz w:val="24"/>
          <w:szCs w:val="24"/>
          <w:highlight w:val="white"/>
        </w:rPr>
        <w:t xml:space="preserve">, E. (2021). Looking for sustainable development: Socially responsible mutual funds and the low‐carbon economy. </w:t>
      </w:r>
      <w:r>
        <w:rPr>
          <w:rFonts w:eastAsia="Times New Roman" w:cs="Times New Roman"/>
          <w:i/>
          <w:iCs/>
          <w:color w:val="222222"/>
          <w:sz w:val="24"/>
          <w:szCs w:val="24"/>
          <w:highlight w:val="white"/>
        </w:rPr>
        <w:t>Business strategy and the environment</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30</w:t>
      </w:r>
      <w:r>
        <w:rPr>
          <w:rFonts w:eastAsia="Times New Roman" w:cs="Times New Roman"/>
          <w:color w:val="222222"/>
          <w:sz w:val="24"/>
          <w:szCs w:val="24"/>
          <w:highlight w:val="white"/>
        </w:rPr>
        <w:t>(4), 1751-1766.</w:t>
      </w:r>
    </w:p>
    <w:p w14:paraId="07400D8F"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11. Chen, H et al (2021) Evidence indicates that bond fund managers often misclassify their holdings, significantly affecting investor capital flows. Approximately 31.4% of funds are misclassified as having safer profiles than their true holdings. These "misclassified funds," which hold risky bonds while claiming to hold safer ones, tend to outperform lower-risk funds in their peer groups and receive better Morningstar ratings and higher investor interest. However, when re-classified by actual risk, their performance is found to be mediocre.</w:t>
      </w:r>
    </w:p>
    <w:p w14:paraId="3F54CD17"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Chen, H., Cohen, L., &amp; </w:t>
      </w:r>
      <w:proofErr w:type="spellStart"/>
      <w:r>
        <w:rPr>
          <w:rFonts w:eastAsia="Times New Roman" w:cs="Times New Roman"/>
          <w:color w:val="222222"/>
          <w:sz w:val="24"/>
          <w:szCs w:val="24"/>
          <w:highlight w:val="white"/>
        </w:rPr>
        <w:t>Gurun</w:t>
      </w:r>
      <w:proofErr w:type="spellEnd"/>
      <w:r>
        <w:rPr>
          <w:rFonts w:eastAsia="Times New Roman" w:cs="Times New Roman"/>
          <w:color w:val="222222"/>
          <w:sz w:val="24"/>
          <w:szCs w:val="24"/>
          <w:highlight w:val="white"/>
        </w:rPr>
        <w:t xml:space="preserve">, U. G. (2021). Don't take their word for it: the misclassification of bond mutual funds. </w:t>
      </w:r>
      <w:r>
        <w:rPr>
          <w:rFonts w:eastAsia="Times New Roman" w:cs="Times New Roman"/>
          <w:i/>
          <w:iCs/>
          <w:color w:val="222222"/>
          <w:sz w:val="24"/>
          <w:szCs w:val="24"/>
          <w:highlight w:val="white"/>
        </w:rPr>
        <w:t>The Journal of Finance</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76</w:t>
      </w:r>
      <w:r>
        <w:rPr>
          <w:rFonts w:eastAsia="Times New Roman" w:cs="Times New Roman"/>
          <w:color w:val="222222"/>
          <w:sz w:val="24"/>
          <w:szCs w:val="24"/>
          <w:highlight w:val="white"/>
        </w:rPr>
        <w:t>(4), 1699-1730.</w:t>
      </w:r>
    </w:p>
    <w:p w14:paraId="334CB04A"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12. </w:t>
      </w:r>
      <w:proofErr w:type="spellStart"/>
      <w:r>
        <w:rPr>
          <w:rFonts w:eastAsia="Times New Roman" w:cs="Times New Roman"/>
          <w:color w:val="222222"/>
          <w:sz w:val="24"/>
          <w:szCs w:val="24"/>
          <w:highlight w:val="white"/>
        </w:rPr>
        <w:t>Pavolova</w:t>
      </w:r>
      <w:proofErr w:type="spellEnd"/>
      <w:r>
        <w:rPr>
          <w:rFonts w:eastAsia="Times New Roman" w:cs="Times New Roman"/>
          <w:color w:val="222222"/>
          <w:sz w:val="24"/>
          <w:szCs w:val="24"/>
          <w:highlight w:val="white"/>
        </w:rPr>
        <w:t xml:space="preserve">, </w:t>
      </w:r>
      <w:proofErr w:type="gramStart"/>
      <w:r>
        <w:rPr>
          <w:rFonts w:eastAsia="Times New Roman" w:cs="Times New Roman"/>
          <w:color w:val="222222"/>
          <w:sz w:val="24"/>
          <w:szCs w:val="24"/>
          <w:highlight w:val="white"/>
        </w:rPr>
        <w:t>H  et</w:t>
      </w:r>
      <w:proofErr w:type="gramEnd"/>
      <w:r>
        <w:rPr>
          <w:rFonts w:eastAsia="Times New Roman" w:cs="Times New Roman"/>
          <w:color w:val="222222"/>
          <w:sz w:val="24"/>
          <w:szCs w:val="24"/>
          <w:highlight w:val="white"/>
        </w:rPr>
        <w:t xml:space="preserve"> al (2021</w:t>
      </w:r>
      <w:proofErr w:type="gramStart"/>
      <w:r>
        <w:rPr>
          <w:rFonts w:eastAsia="Times New Roman" w:cs="Times New Roman"/>
          <w:color w:val="222222"/>
          <w:sz w:val="24"/>
          <w:szCs w:val="24"/>
          <w:highlight w:val="white"/>
        </w:rPr>
        <w:t>)  The</w:t>
      </w:r>
      <w:proofErr w:type="gramEnd"/>
      <w:r>
        <w:rPr>
          <w:rFonts w:eastAsia="Times New Roman" w:cs="Times New Roman"/>
          <w:color w:val="222222"/>
          <w:sz w:val="24"/>
          <w:szCs w:val="24"/>
          <w:highlight w:val="white"/>
        </w:rPr>
        <w:t xml:space="preserve"> document examines investors in Slovakia, highlighting their objective of recovering funds through varying investment strategies influenced by individual preferences and risk tolerance. It underscores the significance of portfolio management for maximizing returns and minimizing risk, with an emphasis on systematic long-term investments and regular deposits, particularly during economic downturns. Mutual funds are identified as a simple method for collective investment, managed by specialists, and sharing profits among investors. The analysis also points out that monetary policy and financial stress can affect the performance of actively managed funds compared to ETFs, indicating a limitation in the study.</w:t>
      </w:r>
    </w:p>
    <w:p w14:paraId="2013E4EC" w14:textId="77777777" w:rsidR="00D25741" w:rsidRDefault="00000000">
      <w:pPr>
        <w:spacing w:before="240" w:after="240"/>
        <w:jc w:val="both"/>
        <w:rPr>
          <w:rFonts w:eastAsia="Times New Roman" w:cs="Times New Roman"/>
          <w:color w:val="222222"/>
          <w:sz w:val="24"/>
          <w:szCs w:val="24"/>
          <w:highlight w:val="white"/>
        </w:rPr>
      </w:pPr>
      <w:proofErr w:type="spellStart"/>
      <w:r>
        <w:rPr>
          <w:rFonts w:eastAsia="Times New Roman" w:cs="Times New Roman"/>
          <w:color w:val="222222"/>
          <w:sz w:val="24"/>
          <w:szCs w:val="24"/>
          <w:highlight w:val="white"/>
        </w:rPr>
        <w:lastRenderedPageBreak/>
        <w:t>Pavolova</w:t>
      </w:r>
      <w:proofErr w:type="spellEnd"/>
      <w:r>
        <w:rPr>
          <w:rFonts w:eastAsia="Times New Roman" w:cs="Times New Roman"/>
          <w:color w:val="222222"/>
          <w:sz w:val="24"/>
          <w:szCs w:val="24"/>
          <w:highlight w:val="white"/>
        </w:rPr>
        <w:t xml:space="preserve">, H., Bakalár, T., KYŠEĽA, K., Klimek, M., Hajduova, Z., &amp; Zawada, M. (2021). The analysis of investment into industries based on portfolio managers. </w:t>
      </w:r>
      <w:r>
        <w:rPr>
          <w:rFonts w:eastAsia="Times New Roman" w:cs="Times New Roman"/>
          <w:i/>
          <w:iCs/>
          <w:color w:val="222222"/>
          <w:sz w:val="24"/>
          <w:szCs w:val="24"/>
          <w:highlight w:val="white"/>
        </w:rPr>
        <w:t xml:space="preserve">Acta </w:t>
      </w:r>
      <w:proofErr w:type="spellStart"/>
      <w:r>
        <w:rPr>
          <w:rFonts w:eastAsia="Times New Roman" w:cs="Times New Roman"/>
          <w:i/>
          <w:iCs/>
          <w:color w:val="222222"/>
          <w:sz w:val="24"/>
          <w:szCs w:val="24"/>
          <w:highlight w:val="white"/>
        </w:rPr>
        <w:t>Montanistica</w:t>
      </w:r>
      <w:proofErr w:type="spellEnd"/>
      <w:r>
        <w:rPr>
          <w:rFonts w:eastAsia="Times New Roman" w:cs="Times New Roman"/>
          <w:i/>
          <w:iCs/>
          <w:color w:val="222222"/>
          <w:sz w:val="24"/>
          <w:szCs w:val="24"/>
          <w:highlight w:val="white"/>
        </w:rPr>
        <w:t xml:space="preserve"> </w:t>
      </w:r>
      <w:proofErr w:type="spellStart"/>
      <w:r>
        <w:rPr>
          <w:rFonts w:eastAsia="Times New Roman" w:cs="Times New Roman"/>
          <w:i/>
          <w:iCs/>
          <w:color w:val="222222"/>
          <w:sz w:val="24"/>
          <w:szCs w:val="24"/>
          <w:highlight w:val="white"/>
        </w:rPr>
        <w:t>Slovaca</w:t>
      </w:r>
      <w:proofErr w:type="spellEnd"/>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26</w:t>
      </w:r>
      <w:r>
        <w:rPr>
          <w:rFonts w:eastAsia="Times New Roman" w:cs="Times New Roman"/>
          <w:color w:val="222222"/>
          <w:sz w:val="24"/>
          <w:szCs w:val="24"/>
          <w:highlight w:val="white"/>
        </w:rPr>
        <w:t>(1).</w:t>
      </w:r>
    </w:p>
    <w:p w14:paraId="3641E3A3"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13. </w:t>
      </w:r>
      <w:proofErr w:type="spellStart"/>
      <w:r>
        <w:rPr>
          <w:rFonts w:eastAsia="Times New Roman" w:cs="Times New Roman"/>
          <w:color w:val="222222"/>
          <w:sz w:val="24"/>
          <w:szCs w:val="24"/>
          <w:highlight w:val="white"/>
        </w:rPr>
        <w:t>Virparia</w:t>
      </w:r>
      <w:proofErr w:type="spellEnd"/>
      <w:r>
        <w:rPr>
          <w:rFonts w:eastAsia="Times New Roman" w:cs="Times New Roman"/>
          <w:color w:val="222222"/>
          <w:sz w:val="24"/>
          <w:szCs w:val="24"/>
          <w:highlight w:val="white"/>
        </w:rPr>
        <w:t>, V. (2022) The Indian mutual fund industry has seen significant growth over the past two decades, with an increase in the number of schemes and mobilization of funds. This diversity includes large cap, mid cap, and small cap funds, complicating investors' choices. The study analyzes the performance of these mutual fund schemes, assisting investors in making decisions based on risk and returns using various metrics such as annual returns, standard deviation, beta, Sharpe's Ratio, Treynor's Ratio, and Jensen's Alpha Ratio.</w:t>
      </w:r>
    </w:p>
    <w:p w14:paraId="18C6BD02" w14:textId="77777777" w:rsidR="00D25741" w:rsidRDefault="00000000">
      <w:pPr>
        <w:spacing w:before="240" w:after="240"/>
        <w:jc w:val="both"/>
        <w:rPr>
          <w:rFonts w:eastAsia="Times New Roman" w:cs="Times New Roman"/>
          <w:color w:val="222222"/>
          <w:sz w:val="24"/>
          <w:szCs w:val="24"/>
          <w:highlight w:val="white"/>
        </w:rPr>
      </w:pPr>
      <w:proofErr w:type="spellStart"/>
      <w:r>
        <w:rPr>
          <w:rFonts w:eastAsia="Times New Roman" w:cs="Times New Roman"/>
          <w:color w:val="222222"/>
          <w:sz w:val="24"/>
          <w:szCs w:val="24"/>
          <w:highlight w:val="white"/>
        </w:rPr>
        <w:t>Virparia</w:t>
      </w:r>
      <w:proofErr w:type="spellEnd"/>
      <w:r>
        <w:rPr>
          <w:rFonts w:eastAsia="Times New Roman" w:cs="Times New Roman"/>
          <w:color w:val="222222"/>
          <w:sz w:val="24"/>
          <w:szCs w:val="24"/>
          <w:highlight w:val="white"/>
        </w:rPr>
        <w:t xml:space="preserve">, V. (2022). Performance analysis of mutual funds in India. </w:t>
      </w:r>
      <w:r>
        <w:rPr>
          <w:rFonts w:eastAsia="Times New Roman" w:cs="Times New Roman"/>
          <w:i/>
          <w:iCs/>
          <w:color w:val="222222"/>
          <w:sz w:val="24"/>
          <w:szCs w:val="24"/>
          <w:highlight w:val="white"/>
        </w:rPr>
        <w:t>International Journal of Management, Public Policy and Research</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1</w:t>
      </w:r>
      <w:r>
        <w:rPr>
          <w:rFonts w:eastAsia="Times New Roman" w:cs="Times New Roman"/>
          <w:color w:val="222222"/>
          <w:sz w:val="24"/>
          <w:szCs w:val="24"/>
          <w:highlight w:val="white"/>
        </w:rPr>
        <w:t>(3), 22-34.</w:t>
      </w:r>
    </w:p>
    <w:p w14:paraId="1B4DB292"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14.Vasista, K. (2022) A Commodity Exchange is an organized body facilitating futures trading in commodities or any structured marketplace promoting competition among buyers and sellers. It encompasses auction-type exchanges but excludes localized wholesale markets characterized by unrelated transactions. Additionally, the document briefly mentions types of mutual funds and associated investment risks.</w:t>
      </w:r>
    </w:p>
    <w:p w14:paraId="0EC85166"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Vasista, K. (2022). Types And Risks Involved Towards Investing </w:t>
      </w:r>
      <w:proofErr w:type="gramStart"/>
      <w:r>
        <w:rPr>
          <w:rFonts w:eastAsia="Times New Roman" w:cs="Times New Roman"/>
          <w:color w:val="222222"/>
          <w:sz w:val="24"/>
          <w:szCs w:val="24"/>
          <w:highlight w:val="white"/>
        </w:rPr>
        <w:t>In</w:t>
      </w:r>
      <w:proofErr w:type="gramEnd"/>
      <w:r>
        <w:rPr>
          <w:rFonts w:eastAsia="Times New Roman" w:cs="Times New Roman"/>
          <w:color w:val="222222"/>
          <w:sz w:val="24"/>
          <w:szCs w:val="24"/>
          <w:highlight w:val="white"/>
        </w:rPr>
        <w:t xml:space="preserve"> Mutual Funds. </w:t>
      </w:r>
      <w:r>
        <w:rPr>
          <w:rFonts w:eastAsia="Times New Roman" w:cs="Times New Roman"/>
          <w:i/>
          <w:iCs/>
          <w:color w:val="222222"/>
          <w:sz w:val="24"/>
          <w:szCs w:val="24"/>
          <w:highlight w:val="white"/>
        </w:rPr>
        <w:t>International Journal of Current Science (IJCSPUB)</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12</w:t>
      </w:r>
      <w:r>
        <w:rPr>
          <w:rFonts w:eastAsia="Times New Roman" w:cs="Times New Roman"/>
          <w:color w:val="222222"/>
          <w:sz w:val="24"/>
          <w:szCs w:val="24"/>
          <w:highlight w:val="white"/>
        </w:rPr>
        <w:t>(1), 2250-1770.</w:t>
      </w:r>
    </w:p>
    <w:p w14:paraId="35E77F09"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15.Maji, G et al (2021) Investment in the share market presents higher profit potential but is associated with considerable market risk, leading many to prefer mutual funds managed by experienced managers. This research utilizes data mining and regression techniques to predict stock prices and suggests a framework for diversifying capital investments. It employs a buy-and-hold strategy, allocating investments sector-wise and company-wise, aiming for higher returns with reduced risk. The experimental results confirm the effectiveness of this framework, showing strong performance compared to benchmark mutual funds in the Indian stock market.</w:t>
      </w:r>
    </w:p>
    <w:p w14:paraId="0D0152F7"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Maji, G., Mondal, D., Dey, N., Debnath, N. C., &amp; Sen, S. (2021). Stock prediction and mutual fund portfolio management using curve fitting techniques. </w:t>
      </w:r>
      <w:r>
        <w:rPr>
          <w:rFonts w:eastAsia="Times New Roman" w:cs="Times New Roman"/>
          <w:i/>
          <w:iCs/>
          <w:color w:val="222222"/>
          <w:sz w:val="24"/>
          <w:szCs w:val="24"/>
          <w:highlight w:val="white"/>
        </w:rPr>
        <w:t>Journal of Ambient Intelligence and Humanized Computing</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12</w:t>
      </w:r>
      <w:r>
        <w:rPr>
          <w:rFonts w:eastAsia="Times New Roman" w:cs="Times New Roman"/>
          <w:color w:val="222222"/>
          <w:sz w:val="24"/>
          <w:szCs w:val="24"/>
          <w:highlight w:val="white"/>
        </w:rPr>
        <w:t>(10), 9521-9534.</w:t>
      </w:r>
    </w:p>
    <w:p w14:paraId="06D88747"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16.Nicolescu, L et al (2020) Financial markets are vital for global economic development, focusing particularly on the young markets of Central and Eastern Europe, specifically Romania, Slovakia, and Hungary. The paper analyzes mutual funds' performance and risks relative to stock exchanges, utilizing statistical research. Key findings include that mutual funds generally outperform stock exchanges in economic turmoil, highlighting a shift from high-risk equity to low-risk bonds during crises. It also notes regional similarities in market evolution. The study suggests that fund administrators should consider these insights for asset portfolio decisions and marketing strategies.</w:t>
      </w:r>
    </w:p>
    <w:p w14:paraId="3BCA7573"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Nicolescu, L., Tudorache, F. G., &amp; </w:t>
      </w:r>
      <w:proofErr w:type="spellStart"/>
      <w:r>
        <w:rPr>
          <w:rFonts w:eastAsia="Times New Roman" w:cs="Times New Roman"/>
          <w:color w:val="222222"/>
          <w:sz w:val="24"/>
          <w:szCs w:val="24"/>
          <w:highlight w:val="white"/>
        </w:rPr>
        <w:t>Androniceanu</w:t>
      </w:r>
      <w:proofErr w:type="spellEnd"/>
      <w:r>
        <w:rPr>
          <w:rFonts w:eastAsia="Times New Roman" w:cs="Times New Roman"/>
          <w:color w:val="222222"/>
          <w:sz w:val="24"/>
          <w:szCs w:val="24"/>
          <w:highlight w:val="white"/>
        </w:rPr>
        <w:t xml:space="preserve">, A. (2020). Performance risk analysis on mutual funds versus stock exchanges in young financial markets. </w:t>
      </w:r>
      <w:r>
        <w:rPr>
          <w:rFonts w:eastAsia="Times New Roman" w:cs="Times New Roman"/>
          <w:i/>
          <w:iCs/>
          <w:color w:val="222222"/>
          <w:sz w:val="24"/>
          <w:szCs w:val="24"/>
          <w:highlight w:val="white"/>
        </w:rPr>
        <w:t>Journal of International Studies (2071-8330)</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13</w:t>
      </w:r>
      <w:r>
        <w:rPr>
          <w:rFonts w:eastAsia="Times New Roman" w:cs="Times New Roman"/>
          <w:color w:val="222222"/>
          <w:sz w:val="24"/>
          <w:szCs w:val="24"/>
          <w:highlight w:val="white"/>
        </w:rPr>
        <w:t>(1).</w:t>
      </w:r>
    </w:p>
    <w:p w14:paraId="6108A1A1"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lastRenderedPageBreak/>
        <w:t>17. Shaik, M. B et al (2022) research focuses on the savings and investment behavior of IT professionals in India, emphasizing their significant contribution to the nation's GDP. It examines various aspects of their investment planning, preferences, and the influence of risk tolerance on their decisions. The study identifies different objectives for investments, ranging from financial stability to generating additional income, and aims to uncover the behavioral factors that drive increased investment activities among young IT professionals through a structured survey.</w:t>
      </w:r>
    </w:p>
    <w:p w14:paraId="232D8A10"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Shaik, M. B., Kethan, M., Jaggaiah, T., &amp; </w:t>
      </w:r>
      <w:proofErr w:type="spellStart"/>
      <w:r>
        <w:rPr>
          <w:rFonts w:eastAsia="Times New Roman" w:cs="Times New Roman"/>
          <w:color w:val="222222"/>
          <w:sz w:val="24"/>
          <w:szCs w:val="24"/>
          <w:highlight w:val="white"/>
        </w:rPr>
        <w:t>Khizerulla</w:t>
      </w:r>
      <w:proofErr w:type="spellEnd"/>
      <w:r>
        <w:rPr>
          <w:rFonts w:eastAsia="Times New Roman" w:cs="Times New Roman"/>
          <w:color w:val="222222"/>
          <w:sz w:val="24"/>
          <w:szCs w:val="24"/>
          <w:highlight w:val="white"/>
        </w:rPr>
        <w:t xml:space="preserve">, M. (2022). Financial literacy and investment </w:t>
      </w:r>
      <w:proofErr w:type="spellStart"/>
      <w:r>
        <w:rPr>
          <w:rFonts w:eastAsia="Times New Roman" w:cs="Times New Roman"/>
          <w:color w:val="222222"/>
          <w:sz w:val="24"/>
          <w:szCs w:val="24"/>
          <w:highlight w:val="white"/>
        </w:rPr>
        <w:t>behaviour</w:t>
      </w:r>
      <w:proofErr w:type="spellEnd"/>
      <w:r>
        <w:rPr>
          <w:rFonts w:eastAsia="Times New Roman" w:cs="Times New Roman"/>
          <w:color w:val="222222"/>
          <w:sz w:val="24"/>
          <w:szCs w:val="24"/>
          <w:highlight w:val="white"/>
        </w:rPr>
        <w:t xml:space="preserve"> of IT professional in India. </w:t>
      </w:r>
      <w:r>
        <w:rPr>
          <w:rFonts w:eastAsia="Times New Roman" w:cs="Times New Roman"/>
          <w:i/>
          <w:iCs/>
          <w:color w:val="222222"/>
          <w:sz w:val="24"/>
          <w:szCs w:val="24"/>
          <w:highlight w:val="white"/>
        </w:rPr>
        <w:t>East Asian Journal of Multidisciplinary Research</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1</w:t>
      </w:r>
      <w:r>
        <w:rPr>
          <w:rFonts w:eastAsia="Times New Roman" w:cs="Times New Roman"/>
          <w:color w:val="222222"/>
          <w:sz w:val="24"/>
          <w:szCs w:val="24"/>
          <w:highlight w:val="white"/>
        </w:rPr>
        <w:t>(5), 777-788.</w:t>
      </w:r>
    </w:p>
    <w:p w14:paraId="620FAA7E"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18.Mishra, A. K et al (2023) investigates behavioral factors affecting investor attitudes and intentions toward mutual funds during the COVID-19 pandemic and increased digitalization. Key findings indicate that attitude (ATB), awareness (AW), and investment decision involvement (IDI) positively influence investment intention (BI), whereas perceived barriers (PBR) have a negative effect. Herd behavior (HB) and social media influence (SMI) do not significantly affect these intentions. Attitude is the primary determinant of investment intention, followed by awareness, perceived barriers, and IDI. Among the determinants of attitude, self-efficacy (SE) is the most critical, followed by perceived usefulness (PU), perceived emergency (PEMER), subjective norms (SN), and perceived risk (PR).</w:t>
      </w:r>
    </w:p>
    <w:p w14:paraId="0E0C82F0"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Mishra, A. K., Bansal, R., Maurya, P. K., Kar, S. K., &amp; Bakshi, P. K. (2023). Predicting the antecedents of consumers' intention toward purchase of mutual funds: A hybrid PLS‐SEM‐neural network approach. </w:t>
      </w:r>
      <w:r>
        <w:rPr>
          <w:rFonts w:eastAsia="Times New Roman" w:cs="Times New Roman"/>
          <w:i/>
          <w:iCs/>
          <w:color w:val="222222"/>
          <w:sz w:val="24"/>
          <w:szCs w:val="24"/>
          <w:highlight w:val="white"/>
        </w:rPr>
        <w:t>International Journal of Consumer Studies</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47</w:t>
      </w:r>
      <w:r>
        <w:rPr>
          <w:rFonts w:eastAsia="Times New Roman" w:cs="Times New Roman"/>
          <w:color w:val="222222"/>
          <w:sz w:val="24"/>
          <w:szCs w:val="24"/>
          <w:highlight w:val="white"/>
        </w:rPr>
        <w:t>(2), 563-587.</w:t>
      </w:r>
    </w:p>
    <w:p w14:paraId="1107D887"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19.Gyamfi Gyimah, A et </w:t>
      </w:r>
      <w:proofErr w:type="gramStart"/>
      <w:r>
        <w:rPr>
          <w:rFonts w:eastAsia="Times New Roman" w:cs="Times New Roman"/>
          <w:color w:val="222222"/>
          <w:sz w:val="24"/>
          <w:szCs w:val="24"/>
          <w:highlight w:val="white"/>
        </w:rPr>
        <w:t>al  (</w:t>
      </w:r>
      <w:proofErr w:type="gramEnd"/>
      <w:r>
        <w:rPr>
          <w:rFonts w:eastAsia="Times New Roman" w:cs="Times New Roman"/>
          <w:color w:val="222222"/>
          <w:sz w:val="24"/>
          <w:szCs w:val="24"/>
          <w:highlight w:val="white"/>
        </w:rPr>
        <w:t>2021) This study analyzes the effects of macroeconomic variables on mutual fund performance in Ghana from 2007 to 2016 using the Pooled Mean Group estimation of the Autoregressive Distributed Lag model. It finds significant long-run positive effects of exchange rate, inflation, T-Bill, and GDP growth on mutual fund performance, while the monetary policy rate negatively impacts performance. In the short run, T-Bill has a negative effect, and monetary policy has a positive impact. The study uniquely employs accounting data and includes monetary policy rate, enhancing the understanding of macroeconomic influences in the context of a developing country.</w:t>
      </w:r>
    </w:p>
    <w:p w14:paraId="750A7461"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Gyamfi Gyimah, A., Addai, B., &amp; Asamoah, G. K. (2021). Macroeconomic determinants of mutual </w:t>
      </w:r>
      <w:proofErr w:type="spellStart"/>
      <w:r>
        <w:rPr>
          <w:rFonts w:eastAsia="Times New Roman" w:cs="Times New Roman"/>
          <w:color w:val="222222"/>
          <w:sz w:val="24"/>
          <w:szCs w:val="24"/>
          <w:highlight w:val="white"/>
        </w:rPr>
        <w:t>funds</w:t>
      </w:r>
      <w:proofErr w:type="spellEnd"/>
      <w:r>
        <w:rPr>
          <w:rFonts w:eastAsia="Times New Roman" w:cs="Times New Roman"/>
          <w:color w:val="222222"/>
          <w:sz w:val="24"/>
          <w:szCs w:val="24"/>
          <w:highlight w:val="white"/>
        </w:rPr>
        <w:t xml:space="preserve"> performance in Ghana. </w:t>
      </w:r>
      <w:r>
        <w:rPr>
          <w:rFonts w:eastAsia="Times New Roman" w:cs="Times New Roman"/>
          <w:i/>
          <w:iCs/>
          <w:color w:val="222222"/>
          <w:sz w:val="24"/>
          <w:szCs w:val="24"/>
          <w:highlight w:val="white"/>
        </w:rPr>
        <w:t>Cogent Economics &amp; Finance</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9</w:t>
      </w:r>
      <w:r>
        <w:rPr>
          <w:rFonts w:eastAsia="Times New Roman" w:cs="Times New Roman"/>
          <w:color w:val="222222"/>
          <w:sz w:val="24"/>
          <w:szCs w:val="24"/>
          <w:highlight w:val="white"/>
        </w:rPr>
        <w:t>(1), 1913876.</w:t>
      </w:r>
    </w:p>
    <w:p w14:paraId="2D1F9610"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20.Bhatnagar, M et al (2022) Fintech provides new investment opportunities and risks, prompting this study to analyze the risk-return relationship within India's fintech industry on the stock market. Based on data from the Bombay Stock Exchange from January 2017 to July 2022, the research employs the GARCH-M model to investigate volatility and its implications for stock investors and fund managers. The findings indicate that understanding investment risks is crucial and that the Indian fintech sector may offer significant returns for those willing to take risks, depending on their investment horizons.</w:t>
      </w:r>
    </w:p>
    <w:p w14:paraId="2FCCC226"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lastRenderedPageBreak/>
        <w:t xml:space="preserve">Bhatnagar, M., Özen, E., Taneja, S., Grima, S., &amp; </w:t>
      </w:r>
      <w:proofErr w:type="spellStart"/>
      <w:r>
        <w:rPr>
          <w:rFonts w:eastAsia="Times New Roman" w:cs="Times New Roman"/>
          <w:color w:val="222222"/>
          <w:sz w:val="24"/>
          <w:szCs w:val="24"/>
          <w:highlight w:val="white"/>
        </w:rPr>
        <w:t>Rupeika-Apoga</w:t>
      </w:r>
      <w:proofErr w:type="spellEnd"/>
      <w:r>
        <w:rPr>
          <w:rFonts w:eastAsia="Times New Roman" w:cs="Times New Roman"/>
          <w:color w:val="222222"/>
          <w:sz w:val="24"/>
          <w:szCs w:val="24"/>
          <w:highlight w:val="white"/>
        </w:rPr>
        <w:t xml:space="preserve">, R. (2022). The dynamic connectedness between risk and return in the fintech market of India: evidence using the GARCH-M approach. </w:t>
      </w:r>
      <w:r>
        <w:rPr>
          <w:rFonts w:eastAsia="Times New Roman" w:cs="Times New Roman"/>
          <w:i/>
          <w:iCs/>
          <w:color w:val="222222"/>
          <w:sz w:val="24"/>
          <w:szCs w:val="24"/>
          <w:highlight w:val="white"/>
        </w:rPr>
        <w:t>Risks</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10</w:t>
      </w:r>
      <w:r>
        <w:rPr>
          <w:rFonts w:eastAsia="Times New Roman" w:cs="Times New Roman"/>
          <w:color w:val="222222"/>
          <w:sz w:val="24"/>
          <w:szCs w:val="24"/>
          <w:highlight w:val="white"/>
        </w:rPr>
        <w:t>(11), 209.</w:t>
      </w:r>
    </w:p>
    <w:p w14:paraId="5D40F994"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21. Maheswari, Y. (2020) In India, the capital market, particularly through mutual funds, offers diverse investment options with high returns and lower risks. The growth of these funds is supported by 44 Asset Management Companies (AMCs) that enhance investment practices. This study evaluates mutual fund performance, focusing on the role of both public and private sector AMCs, and uses statistical measures like beta, standard deviation, Treynor's measure, and Sharpe ratio to analyze selected mutual fund schemes. The findings aim to assist investors in making informed future investment decisions.</w:t>
      </w:r>
    </w:p>
    <w:p w14:paraId="20B39170"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Maheswari, Y. (2020). A comparative study on performance of selected mutual funds in India. </w:t>
      </w:r>
      <w:r>
        <w:rPr>
          <w:rFonts w:eastAsia="Times New Roman" w:cs="Times New Roman"/>
          <w:i/>
          <w:iCs/>
          <w:color w:val="222222"/>
          <w:sz w:val="24"/>
          <w:szCs w:val="24"/>
          <w:highlight w:val="white"/>
        </w:rPr>
        <w:t>Available at SSRN 3615774</w:t>
      </w:r>
      <w:r>
        <w:rPr>
          <w:rFonts w:eastAsia="Times New Roman" w:cs="Times New Roman"/>
          <w:color w:val="222222"/>
          <w:sz w:val="24"/>
          <w:szCs w:val="24"/>
          <w:highlight w:val="white"/>
        </w:rPr>
        <w:t>.</w:t>
      </w:r>
    </w:p>
    <w:p w14:paraId="23DF3408"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22. </w:t>
      </w:r>
      <w:proofErr w:type="spellStart"/>
      <w:r>
        <w:rPr>
          <w:rFonts w:eastAsia="Times New Roman" w:cs="Times New Roman"/>
          <w:color w:val="222222"/>
          <w:sz w:val="24"/>
          <w:szCs w:val="24"/>
          <w:highlight w:val="white"/>
        </w:rPr>
        <w:t>Hapsari</w:t>
      </w:r>
      <w:proofErr w:type="spellEnd"/>
      <w:r>
        <w:rPr>
          <w:rFonts w:eastAsia="Times New Roman" w:cs="Times New Roman"/>
          <w:color w:val="222222"/>
          <w:sz w:val="24"/>
          <w:szCs w:val="24"/>
          <w:highlight w:val="white"/>
        </w:rPr>
        <w:t>, S. A. (2021) Mutual funds in Indonesia are experiencing significant growth in assets under management, product variety, and investor numbers, largely driven by digital innovation that facilitates access to information and transactions. This study explores factors influencing investment intentions in mutual funds using the theory of planned behavior, which encompasses attitudes, subjective norms, and perceived behavioral control. Additionally, financial literacy is included as a factor in assessing investment intentions. A multiple linear regression analysis reveals that attitude is the most significant predictor of the intention to invest in mutual funds.</w:t>
      </w:r>
    </w:p>
    <w:p w14:paraId="44DBCF2D" w14:textId="77777777" w:rsidR="00D25741" w:rsidRDefault="00000000">
      <w:pPr>
        <w:spacing w:before="240" w:after="240"/>
        <w:jc w:val="both"/>
        <w:rPr>
          <w:rFonts w:eastAsia="Times New Roman" w:cs="Times New Roman"/>
          <w:color w:val="222222"/>
          <w:sz w:val="24"/>
          <w:szCs w:val="24"/>
          <w:highlight w:val="white"/>
        </w:rPr>
      </w:pPr>
      <w:proofErr w:type="spellStart"/>
      <w:r>
        <w:rPr>
          <w:rFonts w:eastAsia="Times New Roman" w:cs="Times New Roman"/>
          <w:color w:val="222222"/>
          <w:sz w:val="24"/>
          <w:szCs w:val="24"/>
          <w:highlight w:val="white"/>
        </w:rPr>
        <w:t>Hapsari</w:t>
      </w:r>
      <w:proofErr w:type="spellEnd"/>
      <w:r>
        <w:rPr>
          <w:rFonts w:eastAsia="Times New Roman" w:cs="Times New Roman"/>
          <w:color w:val="222222"/>
          <w:sz w:val="24"/>
          <w:szCs w:val="24"/>
          <w:highlight w:val="white"/>
        </w:rPr>
        <w:t xml:space="preserve">, S. A. (2021, September). The theory of planned behavior and financial literacy to analyze intention in mutual fund product investment. In </w:t>
      </w:r>
      <w:r>
        <w:rPr>
          <w:rFonts w:eastAsia="Times New Roman" w:cs="Times New Roman"/>
          <w:i/>
          <w:iCs/>
          <w:color w:val="222222"/>
          <w:sz w:val="24"/>
          <w:szCs w:val="24"/>
          <w:highlight w:val="white"/>
        </w:rPr>
        <w:t>5th Global Conference on Business, Management and Entrepreneurship (GCBME 2020)</w:t>
      </w:r>
      <w:r>
        <w:rPr>
          <w:rFonts w:eastAsia="Times New Roman" w:cs="Times New Roman"/>
          <w:color w:val="222222"/>
          <w:sz w:val="24"/>
          <w:szCs w:val="24"/>
          <w:highlight w:val="white"/>
        </w:rPr>
        <w:t xml:space="preserve"> (pp. 136-141). Atlantis Press.</w:t>
      </w:r>
    </w:p>
    <w:p w14:paraId="3FA7DAFF"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23.Nukala, V. B., &amp; Prasada Rao, S. S. (2021) asset returns of two companies are analyzed using the capital asset pricing method. It demonstrates that a higher debt-to-equity ratio leads to a flatter net present value, despite increasing gross margins. The study underscores the significance of capital appraisal techniques and indicates that surpassing a certain average cost of capital can diminish the net present value of investments. Furthermore, covariance analysis of stock returns from the BSE Sensex and S&amp;P 500 reveals that returns increase with higher beta values, influenced by earnings potential, growth rates, dividend payouts, and stock prices. Additionally, the standard deviations calculated for a two-stock portfolio show that positive stock correlation elevates equity risk, while negative correlation mitigates it.</w:t>
      </w:r>
    </w:p>
    <w:p w14:paraId="258946D3"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Nukala, V. B., &amp; Prasada Rao, S. S. (2021). Role of debt-to-equity ratio in project investment valuation, assessing risk and return in capital markets. </w:t>
      </w:r>
      <w:r>
        <w:rPr>
          <w:rFonts w:eastAsia="Times New Roman" w:cs="Times New Roman"/>
          <w:i/>
          <w:iCs/>
          <w:color w:val="222222"/>
          <w:sz w:val="24"/>
          <w:szCs w:val="24"/>
          <w:highlight w:val="white"/>
        </w:rPr>
        <w:t>Future Business Journal</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7</w:t>
      </w:r>
      <w:r>
        <w:rPr>
          <w:rFonts w:eastAsia="Times New Roman" w:cs="Times New Roman"/>
          <w:color w:val="222222"/>
          <w:sz w:val="24"/>
          <w:szCs w:val="24"/>
          <w:highlight w:val="white"/>
        </w:rPr>
        <w:t>(1), 13.</w:t>
      </w:r>
    </w:p>
    <w:p w14:paraId="1E6ECC7E"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24. A., Kansal, A., &amp; Jain, V. (2020) Mutual funds are deemed the best investment option in an uncertain market, prompting investigation into the factors influencing investor decisions. Despite inherent risks, the mutual funds industry continues to grow. This research paper aims to identify the motivating factors that attract potential investors, enabling mutual fund companies to develop effective strategies for increasing market </w:t>
      </w:r>
      <w:proofErr w:type="spellStart"/>
      <w:proofErr w:type="gramStart"/>
      <w:r>
        <w:rPr>
          <w:rFonts w:eastAsia="Times New Roman" w:cs="Times New Roman"/>
          <w:color w:val="222222"/>
          <w:sz w:val="24"/>
          <w:szCs w:val="24"/>
          <w:highlight w:val="white"/>
        </w:rPr>
        <w:t>investment.Kumar</w:t>
      </w:r>
      <w:proofErr w:type="spellEnd"/>
      <w:proofErr w:type="gramEnd"/>
      <w:r>
        <w:rPr>
          <w:rFonts w:eastAsia="Times New Roman" w:cs="Times New Roman"/>
          <w:color w:val="222222"/>
          <w:sz w:val="24"/>
          <w:szCs w:val="24"/>
          <w:highlight w:val="white"/>
        </w:rPr>
        <w:t xml:space="preserve">, </w:t>
      </w:r>
    </w:p>
    <w:p w14:paraId="1BA7CE53"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lastRenderedPageBreak/>
        <w:t xml:space="preserve">A., Kansal, A., &amp; Jain, V. (2020). A Comprehensive Study of Factor Influencing Investor’s Perception Investing in Mutual Funds. </w:t>
      </w:r>
      <w:r>
        <w:rPr>
          <w:rFonts w:eastAsia="Times New Roman" w:cs="Times New Roman"/>
          <w:i/>
          <w:iCs/>
          <w:color w:val="222222"/>
          <w:sz w:val="24"/>
          <w:szCs w:val="24"/>
          <w:highlight w:val="white"/>
        </w:rPr>
        <w:t>European Journal of Molecular &amp; Clinical Medicine</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7</w:t>
      </w:r>
      <w:r>
        <w:rPr>
          <w:rFonts w:eastAsia="Times New Roman" w:cs="Times New Roman"/>
          <w:color w:val="222222"/>
          <w:sz w:val="24"/>
          <w:szCs w:val="24"/>
          <w:highlight w:val="white"/>
        </w:rPr>
        <w:t>(11), 2020.</w:t>
      </w:r>
    </w:p>
    <w:p w14:paraId="0FA303BF"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25. Meher, B. K et al (2024) The fintech industry is rapidly growing, appealing to both individual and mutual fund investors interested in stock price predictions. This study develops stock forecasting models for three </w:t>
      </w:r>
      <w:proofErr w:type="gramStart"/>
      <w:r>
        <w:rPr>
          <w:rFonts w:eastAsia="Times New Roman" w:cs="Times New Roman"/>
          <w:color w:val="222222"/>
          <w:sz w:val="24"/>
          <w:szCs w:val="24"/>
          <w:highlight w:val="white"/>
        </w:rPr>
        <w:t>major</w:t>
      </w:r>
      <w:proofErr w:type="gramEnd"/>
      <w:r>
        <w:rPr>
          <w:rFonts w:eastAsia="Times New Roman" w:cs="Times New Roman"/>
          <w:color w:val="222222"/>
          <w:sz w:val="24"/>
          <w:szCs w:val="24"/>
          <w:highlight w:val="white"/>
        </w:rPr>
        <w:t xml:space="preserve"> Indian fintech firms: Policy Bazar, </w:t>
      </w:r>
      <w:proofErr w:type="gramStart"/>
      <w:r>
        <w:rPr>
          <w:rFonts w:eastAsia="Times New Roman" w:cs="Times New Roman"/>
          <w:color w:val="222222"/>
          <w:sz w:val="24"/>
          <w:szCs w:val="24"/>
          <w:highlight w:val="white"/>
        </w:rPr>
        <w:t>One</w:t>
      </w:r>
      <w:proofErr w:type="gramEnd"/>
      <w:r>
        <w:rPr>
          <w:rFonts w:eastAsia="Times New Roman" w:cs="Times New Roman"/>
          <w:color w:val="222222"/>
          <w:sz w:val="24"/>
          <w:szCs w:val="24"/>
          <w:highlight w:val="white"/>
        </w:rPr>
        <w:t xml:space="preserve"> 97 Communications (Paytm), and </w:t>
      </w:r>
      <w:proofErr w:type="spellStart"/>
      <w:r>
        <w:rPr>
          <w:rFonts w:eastAsia="Times New Roman" w:cs="Times New Roman"/>
          <w:color w:val="222222"/>
          <w:sz w:val="24"/>
          <w:szCs w:val="24"/>
          <w:highlight w:val="white"/>
        </w:rPr>
        <w:t>Niyogin</w:t>
      </w:r>
      <w:proofErr w:type="spellEnd"/>
      <w:r>
        <w:rPr>
          <w:rFonts w:eastAsia="Times New Roman" w:cs="Times New Roman"/>
          <w:color w:val="222222"/>
          <w:sz w:val="24"/>
          <w:szCs w:val="24"/>
          <w:highlight w:val="white"/>
        </w:rPr>
        <w:t>, employing a Random Forest model using high-frequency data in Python. It uniquely focuses on Indian fintech stock price predictions, supported by a literature review. The data, sourced from moneycontrol.com and kotaksecurities.com, spans from October 1, 2022, to September 30, 2023, totaling 293,280 data points (97,760 per company). The Random Forest model achieved over 95% coefficient of determination in predictions for all companies.</w:t>
      </w:r>
    </w:p>
    <w:p w14:paraId="7BD375B3"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Meher, B. K., Singh, M., Birau, R., &amp; Anand, A. (2024). Forecasting stock prices of fintech companies of India using random forest with high-frequency data. </w:t>
      </w:r>
      <w:r>
        <w:rPr>
          <w:rFonts w:eastAsia="Times New Roman" w:cs="Times New Roman"/>
          <w:i/>
          <w:iCs/>
          <w:color w:val="222222"/>
          <w:sz w:val="24"/>
          <w:szCs w:val="24"/>
          <w:highlight w:val="white"/>
        </w:rPr>
        <w:t>Journal of Open Innovation: Technology, Market, and Complexity</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10</w:t>
      </w:r>
      <w:r>
        <w:rPr>
          <w:rFonts w:eastAsia="Times New Roman" w:cs="Times New Roman"/>
          <w:color w:val="222222"/>
          <w:sz w:val="24"/>
          <w:szCs w:val="24"/>
          <w:highlight w:val="white"/>
        </w:rPr>
        <w:t>(1), 100180.</w:t>
      </w:r>
    </w:p>
    <w:p w14:paraId="7A574085"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26. Venkatesh, P. S. K. P. S et al (2021) Technical Analysis involves examining stock market factors impacting supply and demand to determine the intrinsic value of shares and identify if they are undervalued or overvalued. It helps investors pinpoint major market turning points through selected company analysis, understanding price behavior, and recognizing signals of market movements. Essential for traders, the study focuses on technical analysis in the steel sector, utilizing techniques such as Candlestick Charts, Simple Moving Averages, Rate of Change (ROC), and Relative Strength Index (RSI) based on historical data to decide when to buy or sell stocks.</w:t>
      </w:r>
    </w:p>
    <w:p w14:paraId="00532F1F"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Venkatesh, P. S. K. P. S., Sudheer, K., &amp; Paramasivan, S. (2021). A study on technical analysis using candlestick pattern of selected large cap stocks listed in National Stock Exchange (NSE), India with reference to steel sector. </w:t>
      </w:r>
      <w:r>
        <w:rPr>
          <w:rFonts w:eastAsia="Times New Roman" w:cs="Times New Roman"/>
          <w:i/>
          <w:iCs/>
          <w:color w:val="222222"/>
          <w:sz w:val="24"/>
          <w:szCs w:val="24"/>
          <w:highlight w:val="white"/>
        </w:rPr>
        <w:t>GSI Journals Serie B: Advancements in Business and Economics</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3</w:t>
      </w:r>
      <w:r>
        <w:rPr>
          <w:rFonts w:eastAsia="Times New Roman" w:cs="Times New Roman"/>
          <w:color w:val="222222"/>
          <w:sz w:val="24"/>
          <w:szCs w:val="24"/>
          <w:highlight w:val="white"/>
        </w:rPr>
        <w:t>(2), 62-71.</w:t>
      </w:r>
    </w:p>
    <w:p w14:paraId="12437508"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27. Haralayya, B., &amp; Aithal, P. S. (2021) analyzes performance-affecting factors in the banking sector in India, focusing on 18 public sector, 13 private sector, and 16 foreign sector banks using panel data from 2005 to 2020. It employs return on assets (ROA) and return on equity (ROE) as proxies for bank performance. Key independent variables include capital adequacy ratio, net profit, adjusted returns on investments and advances, investment-deposit ratio, credit-deposit ratio, cash-deposit ratio, total borrowings, and profit per employee. The log-linear regression model indicates a significant correlation between ROA and ROE and several independent factors, particularly net profit, adjusted returns on advances, cash deposit ratio, total borrowings, and profit per employee, marking them as influential on the performance of the Indian banking sector.</w:t>
      </w:r>
    </w:p>
    <w:p w14:paraId="40ED734C"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Haralayya, B., &amp; Aithal, P. S. (2021). Performance affecting factors of </w:t>
      </w:r>
      <w:proofErr w:type="spellStart"/>
      <w:r>
        <w:rPr>
          <w:rFonts w:eastAsia="Times New Roman" w:cs="Times New Roman"/>
          <w:color w:val="222222"/>
          <w:sz w:val="24"/>
          <w:szCs w:val="24"/>
          <w:highlight w:val="white"/>
        </w:rPr>
        <w:t>indian</w:t>
      </w:r>
      <w:proofErr w:type="spellEnd"/>
      <w:r>
        <w:rPr>
          <w:rFonts w:eastAsia="Times New Roman" w:cs="Times New Roman"/>
          <w:color w:val="222222"/>
          <w:sz w:val="24"/>
          <w:szCs w:val="24"/>
          <w:highlight w:val="white"/>
        </w:rPr>
        <w:t xml:space="preserve"> banking sector: an empirical analysis. </w:t>
      </w:r>
      <w:r>
        <w:rPr>
          <w:rFonts w:eastAsia="Times New Roman" w:cs="Times New Roman"/>
          <w:i/>
          <w:iCs/>
          <w:color w:val="222222"/>
          <w:sz w:val="24"/>
          <w:szCs w:val="24"/>
          <w:highlight w:val="white"/>
        </w:rPr>
        <w:t>George Washington International Law Review</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7</w:t>
      </w:r>
      <w:r>
        <w:rPr>
          <w:rFonts w:eastAsia="Times New Roman" w:cs="Times New Roman"/>
          <w:color w:val="222222"/>
          <w:sz w:val="24"/>
          <w:szCs w:val="24"/>
          <w:highlight w:val="white"/>
        </w:rPr>
        <w:t>(1), 607-621.</w:t>
      </w:r>
    </w:p>
    <w:p w14:paraId="706D0613"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28. Mirza, N et al (2020) research evaluates the performance of equity funds in severely impacted Latin American countries during the Covid-19 outbreak, emphasizing the importance of fund managers' performance and human capital efficiency. The study finds that funds with higher human capital efficiency significantly outperform those with lower efficiency, a trend consistent </w:t>
      </w:r>
      <w:r>
        <w:rPr>
          <w:rFonts w:eastAsia="Times New Roman" w:cs="Times New Roman"/>
          <w:color w:val="222222"/>
          <w:sz w:val="24"/>
          <w:szCs w:val="24"/>
          <w:highlight w:val="white"/>
        </w:rPr>
        <w:lastRenderedPageBreak/>
        <w:t>throughout various sub-periods of the pandemic. The conclusion suggests that enhancing human capital efficiency is crucial for equity funds to maintain resilience against macroeconomic shocks.</w:t>
      </w:r>
    </w:p>
    <w:p w14:paraId="218F06A8"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Mirza, N., Hasnaoui, J. A., Naqvi, B., &amp; Rizvi, S. K. A. (2020). The impact of human capital efficiency on Latin American mutual funds during Covid-19 outbreak. </w:t>
      </w:r>
      <w:r>
        <w:rPr>
          <w:rFonts w:eastAsia="Times New Roman" w:cs="Times New Roman"/>
          <w:i/>
          <w:iCs/>
          <w:color w:val="222222"/>
          <w:sz w:val="24"/>
          <w:szCs w:val="24"/>
          <w:highlight w:val="white"/>
        </w:rPr>
        <w:t>Swiss Journal of Economics and Statistics</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156</w:t>
      </w:r>
      <w:r>
        <w:rPr>
          <w:rFonts w:eastAsia="Times New Roman" w:cs="Times New Roman"/>
          <w:color w:val="222222"/>
          <w:sz w:val="24"/>
          <w:szCs w:val="24"/>
          <w:highlight w:val="white"/>
        </w:rPr>
        <w:t>(1), 16.</w:t>
      </w:r>
    </w:p>
    <w:p w14:paraId="06FF2956"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29. Velte, P. (2023) Recent archival research (66 studies) examines how institutional ownership (IO) heterogeneity impacts corporate sustainability through an agency-theoretical lens. </w:t>
      </w:r>
      <w:proofErr w:type="gramStart"/>
      <w:r>
        <w:rPr>
          <w:rFonts w:eastAsia="Times New Roman" w:cs="Times New Roman"/>
          <w:color w:val="222222"/>
          <w:sz w:val="24"/>
          <w:szCs w:val="24"/>
          <w:highlight w:val="white"/>
        </w:rPr>
        <w:t>The majority of</w:t>
      </w:r>
      <w:proofErr w:type="gramEnd"/>
      <w:r>
        <w:rPr>
          <w:rFonts w:eastAsia="Times New Roman" w:cs="Times New Roman"/>
          <w:color w:val="222222"/>
          <w:sz w:val="24"/>
          <w:szCs w:val="24"/>
          <w:highlight w:val="white"/>
        </w:rPr>
        <w:t xml:space="preserve"> prior studies focus on the effects of IO heterogeneity on corporate sustainability performance. Findings indicate that long-term, sustainable, and foreign IO correlates with improved ESG/CSR outcomes. Additionally, long-term institutional investors enhance the positive relationship between corporate sustainability and future financial performance. The article highlights the need for future research to address endogeneity issues and suggests content-related proposals for research design.</w:t>
      </w:r>
    </w:p>
    <w:p w14:paraId="05E1749B"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Velte, P. (2023). Which institutional investors drive corporate sustainability? A systematic literature review. </w:t>
      </w:r>
      <w:r>
        <w:rPr>
          <w:rFonts w:eastAsia="Times New Roman" w:cs="Times New Roman"/>
          <w:i/>
          <w:iCs/>
          <w:color w:val="222222"/>
          <w:sz w:val="24"/>
          <w:szCs w:val="24"/>
          <w:highlight w:val="white"/>
        </w:rPr>
        <w:t>Business Strategy and the Environment</w:t>
      </w:r>
      <w:r>
        <w:rPr>
          <w:rFonts w:eastAsia="Times New Roman" w:cs="Times New Roman"/>
          <w:color w:val="222222"/>
          <w:sz w:val="24"/>
          <w:szCs w:val="24"/>
          <w:highlight w:val="white"/>
        </w:rPr>
        <w:t xml:space="preserve">, </w:t>
      </w:r>
      <w:r>
        <w:rPr>
          <w:rFonts w:eastAsia="Times New Roman" w:cs="Times New Roman"/>
          <w:i/>
          <w:iCs/>
          <w:color w:val="222222"/>
          <w:sz w:val="24"/>
          <w:szCs w:val="24"/>
          <w:highlight w:val="white"/>
        </w:rPr>
        <w:t>32</w:t>
      </w:r>
      <w:r>
        <w:rPr>
          <w:rFonts w:eastAsia="Times New Roman" w:cs="Times New Roman"/>
          <w:color w:val="222222"/>
          <w:sz w:val="24"/>
          <w:szCs w:val="24"/>
          <w:highlight w:val="white"/>
        </w:rPr>
        <w:t>(1), 42-71.</w:t>
      </w:r>
    </w:p>
    <w:p w14:paraId="3542FFCD"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30. Vidal-Garcia, J., &amp; Vidal, M. (2024) We analyze the relationship between mutual fund performance and size globally, revealing that smaller funds outperform larger ones, indicating diseconomies of scale in the mutual fund industry. Our findings show a negative correlation between fund size and both net returns and Carhart alphas, suggesting diminishing returns to scale. Additionally, small funds demonstrate superior stock picking abilities, while larger funds show a positive size effect in market timing skills, indicating that larger fund managers are better at predicting market fluctuations.</w:t>
      </w:r>
    </w:p>
    <w:p w14:paraId="665C3CBA" w14:textId="77777777" w:rsidR="00D25741" w:rsidRDefault="00000000">
      <w:pPr>
        <w:spacing w:before="240" w:after="240"/>
        <w:jc w:val="both"/>
        <w:rPr>
          <w:rFonts w:eastAsia="Times New Roman" w:cs="Times New Roman"/>
          <w:color w:val="222222"/>
          <w:sz w:val="24"/>
          <w:szCs w:val="24"/>
          <w:highlight w:val="white"/>
        </w:rPr>
      </w:pPr>
      <w:r>
        <w:rPr>
          <w:rFonts w:eastAsia="Times New Roman" w:cs="Times New Roman"/>
          <w:color w:val="222222"/>
          <w:sz w:val="24"/>
          <w:szCs w:val="24"/>
          <w:highlight w:val="white"/>
        </w:rPr>
        <w:t xml:space="preserve">Vidal-Garcia, J., &amp; Vidal, M. (2024). Short-term performance and mutual fund size. </w:t>
      </w:r>
      <w:r>
        <w:rPr>
          <w:rFonts w:eastAsia="Times New Roman" w:cs="Times New Roman"/>
          <w:i/>
          <w:iCs/>
          <w:color w:val="222222"/>
          <w:sz w:val="24"/>
          <w:szCs w:val="24"/>
          <w:highlight w:val="white"/>
        </w:rPr>
        <w:t>Available at SSRN 2801930</w:t>
      </w:r>
      <w:r>
        <w:rPr>
          <w:rFonts w:eastAsia="Times New Roman" w:cs="Times New Roman"/>
          <w:color w:val="222222"/>
          <w:sz w:val="24"/>
          <w:szCs w:val="24"/>
          <w:highlight w:val="white"/>
        </w:rPr>
        <w:t>.</w:t>
      </w:r>
    </w:p>
    <w:p w14:paraId="5EACB498" w14:textId="77777777" w:rsidR="00807CAF" w:rsidRDefault="00807CAF">
      <w:pPr>
        <w:rPr>
          <w:rFonts w:eastAsia="Times New Roman" w:cs="Times New Roman"/>
          <w:b/>
          <w:bCs/>
          <w:sz w:val="24"/>
          <w:szCs w:val="24"/>
        </w:rPr>
      </w:pPr>
    </w:p>
    <w:p w14:paraId="43816BDD" w14:textId="4C045E91" w:rsidR="00D25741" w:rsidRPr="001874D9" w:rsidRDefault="00000000">
      <w:pPr>
        <w:rPr>
          <w:rFonts w:eastAsia="Times New Roman" w:cs="Times New Roman"/>
          <w:b/>
          <w:bCs/>
          <w:sz w:val="24"/>
          <w:szCs w:val="24"/>
        </w:rPr>
      </w:pPr>
      <w:r w:rsidRPr="001874D9">
        <w:rPr>
          <w:rFonts w:eastAsia="Times New Roman" w:cs="Times New Roman"/>
          <w:b/>
          <w:bCs/>
          <w:sz w:val="24"/>
          <w:szCs w:val="24"/>
        </w:rPr>
        <w:t>2.2 STATEMENT OF THE PROBLEM</w:t>
      </w:r>
    </w:p>
    <w:p w14:paraId="2D424E8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Investors today face a major challenge in selecting suitable mutual funds due to the wide variety of schemes available and the uncertainty associated with market fluctuations. While mutual funds are promoted as professionally managed and diversified investment avenues, their performance varies significantly based on market conditions, fund management strategies, and risk exposure. Many investors focus only on returns without understanding the level of risk taken to achieve those returns. This creates a need for systematic evaluation of mutual funds using standard risk and return parameters such as standard deviation, beta, Sharpe ratio, Treynor ratio, and Jensen’s alpha.</w:t>
      </w:r>
    </w:p>
    <w:p w14:paraId="36D435E4" w14:textId="77777777" w:rsidR="001874D9" w:rsidRDefault="00000000">
      <w:pPr>
        <w:spacing w:before="240" w:after="240"/>
        <w:jc w:val="both"/>
        <w:rPr>
          <w:rFonts w:eastAsia="Times New Roman" w:cs="Times New Roman"/>
          <w:sz w:val="24"/>
          <w:szCs w:val="24"/>
        </w:rPr>
      </w:pPr>
      <w:r>
        <w:rPr>
          <w:rFonts w:eastAsia="Times New Roman" w:cs="Times New Roman"/>
          <w:sz w:val="24"/>
          <w:szCs w:val="24"/>
        </w:rPr>
        <w:t xml:space="preserve">The problem arises because investors often lack the knowledge to interpret these performance indicators and compare different mutual fund schemes effectively. As a result, they may select funds that do not align with their financial goals or risk appetite. Therefore, it becomes essential to </w:t>
      </w:r>
      <w:proofErr w:type="spellStart"/>
      <w:r>
        <w:rPr>
          <w:rFonts w:eastAsia="Times New Roman" w:cs="Times New Roman"/>
          <w:sz w:val="24"/>
          <w:szCs w:val="24"/>
        </w:rPr>
        <w:t>analyse</w:t>
      </w:r>
      <w:proofErr w:type="spellEnd"/>
      <w:r>
        <w:rPr>
          <w:rFonts w:eastAsia="Times New Roman" w:cs="Times New Roman"/>
          <w:sz w:val="24"/>
          <w:szCs w:val="24"/>
        </w:rPr>
        <w:t xml:space="preserve"> whether the selected mutual funds have delivered returns that justify the risk undertaken and to what extent they outperform or underperform their benchmark indices. This study aims to address this gap by providing an objective analysis of risk and return characteristics of selected mutual funds, helping investors make informed and rational investment decisions.</w:t>
      </w:r>
    </w:p>
    <w:p w14:paraId="33041C5B" w14:textId="43A89E78" w:rsidR="00D25741" w:rsidRPr="001874D9" w:rsidRDefault="00000000">
      <w:pPr>
        <w:spacing w:before="240" w:after="240"/>
        <w:jc w:val="both"/>
        <w:rPr>
          <w:rFonts w:eastAsia="Times New Roman" w:cs="Times New Roman"/>
          <w:b/>
          <w:bCs/>
          <w:sz w:val="24"/>
          <w:szCs w:val="24"/>
        </w:rPr>
      </w:pPr>
      <w:r w:rsidRPr="001874D9">
        <w:rPr>
          <w:rFonts w:eastAsia="Times New Roman" w:cs="Times New Roman"/>
          <w:b/>
          <w:bCs/>
          <w:sz w:val="24"/>
          <w:szCs w:val="24"/>
        </w:rPr>
        <w:lastRenderedPageBreak/>
        <w:t>2.3 OBJECTIVE OF THE STUDY</w:t>
      </w:r>
    </w:p>
    <w:p w14:paraId="3FC0A9B9" w14:textId="649090D0" w:rsidR="00D25741" w:rsidRDefault="00000000">
      <w:pPr>
        <w:numPr>
          <w:ilvl w:val="0"/>
          <w:numId w:val="33"/>
        </w:numPr>
        <w:spacing w:before="240" w:after="240"/>
        <w:jc w:val="both"/>
        <w:rPr>
          <w:rFonts w:eastAsia="Times New Roman" w:cs="Times New Roman"/>
          <w:sz w:val="24"/>
          <w:szCs w:val="24"/>
        </w:rPr>
      </w:pPr>
      <w:r>
        <w:rPr>
          <w:rFonts w:eastAsia="Times New Roman" w:cs="Times New Roman"/>
          <w:sz w:val="24"/>
          <w:szCs w:val="24"/>
        </w:rPr>
        <w:t xml:space="preserve">To analyze the </w:t>
      </w:r>
      <w:r w:rsidR="001874D9">
        <w:rPr>
          <w:rFonts w:eastAsia="Times New Roman" w:cs="Times New Roman"/>
          <w:sz w:val="24"/>
          <w:szCs w:val="24"/>
        </w:rPr>
        <w:t xml:space="preserve">impact of </w:t>
      </w:r>
      <w:r>
        <w:rPr>
          <w:rFonts w:eastAsia="Times New Roman" w:cs="Times New Roman"/>
          <w:sz w:val="24"/>
          <w:szCs w:val="24"/>
        </w:rPr>
        <w:t>risk and return of the selected open ended mutual funds</w:t>
      </w:r>
    </w:p>
    <w:p w14:paraId="5D3BEFCD" w14:textId="77777777" w:rsidR="00D25741" w:rsidRDefault="00D25741">
      <w:pPr>
        <w:rPr>
          <w:rFonts w:eastAsia="Times New Roman" w:cs="Times New Roman"/>
          <w:sz w:val="24"/>
          <w:szCs w:val="24"/>
        </w:rPr>
      </w:pPr>
    </w:p>
    <w:p w14:paraId="5F6B8441" w14:textId="77777777" w:rsidR="00D25741" w:rsidRPr="001874D9" w:rsidRDefault="00000000">
      <w:pPr>
        <w:rPr>
          <w:rFonts w:eastAsia="Times New Roman" w:cs="Times New Roman"/>
          <w:b/>
          <w:bCs/>
          <w:sz w:val="24"/>
          <w:szCs w:val="24"/>
        </w:rPr>
      </w:pPr>
      <w:r w:rsidRPr="001874D9">
        <w:rPr>
          <w:rFonts w:eastAsia="Times New Roman" w:cs="Times New Roman"/>
          <w:b/>
          <w:bCs/>
          <w:sz w:val="24"/>
          <w:szCs w:val="24"/>
        </w:rPr>
        <w:t>2.4 HYPOTHESIS OF THE STUDY</w:t>
      </w:r>
    </w:p>
    <w:p w14:paraId="3ABDAA53" w14:textId="77777777" w:rsidR="00D25741" w:rsidRDefault="00D25741">
      <w:pPr>
        <w:rPr>
          <w:rFonts w:eastAsia="Times New Roman" w:cs="Times New Roman"/>
          <w:sz w:val="24"/>
          <w:szCs w:val="24"/>
        </w:rPr>
      </w:pPr>
    </w:p>
    <w:p w14:paraId="193BFD88" w14:textId="77777777" w:rsidR="00D25741" w:rsidRDefault="00000000">
      <w:pPr>
        <w:rPr>
          <w:rFonts w:eastAsia="Times New Roman" w:cs="Times New Roman"/>
          <w:sz w:val="24"/>
          <w:szCs w:val="24"/>
        </w:rPr>
      </w:pPr>
      <w:r>
        <w:rPr>
          <w:rFonts w:eastAsia="Times New Roman" w:cs="Times New Roman"/>
          <w:sz w:val="24"/>
          <w:szCs w:val="24"/>
        </w:rPr>
        <w:t>Null Hypothesis:</w:t>
      </w:r>
    </w:p>
    <w:p w14:paraId="2D7A19E8" w14:textId="77777777" w:rsidR="00D25741" w:rsidRDefault="00D25741">
      <w:pPr>
        <w:rPr>
          <w:rFonts w:eastAsia="Times New Roman" w:cs="Times New Roman"/>
          <w:sz w:val="24"/>
          <w:szCs w:val="24"/>
        </w:rPr>
      </w:pPr>
    </w:p>
    <w:p w14:paraId="4040A868" w14:textId="77777777" w:rsidR="00D25741" w:rsidRDefault="00000000">
      <w:pPr>
        <w:numPr>
          <w:ilvl w:val="0"/>
          <w:numId w:val="24"/>
        </w:numPr>
        <w:rPr>
          <w:rFonts w:eastAsia="Times New Roman" w:cs="Times New Roman"/>
          <w:sz w:val="24"/>
          <w:szCs w:val="24"/>
        </w:rPr>
      </w:pPr>
      <w:r>
        <w:rPr>
          <w:rFonts w:eastAsia="Times New Roman" w:cs="Times New Roman"/>
          <w:b/>
          <w:bCs/>
          <w:sz w:val="24"/>
          <w:szCs w:val="24"/>
        </w:rPr>
        <w:t>H₀</w:t>
      </w:r>
      <w:proofErr w:type="gramStart"/>
      <w:r>
        <w:rPr>
          <w:rFonts w:eastAsia="Times New Roman" w:cs="Times New Roman"/>
          <w:b/>
          <w:bCs/>
          <w:sz w:val="24"/>
          <w:szCs w:val="24"/>
        </w:rPr>
        <w:t>1 :</w:t>
      </w:r>
      <w:proofErr w:type="gramEnd"/>
      <w:r>
        <w:rPr>
          <w:rFonts w:eastAsia="Times New Roman" w:cs="Times New Roman"/>
          <w:sz w:val="24"/>
          <w:szCs w:val="24"/>
        </w:rPr>
        <w:t xml:space="preserve"> There is no significant relationship between the risk and return of the selected mutual funds.</w:t>
      </w:r>
    </w:p>
    <w:p w14:paraId="0B89706E" w14:textId="77777777" w:rsidR="00D25741" w:rsidRDefault="00D25741">
      <w:pPr>
        <w:ind w:left="720"/>
        <w:rPr>
          <w:rFonts w:eastAsia="Times New Roman" w:cs="Times New Roman"/>
          <w:sz w:val="24"/>
          <w:szCs w:val="24"/>
        </w:rPr>
      </w:pPr>
    </w:p>
    <w:p w14:paraId="32AAECDA" w14:textId="77777777" w:rsidR="00D25741" w:rsidRDefault="00000000">
      <w:pPr>
        <w:numPr>
          <w:ilvl w:val="0"/>
          <w:numId w:val="24"/>
        </w:numPr>
        <w:rPr>
          <w:rFonts w:eastAsia="Times New Roman" w:cs="Times New Roman"/>
          <w:sz w:val="24"/>
          <w:szCs w:val="24"/>
        </w:rPr>
      </w:pPr>
      <w:r>
        <w:rPr>
          <w:rFonts w:eastAsia="Times New Roman" w:cs="Times New Roman"/>
          <w:b/>
          <w:bCs/>
          <w:sz w:val="24"/>
          <w:szCs w:val="24"/>
        </w:rPr>
        <w:t>H₀</w:t>
      </w:r>
      <w:proofErr w:type="gramStart"/>
      <w:r>
        <w:rPr>
          <w:rFonts w:eastAsia="Times New Roman" w:cs="Times New Roman"/>
          <w:b/>
          <w:bCs/>
          <w:sz w:val="24"/>
          <w:szCs w:val="24"/>
        </w:rPr>
        <w:t>2 :</w:t>
      </w:r>
      <w:proofErr w:type="gramEnd"/>
      <w:r>
        <w:rPr>
          <w:rFonts w:eastAsia="Times New Roman" w:cs="Times New Roman"/>
          <w:sz w:val="24"/>
          <w:szCs w:val="24"/>
        </w:rPr>
        <w:t xml:space="preserve"> The selected mutual funds do not significantly outperform their benchmark index.</w:t>
      </w:r>
    </w:p>
    <w:p w14:paraId="624D2635" w14:textId="77777777" w:rsidR="00D25741" w:rsidRDefault="00D25741">
      <w:pPr>
        <w:ind w:left="720"/>
        <w:rPr>
          <w:rFonts w:eastAsia="Times New Roman" w:cs="Times New Roman"/>
          <w:sz w:val="24"/>
          <w:szCs w:val="24"/>
        </w:rPr>
      </w:pPr>
    </w:p>
    <w:p w14:paraId="44BFB63D" w14:textId="77777777" w:rsidR="00D25741" w:rsidRDefault="00000000">
      <w:pPr>
        <w:numPr>
          <w:ilvl w:val="0"/>
          <w:numId w:val="24"/>
        </w:numPr>
        <w:rPr>
          <w:rFonts w:eastAsia="Times New Roman" w:cs="Times New Roman"/>
          <w:sz w:val="24"/>
          <w:szCs w:val="24"/>
        </w:rPr>
      </w:pPr>
      <w:r>
        <w:rPr>
          <w:rFonts w:eastAsia="Times New Roman" w:cs="Times New Roman"/>
          <w:b/>
          <w:bCs/>
          <w:sz w:val="24"/>
          <w:szCs w:val="24"/>
        </w:rPr>
        <w:t>H₀3:</w:t>
      </w:r>
      <w:r>
        <w:rPr>
          <w:rFonts w:eastAsia="Times New Roman" w:cs="Times New Roman"/>
          <w:sz w:val="24"/>
          <w:szCs w:val="24"/>
        </w:rPr>
        <w:t xml:space="preserve"> There is no significant difference in performance among the selected mutual funds.</w:t>
      </w:r>
    </w:p>
    <w:p w14:paraId="09BF2D16" w14:textId="77777777" w:rsidR="00D25741" w:rsidRDefault="00D25741">
      <w:pPr>
        <w:ind w:left="720"/>
        <w:rPr>
          <w:rFonts w:eastAsia="Times New Roman" w:cs="Times New Roman"/>
          <w:sz w:val="24"/>
          <w:szCs w:val="24"/>
        </w:rPr>
      </w:pPr>
    </w:p>
    <w:p w14:paraId="06316030" w14:textId="77777777" w:rsidR="00D25741" w:rsidRDefault="00000000">
      <w:pPr>
        <w:rPr>
          <w:rFonts w:eastAsia="Times New Roman" w:cs="Times New Roman"/>
          <w:sz w:val="24"/>
          <w:szCs w:val="24"/>
        </w:rPr>
      </w:pPr>
      <w:r>
        <w:rPr>
          <w:rFonts w:eastAsia="Times New Roman" w:cs="Times New Roman"/>
          <w:sz w:val="24"/>
          <w:szCs w:val="24"/>
        </w:rPr>
        <w:t>Alternative Hypothesis:</w:t>
      </w:r>
    </w:p>
    <w:p w14:paraId="2F43D7F2" w14:textId="77777777" w:rsidR="00D25741" w:rsidRDefault="00D25741">
      <w:pPr>
        <w:rPr>
          <w:rFonts w:eastAsia="Times New Roman" w:cs="Times New Roman"/>
          <w:sz w:val="24"/>
          <w:szCs w:val="24"/>
        </w:rPr>
      </w:pPr>
    </w:p>
    <w:p w14:paraId="58C035D4" w14:textId="77777777" w:rsidR="00D25741" w:rsidRDefault="00000000">
      <w:pPr>
        <w:numPr>
          <w:ilvl w:val="0"/>
          <w:numId w:val="26"/>
        </w:numPr>
        <w:rPr>
          <w:rFonts w:eastAsia="Times New Roman" w:cs="Times New Roman"/>
          <w:sz w:val="24"/>
          <w:szCs w:val="24"/>
        </w:rPr>
      </w:pPr>
      <w:r>
        <w:rPr>
          <w:rFonts w:eastAsia="Times New Roman" w:cs="Times New Roman"/>
          <w:b/>
          <w:bCs/>
          <w:sz w:val="24"/>
          <w:szCs w:val="24"/>
        </w:rPr>
        <w:t>H₁</w:t>
      </w:r>
      <w:proofErr w:type="gramStart"/>
      <w:r>
        <w:rPr>
          <w:rFonts w:eastAsia="Times New Roman" w:cs="Times New Roman"/>
          <w:b/>
          <w:bCs/>
          <w:sz w:val="24"/>
          <w:szCs w:val="24"/>
        </w:rPr>
        <w:t>1 :</w:t>
      </w:r>
      <w:proofErr w:type="gramEnd"/>
      <w:r>
        <w:rPr>
          <w:rFonts w:eastAsia="Times New Roman" w:cs="Times New Roman"/>
          <w:sz w:val="24"/>
          <w:szCs w:val="24"/>
        </w:rPr>
        <w:t xml:space="preserve"> There is a significant relationship between the risk and return of the selected mutual funds.</w:t>
      </w:r>
    </w:p>
    <w:p w14:paraId="60DDFAD4" w14:textId="77777777" w:rsidR="00D25741" w:rsidRDefault="00D25741">
      <w:pPr>
        <w:ind w:left="720"/>
        <w:rPr>
          <w:rFonts w:eastAsia="Times New Roman" w:cs="Times New Roman"/>
          <w:sz w:val="24"/>
          <w:szCs w:val="24"/>
        </w:rPr>
      </w:pPr>
    </w:p>
    <w:p w14:paraId="3EEC77AC" w14:textId="77777777" w:rsidR="00D25741" w:rsidRDefault="00000000">
      <w:pPr>
        <w:numPr>
          <w:ilvl w:val="0"/>
          <w:numId w:val="26"/>
        </w:numPr>
        <w:rPr>
          <w:rFonts w:eastAsia="Times New Roman" w:cs="Times New Roman"/>
          <w:sz w:val="24"/>
          <w:szCs w:val="24"/>
        </w:rPr>
      </w:pPr>
      <w:r>
        <w:rPr>
          <w:rFonts w:eastAsia="Times New Roman" w:cs="Times New Roman"/>
          <w:b/>
          <w:bCs/>
          <w:sz w:val="24"/>
          <w:szCs w:val="24"/>
        </w:rPr>
        <w:t>H₁</w:t>
      </w:r>
      <w:proofErr w:type="gramStart"/>
      <w:r>
        <w:rPr>
          <w:rFonts w:eastAsia="Times New Roman" w:cs="Times New Roman"/>
          <w:b/>
          <w:bCs/>
          <w:sz w:val="24"/>
          <w:szCs w:val="24"/>
        </w:rPr>
        <w:t>2 :</w:t>
      </w:r>
      <w:proofErr w:type="gramEnd"/>
      <w:r>
        <w:rPr>
          <w:rFonts w:eastAsia="Times New Roman" w:cs="Times New Roman"/>
          <w:sz w:val="24"/>
          <w:szCs w:val="24"/>
        </w:rPr>
        <w:t xml:space="preserve"> The selected mutual funds significantly outperform their benchmark index.</w:t>
      </w:r>
    </w:p>
    <w:p w14:paraId="10B7E777" w14:textId="77777777" w:rsidR="00D25741" w:rsidRDefault="00D25741">
      <w:pPr>
        <w:ind w:left="720"/>
        <w:rPr>
          <w:rFonts w:eastAsia="Times New Roman" w:cs="Times New Roman"/>
          <w:sz w:val="24"/>
          <w:szCs w:val="24"/>
        </w:rPr>
      </w:pPr>
    </w:p>
    <w:p w14:paraId="7A377BDF" w14:textId="77777777" w:rsidR="00D25741" w:rsidRDefault="00000000">
      <w:pPr>
        <w:numPr>
          <w:ilvl w:val="0"/>
          <w:numId w:val="26"/>
        </w:numPr>
        <w:rPr>
          <w:rFonts w:eastAsia="Times New Roman" w:cs="Times New Roman"/>
          <w:sz w:val="24"/>
          <w:szCs w:val="24"/>
        </w:rPr>
      </w:pPr>
      <w:r>
        <w:rPr>
          <w:rFonts w:eastAsia="Times New Roman" w:cs="Times New Roman"/>
          <w:b/>
          <w:bCs/>
          <w:sz w:val="24"/>
          <w:szCs w:val="24"/>
        </w:rPr>
        <w:t>H₁</w:t>
      </w:r>
      <w:proofErr w:type="gramStart"/>
      <w:r>
        <w:rPr>
          <w:rFonts w:eastAsia="Times New Roman" w:cs="Times New Roman"/>
          <w:b/>
          <w:bCs/>
          <w:sz w:val="24"/>
          <w:szCs w:val="24"/>
        </w:rPr>
        <w:t>3 :</w:t>
      </w:r>
      <w:proofErr w:type="gramEnd"/>
      <w:r>
        <w:rPr>
          <w:rFonts w:eastAsia="Times New Roman" w:cs="Times New Roman"/>
          <w:sz w:val="24"/>
          <w:szCs w:val="24"/>
        </w:rPr>
        <w:t xml:space="preserve"> There is a significant difference in performance among the selected mutual funds.</w:t>
      </w:r>
    </w:p>
    <w:p w14:paraId="3D980A54" w14:textId="77777777" w:rsidR="00D25741" w:rsidRDefault="00D25741">
      <w:pPr>
        <w:rPr>
          <w:rFonts w:eastAsia="Times New Roman" w:cs="Times New Roman"/>
          <w:sz w:val="24"/>
          <w:szCs w:val="24"/>
        </w:rPr>
      </w:pPr>
    </w:p>
    <w:p w14:paraId="0CD11D26" w14:textId="77777777" w:rsidR="00D25741" w:rsidRDefault="00D25741">
      <w:pPr>
        <w:rPr>
          <w:rFonts w:eastAsia="Times New Roman" w:cs="Times New Roman"/>
          <w:sz w:val="24"/>
          <w:szCs w:val="24"/>
        </w:rPr>
      </w:pPr>
    </w:p>
    <w:p w14:paraId="4D57EC1B" w14:textId="77777777" w:rsidR="00D25741" w:rsidRPr="001874D9" w:rsidRDefault="00000000">
      <w:pPr>
        <w:jc w:val="both"/>
        <w:rPr>
          <w:rFonts w:eastAsia="Times New Roman" w:cs="Times New Roman"/>
          <w:b/>
          <w:bCs/>
          <w:sz w:val="24"/>
          <w:szCs w:val="24"/>
        </w:rPr>
      </w:pPr>
      <w:r w:rsidRPr="001874D9">
        <w:rPr>
          <w:rFonts w:eastAsia="Times New Roman" w:cs="Times New Roman"/>
          <w:b/>
          <w:bCs/>
          <w:sz w:val="24"/>
          <w:szCs w:val="24"/>
        </w:rPr>
        <w:t>2.5 METHADOLOGY</w:t>
      </w:r>
    </w:p>
    <w:p w14:paraId="067DA3FB" w14:textId="19107613" w:rsidR="00B50221" w:rsidRDefault="00000000" w:rsidP="001874D9">
      <w:pPr>
        <w:spacing w:before="240" w:after="240"/>
        <w:jc w:val="both"/>
        <w:rPr>
          <w:rFonts w:eastAsia="Times New Roman" w:cs="Times New Roman"/>
          <w:sz w:val="24"/>
          <w:szCs w:val="24"/>
        </w:rPr>
      </w:pPr>
      <w:r>
        <w:rPr>
          <w:rFonts w:eastAsia="Times New Roman" w:cs="Times New Roman"/>
          <w:sz w:val="24"/>
          <w:szCs w:val="24"/>
        </w:rPr>
        <w:t xml:space="preserve">The research methodology outlines the systematic process used to </w:t>
      </w:r>
      <w:proofErr w:type="spellStart"/>
      <w:r>
        <w:rPr>
          <w:rFonts w:eastAsia="Times New Roman" w:cs="Times New Roman"/>
          <w:sz w:val="24"/>
          <w:szCs w:val="24"/>
        </w:rPr>
        <w:t>analyse</w:t>
      </w:r>
      <w:proofErr w:type="spellEnd"/>
      <w:r>
        <w:rPr>
          <w:rFonts w:eastAsia="Times New Roman" w:cs="Times New Roman"/>
          <w:sz w:val="24"/>
          <w:szCs w:val="24"/>
        </w:rPr>
        <w:t xml:space="preserve"> the risk and return performance of selected mutual funds. This study is based on quantitative analysis using historical data to evaluate the financial performance of different index funds.</w:t>
      </w:r>
      <w:bookmarkStart w:id="52" w:name="_t0nr1mjp8zfr" w:colFirst="0" w:colLast="0"/>
      <w:bookmarkEnd w:id="52"/>
    </w:p>
    <w:p w14:paraId="2C87CC94" w14:textId="4C8431F7" w:rsidR="00D25741" w:rsidRDefault="00000000">
      <w:pPr>
        <w:pStyle w:val="Heading2"/>
        <w:keepNext w:val="0"/>
        <w:keepLines w:val="0"/>
        <w:spacing w:after="80"/>
        <w:jc w:val="both"/>
        <w:rPr>
          <w:rFonts w:eastAsia="Times New Roman" w:cs="Times New Roman"/>
          <w:sz w:val="24"/>
          <w:szCs w:val="24"/>
        </w:rPr>
      </w:pPr>
      <w:r>
        <w:rPr>
          <w:rFonts w:eastAsia="Times New Roman" w:cs="Times New Roman"/>
          <w:sz w:val="24"/>
          <w:szCs w:val="24"/>
        </w:rPr>
        <w:t>2.5.1 Research Design</w:t>
      </w:r>
    </w:p>
    <w:p w14:paraId="70C00D20"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study uses </w:t>
      </w:r>
      <w:proofErr w:type="gramStart"/>
      <w:r>
        <w:rPr>
          <w:rFonts w:eastAsia="Times New Roman" w:cs="Times New Roman"/>
          <w:sz w:val="24"/>
          <w:szCs w:val="24"/>
        </w:rPr>
        <w:t>a descriptive</w:t>
      </w:r>
      <w:proofErr w:type="gramEnd"/>
      <w:r>
        <w:rPr>
          <w:rFonts w:eastAsia="Times New Roman" w:cs="Times New Roman"/>
          <w:sz w:val="24"/>
          <w:szCs w:val="24"/>
        </w:rPr>
        <w:t xml:space="preserve"> and analytical research design.</w:t>
      </w:r>
    </w:p>
    <w:p w14:paraId="12C469C8" w14:textId="77777777" w:rsidR="00D25741" w:rsidRDefault="00000000" w:rsidP="001874D9">
      <w:pPr>
        <w:numPr>
          <w:ilvl w:val="0"/>
          <w:numId w:val="16"/>
        </w:numPr>
        <w:spacing w:before="240"/>
        <w:rPr>
          <w:rFonts w:eastAsia="Times New Roman" w:cs="Times New Roman"/>
          <w:sz w:val="24"/>
          <w:szCs w:val="24"/>
        </w:rPr>
      </w:pPr>
      <w:r>
        <w:rPr>
          <w:rFonts w:eastAsia="Times New Roman" w:cs="Times New Roman"/>
          <w:sz w:val="24"/>
          <w:szCs w:val="24"/>
        </w:rPr>
        <w:t>Descriptive because it describes the performance trends of mutual funds.</w:t>
      </w:r>
      <w:r>
        <w:rPr>
          <w:rFonts w:eastAsia="Times New Roman" w:cs="Times New Roman"/>
          <w:sz w:val="24"/>
          <w:szCs w:val="24"/>
        </w:rPr>
        <w:br/>
      </w:r>
    </w:p>
    <w:p w14:paraId="6B8420E5" w14:textId="77777777" w:rsidR="001874D9" w:rsidRDefault="00000000" w:rsidP="001874D9">
      <w:pPr>
        <w:numPr>
          <w:ilvl w:val="0"/>
          <w:numId w:val="16"/>
        </w:numPr>
        <w:spacing w:after="240"/>
        <w:rPr>
          <w:rFonts w:eastAsia="Times New Roman" w:cs="Times New Roman"/>
          <w:sz w:val="24"/>
          <w:szCs w:val="24"/>
        </w:rPr>
      </w:pPr>
      <w:r>
        <w:rPr>
          <w:rFonts w:eastAsia="Times New Roman" w:cs="Times New Roman"/>
          <w:sz w:val="24"/>
          <w:szCs w:val="24"/>
        </w:rPr>
        <w:t>Analytical because it evaluates and compares risk and return using statistical tools.</w:t>
      </w:r>
      <w:r>
        <w:rPr>
          <w:rFonts w:eastAsia="Times New Roman" w:cs="Times New Roman"/>
          <w:sz w:val="24"/>
          <w:szCs w:val="24"/>
        </w:rPr>
        <w:br/>
      </w:r>
      <w:bookmarkStart w:id="53" w:name="_pcpxlcbndnhl" w:colFirst="0" w:colLast="0"/>
      <w:bookmarkEnd w:id="53"/>
    </w:p>
    <w:p w14:paraId="53993083" w14:textId="77777777" w:rsidR="001874D9" w:rsidRDefault="001874D9" w:rsidP="001874D9">
      <w:pPr>
        <w:spacing w:after="240"/>
        <w:rPr>
          <w:rFonts w:eastAsia="Times New Roman" w:cs="Times New Roman"/>
          <w:sz w:val="24"/>
          <w:szCs w:val="24"/>
        </w:rPr>
      </w:pPr>
    </w:p>
    <w:p w14:paraId="55723AA8" w14:textId="77777777" w:rsidR="001874D9" w:rsidRDefault="001874D9" w:rsidP="001874D9">
      <w:pPr>
        <w:spacing w:after="240"/>
        <w:rPr>
          <w:rFonts w:eastAsia="Times New Roman" w:cs="Times New Roman"/>
          <w:sz w:val="24"/>
          <w:szCs w:val="24"/>
        </w:rPr>
      </w:pPr>
    </w:p>
    <w:p w14:paraId="4EB750EF" w14:textId="77777777" w:rsidR="001874D9" w:rsidRDefault="001874D9" w:rsidP="001874D9">
      <w:pPr>
        <w:spacing w:after="240"/>
        <w:rPr>
          <w:rFonts w:eastAsia="Times New Roman" w:cs="Times New Roman"/>
          <w:sz w:val="24"/>
          <w:szCs w:val="24"/>
        </w:rPr>
      </w:pPr>
    </w:p>
    <w:p w14:paraId="5C752E52" w14:textId="1A411B0C" w:rsidR="00D25741" w:rsidRPr="001874D9" w:rsidRDefault="00000000" w:rsidP="001874D9">
      <w:pPr>
        <w:spacing w:after="240"/>
        <w:rPr>
          <w:rFonts w:eastAsia="Times New Roman" w:cs="Times New Roman"/>
          <w:sz w:val="24"/>
          <w:szCs w:val="24"/>
        </w:rPr>
      </w:pPr>
      <w:r w:rsidRPr="001874D9">
        <w:rPr>
          <w:rFonts w:eastAsia="Times New Roman" w:cs="Times New Roman"/>
          <w:sz w:val="24"/>
          <w:szCs w:val="24"/>
        </w:rPr>
        <w:lastRenderedPageBreak/>
        <w:t>2.5.2 Nature of Data</w:t>
      </w:r>
    </w:p>
    <w:p w14:paraId="167EF7F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This study relies entirely on secondary data, collected from reliable financial sources.</w:t>
      </w:r>
      <w:r>
        <w:rPr>
          <w:rFonts w:eastAsia="Times New Roman" w:cs="Times New Roman"/>
          <w:sz w:val="24"/>
          <w:szCs w:val="24"/>
        </w:rPr>
        <w:br/>
        <w:t xml:space="preserve"> The required data includes:</w:t>
      </w:r>
    </w:p>
    <w:p w14:paraId="1FFBF2C9" w14:textId="77777777" w:rsidR="00D25741" w:rsidRDefault="00000000" w:rsidP="00B50221">
      <w:pPr>
        <w:numPr>
          <w:ilvl w:val="0"/>
          <w:numId w:val="31"/>
        </w:numPr>
        <w:spacing w:before="240"/>
        <w:rPr>
          <w:rFonts w:eastAsia="Times New Roman" w:cs="Times New Roman"/>
          <w:sz w:val="24"/>
          <w:szCs w:val="24"/>
        </w:rPr>
      </w:pPr>
      <w:r>
        <w:rPr>
          <w:rFonts w:eastAsia="Times New Roman" w:cs="Times New Roman"/>
          <w:sz w:val="24"/>
          <w:szCs w:val="24"/>
        </w:rPr>
        <w:t>Historical NAV (Net Asset Value)</w:t>
      </w:r>
      <w:r>
        <w:rPr>
          <w:rFonts w:eastAsia="Times New Roman" w:cs="Times New Roman"/>
          <w:sz w:val="24"/>
          <w:szCs w:val="24"/>
        </w:rPr>
        <w:br/>
      </w:r>
    </w:p>
    <w:p w14:paraId="1F9DCF01" w14:textId="77777777" w:rsidR="00D25741" w:rsidRDefault="00000000" w:rsidP="00B50221">
      <w:pPr>
        <w:numPr>
          <w:ilvl w:val="0"/>
          <w:numId w:val="31"/>
        </w:numPr>
        <w:rPr>
          <w:rFonts w:eastAsia="Times New Roman" w:cs="Times New Roman"/>
          <w:sz w:val="24"/>
          <w:szCs w:val="24"/>
        </w:rPr>
      </w:pPr>
      <w:r>
        <w:rPr>
          <w:rFonts w:eastAsia="Times New Roman" w:cs="Times New Roman"/>
          <w:sz w:val="24"/>
          <w:szCs w:val="24"/>
        </w:rPr>
        <w:t>Expense Ratio</w:t>
      </w:r>
      <w:r>
        <w:rPr>
          <w:rFonts w:eastAsia="Times New Roman" w:cs="Times New Roman"/>
          <w:sz w:val="24"/>
          <w:szCs w:val="24"/>
        </w:rPr>
        <w:br/>
      </w:r>
    </w:p>
    <w:p w14:paraId="041B25DE" w14:textId="77777777" w:rsidR="00D25741" w:rsidRDefault="00000000" w:rsidP="00B50221">
      <w:pPr>
        <w:numPr>
          <w:ilvl w:val="0"/>
          <w:numId w:val="31"/>
        </w:numPr>
        <w:rPr>
          <w:rFonts w:eastAsia="Times New Roman" w:cs="Times New Roman"/>
          <w:sz w:val="24"/>
          <w:szCs w:val="24"/>
        </w:rPr>
      </w:pPr>
      <w:r>
        <w:rPr>
          <w:rFonts w:eastAsia="Times New Roman" w:cs="Times New Roman"/>
          <w:sz w:val="24"/>
          <w:szCs w:val="24"/>
        </w:rPr>
        <w:t>Standard Deviation</w:t>
      </w:r>
      <w:r>
        <w:rPr>
          <w:rFonts w:eastAsia="Times New Roman" w:cs="Times New Roman"/>
          <w:sz w:val="24"/>
          <w:szCs w:val="24"/>
        </w:rPr>
        <w:br/>
      </w:r>
    </w:p>
    <w:p w14:paraId="20887A96" w14:textId="77777777" w:rsidR="00D25741" w:rsidRDefault="00000000" w:rsidP="00B50221">
      <w:pPr>
        <w:numPr>
          <w:ilvl w:val="0"/>
          <w:numId w:val="31"/>
        </w:numPr>
        <w:rPr>
          <w:rFonts w:eastAsia="Times New Roman" w:cs="Times New Roman"/>
          <w:sz w:val="24"/>
          <w:szCs w:val="24"/>
        </w:rPr>
      </w:pPr>
      <w:r>
        <w:rPr>
          <w:rFonts w:eastAsia="Times New Roman" w:cs="Times New Roman"/>
          <w:sz w:val="24"/>
          <w:szCs w:val="24"/>
        </w:rPr>
        <w:t>Beta</w:t>
      </w:r>
      <w:r>
        <w:rPr>
          <w:rFonts w:eastAsia="Times New Roman" w:cs="Times New Roman"/>
          <w:sz w:val="24"/>
          <w:szCs w:val="24"/>
        </w:rPr>
        <w:br/>
      </w:r>
    </w:p>
    <w:p w14:paraId="2ED3842A" w14:textId="77777777" w:rsidR="00D25741" w:rsidRDefault="00000000" w:rsidP="00B50221">
      <w:pPr>
        <w:numPr>
          <w:ilvl w:val="0"/>
          <w:numId w:val="31"/>
        </w:numPr>
        <w:rPr>
          <w:rFonts w:eastAsia="Times New Roman" w:cs="Times New Roman"/>
          <w:sz w:val="24"/>
          <w:szCs w:val="24"/>
        </w:rPr>
      </w:pPr>
      <w:r>
        <w:rPr>
          <w:rFonts w:eastAsia="Times New Roman" w:cs="Times New Roman"/>
          <w:sz w:val="24"/>
          <w:szCs w:val="24"/>
        </w:rPr>
        <w:t>Benchmark index returns (Nifty 50)</w:t>
      </w:r>
      <w:r>
        <w:rPr>
          <w:rFonts w:eastAsia="Times New Roman" w:cs="Times New Roman"/>
          <w:sz w:val="24"/>
          <w:szCs w:val="24"/>
        </w:rPr>
        <w:br/>
      </w:r>
    </w:p>
    <w:p w14:paraId="03821787" w14:textId="77777777" w:rsidR="00D25741" w:rsidRDefault="00000000" w:rsidP="00B50221">
      <w:pPr>
        <w:numPr>
          <w:ilvl w:val="0"/>
          <w:numId w:val="31"/>
        </w:numPr>
        <w:spacing w:after="240"/>
        <w:rPr>
          <w:rFonts w:eastAsia="Times New Roman" w:cs="Times New Roman"/>
          <w:sz w:val="24"/>
          <w:szCs w:val="24"/>
        </w:rPr>
      </w:pPr>
      <w:r>
        <w:rPr>
          <w:rFonts w:eastAsia="Times New Roman" w:cs="Times New Roman"/>
          <w:sz w:val="24"/>
          <w:szCs w:val="24"/>
        </w:rPr>
        <w:t>Risk-free rate</w:t>
      </w:r>
      <w:r>
        <w:rPr>
          <w:rFonts w:eastAsia="Times New Roman" w:cs="Times New Roman"/>
          <w:sz w:val="24"/>
          <w:szCs w:val="24"/>
        </w:rPr>
        <w:br/>
      </w:r>
    </w:p>
    <w:p w14:paraId="30CD4879" w14:textId="77777777" w:rsidR="00D25741" w:rsidRDefault="00000000">
      <w:pPr>
        <w:pStyle w:val="Heading2"/>
        <w:keepNext w:val="0"/>
        <w:keepLines w:val="0"/>
        <w:spacing w:after="80"/>
        <w:jc w:val="both"/>
        <w:rPr>
          <w:rFonts w:eastAsia="Times New Roman" w:cs="Times New Roman"/>
          <w:sz w:val="24"/>
          <w:szCs w:val="24"/>
        </w:rPr>
      </w:pPr>
      <w:bookmarkStart w:id="54" w:name="_a3y4qiymna9r" w:colFirst="0" w:colLast="0"/>
      <w:bookmarkEnd w:id="54"/>
      <w:r>
        <w:rPr>
          <w:rFonts w:eastAsia="Times New Roman" w:cs="Times New Roman"/>
          <w:sz w:val="24"/>
          <w:szCs w:val="24"/>
        </w:rPr>
        <w:t>2.5.3 Data Sources</w:t>
      </w:r>
    </w:p>
    <w:p w14:paraId="4E6206CC" w14:textId="77777777" w:rsidR="00D25741" w:rsidRDefault="00000000" w:rsidP="00B50221">
      <w:pPr>
        <w:spacing w:before="240" w:after="240"/>
        <w:rPr>
          <w:rFonts w:eastAsia="Times New Roman" w:cs="Times New Roman"/>
          <w:sz w:val="24"/>
          <w:szCs w:val="24"/>
        </w:rPr>
      </w:pPr>
      <w:r>
        <w:rPr>
          <w:rFonts w:eastAsia="Times New Roman" w:cs="Times New Roman"/>
          <w:sz w:val="24"/>
          <w:szCs w:val="24"/>
        </w:rPr>
        <w:t>Secondary data was collected from:</w:t>
      </w:r>
    </w:p>
    <w:p w14:paraId="21ABACD5" w14:textId="77777777" w:rsidR="00D25741" w:rsidRDefault="00000000" w:rsidP="00B50221">
      <w:pPr>
        <w:numPr>
          <w:ilvl w:val="0"/>
          <w:numId w:val="4"/>
        </w:numPr>
        <w:spacing w:before="240"/>
        <w:rPr>
          <w:rFonts w:eastAsia="Times New Roman" w:cs="Times New Roman"/>
          <w:sz w:val="24"/>
          <w:szCs w:val="24"/>
        </w:rPr>
      </w:pPr>
      <w:r>
        <w:rPr>
          <w:rFonts w:eastAsia="Times New Roman" w:cs="Times New Roman"/>
          <w:sz w:val="24"/>
          <w:szCs w:val="24"/>
        </w:rPr>
        <w:t>AMFI (Association of Mutual Funds in India)</w:t>
      </w:r>
      <w:r>
        <w:rPr>
          <w:rFonts w:eastAsia="Times New Roman" w:cs="Times New Roman"/>
          <w:sz w:val="24"/>
          <w:szCs w:val="24"/>
        </w:rPr>
        <w:br/>
      </w:r>
    </w:p>
    <w:p w14:paraId="5212305C" w14:textId="77777777" w:rsidR="00D25741" w:rsidRDefault="00000000" w:rsidP="00B50221">
      <w:pPr>
        <w:numPr>
          <w:ilvl w:val="0"/>
          <w:numId w:val="4"/>
        </w:numPr>
        <w:rPr>
          <w:rFonts w:eastAsia="Times New Roman" w:cs="Times New Roman"/>
          <w:sz w:val="24"/>
          <w:szCs w:val="24"/>
        </w:rPr>
      </w:pPr>
      <w:r>
        <w:rPr>
          <w:rFonts w:eastAsia="Times New Roman" w:cs="Times New Roman"/>
          <w:sz w:val="24"/>
          <w:szCs w:val="24"/>
        </w:rPr>
        <w:t>NSE (National Stock Exchange) website</w:t>
      </w:r>
      <w:r>
        <w:rPr>
          <w:rFonts w:eastAsia="Times New Roman" w:cs="Times New Roman"/>
          <w:sz w:val="24"/>
          <w:szCs w:val="24"/>
        </w:rPr>
        <w:br/>
      </w:r>
    </w:p>
    <w:p w14:paraId="1ED6101E" w14:textId="77777777" w:rsidR="00D25741" w:rsidRDefault="00000000" w:rsidP="00B50221">
      <w:pPr>
        <w:numPr>
          <w:ilvl w:val="0"/>
          <w:numId w:val="4"/>
        </w:numPr>
        <w:spacing w:after="240"/>
        <w:rPr>
          <w:rFonts w:eastAsia="Times New Roman" w:cs="Times New Roman"/>
          <w:sz w:val="24"/>
          <w:szCs w:val="24"/>
        </w:rPr>
      </w:pPr>
      <w:proofErr w:type="spellStart"/>
      <w:r>
        <w:rPr>
          <w:rFonts w:eastAsia="Times New Roman" w:cs="Times New Roman"/>
          <w:sz w:val="24"/>
          <w:szCs w:val="24"/>
        </w:rPr>
        <w:t>Moneycontrol</w:t>
      </w:r>
      <w:proofErr w:type="spellEnd"/>
      <w:r>
        <w:rPr>
          <w:rFonts w:eastAsia="Times New Roman" w:cs="Times New Roman"/>
          <w:sz w:val="24"/>
          <w:szCs w:val="24"/>
        </w:rPr>
        <w:br/>
      </w:r>
    </w:p>
    <w:p w14:paraId="15350872" w14:textId="77777777" w:rsidR="00D25741" w:rsidRDefault="00000000">
      <w:pPr>
        <w:pStyle w:val="Heading2"/>
        <w:keepNext w:val="0"/>
        <w:keepLines w:val="0"/>
        <w:spacing w:after="80"/>
        <w:jc w:val="both"/>
        <w:rPr>
          <w:rFonts w:eastAsia="Times New Roman" w:cs="Times New Roman"/>
          <w:sz w:val="24"/>
          <w:szCs w:val="24"/>
        </w:rPr>
      </w:pPr>
      <w:bookmarkStart w:id="55" w:name="_jczsg5w6v7m" w:colFirst="0" w:colLast="0"/>
      <w:bookmarkEnd w:id="55"/>
      <w:r>
        <w:rPr>
          <w:rFonts w:eastAsia="Times New Roman" w:cs="Times New Roman"/>
          <w:sz w:val="24"/>
          <w:szCs w:val="24"/>
        </w:rPr>
        <w:t>2.5.4 Sample Selection</w:t>
      </w:r>
    </w:p>
    <w:p w14:paraId="2E91C41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study considers selected Nifty 50 Index Funds such as:</w:t>
      </w:r>
    </w:p>
    <w:p w14:paraId="291BCB65" w14:textId="77777777" w:rsidR="00D25741" w:rsidRDefault="00000000" w:rsidP="00B50221">
      <w:pPr>
        <w:numPr>
          <w:ilvl w:val="0"/>
          <w:numId w:val="2"/>
        </w:numPr>
        <w:spacing w:before="240"/>
        <w:rPr>
          <w:rFonts w:eastAsia="Times New Roman" w:cs="Times New Roman"/>
          <w:sz w:val="24"/>
          <w:szCs w:val="24"/>
        </w:rPr>
      </w:pPr>
      <w:r>
        <w:rPr>
          <w:rFonts w:eastAsia="Times New Roman" w:cs="Times New Roman"/>
          <w:sz w:val="24"/>
          <w:szCs w:val="24"/>
        </w:rPr>
        <w:t>ICICI Prudential Nifty 50 Index Fund</w:t>
      </w:r>
      <w:r>
        <w:rPr>
          <w:rFonts w:eastAsia="Times New Roman" w:cs="Times New Roman"/>
          <w:sz w:val="24"/>
          <w:szCs w:val="24"/>
        </w:rPr>
        <w:br/>
      </w:r>
    </w:p>
    <w:p w14:paraId="2A56A7E7" w14:textId="77777777" w:rsidR="00D25741" w:rsidRDefault="00000000" w:rsidP="00B50221">
      <w:pPr>
        <w:numPr>
          <w:ilvl w:val="0"/>
          <w:numId w:val="2"/>
        </w:numPr>
        <w:rPr>
          <w:rFonts w:eastAsia="Times New Roman" w:cs="Times New Roman"/>
          <w:sz w:val="24"/>
          <w:szCs w:val="24"/>
        </w:rPr>
      </w:pPr>
      <w:r>
        <w:rPr>
          <w:rFonts w:eastAsia="Times New Roman" w:cs="Times New Roman"/>
          <w:sz w:val="24"/>
          <w:szCs w:val="24"/>
        </w:rPr>
        <w:t>HDFC Index Fund</w:t>
      </w:r>
      <w:r>
        <w:rPr>
          <w:rFonts w:eastAsia="Times New Roman" w:cs="Times New Roman"/>
          <w:sz w:val="24"/>
          <w:szCs w:val="24"/>
        </w:rPr>
        <w:br/>
      </w:r>
    </w:p>
    <w:p w14:paraId="597403F6" w14:textId="77777777" w:rsidR="00D25741" w:rsidRDefault="00000000" w:rsidP="00B50221">
      <w:pPr>
        <w:numPr>
          <w:ilvl w:val="0"/>
          <w:numId w:val="2"/>
        </w:numPr>
        <w:rPr>
          <w:rFonts w:eastAsia="Times New Roman" w:cs="Times New Roman"/>
          <w:sz w:val="24"/>
          <w:szCs w:val="24"/>
        </w:rPr>
      </w:pPr>
      <w:r>
        <w:rPr>
          <w:rFonts w:eastAsia="Times New Roman" w:cs="Times New Roman"/>
          <w:sz w:val="24"/>
          <w:szCs w:val="24"/>
        </w:rPr>
        <w:t>UTI Nifty 50 Index Fund</w:t>
      </w:r>
      <w:r>
        <w:rPr>
          <w:rFonts w:eastAsia="Times New Roman" w:cs="Times New Roman"/>
          <w:sz w:val="24"/>
          <w:szCs w:val="24"/>
        </w:rPr>
        <w:br/>
      </w:r>
    </w:p>
    <w:p w14:paraId="52C8D34D" w14:textId="77777777" w:rsidR="00D25741" w:rsidRDefault="00000000" w:rsidP="00B50221">
      <w:pPr>
        <w:numPr>
          <w:ilvl w:val="0"/>
          <w:numId w:val="2"/>
        </w:numPr>
        <w:rPr>
          <w:rFonts w:eastAsia="Times New Roman" w:cs="Times New Roman"/>
          <w:sz w:val="24"/>
          <w:szCs w:val="24"/>
        </w:rPr>
      </w:pPr>
      <w:r>
        <w:rPr>
          <w:rFonts w:eastAsia="Times New Roman" w:cs="Times New Roman"/>
          <w:sz w:val="24"/>
          <w:szCs w:val="24"/>
        </w:rPr>
        <w:t>SBI Nifty Index Fund</w:t>
      </w:r>
      <w:r>
        <w:rPr>
          <w:rFonts w:eastAsia="Times New Roman" w:cs="Times New Roman"/>
          <w:sz w:val="24"/>
          <w:szCs w:val="24"/>
        </w:rPr>
        <w:br/>
      </w:r>
    </w:p>
    <w:p w14:paraId="7D5F1021" w14:textId="77777777" w:rsidR="00D25741" w:rsidRDefault="00000000" w:rsidP="00B50221">
      <w:pPr>
        <w:numPr>
          <w:ilvl w:val="0"/>
          <w:numId w:val="2"/>
        </w:numPr>
        <w:spacing w:after="240"/>
        <w:rPr>
          <w:rFonts w:eastAsia="Times New Roman" w:cs="Times New Roman"/>
          <w:sz w:val="24"/>
          <w:szCs w:val="24"/>
        </w:rPr>
      </w:pPr>
      <w:r>
        <w:rPr>
          <w:rFonts w:eastAsia="Times New Roman" w:cs="Times New Roman"/>
          <w:sz w:val="24"/>
          <w:szCs w:val="24"/>
        </w:rPr>
        <w:t>Nippon India Index Fund</w:t>
      </w:r>
      <w:r>
        <w:rPr>
          <w:rFonts w:eastAsia="Times New Roman" w:cs="Times New Roman"/>
          <w:sz w:val="24"/>
          <w:szCs w:val="24"/>
        </w:rPr>
        <w:br/>
      </w:r>
    </w:p>
    <w:p w14:paraId="42FAB60D"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These funds were chosen based on popularity, accessibility, and availability of consistent historical data.</w:t>
      </w:r>
    </w:p>
    <w:p w14:paraId="2726F880" w14:textId="77777777" w:rsidR="00D25741" w:rsidRDefault="00000000">
      <w:pPr>
        <w:pStyle w:val="Heading2"/>
        <w:keepNext w:val="0"/>
        <w:keepLines w:val="0"/>
        <w:spacing w:after="80"/>
        <w:jc w:val="both"/>
        <w:rPr>
          <w:rFonts w:eastAsia="Times New Roman" w:cs="Times New Roman"/>
          <w:sz w:val="24"/>
          <w:szCs w:val="24"/>
        </w:rPr>
      </w:pPr>
      <w:bookmarkStart w:id="56" w:name="_gqqnptx7xc1m" w:colFirst="0" w:colLast="0"/>
      <w:bookmarkEnd w:id="56"/>
      <w:r>
        <w:rPr>
          <w:rFonts w:eastAsia="Times New Roman" w:cs="Times New Roman"/>
          <w:sz w:val="24"/>
          <w:szCs w:val="24"/>
        </w:rPr>
        <w:lastRenderedPageBreak/>
        <w:t>2.5.5 Tools and Techniques Used for Analysis</w:t>
      </w:r>
    </w:p>
    <w:p w14:paraId="1D180FEF" w14:textId="77777777" w:rsidR="00D25741" w:rsidRDefault="00000000">
      <w:pPr>
        <w:pStyle w:val="Heading3"/>
        <w:keepNext w:val="0"/>
        <w:keepLines w:val="0"/>
        <w:spacing w:before="280"/>
        <w:jc w:val="both"/>
        <w:rPr>
          <w:rFonts w:eastAsia="Times New Roman" w:cs="Times New Roman"/>
          <w:color w:val="000000"/>
          <w:sz w:val="24"/>
          <w:szCs w:val="24"/>
        </w:rPr>
      </w:pPr>
      <w:bookmarkStart w:id="57" w:name="_bwqndh975agb" w:colFirst="0" w:colLast="0"/>
      <w:bookmarkEnd w:id="57"/>
      <w:r>
        <w:rPr>
          <w:rFonts w:eastAsia="Times New Roman" w:cs="Times New Roman"/>
          <w:color w:val="000000"/>
          <w:sz w:val="24"/>
          <w:szCs w:val="24"/>
        </w:rPr>
        <w:t>a) Return Calculation</w:t>
      </w:r>
    </w:p>
    <w:p w14:paraId="3F27F79A" w14:textId="77777777" w:rsidR="00D25741" w:rsidRDefault="00000000" w:rsidP="00B50221">
      <w:pPr>
        <w:numPr>
          <w:ilvl w:val="0"/>
          <w:numId w:val="27"/>
        </w:numPr>
        <w:spacing w:before="240"/>
        <w:rPr>
          <w:rFonts w:eastAsia="Times New Roman" w:cs="Times New Roman"/>
          <w:sz w:val="24"/>
          <w:szCs w:val="24"/>
        </w:rPr>
      </w:pPr>
      <w:r>
        <w:rPr>
          <w:rFonts w:eastAsia="Times New Roman" w:cs="Times New Roman"/>
          <w:sz w:val="24"/>
          <w:szCs w:val="24"/>
        </w:rPr>
        <w:t>Monthly and annual returns are calculated using NAV data.</w:t>
      </w:r>
      <w:r>
        <w:rPr>
          <w:rFonts w:eastAsia="Times New Roman" w:cs="Times New Roman"/>
          <w:sz w:val="24"/>
          <w:szCs w:val="24"/>
        </w:rPr>
        <w:br/>
      </w:r>
    </w:p>
    <w:p w14:paraId="7B529620" w14:textId="77777777" w:rsidR="00D25741" w:rsidRDefault="00000000" w:rsidP="00B50221">
      <w:pPr>
        <w:numPr>
          <w:ilvl w:val="0"/>
          <w:numId w:val="27"/>
        </w:numPr>
        <w:spacing w:after="240"/>
        <w:rPr>
          <w:rFonts w:eastAsia="Times New Roman" w:cs="Times New Roman"/>
          <w:sz w:val="24"/>
          <w:szCs w:val="24"/>
        </w:rPr>
      </w:pPr>
      <w:r>
        <w:rPr>
          <w:rFonts w:eastAsia="Times New Roman" w:cs="Times New Roman"/>
          <w:sz w:val="24"/>
          <w:szCs w:val="24"/>
        </w:rPr>
        <w:t>CAGR (Compounded Annual Growth Rate) is used to measure long-term return.</w:t>
      </w:r>
      <w:r>
        <w:rPr>
          <w:rFonts w:eastAsia="Times New Roman" w:cs="Times New Roman"/>
          <w:sz w:val="24"/>
          <w:szCs w:val="24"/>
        </w:rPr>
        <w:br/>
      </w:r>
    </w:p>
    <w:p w14:paraId="2A5638E5" w14:textId="77777777" w:rsidR="00D25741" w:rsidRDefault="00000000">
      <w:pPr>
        <w:pStyle w:val="Heading3"/>
        <w:keepNext w:val="0"/>
        <w:keepLines w:val="0"/>
        <w:spacing w:before="280"/>
        <w:jc w:val="both"/>
        <w:rPr>
          <w:rFonts w:eastAsia="Times New Roman" w:cs="Times New Roman"/>
          <w:color w:val="000000"/>
          <w:sz w:val="24"/>
          <w:szCs w:val="24"/>
        </w:rPr>
      </w:pPr>
      <w:bookmarkStart w:id="58" w:name="_9b0ub8fg6zlp" w:colFirst="0" w:colLast="0"/>
      <w:bookmarkEnd w:id="58"/>
      <w:r>
        <w:rPr>
          <w:rFonts w:eastAsia="Times New Roman" w:cs="Times New Roman"/>
          <w:color w:val="000000"/>
          <w:sz w:val="24"/>
          <w:szCs w:val="24"/>
        </w:rPr>
        <w:t>b) Risk Measures</w:t>
      </w:r>
    </w:p>
    <w:p w14:paraId="48D178FD" w14:textId="77777777" w:rsidR="00D25741" w:rsidRDefault="00000000" w:rsidP="00B50221">
      <w:pPr>
        <w:numPr>
          <w:ilvl w:val="0"/>
          <w:numId w:val="40"/>
        </w:numPr>
        <w:spacing w:before="240"/>
        <w:rPr>
          <w:rFonts w:eastAsia="Times New Roman" w:cs="Times New Roman"/>
          <w:sz w:val="24"/>
          <w:szCs w:val="24"/>
        </w:rPr>
      </w:pPr>
      <w:r>
        <w:rPr>
          <w:rFonts w:eastAsia="Times New Roman" w:cs="Times New Roman"/>
          <w:sz w:val="24"/>
          <w:szCs w:val="24"/>
        </w:rPr>
        <w:t>Standard Deviation (SD): Measures total risk or volatility.</w:t>
      </w:r>
      <w:r>
        <w:rPr>
          <w:rFonts w:eastAsia="Times New Roman" w:cs="Times New Roman"/>
          <w:sz w:val="24"/>
          <w:szCs w:val="24"/>
        </w:rPr>
        <w:br/>
      </w:r>
    </w:p>
    <w:p w14:paraId="271B6CE9" w14:textId="77777777" w:rsidR="00D25741" w:rsidRDefault="00000000" w:rsidP="00B50221">
      <w:pPr>
        <w:numPr>
          <w:ilvl w:val="0"/>
          <w:numId w:val="40"/>
        </w:numPr>
        <w:spacing w:after="240"/>
        <w:rPr>
          <w:rFonts w:eastAsia="Times New Roman" w:cs="Times New Roman"/>
          <w:sz w:val="24"/>
          <w:szCs w:val="24"/>
        </w:rPr>
      </w:pPr>
      <w:r>
        <w:rPr>
          <w:rFonts w:eastAsia="Times New Roman" w:cs="Times New Roman"/>
          <w:sz w:val="24"/>
          <w:szCs w:val="24"/>
        </w:rPr>
        <w:t>Beta: Measures systematic risk and sensitivity to market movements.</w:t>
      </w:r>
      <w:r>
        <w:rPr>
          <w:rFonts w:eastAsia="Times New Roman" w:cs="Times New Roman"/>
          <w:sz w:val="24"/>
          <w:szCs w:val="24"/>
        </w:rPr>
        <w:br/>
      </w:r>
    </w:p>
    <w:p w14:paraId="622DE8CE" w14:textId="77777777" w:rsidR="00D25741" w:rsidRDefault="00000000">
      <w:pPr>
        <w:pStyle w:val="Heading3"/>
        <w:keepNext w:val="0"/>
        <w:keepLines w:val="0"/>
        <w:spacing w:before="280"/>
        <w:jc w:val="both"/>
        <w:rPr>
          <w:rFonts w:eastAsia="Times New Roman" w:cs="Times New Roman"/>
          <w:color w:val="000000"/>
          <w:sz w:val="24"/>
          <w:szCs w:val="24"/>
        </w:rPr>
      </w:pPr>
      <w:bookmarkStart w:id="59" w:name="_9mzybqxad45l" w:colFirst="0" w:colLast="0"/>
      <w:bookmarkEnd w:id="59"/>
      <w:r>
        <w:rPr>
          <w:rFonts w:eastAsia="Times New Roman" w:cs="Times New Roman"/>
          <w:color w:val="000000"/>
          <w:sz w:val="24"/>
          <w:szCs w:val="24"/>
        </w:rPr>
        <w:t>c) Risk-Adjusted Performance Measures</w:t>
      </w:r>
    </w:p>
    <w:p w14:paraId="0BE7C4CA" w14:textId="36675263" w:rsidR="00D25741" w:rsidRPr="00B50221" w:rsidRDefault="00000000" w:rsidP="00B50221">
      <w:pPr>
        <w:numPr>
          <w:ilvl w:val="0"/>
          <w:numId w:val="29"/>
        </w:numPr>
        <w:spacing w:before="240" w:after="240"/>
        <w:jc w:val="both"/>
        <w:rPr>
          <w:rFonts w:eastAsia="Times New Roman" w:cs="Times New Roman"/>
          <w:sz w:val="24"/>
          <w:szCs w:val="24"/>
        </w:rPr>
      </w:pPr>
      <w:r>
        <w:rPr>
          <w:rFonts w:eastAsia="Times New Roman" w:cs="Times New Roman"/>
          <w:sz w:val="24"/>
          <w:szCs w:val="24"/>
        </w:rPr>
        <w:t xml:space="preserve">Sharpe Ratio:  </w:t>
      </w:r>
      <w:r w:rsidRPr="00B50221">
        <w:rPr>
          <w:rFonts w:eastAsia="Gungsuh" w:cs="Times New Roman"/>
          <w:sz w:val="24"/>
          <w:szCs w:val="24"/>
          <w:u w:val="single"/>
        </w:rPr>
        <w:t>Rp​−Rf​</w:t>
      </w:r>
    </w:p>
    <w:p w14:paraId="6F4EEBA9" w14:textId="249B378F" w:rsidR="00B50221" w:rsidRPr="00B50221" w:rsidRDefault="00B50221" w:rsidP="00B50221">
      <w:pPr>
        <w:tabs>
          <w:tab w:val="left" w:pos="2450"/>
        </w:tabs>
        <w:spacing w:before="240" w:after="240"/>
        <w:ind w:left="720"/>
        <w:jc w:val="both"/>
        <w:rPr>
          <w:rFonts w:eastAsia="Times New Roman" w:cs="Times New Roman"/>
          <w:sz w:val="24"/>
          <w:szCs w:val="24"/>
        </w:rPr>
      </w:pPr>
      <w:r w:rsidRPr="00B50221">
        <w:rPr>
          <w:rFonts w:eastAsia="Times New Roman" w:cs="Times New Roman"/>
          <w:sz w:val="24"/>
          <w:szCs w:val="24"/>
        </w:rPr>
        <w:tab/>
      </w:r>
      <w:r w:rsidRPr="00B50221">
        <w:rPr>
          <w:rFonts w:eastAsia="Times New Roman" w:cs="Times New Roman"/>
          <w:sz w:val="24"/>
          <w:szCs w:val="24"/>
        </w:rPr>
        <w:t>σp​</w:t>
      </w:r>
    </w:p>
    <w:p w14:paraId="55751DF2" w14:textId="77777777" w:rsidR="00D25741" w:rsidRPr="00B50221" w:rsidRDefault="00000000">
      <w:pPr>
        <w:numPr>
          <w:ilvl w:val="0"/>
          <w:numId w:val="29"/>
        </w:numPr>
        <w:jc w:val="both"/>
        <w:rPr>
          <w:rFonts w:eastAsia="Times New Roman" w:cs="Times New Roman"/>
          <w:sz w:val="24"/>
          <w:szCs w:val="24"/>
        </w:rPr>
      </w:pPr>
      <w:r w:rsidRPr="00B50221">
        <w:rPr>
          <w:rFonts w:eastAsia="Times New Roman" w:cs="Times New Roman"/>
          <w:sz w:val="24"/>
          <w:szCs w:val="24"/>
        </w:rPr>
        <w:t>Treynor Ratio =  ​</w:t>
      </w:r>
      <w:r w:rsidRPr="00B50221">
        <w:rPr>
          <w:rFonts w:eastAsia="Gungsuh" w:cs="Times New Roman"/>
          <w:sz w:val="24"/>
          <w:szCs w:val="24"/>
          <w:u w:val="single"/>
        </w:rPr>
        <w:t>Rp​−Rf</w:t>
      </w:r>
      <w:r w:rsidRPr="00B50221">
        <w:rPr>
          <w:rFonts w:eastAsia="Times New Roman" w:cs="Times New Roman"/>
          <w:sz w:val="24"/>
          <w:szCs w:val="24"/>
        </w:rPr>
        <w:t>​​</w:t>
      </w:r>
    </w:p>
    <w:p w14:paraId="090ABF55" w14:textId="77777777" w:rsidR="00D25741" w:rsidRPr="00B50221" w:rsidRDefault="00000000">
      <w:pPr>
        <w:jc w:val="both"/>
        <w:rPr>
          <w:rFonts w:eastAsia="Times New Roman" w:cs="Times New Roman"/>
          <w:sz w:val="24"/>
          <w:szCs w:val="24"/>
        </w:rPr>
      </w:pPr>
      <w:r w:rsidRPr="00B50221">
        <w:rPr>
          <w:rFonts w:eastAsia="Times New Roman" w:cs="Times New Roman"/>
          <w:sz w:val="24"/>
          <w:szCs w:val="24"/>
        </w:rPr>
        <w:t xml:space="preserve">                                           βp</w:t>
      </w:r>
    </w:p>
    <w:p w14:paraId="7C2DBB2A" w14:textId="35AB0977" w:rsidR="00B50221" w:rsidRPr="001874D9" w:rsidRDefault="00000000" w:rsidP="001874D9">
      <w:pPr>
        <w:numPr>
          <w:ilvl w:val="0"/>
          <w:numId w:val="29"/>
        </w:numPr>
        <w:spacing w:before="240" w:after="240"/>
        <w:jc w:val="both"/>
        <w:rPr>
          <w:rFonts w:eastAsia="Times New Roman" w:cs="Times New Roman"/>
          <w:sz w:val="24"/>
          <w:szCs w:val="24"/>
        </w:rPr>
      </w:pPr>
      <w:r w:rsidRPr="00B50221">
        <w:rPr>
          <w:rFonts w:eastAsia="Cardo" w:cs="Times New Roman"/>
          <w:sz w:val="24"/>
          <w:szCs w:val="24"/>
        </w:rPr>
        <w:t>Jensen ratio α</w:t>
      </w:r>
      <w:r w:rsidR="00B50221" w:rsidRPr="00B50221">
        <w:rPr>
          <w:rFonts w:eastAsia="Cardo" w:cs="Times New Roman"/>
          <w:sz w:val="24"/>
          <w:szCs w:val="24"/>
        </w:rPr>
        <w:t xml:space="preserve"> </w:t>
      </w:r>
      <w:r w:rsidRPr="00B50221">
        <w:rPr>
          <w:rFonts w:eastAsia="Cardo" w:cs="Times New Roman"/>
          <w:sz w:val="24"/>
          <w:szCs w:val="24"/>
        </w:rPr>
        <w:t>=</w:t>
      </w:r>
      <w:r w:rsidR="00B50221" w:rsidRPr="00B50221">
        <w:rPr>
          <w:rFonts w:eastAsia="Cardo" w:cs="Times New Roman"/>
          <w:sz w:val="24"/>
          <w:szCs w:val="24"/>
        </w:rPr>
        <w:t xml:space="preserve"> </w:t>
      </w:r>
      <w:r w:rsidRPr="00B50221">
        <w:rPr>
          <w:rFonts w:eastAsia="Cardo" w:cs="Times New Roman"/>
          <w:sz w:val="24"/>
          <w:szCs w:val="24"/>
        </w:rPr>
        <w:t>Rp</w:t>
      </w:r>
      <w:r w:rsidR="00B50221" w:rsidRPr="00B50221">
        <w:rPr>
          <w:rFonts w:eastAsia="Cardo" w:cs="Times New Roman"/>
          <w:sz w:val="24"/>
          <w:szCs w:val="24"/>
        </w:rPr>
        <w:t xml:space="preserve"> </w:t>
      </w:r>
      <w:r w:rsidRPr="00B50221">
        <w:rPr>
          <w:rFonts w:eastAsia="Cardo" w:cs="Times New Roman"/>
          <w:sz w:val="24"/>
          <w:szCs w:val="24"/>
        </w:rPr>
        <w:t>​−</w:t>
      </w:r>
      <w:r w:rsidR="00B50221" w:rsidRPr="00B50221">
        <w:rPr>
          <w:rFonts w:eastAsia="Cardo" w:cs="Times New Roman"/>
          <w:sz w:val="24"/>
          <w:szCs w:val="24"/>
        </w:rPr>
        <w:t xml:space="preserve"> </w:t>
      </w:r>
      <w:r w:rsidRPr="00B50221">
        <w:rPr>
          <w:rFonts w:eastAsia="Cardo" w:cs="Times New Roman"/>
          <w:sz w:val="24"/>
          <w:szCs w:val="24"/>
        </w:rPr>
        <w:t>(Rf</w:t>
      </w:r>
      <w:r w:rsidR="00B50221" w:rsidRPr="00B50221">
        <w:rPr>
          <w:rFonts w:eastAsia="Cardo" w:cs="Times New Roman"/>
          <w:sz w:val="24"/>
          <w:szCs w:val="24"/>
        </w:rPr>
        <w:t xml:space="preserve"> </w:t>
      </w:r>
      <w:r w:rsidRPr="00B50221">
        <w:rPr>
          <w:rFonts w:eastAsia="Cardo" w:cs="Times New Roman"/>
          <w:sz w:val="24"/>
          <w:szCs w:val="24"/>
        </w:rPr>
        <w:t>​+</w:t>
      </w:r>
      <w:r w:rsidR="00B50221" w:rsidRPr="00B50221">
        <w:rPr>
          <w:rFonts w:eastAsia="Cardo" w:cs="Times New Roman"/>
          <w:sz w:val="24"/>
          <w:szCs w:val="24"/>
        </w:rPr>
        <w:t xml:space="preserve"> </w:t>
      </w:r>
      <w:r w:rsidRPr="00B50221">
        <w:rPr>
          <w:rFonts w:eastAsia="Cardo" w:cs="Times New Roman"/>
          <w:sz w:val="24"/>
          <w:szCs w:val="24"/>
        </w:rPr>
        <w:t>βp</w:t>
      </w:r>
      <w:r w:rsidR="00B50221" w:rsidRPr="00B50221">
        <w:rPr>
          <w:rFonts w:eastAsia="Cardo" w:cs="Times New Roman"/>
          <w:sz w:val="24"/>
          <w:szCs w:val="24"/>
        </w:rPr>
        <w:t xml:space="preserve"> </w:t>
      </w:r>
      <w:r w:rsidRPr="00B50221">
        <w:rPr>
          <w:rFonts w:eastAsia="Cardo" w:cs="Times New Roman"/>
          <w:sz w:val="24"/>
          <w:szCs w:val="24"/>
        </w:rPr>
        <w:t>​(Rm​−Rf​))</w:t>
      </w:r>
      <w:bookmarkStart w:id="60" w:name="_ofetymcli97" w:colFirst="0" w:colLast="0"/>
      <w:bookmarkEnd w:id="60"/>
    </w:p>
    <w:p w14:paraId="4584A38C" w14:textId="78089449" w:rsidR="00D25741" w:rsidRDefault="00000000">
      <w:pPr>
        <w:pStyle w:val="Heading3"/>
        <w:keepNext w:val="0"/>
        <w:keepLines w:val="0"/>
        <w:spacing w:before="280"/>
        <w:jc w:val="both"/>
        <w:rPr>
          <w:rFonts w:eastAsia="Times New Roman" w:cs="Times New Roman"/>
          <w:color w:val="000000"/>
          <w:sz w:val="24"/>
          <w:szCs w:val="24"/>
        </w:rPr>
      </w:pPr>
      <w:r>
        <w:rPr>
          <w:rFonts w:eastAsia="Times New Roman" w:cs="Times New Roman"/>
          <w:color w:val="000000"/>
          <w:sz w:val="24"/>
          <w:szCs w:val="24"/>
        </w:rPr>
        <w:t>d) Benchmark Comparison</w:t>
      </w:r>
    </w:p>
    <w:p w14:paraId="51413A50" w14:textId="4E66EB99" w:rsidR="00807CAF" w:rsidRDefault="00000000">
      <w:pPr>
        <w:spacing w:before="240" w:after="240"/>
        <w:jc w:val="both"/>
        <w:rPr>
          <w:rFonts w:eastAsia="Times New Roman" w:cs="Times New Roman"/>
          <w:sz w:val="24"/>
          <w:szCs w:val="24"/>
        </w:rPr>
      </w:pPr>
      <w:r>
        <w:rPr>
          <w:rFonts w:eastAsia="Times New Roman" w:cs="Times New Roman"/>
          <w:sz w:val="24"/>
          <w:szCs w:val="24"/>
        </w:rPr>
        <w:t>Each fund’s performance is compared against the Nifty 50 Index.</w:t>
      </w:r>
    </w:p>
    <w:p w14:paraId="19D4EA2B" w14:textId="7D96E4C8" w:rsidR="00D25741" w:rsidRDefault="00000000">
      <w:pPr>
        <w:pStyle w:val="Heading2"/>
        <w:keepNext w:val="0"/>
        <w:keepLines w:val="0"/>
        <w:spacing w:after="80"/>
        <w:jc w:val="both"/>
        <w:rPr>
          <w:rFonts w:eastAsia="Times New Roman" w:cs="Times New Roman"/>
          <w:sz w:val="24"/>
          <w:szCs w:val="24"/>
        </w:rPr>
      </w:pPr>
      <w:bookmarkStart w:id="61" w:name="_y46gcwd9s7it" w:colFirst="0" w:colLast="0"/>
      <w:bookmarkEnd w:id="61"/>
      <w:r>
        <w:rPr>
          <w:rFonts w:eastAsia="Times New Roman" w:cs="Times New Roman"/>
          <w:sz w:val="24"/>
          <w:szCs w:val="24"/>
        </w:rPr>
        <w:t>2.5.6 Statistical Tools</w:t>
      </w:r>
    </w:p>
    <w:p w14:paraId="182834E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following tools are used:</w:t>
      </w:r>
    </w:p>
    <w:p w14:paraId="5981A3F5" w14:textId="77777777" w:rsidR="00D25741" w:rsidRDefault="00000000" w:rsidP="00B50221">
      <w:pPr>
        <w:numPr>
          <w:ilvl w:val="0"/>
          <w:numId w:val="36"/>
        </w:numPr>
        <w:spacing w:before="240"/>
        <w:rPr>
          <w:rFonts w:eastAsia="Times New Roman" w:cs="Times New Roman"/>
          <w:sz w:val="24"/>
          <w:szCs w:val="24"/>
        </w:rPr>
      </w:pPr>
      <w:r>
        <w:rPr>
          <w:rFonts w:eastAsia="Times New Roman" w:cs="Times New Roman"/>
          <w:sz w:val="24"/>
          <w:szCs w:val="24"/>
        </w:rPr>
        <w:t>Mean and percentage change</w:t>
      </w:r>
      <w:r>
        <w:rPr>
          <w:rFonts w:eastAsia="Times New Roman" w:cs="Times New Roman"/>
          <w:sz w:val="24"/>
          <w:szCs w:val="24"/>
        </w:rPr>
        <w:br/>
      </w:r>
    </w:p>
    <w:p w14:paraId="5D7BD062" w14:textId="77777777" w:rsidR="00D25741" w:rsidRDefault="00000000" w:rsidP="00B50221">
      <w:pPr>
        <w:numPr>
          <w:ilvl w:val="0"/>
          <w:numId w:val="36"/>
        </w:numPr>
        <w:rPr>
          <w:rFonts w:eastAsia="Times New Roman" w:cs="Times New Roman"/>
          <w:sz w:val="24"/>
          <w:szCs w:val="24"/>
        </w:rPr>
      </w:pPr>
      <w:r>
        <w:rPr>
          <w:rFonts w:eastAsia="Times New Roman" w:cs="Times New Roman"/>
          <w:sz w:val="24"/>
          <w:szCs w:val="24"/>
        </w:rPr>
        <w:t>Standard deviation formulas</w:t>
      </w:r>
      <w:r>
        <w:rPr>
          <w:rFonts w:eastAsia="Times New Roman" w:cs="Times New Roman"/>
          <w:sz w:val="24"/>
          <w:szCs w:val="24"/>
        </w:rPr>
        <w:br/>
      </w:r>
    </w:p>
    <w:p w14:paraId="71F62C65" w14:textId="77777777" w:rsidR="00D25741" w:rsidRDefault="00000000" w:rsidP="00B50221">
      <w:pPr>
        <w:numPr>
          <w:ilvl w:val="0"/>
          <w:numId w:val="36"/>
        </w:numPr>
        <w:rPr>
          <w:rFonts w:eastAsia="Times New Roman" w:cs="Times New Roman"/>
          <w:sz w:val="24"/>
          <w:szCs w:val="24"/>
        </w:rPr>
      </w:pPr>
      <w:r>
        <w:rPr>
          <w:rFonts w:eastAsia="Times New Roman" w:cs="Times New Roman"/>
          <w:sz w:val="24"/>
          <w:szCs w:val="24"/>
        </w:rPr>
        <w:t>Beta calculation</w:t>
      </w:r>
      <w:r>
        <w:rPr>
          <w:rFonts w:eastAsia="Times New Roman" w:cs="Times New Roman"/>
          <w:sz w:val="24"/>
          <w:szCs w:val="24"/>
        </w:rPr>
        <w:br/>
      </w:r>
    </w:p>
    <w:p w14:paraId="0C121502" w14:textId="77777777" w:rsidR="00D25741" w:rsidRDefault="00000000" w:rsidP="00B50221">
      <w:pPr>
        <w:numPr>
          <w:ilvl w:val="0"/>
          <w:numId w:val="36"/>
        </w:numPr>
        <w:rPr>
          <w:rFonts w:eastAsia="Times New Roman" w:cs="Times New Roman"/>
          <w:sz w:val="24"/>
          <w:szCs w:val="24"/>
        </w:rPr>
      </w:pPr>
      <w:r>
        <w:rPr>
          <w:rFonts w:eastAsia="Times New Roman" w:cs="Times New Roman"/>
          <w:sz w:val="24"/>
          <w:szCs w:val="24"/>
        </w:rPr>
        <w:t>Sharpe, Treynor, and Jensen’s Alpha</w:t>
      </w:r>
      <w:r>
        <w:rPr>
          <w:rFonts w:eastAsia="Times New Roman" w:cs="Times New Roman"/>
          <w:sz w:val="24"/>
          <w:szCs w:val="24"/>
        </w:rPr>
        <w:br/>
      </w:r>
    </w:p>
    <w:p w14:paraId="2CBC9A03" w14:textId="77777777" w:rsidR="00D25741" w:rsidRDefault="00000000" w:rsidP="00B50221">
      <w:pPr>
        <w:numPr>
          <w:ilvl w:val="0"/>
          <w:numId w:val="36"/>
        </w:numPr>
        <w:spacing w:after="240"/>
        <w:rPr>
          <w:rFonts w:eastAsia="Times New Roman" w:cs="Times New Roman"/>
          <w:sz w:val="24"/>
          <w:szCs w:val="24"/>
        </w:rPr>
      </w:pPr>
      <w:r>
        <w:rPr>
          <w:rFonts w:eastAsia="Times New Roman" w:cs="Times New Roman"/>
          <w:sz w:val="24"/>
          <w:szCs w:val="24"/>
        </w:rPr>
        <w:t>Graphical representation (line charts, bar charts)</w:t>
      </w:r>
      <w:r>
        <w:rPr>
          <w:rFonts w:eastAsia="Times New Roman" w:cs="Times New Roman"/>
          <w:sz w:val="24"/>
          <w:szCs w:val="24"/>
        </w:rPr>
        <w:br/>
      </w:r>
    </w:p>
    <w:p w14:paraId="65E7C526" w14:textId="77777777" w:rsidR="00807CAF" w:rsidRDefault="00807CAF">
      <w:pPr>
        <w:rPr>
          <w:rFonts w:eastAsia="Times New Roman" w:cs="Times New Roman"/>
          <w:b/>
          <w:bCs/>
          <w:sz w:val="24"/>
          <w:szCs w:val="24"/>
        </w:rPr>
      </w:pPr>
    </w:p>
    <w:p w14:paraId="5A6D25FA" w14:textId="229915D8" w:rsidR="00D25741" w:rsidRPr="001874D9" w:rsidRDefault="00000000">
      <w:pPr>
        <w:rPr>
          <w:rFonts w:eastAsia="Times New Roman" w:cs="Times New Roman"/>
          <w:b/>
          <w:bCs/>
          <w:sz w:val="24"/>
          <w:szCs w:val="24"/>
        </w:rPr>
      </w:pPr>
      <w:r w:rsidRPr="001874D9">
        <w:rPr>
          <w:rFonts w:eastAsia="Times New Roman" w:cs="Times New Roman"/>
          <w:b/>
          <w:bCs/>
          <w:sz w:val="24"/>
          <w:szCs w:val="24"/>
        </w:rPr>
        <w:lastRenderedPageBreak/>
        <w:t>2.6 SCOPE OF THE STUDY</w:t>
      </w:r>
    </w:p>
    <w:p w14:paraId="250AEE27" w14:textId="76DD1775"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scope of this study focuses on </w:t>
      </w:r>
      <w:proofErr w:type="spellStart"/>
      <w:r>
        <w:rPr>
          <w:rFonts w:eastAsia="Times New Roman" w:cs="Times New Roman"/>
          <w:sz w:val="24"/>
          <w:szCs w:val="24"/>
        </w:rPr>
        <w:t>analysing</w:t>
      </w:r>
      <w:proofErr w:type="spellEnd"/>
      <w:r>
        <w:rPr>
          <w:rFonts w:eastAsia="Times New Roman" w:cs="Times New Roman"/>
          <w:sz w:val="24"/>
          <w:szCs w:val="24"/>
        </w:rPr>
        <w:t xml:space="preserve"> the risk and return characteristics of selected mutual funds, specifically Nifty 50 Index Funds, to understand their performance and suitability for different types of investors.</w:t>
      </w:r>
      <w:r w:rsidR="001874D9">
        <w:rPr>
          <w:rFonts w:eastAsia="Times New Roman" w:cs="Times New Roman"/>
          <w:sz w:val="24"/>
          <w:szCs w:val="24"/>
        </w:rPr>
        <w:t xml:space="preserve"> </w:t>
      </w:r>
      <w:r>
        <w:rPr>
          <w:rFonts w:eastAsia="Times New Roman" w:cs="Times New Roman"/>
          <w:sz w:val="24"/>
          <w:szCs w:val="24"/>
        </w:rPr>
        <w:t>These funds were chosen because they represent large-cap, diversified exposure to the Indian equity market and follow a passive investment strategy. It evaluates risk through parameters such as standard deviation and beta, and assesses risk-adjusted returns using Sharpe Ratio, Treynor Ratio, and Jensen’s Alpha. Additionally, the study compares the performance of the selected mutual funds with their benchmark index, the Nifty 50, to determine the level of outperformance or underperformance.</w:t>
      </w:r>
    </w:p>
    <w:p w14:paraId="2F5F12B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This study is limited to secondary data collected from credible financial sources and focuses exclusively on index mutual funds, leaving out active funds, debt funds, sector funds, and hybrid funds. The findings of this study are relevant for investors, financial advisors, and researchers seeking to understand how passive equity funds behave in different market conditions. The scope also includes identifying which fund offers the best balance between risk and return, helping investors make informed investment decisions. However, the results may not be applicable to all types of mutual funds or future market scenarios due to changes in economic conditions and fund strategies. </w:t>
      </w:r>
    </w:p>
    <w:p w14:paraId="6D5E4B20" w14:textId="77777777" w:rsidR="00D25741" w:rsidRDefault="00D25741">
      <w:pPr>
        <w:spacing w:before="240" w:after="240"/>
        <w:jc w:val="both"/>
        <w:rPr>
          <w:rFonts w:eastAsia="Times New Roman" w:cs="Times New Roman"/>
          <w:sz w:val="24"/>
          <w:szCs w:val="24"/>
        </w:rPr>
      </w:pPr>
    </w:p>
    <w:p w14:paraId="5574F77F" w14:textId="77777777" w:rsidR="00D25741" w:rsidRPr="001874D9" w:rsidRDefault="00000000">
      <w:pPr>
        <w:spacing w:before="240" w:after="240"/>
        <w:jc w:val="both"/>
        <w:rPr>
          <w:rFonts w:eastAsia="Times New Roman" w:cs="Times New Roman"/>
          <w:b/>
          <w:bCs/>
          <w:sz w:val="24"/>
          <w:szCs w:val="24"/>
        </w:rPr>
      </w:pPr>
      <w:r w:rsidRPr="001874D9">
        <w:rPr>
          <w:rFonts w:eastAsia="Times New Roman" w:cs="Times New Roman"/>
          <w:b/>
          <w:bCs/>
          <w:sz w:val="24"/>
          <w:szCs w:val="24"/>
        </w:rPr>
        <w:t>2.7 LIMITATIONS OF THE STUDY</w:t>
      </w:r>
    </w:p>
    <w:p w14:paraId="03479A22" w14:textId="77777777" w:rsidR="00D25741" w:rsidRDefault="00000000" w:rsidP="00B50221">
      <w:pPr>
        <w:numPr>
          <w:ilvl w:val="0"/>
          <w:numId w:val="22"/>
        </w:numPr>
        <w:spacing w:before="240"/>
        <w:rPr>
          <w:rFonts w:eastAsia="Times New Roman" w:cs="Times New Roman"/>
          <w:sz w:val="24"/>
          <w:szCs w:val="24"/>
        </w:rPr>
      </w:pPr>
      <w:r>
        <w:rPr>
          <w:rFonts w:eastAsia="Times New Roman" w:cs="Times New Roman"/>
          <w:sz w:val="24"/>
          <w:szCs w:val="24"/>
        </w:rPr>
        <w:t>The study is based entirely on secondary data, and its accuracy depends on the reliability of published sources.</w:t>
      </w:r>
      <w:r>
        <w:rPr>
          <w:rFonts w:eastAsia="Times New Roman" w:cs="Times New Roman"/>
          <w:sz w:val="24"/>
          <w:szCs w:val="24"/>
        </w:rPr>
        <w:br/>
      </w:r>
    </w:p>
    <w:p w14:paraId="6CF0B967" w14:textId="77777777" w:rsidR="00D25741" w:rsidRDefault="00000000" w:rsidP="00B50221">
      <w:pPr>
        <w:numPr>
          <w:ilvl w:val="0"/>
          <w:numId w:val="22"/>
        </w:numPr>
        <w:rPr>
          <w:rFonts w:eastAsia="Times New Roman" w:cs="Times New Roman"/>
          <w:sz w:val="24"/>
          <w:szCs w:val="24"/>
        </w:rPr>
      </w:pPr>
      <w:r>
        <w:rPr>
          <w:rFonts w:eastAsia="Times New Roman" w:cs="Times New Roman"/>
          <w:sz w:val="24"/>
          <w:szCs w:val="24"/>
        </w:rPr>
        <w:t>Only a limited number of Nifty 50 Index Funds are selected, so the findings cannot be generalized to all mutual funds.</w:t>
      </w:r>
      <w:r>
        <w:rPr>
          <w:rFonts w:eastAsia="Times New Roman" w:cs="Times New Roman"/>
          <w:sz w:val="24"/>
          <w:szCs w:val="24"/>
        </w:rPr>
        <w:br/>
      </w:r>
    </w:p>
    <w:p w14:paraId="6A05A751" w14:textId="77777777" w:rsidR="00D25741" w:rsidRDefault="00000000" w:rsidP="00B50221">
      <w:pPr>
        <w:numPr>
          <w:ilvl w:val="0"/>
          <w:numId w:val="22"/>
        </w:numPr>
        <w:rPr>
          <w:rFonts w:eastAsia="Times New Roman" w:cs="Times New Roman"/>
          <w:sz w:val="24"/>
          <w:szCs w:val="24"/>
        </w:rPr>
      </w:pPr>
      <w:r>
        <w:rPr>
          <w:rFonts w:eastAsia="Times New Roman" w:cs="Times New Roman"/>
          <w:sz w:val="24"/>
          <w:szCs w:val="24"/>
        </w:rPr>
        <w:t>Mutual fund performance is affected by market volatility, economic changes, and global events, which may influence the results.</w:t>
      </w:r>
      <w:r>
        <w:rPr>
          <w:rFonts w:eastAsia="Times New Roman" w:cs="Times New Roman"/>
          <w:sz w:val="24"/>
          <w:szCs w:val="24"/>
        </w:rPr>
        <w:br/>
      </w:r>
    </w:p>
    <w:p w14:paraId="75F0CBC7" w14:textId="77777777" w:rsidR="00D25741" w:rsidRDefault="00000000" w:rsidP="00B50221">
      <w:pPr>
        <w:numPr>
          <w:ilvl w:val="0"/>
          <w:numId w:val="22"/>
        </w:numPr>
        <w:rPr>
          <w:rFonts w:eastAsia="Times New Roman" w:cs="Times New Roman"/>
          <w:sz w:val="24"/>
          <w:szCs w:val="24"/>
        </w:rPr>
      </w:pPr>
      <w:r>
        <w:rPr>
          <w:rFonts w:eastAsia="Times New Roman" w:cs="Times New Roman"/>
          <w:sz w:val="24"/>
          <w:szCs w:val="24"/>
        </w:rPr>
        <w:t xml:space="preserve">The analysis covers a specific </w:t>
      </w:r>
      <w:proofErr w:type="gramStart"/>
      <w:r>
        <w:rPr>
          <w:rFonts w:eastAsia="Times New Roman" w:cs="Times New Roman"/>
          <w:sz w:val="24"/>
          <w:szCs w:val="24"/>
        </w:rPr>
        <w:t>time period</w:t>
      </w:r>
      <w:proofErr w:type="gramEnd"/>
      <w:r>
        <w:rPr>
          <w:rFonts w:eastAsia="Times New Roman" w:cs="Times New Roman"/>
          <w:sz w:val="24"/>
          <w:szCs w:val="24"/>
        </w:rPr>
        <w:t>, and results may differ if a different timeframe is considered.</w:t>
      </w:r>
      <w:r>
        <w:rPr>
          <w:rFonts w:eastAsia="Times New Roman" w:cs="Times New Roman"/>
          <w:sz w:val="24"/>
          <w:szCs w:val="24"/>
        </w:rPr>
        <w:br/>
      </w:r>
    </w:p>
    <w:p w14:paraId="31C68D13" w14:textId="77777777" w:rsidR="00D25741" w:rsidRDefault="00000000" w:rsidP="00B50221">
      <w:pPr>
        <w:numPr>
          <w:ilvl w:val="0"/>
          <w:numId w:val="22"/>
        </w:numPr>
        <w:rPr>
          <w:rFonts w:eastAsia="Times New Roman" w:cs="Times New Roman"/>
          <w:sz w:val="24"/>
          <w:szCs w:val="24"/>
        </w:rPr>
      </w:pPr>
      <w:r>
        <w:rPr>
          <w:rFonts w:eastAsia="Times New Roman" w:cs="Times New Roman"/>
          <w:sz w:val="24"/>
          <w:szCs w:val="24"/>
        </w:rPr>
        <w:t xml:space="preserve">The study does not include qualitative factors such as fund manager skills, investor </w:t>
      </w:r>
      <w:proofErr w:type="spellStart"/>
      <w:r>
        <w:rPr>
          <w:rFonts w:eastAsia="Times New Roman" w:cs="Times New Roman"/>
          <w:sz w:val="24"/>
          <w:szCs w:val="24"/>
        </w:rPr>
        <w:t>behaviour</w:t>
      </w:r>
      <w:proofErr w:type="spellEnd"/>
      <w:r>
        <w:rPr>
          <w:rFonts w:eastAsia="Times New Roman" w:cs="Times New Roman"/>
          <w:sz w:val="24"/>
          <w:szCs w:val="24"/>
        </w:rPr>
        <w:t>, or economic policies.</w:t>
      </w:r>
      <w:r>
        <w:rPr>
          <w:rFonts w:eastAsia="Times New Roman" w:cs="Times New Roman"/>
          <w:sz w:val="24"/>
          <w:szCs w:val="24"/>
        </w:rPr>
        <w:br/>
      </w:r>
    </w:p>
    <w:p w14:paraId="291EEE71" w14:textId="77777777" w:rsidR="00D25741" w:rsidRDefault="00000000" w:rsidP="00B50221">
      <w:pPr>
        <w:numPr>
          <w:ilvl w:val="0"/>
          <w:numId w:val="22"/>
        </w:numPr>
        <w:rPr>
          <w:rFonts w:eastAsia="Times New Roman" w:cs="Times New Roman"/>
          <w:sz w:val="24"/>
          <w:szCs w:val="24"/>
        </w:rPr>
      </w:pPr>
      <w:r>
        <w:rPr>
          <w:rFonts w:eastAsia="Times New Roman" w:cs="Times New Roman"/>
          <w:sz w:val="24"/>
          <w:szCs w:val="24"/>
        </w:rPr>
        <w:t xml:space="preserve">Tracking error, which affects index funds’ ability to match benchmark returns, is not extensively </w:t>
      </w:r>
      <w:proofErr w:type="spellStart"/>
      <w:r>
        <w:rPr>
          <w:rFonts w:eastAsia="Times New Roman" w:cs="Times New Roman"/>
          <w:sz w:val="24"/>
          <w:szCs w:val="24"/>
        </w:rPr>
        <w:t>analysed</w:t>
      </w:r>
      <w:proofErr w:type="spellEnd"/>
      <w:r>
        <w:rPr>
          <w:rFonts w:eastAsia="Times New Roman" w:cs="Times New Roman"/>
          <w:sz w:val="24"/>
          <w:szCs w:val="24"/>
        </w:rPr>
        <w:t>.</w:t>
      </w:r>
      <w:r>
        <w:rPr>
          <w:rFonts w:eastAsia="Times New Roman" w:cs="Times New Roman"/>
          <w:sz w:val="24"/>
          <w:szCs w:val="24"/>
        </w:rPr>
        <w:br/>
      </w:r>
    </w:p>
    <w:p w14:paraId="22AE250B" w14:textId="77777777" w:rsidR="00D25741" w:rsidRDefault="00000000" w:rsidP="00B50221">
      <w:pPr>
        <w:numPr>
          <w:ilvl w:val="0"/>
          <w:numId w:val="22"/>
        </w:numPr>
        <w:rPr>
          <w:rFonts w:eastAsia="Times New Roman" w:cs="Times New Roman"/>
          <w:sz w:val="24"/>
          <w:szCs w:val="24"/>
        </w:rPr>
      </w:pPr>
      <w:r>
        <w:rPr>
          <w:rFonts w:eastAsia="Times New Roman" w:cs="Times New Roman"/>
          <w:sz w:val="24"/>
          <w:szCs w:val="24"/>
        </w:rPr>
        <w:t>The study does not adjust returns for taxation, inflation, or transaction costs, which can alter net returns.</w:t>
      </w:r>
      <w:r>
        <w:rPr>
          <w:rFonts w:eastAsia="Times New Roman" w:cs="Times New Roman"/>
          <w:sz w:val="24"/>
          <w:szCs w:val="24"/>
        </w:rPr>
        <w:br/>
      </w:r>
    </w:p>
    <w:p w14:paraId="2995AE89" w14:textId="77777777" w:rsidR="001874D9" w:rsidRDefault="00000000" w:rsidP="001874D9">
      <w:pPr>
        <w:numPr>
          <w:ilvl w:val="0"/>
          <w:numId w:val="22"/>
        </w:numPr>
        <w:spacing w:after="240"/>
        <w:rPr>
          <w:rFonts w:eastAsia="Times New Roman" w:cs="Times New Roman"/>
          <w:sz w:val="24"/>
          <w:szCs w:val="24"/>
        </w:rPr>
      </w:pPr>
      <w:r>
        <w:rPr>
          <w:rFonts w:eastAsia="Times New Roman" w:cs="Times New Roman"/>
          <w:sz w:val="24"/>
          <w:szCs w:val="24"/>
        </w:rPr>
        <w:t>The findings are based on historical performance and do not guarantee future results</w:t>
      </w:r>
    </w:p>
    <w:p w14:paraId="2498F69A" w14:textId="0544876A" w:rsidR="00D25741" w:rsidRPr="001874D9" w:rsidRDefault="00000000" w:rsidP="001874D9">
      <w:pPr>
        <w:spacing w:after="240"/>
        <w:jc w:val="center"/>
        <w:rPr>
          <w:rFonts w:eastAsia="Times New Roman" w:cs="Times New Roman"/>
          <w:b/>
          <w:bCs/>
          <w:sz w:val="24"/>
          <w:szCs w:val="24"/>
        </w:rPr>
      </w:pPr>
      <w:r w:rsidRPr="001874D9">
        <w:rPr>
          <w:rFonts w:eastAsia="Times New Roman" w:cs="Times New Roman"/>
          <w:b/>
          <w:bCs/>
          <w:sz w:val="24"/>
          <w:szCs w:val="24"/>
        </w:rPr>
        <w:lastRenderedPageBreak/>
        <w:t>CHAPTER 3</w:t>
      </w:r>
      <w:r w:rsidR="00807CAF">
        <w:rPr>
          <w:rFonts w:eastAsia="Times New Roman" w:cs="Times New Roman"/>
          <w:b/>
          <w:bCs/>
          <w:sz w:val="24"/>
          <w:szCs w:val="24"/>
        </w:rPr>
        <w:t xml:space="preserve">: </w:t>
      </w:r>
      <w:proofErr w:type="gramStart"/>
      <w:r w:rsidRPr="001874D9">
        <w:rPr>
          <w:rFonts w:eastAsia="Times New Roman" w:cs="Times New Roman"/>
          <w:b/>
          <w:bCs/>
          <w:sz w:val="24"/>
          <w:szCs w:val="24"/>
        </w:rPr>
        <w:t>RESULTS ,</w:t>
      </w:r>
      <w:proofErr w:type="gramEnd"/>
      <w:r w:rsidRPr="001874D9">
        <w:rPr>
          <w:rFonts w:eastAsia="Times New Roman" w:cs="Times New Roman"/>
          <w:b/>
          <w:bCs/>
          <w:sz w:val="24"/>
          <w:szCs w:val="24"/>
        </w:rPr>
        <w:t xml:space="preserve"> ANALYSIS AND DISCUSSION</w:t>
      </w:r>
    </w:p>
    <w:p w14:paraId="1B394A70" w14:textId="77777777" w:rsidR="00D25741" w:rsidRDefault="00D25741">
      <w:pPr>
        <w:rPr>
          <w:rFonts w:eastAsia="Times New Roman" w:cs="Times New Roman"/>
          <w:sz w:val="24"/>
          <w:szCs w:val="24"/>
        </w:rPr>
      </w:pPr>
    </w:p>
    <w:p w14:paraId="7FE97204" w14:textId="62E5A184" w:rsidR="00D25741" w:rsidRDefault="00000000">
      <w:pPr>
        <w:jc w:val="both"/>
        <w:rPr>
          <w:rFonts w:eastAsia="Times New Roman" w:cs="Times New Roman"/>
          <w:sz w:val="24"/>
          <w:szCs w:val="24"/>
        </w:rPr>
      </w:pPr>
      <w:r>
        <w:rPr>
          <w:rFonts w:eastAsia="Times New Roman" w:cs="Times New Roman"/>
          <w:color w:val="000000"/>
          <w:sz w:val="24"/>
          <w:szCs w:val="24"/>
        </w:rPr>
        <w:t>This chapter focuses on the analysis of secondary data gathered from sources such as the NSE, Yahoo Finance, and Money Control. The primary objective of this research is to evaluate the performance of a constructed portfolio utilizing three key metrics: the Sharpe Ratio, the Treynor Ratio, and Jensen's Alpha. Data for the study was predominantly sourced from Yahoo Finance. Specifically, monthly security prices for five open-ended mutual funds were collected over a five-year period, spanning from 2021 to 2025.</w:t>
      </w:r>
    </w:p>
    <w:p w14:paraId="39C800A9" w14:textId="77777777" w:rsidR="00D25741" w:rsidRDefault="00D25741">
      <w:pPr>
        <w:rPr>
          <w:rFonts w:eastAsia="Times New Roman" w:cs="Times New Roman"/>
          <w:sz w:val="24"/>
          <w:szCs w:val="24"/>
        </w:rPr>
      </w:pPr>
    </w:p>
    <w:p w14:paraId="48CE1AF3" w14:textId="77777777" w:rsidR="00D25741" w:rsidRDefault="00000000">
      <w:pPr>
        <w:rPr>
          <w:rFonts w:eastAsia="Times New Roman" w:cs="Times New Roman"/>
          <w:b/>
          <w:bCs/>
          <w:sz w:val="24"/>
          <w:szCs w:val="24"/>
        </w:rPr>
      </w:pPr>
      <w:r>
        <w:rPr>
          <w:rFonts w:eastAsia="Times New Roman" w:cs="Times New Roman"/>
          <w:b/>
          <w:bCs/>
          <w:sz w:val="24"/>
          <w:szCs w:val="24"/>
        </w:rPr>
        <w:t>3.1 LIST OF THE MUTUAL FUNDS</w:t>
      </w:r>
    </w:p>
    <w:p w14:paraId="25ECC807" w14:textId="77777777" w:rsidR="00D25741" w:rsidRDefault="00D25741">
      <w:pPr>
        <w:rPr>
          <w:rFonts w:eastAsia="Times New Roman" w:cs="Times New Roman"/>
          <w:sz w:val="24"/>
          <w:szCs w:val="24"/>
        </w:rPr>
      </w:pP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380"/>
        <w:gridCol w:w="4980"/>
      </w:tblGrid>
      <w:tr w:rsidR="00D25741" w14:paraId="190D1AA6" w14:textId="77777777" w:rsidTr="001874D9">
        <w:tc>
          <w:tcPr>
            <w:tcW w:w="4380" w:type="dxa"/>
            <w:tcMar>
              <w:top w:w="100" w:type="dxa"/>
              <w:left w:w="100" w:type="dxa"/>
              <w:bottom w:w="100" w:type="dxa"/>
              <w:right w:w="100" w:type="dxa"/>
            </w:tcMar>
          </w:tcPr>
          <w:p w14:paraId="07C26FAA" w14:textId="77777777" w:rsidR="00D25741" w:rsidRDefault="00000000">
            <w:pPr>
              <w:widowControl w:val="0"/>
              <w:pBdr>
                <w:top w:val="nil"/>
                <w:left w:val="nil"/>
                <w:bottom w:val="nil"/>
                <w:right w:val="nil"/>
                <w:between w:val="nil"/>
              </w:pBdr>
              <w:rPr>
                <w:rFonts w:eastAsia="Times New Roman" w:cs="Times New Roman"/>
                <w:b/>
                <w:bCs/>
                <w:sz w:val="24"/>
                <w:szCs w:val="24"/>
              </w:rPr>
            </w:pPr>
            <w:r>
              <w:rPr>
                <w:rFonts w:eastAsia="Times New Roman" w:cs="Times New Roman"/>
                <w:b/>
                <w:bCs/>
                <w:sz w:val="24"/>
                <w:szCs w:val="24"/>
              </w:rPr>
              <w:t xml:space="preserve">SL NO. </w:t>
            </w:r>
          </w:p>
        </w:tc>
        <w:tc>
          <w:tcPr>
            <w:tcW w:w="4980" w:type="dxa"/>
            <w:tcMar>
              <w:top w:w="100" w:type="dxa"/>
              <w:left w:w="100" w:type="dxa"/>
              <w:bottom w:w="100" w:type="dxa"/>
              <w:right w:w="100" w:type="dxa"/>
            </w:tcMar>
          </w:tcPr>
          <w:p w14:paraId="49428C4C" w14:textId="77777777" w:rsidR="00D25741" w:rsidRDefault="00000000">
            <w:pPr>
              <w:widowControl w:val="0"/>
              <w:pBdr>
                <w:top w:val="nil"/>
                <w:left w:val="nil"/>
                <w:bottom w:val="nil"/>
                <w:right w:val="nil"/>
                <w:between w:val="nil"/>
              </w:pBdr>
              <w:rPr>
                <w:rFonts w:eastAsia="Times New Roman" w:cs="Times New Roman"/>
                <w:b/>
                <w:bCs/>
                <w:sz w:val="24"/>
                <w:szCs w:val="24"/>
              </w:rPr>
            </w:pPr>
            <w:r>
              <w:rPr>
                <w:rFonts w:eastAsia="Times New Roman" w:cs="Times New Roman"/>
                <w:b/>
                <w:bCs/>
                <w:sz w:val="24"/>
                <w:szCs w:val="24"/>
              </w:rPr>
              <w:t xml:space="preserve">FUND NAME </w:t>
            </w:r>
          </w:p>
        </w:tc>
      </w:tr>
      <w:tr w:rsidR="00D25741" w14:paraId="21DE9618" w14:textId="77777777" w:rsidTr="001874D9">
        <w:tc>
          <w:tcPr>
            <w:tcW w:w="4380" w:type="dxa"/>
            <w:tcMar>
              <w:top w:w="100" w:type="dxa"/>
              <w:left w:w="100" w:type="dxa"/>
              <w:bottom w:w="100" w:type="dxa"/>
              <w:right w:w="100" w:type="dxa"/>
            </w:tcMar>
          </w:tcPr>
          <w:p w14:paraId="26C42062"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1</w:t>
            </w:r>
          </w:p>
        </w:tc>
        <w:tc>
          <w:tcPr>
            <w:tcW w:w="4980" w:type="dxa"/>
            <w:tcMar>
              <w:top w:w="100" w:type="dxa"/>
              <w:left w:w="100" w:type="dxa"/>
              <w:bottom w:w="100" w:type="dxa"/>
              <w:right w:w="100" w:type="dxa"/>
            </w:tcMar>
          </w:tcPr>
          <w:p w14:paraId="4D1B0D6B"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ICICI Prudential Nifty 50 index fund</w:t>
            </w:r>
          </w:p>
        </w:tc>
      </w:tr>
      <w:tr w:rsidR="00D25741" w14:paraId="50D2F719" w14:textId="77777777" w:rsidTr="001874D9">
        <w:tc>
          <w:tcPr>
            <w:tcW w:w="4380" w:type="dxa"/>
            <w:tcMar>
              <w:top w:w="100" w:type="dxa"/>
              <w:left w:w="100" w:type="dxa"/>
              <w:bottom w:w="100" w:type="dxa"/>
              <w:right w:w="100" w:type="dxa"/>
            </w:tcMar>
          </w:tcPr>
          <w:p w14:paraId="7330D07C"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2</w:t>
            </w:r>
          </w:p>
        </w:tc>
        <w:tc>
          <w:tcPr>
            <w:tcW w:w="4980" w:type="dxa"/>
            <w:tcMar>
              <w:top w:w="100" w:type="dxa"/>
              <w:left w:w="100" w:type="dxa"/>
              <w:bottom w:w="100" w:type="dxa"/>
              <w:right w:w="100" w:type="dxa"/>
            </w:tcMar>
          </w:tcPr>
          <w:p w14:paraId="32BB26F9"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HDFC Index Fund</w:t>
            </w:r>
          </w:p>
        </w:tc>
      </w:tr>
      <w:tr w:rsidR="00D25741" w14:paraId="3E2671D7" w14:textId="77777777" w:rsidTr="001874D9">
        <w:tc>
          <w:tcPr>
            <w:tcW w:w="4380" w:type="dxa"/>
            <w:tcMar>
              <w:top w:w="100" w:type="dxa"/>
              <w:left w:w="100" w:type="dxa"/>
              <w:bottom w:w="100" w:type="dxa"/>
              <w:right w:w="100" w:type="dxa"/>
            </w:tcMar>
          </w:tcPr>
          <w:p w14:paraId="485E4F5A"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3</w:t>
            </w:r>
          </w:p>
        </w:tc>
        <w:tc>
          <w:tcPr>
            <w:tcW w:w="4980" w:type="dxa"/>
            <w:tcMar>
              <w:top w:w="100" w:type="dxa"/>
              <w:left w:w="100" w:type="dxa"/>
              <w:bottom w:w="100" w:type="dxa"/>
              <w:right w:w="100" w:type="dxa"/>
            </w:tcMar>
          </w:tcPr>
          <w:p w14:paraId="6516FE4B"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UTI Nifty 50 Index Fund</w:t>
            </w:r>
          </w:p>
        </w:tc>
      </w:tr>
      <w:tr w:rsidR="00D25741" w14:paraId="585B0532" w14:textId="77777777" w:rsidTr="001874D9">
        <w:tc>
          <w:tcPr>
            <w:tcW w:w="4380" w:type="dxa"/>
            <w:tcMar>
              <w:top w:w="100" w:type="dxa"/>
              <w:left w:w="100" w:type="dxa"/>
              <w:bottom w:w="100" w:type="dxa"/>
              <w:right w:w="100" w:type="dxa"/>
            </w:tcMar>
          </w:tcPr>
          <w:p w14:paraId="63EA22D7"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4</w:t>
            </w:r>
          </w:p>
        </w:tc>
        <w:tc>
          <w:tcPr>
            <w:tcW w:w="4980" w:type="dxa"/>
            <w:tcMar>
              <w:top w:w="100" w:type="dxa"/>
              <w:left w:w="100" w:type="dxa"/>
              <w:bottom w:w="100" w:type="dxa"/>
              <w:right w:w="100" w:type="dxa"/>
            </w:tcMar>
          </w:tcPr>
          <w:p w14:paraId="284774DD"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Nippon India Index Fund</w:t>
            </w:r>
          </w:p>
        </w:tc>
      </w:tr>
      <w:tr w:rsidR="00D25741" w14:paraId="7B15EA2D" w14:textId="77777777" w:rsidTr="001874D9">
        <w:tc>
          <w:tcPr>
            <w:tcW w:w="4380" w:type="dxa"/>
            <w:tcMar>
              <w:top w:w="100" w:type="dxa"/>
              <w:left w:w="100" w:type="dxa"/>
              <w:bottom w:w="100" w:type="dxa"/>
              <w:right w:w="100" w:type="dxa"/>
            </w:tcMar>
          </w:tcPr>
          <w:p w14:paraId="36E330DF"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5</w:t>
            </w:r>
          </w:p>
        </w:tc>
        <w:tc>
          <w:tcPr>
            <w:tcW w:w="4980" w:type="dxa"/>
            <w:tcMar>
              <w:top w:w="100" w:type="dxa"/>
              <w:left w:w="100" w:type="dxa"/>
              <w:bottom w:w="100" w:type="dxa"/>
              <w:right w:w="100" w:type="dxa"/>
            </w:tcMar>
          </w:tcPr>
          <w:p w14:paraId="44D6AF75" w14:textId="77777777" w:rsidR="00D25741" w:rsidRDefault="00000000">
            <w:pPr>
              <w:widowControl w:val="0"/>
              <w:pBdr>
                <w:top w:val="nil"/>
                <w:left w:val="nil"/>
                <w:bottom w:val="nil"/>
                <w:right w:val="nil"/>
                <w:between w:val="nil"/>
              </w:pBdr>
              <w:rPr>
                <w:rFonts w:eastAsia="Times New Roman" w:cs="Times New Roman"/>
                <w:sz w:val="24"/>
                <w:szCs w:val="24"/>
              </w:rPr>
            </w:pPr>
            <w:r>
              <w:rPr>
                <w:rFonts w:eastAsia="Times New Roman" w:cs="Times New Roman"/>
                <w:sz w:val="24"/>
                <w:szCs w:val="24"/>
              </w:rPr>
              <w:t>SBI Nifty index fund</w:t>
            </w:r>
          </w:p>
        </w:tc>
      </w:tr>
    </w:tbl>
    <w:p w14:paraId="12C5B5EA" w14:textId="77777777" w:rsidR="00D25741" w:rsidRDefault="00D25741">
      <w:pPr>
        <w:rPr>
          <w:rFonts w:eastAsia="Times New Roman" w:cs="Times New Roman"/>
          <w:sz w:val="24"/>
          <w:szCs w:val="24"/>
        </w:rPr>
      </w:pPr>
    </w:p>
    <w:p w14:paraId="45E08555" w14:textId="0A5EA4A8" w:rsidR="00D25741" w:rsidRDefault="00000000">
      <w:pPr>
        <w:rPr>
          <w:rFonts w:eastAsia="Times New Roman" w:cs="Times New Roman"/>
          <w:color w:val="000000"/>
          <w:sz w:val="24"/>
          <w:szCs w:val="24"/>
        </w:rPr>
      </w:pPr>
      <w:r>
        <w:rPr>
          <w:rFonts w:eastAsia="Times New Roman" w:cs="Times New Roman"/>
          <w:color w:val="000000"/>
          <w:sz w:val="24"/>
          <w:szCs w:val="24"/>
        </w:rPr>
        <w:t>The return for each individual security and market index is calculated using the following formula:</w:t>
      </w:r>
    </w:p>
    <w:p w14:paraId="5167F7FA" w14:textId="77777777" w:rsidR="00D25741" w:rsidRDefault="00D25741">
      <w:pPr>
        <w:rPr>
          <w:rFonts w:eastAsia="Times New Roman" w:cs="Times New Roman"/>
          <w:sz w:val="24"/>
          <w:szCs w:val="24"/>
        </w:rPr>
      </w:pPr>
    </w:p>
    <w:p w14:paraId="1CA11374" w14:textId="77777777" w:rsidR="00D25741" w:rsidRPr="00B50221" w:rsidRDefault="00000000">
      <w:pPr>
        <w:rPr>
          <w:rFonts w:eastAsia="Times New Roman" w:cs="Times New Roman"/>
          <w:sz w:val="24"/>
          <w:szCs w:val="24"/>
        </w:rPr>
      </w:pPr>
      <w:r w:rsidRPr="00B50221">
        <w:rPr>
          <w:rFonts w:eastAsia="Times New Roman" w:cs="Times New Roman"/>
          <w:sz w:val="24"/>
          <w:szCs w:val="24"/>
        </w:rPr>
        <w:t xml:space="preserve">Return =​ </w:t>
      </w:r>
      <w:proofErr w:type="spellStart"/>
      <w:r w:rsidRPr="00B50221">
        <w:rPr>
          <w:rFonts w:eastAsia="Gungsuh" w:cs="Times New Roman"/>
          <w:sz w:val="24"/>
          <w:szCs w:val="24"/>
          <w:u w:val="single"/>
        </w:rPr>
        <w:t>NAVt</w:t>
      </w:r>
      <w:proofErr w:type="spellEnd"/>
      <w:r w:rsidRPr="00B50221">
        <w:rPr>
          <w:rFonts w:eastAsia="Gungsuh" w:cs="Times New Roman"/>
          <w:sz w:val="24"/>
          <w:szCs w:val="24"/>
          <w:u w:val="single"/>
        </w:rPr>
        <w:t xml:space="preserve"> ​− NAVt−1</w:t>
      </w:r>
      <w:r w:rsidRPr="00B50221">
        <w:rPr>
          <w:rFonts w:eastAsia="Times New Roman" w:cs="Times New Roman"/>
          <w:sz w:val="24"/>
          <w:szCs w:val="24"/>
        </w:rPr>
        <w:t xml:space="preserve">    ​​×100</w:t>
      </w:r>
    </w:p>
    <w:p w14:paraId="6A74169D" w14:textId="77777777" w:rsidR="00D25741" w:rsidRPr="00B50221" w:rsidRDefault="00000000">
      <w:pPr>
        <w:rPr>
          <w:rFonts w:eastAsia="Times New Roman" w:cs="Times New Roman"/>
          <w:sz w:val="24"/>
          <w:szCs w:val="24"/>
        </w:rPr>
      </w:pPr>
      <w:r w:rsidRPr="00B50221">
        <w:rPr>
          <w:rFonts w:eastAsia="Gungsuh" w:cs="Times New Roman"/>
          <w:sz w:val="24"/>
          <w:szCs w:val="24"/>
        </w:rPr>
        <w:t xml:space="preserve">                   NAVt−1</w:t>
      </w:r>
    </w:p>
    <w:p w14:paraId="02947E33" w14:textId="77777777" w:rsidR="00D25741" w:rsidRPr="00B50221" w:rsidRDefault="00000000">
      <w:pPr>
        <w:spacing w:before="240" w:after="240"/>
        <w:rPr>
          <w:rFonts w:eastAsia="Times New Roman" w:cs="Times New Roman"/>
          <w:sz w:val="24"/>
          <w:szCs w:val="24"/>
        </w:rPr>
      </w:pPr>
      <w:r w:rsidRPr="00B50221">
        <w:rPr>
          <w:rFonts w:eastAsia="Times New Roman" w:cs="Times New Roman"/>
          <w:sz w:val="24"/>
          <w:szCs w:val="24"/>
        </w:rPr>
        <w:t>Where:</w:t>
      </w:r>
    </w:p>
    <w:p w14:paraId="15BA12FE" w14:textId="77777777" w:rsidR="00D25741" w:rsidRPr="00B50221" w:rsidRDefault="00000000">
      <w:pPr>
        <w:numPr>
          <w:ilvl w:val="0"/>
          <w:numId w:val="23"/>
        </w:numPr>
        <w:spacing w:before="240"/>
        <w:rPr>
          <w:rFonts w:eastAsia="Times New Roman" w:cs="Times New Roman"/>
          <w:sz w:val="24"/>
          <w:szCs w:val="24"/>
        </w:rPr>
      </w:pPr>
      <w:proofErr w:type="spellStart"/>
      <w:r w:rsidRPr="00B50221">
        <w:rPr>
          <w:rFonts w:eastAsia="Times New Roman" w:cs="Times New Roman"/>
          <w:sz w:val="24"/>
          <w:szCs w:val="24"/>
        </w:rPr>
        <w:t>NAVt</w:t>
      </w:r>
      <w:proofErr w:type="spellEnd"/>
      <w:r w:rsidRPr="00B50221">
        <w:rPr>
          <w:rFonts w:eastAsia="Times New Roman" w:cs="Times New Roman"/>
          <w:sz w:val="24"/>
          <w:szCs w:val="24"/>
        </w:rPr>
        <w:t>​ = NAV at the end of the period</w:t>
      </w:r>
      <w:r w:rsidRPr="00B50221">
        <w:rPr>
          <w:rFonts w:eastAsia="Times New Roman" w:cs="Times New Roman"/>
          <w:sz w:val="24"/>
          <w:szCs w:val="24"/>
        </w:rPr>
        <w:br/>
      </w:r>
    </w:p>
    <w:p w14:paraId="1E77510D" w14:textId="77777777" w:rsidR="00D25741" w:rsidRPr="00B50221" w:rsidRDefault="00000000">
      <w:pPr>
        <w:numPr>
          <w:ilvl w:val="0"/>
          <w:numId w:val="23"/>
        </w:numPr>
        <w:spacing w:after="240"/>
        <w:rPr>
          <w:rFonts w:eastAsia="Times New Roman" w:cs="Times New Roman"/>
          <w:sz w:val="24"/>
          <w:szCs w:val="24"/>
        </w:rPr>
      </w:pPr>
      <w:r w:rsidRPr="00B50221">
        <w:rPr>
          <w:rFonts w:eastAsia="Gungsuh" w:cs="Times New Roman"/>
          <w:sz w:val="24"/>
          <w:szCs w:val="24"/>
        </w:rPr>
        <w:t>NAVt−1​ = NAV at the beginning of the period</w:t>
      </w:r>
    </w:p>
    <w:p w14:paraId="626D21BC" w14:textId="77777777" w:rsidR="00D25741" w:rsidRPr="00B50221" w:rsidRDefault="00D25741">
      <w:pPr>
        <w:spacing w:before="240" w:after="240"/>
        <w:ind w:left="720"/>
        <w:rPr>
          <w:rFonts w:eastAsia="Times New Roman" w:cs="Times New Roman"/>
          <w:sz w:val="24"/>
          <w:szCs w:val="24"/>
        </w:rPr>
      </w:pPr>
    </w:p>
    <w:p w14:paraId="0FB4041D" w14:textId="77777777" w:rsidR="00D25741" w:rsidRPr="00B50221" w:rsidRDefault="00000000">
      <w:pPr>
        <w:rPr>
          <w:rFonts w:eastAsia="Times New Roman" w:cs="Times New Roman"/>
          <w:sz w:val="24"/>
          <w:szCs w:val="24"/>
        </w:rPr>
      </w:pPr>
      <w:r w:rsidRPr="00B50221">
        <w:rPr>
          <w:rFonts w:eastAsia="Times New Roman" w:cs="Times New Roman"/>
          <w:sz w:val="24"/>
          <w:szCs w:val="24"/>
        </w:rPr>
        <w:t xml:space="preserve">Index Return = </w:t>
      </w:r>
      <w:r w:rsidRPr="00B50221">
        <w:rPr>
          <w:rFonts w:eastAsia="Gungsuh" w:cs="Times New Roman"/>
          <w:sz w:val="24"/>
          <w:szCs w:val="24"/>
          <w:u w:val="single"/>
        </w:rPr>
        <w:t>​</w:t>
      </w:r>
      <w:proofErr w:type="spellStart"/>
      <w:r w:rsidRPr="00B50221">
        <w:rPr>
          <w:rFonts w:eastAsia="Gungsuh" w:cs="Times New Roman"/>
          <w:sz w:val="24"/>
          <w:szCs w:val="24"/>
          <w:u w:val="single"/>
        </w:rPr>
        <w:t>Indext</w:t>
      </w:r>
      <w:proofErr w:type="spellEnd"/>
      <w:r w:rsidRPr="00B50221">
        <w:rPr>
          <w:rFonts w:eastAsia="Gungsuh" w:cs="Times New Roman"/>
          <w:sz w:val="24"/>
          <w:szCs w:val="24"/>
          <w:u w:val="single"/>
        </w:rPr>
        <w:t xml:space="preserve"> ​− Indext−1</w:t>
      </w:r>
      <w:r w:rsidRPr="00B50221">
        <w:rPr>
          <w:rFonts w:eastAsia="Times New Roman" w:cs="Times New Roman"/>
          <w:sz w:val="24"/>
          <w:szCs w:val="24"/>
        </w:rPr>
        <w:t xml:space="preserve">     ​​×100</w:t>
      </w:r>
    </w:p>
    <w:p w14:paraId="080E85B6" w14:textId="77777777" w:rsidR="00D25741" w:rsidRPr="00B50221" w:rsidRDefault="00000000">
      <w:pPr>
        <w:rPr>
          <w:rFonts w:eastAsia="Times New Roman" w:cs="Times New Roman"/>
          <w:sz w:val="24"/>
          <w:szCs w:val="24"/>
        </w:rPr>
      </w:pPr>
      <w:r w:rsidRPr="00B50221">
        <w:rPr>
          <w:rFonts w:eastAsia="Gungsuh" w:cs="Times New Roman"/>
          <w:sz w:val="24"/>
          <w:szCs w:val="24"/>
        </w:rPr>
        <w:t xml:space="preserve">                               Indext−1</w:t>
      </w:r>
    </w:p>
    <w:p w14:paraId="302C3AEF" w14:textId="77777777" w:rsidR="00D25741" w:rsidRPr="00B50221" w:rsidRDefault="00D25741">
      <w:pPr>
        <w:rPr>
          <w:rFonts w:eastAsia="Times New Roman" w:cs="Times New Roman"/>
          <w:sz w:val="24"/>
          <w:szCs w:val="24"/>
        </w:rPr>
      </w:pPr>
    </w:p>
    <w:p w14:paraId="3C3088BF" w14:textId="77777777" w:rsidR="00D25741" w:rsidRPr="00B50221" w:rsidRDefault="00000000">
      <w:pPr>
        <w:rPr>
          <w:rFonts w:eastAsia="Times New Roman" w:cs="Times New Roman"/>
          <w:sz w:val="24"/>
          <w:szCs w:val="24"/>
        </w:rPr>
      </w:pPr>
      <w:r w:rsidRPr="00B50221">
        <w:rPr>
          <w:rFonts w:eastAsia="Times New Roman" w:cs="Times New Roman"/>
          <w:sz w:val="24"/>
          <w:szCs w:val="24"/>
        </w:rPr>
        <w:t>Where:</w:t>
      </w:r>
    </w:p>
    <w:p w14:paraId="2CFAE426" w14:textId="77777777" w:rsidR="00D25741" w:rsidRPr="00B50221" w:rsidRDefault="00000000">
      <w:pPr>
        <w:numPr>
          <w:ilvl w:val="0"/>
          <w:numId w:val="15"/>
        </w:numPr>
        <w:spacing w:before="240"/>
        <w:rPr>
          <w:rFonts w:eastAsia="Times New Roman" w:cs="Times New Roman"/>
          <w:sz w:val="24"/>
          <w:szCs w:val="24"/>
        </w:rPr>
      </w:pPr>
      <w:proofErr w:type="spellStart"/>
      <w:r w:rsidRPr="00B50221">
        <w:rPr>
          <w:rFonts w:eastAsia="Times New Roman" w:cs="Times New Roman"/>
          <w:sz w:val="24"/>
          <w:szCs w:val="24"/>
        </w:rPr>
        <w:t>Indext</w:t>
      </w:r>
      <w:proofErr w:type="spellEnd"/>
      <w:r w:rsidRPr="00B50221">
        <w:rPr>
          <w:rFonts w:eastAsia="Times New Roman" w:cs="Times New Roman"/>
          <w:sz w:val="24"/>
          <w:szCs w:val="24"/>
        </w:rPr>
        <w:t>​ = Index value at the end of the period</w:t>
      </w:r>
      <w:r w:rsidRPr="00B50221">
        <w:rPr>
          <w:rFonts w:eastAsia="Times New Roman" w:cs="Times New Roman"/>
          <w:sz w:val="24"/>
          <w:szCs w:val="24"/>
        </w:rPr>
        <w:br/>
      </w:r>
    </w:p>
    <w:p w14:paraId="300F5AB3" w14:textId="77777777" w:rsidR="00D25741" w:rsidRPr="00B50221" w:rsidRDefault="00000000">
      <w:pPr>
        <w:numPr>
          <w:ilvl w:val="0"/>
          <w:numId w:val="15"/>
        </w:numPr>
        <w:spacing w:after="240"/>
        <w:rPr>
          <w:rFonts w:eastAsia="Times New Roman" w:cs="Times New Roman"/>
          <w:sz w:val="24"/>
          <w:szCs w:val="24"/>
        </w:rPr>
      </w:pPr>
      <w:r w:rsidRPr="00B50221">
        <w:rPr>
          <w:rFonts w:eastAsia="Gungsuh" w:cs="Times New Roman"/>
          <w:sz w:val="24"/>
          <w:szCs w:val="24"/>
        </w:rPr>
        <w:t>Indext−1​ = Index value at the beginning of the period</w:t>
      </w:r>
    </w:p>
    <w:p w14:paraId="58175726" w14:textId="77777777" w:rsidR="00D25741" w:rsidRDefault="00D25741">
      <w:pPr>
        <w:spacing w:before="240" w:after="240"/>
        <w:ind w:left="720"/>
        <w:rPr>
          <w:rFonts w:eastAsia="Times New Roman" w:cs="Times New Roman"/>
          <w:sz w:val="24"/>
          <w:szCs w:val="24"/>
        </w:rPr>
      </w:pPr>
    </w:p>
    <w:p w14:paraId="127729A5" w14:textId="77777777" w:rsidR="00D25741" w:rsidRDefault="00000000">
      <w:pPr>
        <w:spacing w:before="240" w:after="240"/>
        <w:rPr>
          <w:rFonts w:eastAsia="Times New Roman" w:cs="Times New Roman"/>
          <w:sz w:val="24"/>
          <w:szCs w:val="24"/>
        </w:rPr>
      </w:pPr>
      <w:r>
        <w:rPr>
          <w:rFonts w:eastAsia="Times New Roman" w:cs="Times New Roman"/>
          <w:sz w:val="24"/>
          <w:szCs w:val="24"/>
        </w:rPr>
        <w:lastRenderedPageBreak/>
        <w:t>Risk free rate of return:</w:t>
      </w:r>
    </w:p>
    <w:p w14:paraId="2DB3FD90" w14:textId="077DE41D" w:rsidR="00B50221" w:rsidRDefault="00000000">
      <w:pPr>
        <w:spacing w:before="240" w:after="240"/>
        <w:jc w:val="both"/>
        <w:rPr>
          <w:rFonts w:eastAsia="Times New Roman" w:cs="Times New Roman"/>
          <w:sz w:val="24"/>
          <w:szCs w:val="24"/>
        </w:rPr>
      </w:pPr>
      <w:r>
        <w:rPr>
          <w:rFonts w:eastAsia="Times New Roman" w:cs="Times New Roman"/>
          <w:sz w:val="24"/>
          <w:szCs w:val="24"/>
        </w:rPr>
        <w:t xml:space="preserve">The risk-free rate of return is the rate of return earned on an investment that carries no risk of financial loss. In India, the </w:t>
      </w:r>
      <w:proofErr w:type="gramStart"/>
      <w:r>
        <w:rPr>
          <w:rFonts w:eastAsia="Times New Roman" w:cs="Times New Roman"/>
          <w:sz w:val="24"/>
          <w:szCs w:val="24"/>
        </w:rPr>
        <w:t>most commonly used</w:t>
      </w:r>
      <w:proofErr w:type="gramEnd"/>
      <w:r>
        <w:rPr>
          <w:rFonts w:eastAsia="Times New Roman" w:cs="Times New Roman"/>
          <w:sz w:val="24"/>
          <w:szCs w:val="24"/>
        </w:rPr>
        <w:t xml:space="preserve"> risk-free instrument is the 91-day Treasury Bill issued by the Government of India. These securities are backed by the government, making default almost impossible. The risk-free rate is especially important in performance evaluation models like the Sharpe Ratio, Treynor Ratio, and Jensen’s Alpha, because it represents the minimum return an investor should expect without taking any risk. Any investment that involves risk must deliver a return higher than the risk-free rate to be considered worthwhile.</w:t>
      </w:r>
    </w:p>
    <w:p w14:paraId="688E751C" w14:textId="77777777" w:rsidR="001874D9" w:rsidRDefault="001874D9">
      <w:pPr>
        <w:spacing w:before="240" w:after="240"/>
        <w:jc w:val="both"/>
        <w:rPr>
          <w:rFonts w:eastAsia="Times New Roman" w:cs="Times New Roman"/>
          <w:sz w:val="24"/>
          <w:szCs w:val="24"/>
        </w:rPr>
      </w:pPr>
    </w:p>
    <w:p w14:paraId="629D6CEF" w14:textId="03A4E915" w:rsidR="00D25741" w:rsidRDefault="00000000">
      <w:pPr>
        <w:spacing w:before="240" w:after="240"/>
        <w:jc w:val="both"/>
        <w:rPr>
          <w:rFonts w:eastAsia="Times New Roman" w:cs="Times New Roman"/>
          <w:sz w:val="24"/>
          <w:szCs w:val="24"/>
        </w:rPr>
      </w:pPr>
      <w:r>
        <w:rPr>
          <w:rFonts w:eastAsia="Times New Roman" w:cs="Times New Roman"/>
          <w:sz w:val="24"/>
          <w:szCs w:val="24"/>
        </w:rPr>
        <w:t>Mean return:</w:t>
      </w:r>
    </w:p>
    <w:p w14:paraId="4C68F0A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Mean return represents the average of the periodic returns of an investment over a given </w:t>
      </w:r>
      <w:proofErr w:type="gramStart"/>
      <w:r>
        <w:rPr>
          <w:rFonts w:eastAsia="Times New Roman" w:cs="Times New Roman"/>
          <w:sz w:val="24"/>
          <w:szCs w:val="24"/>
        </w:rPr>
        <w:t>time period</w:t>
      </w:r>
      <w:proofErr w:type="gramEnd"/>
      <w:r>
        <w:rPr>
          <w:rFonts w:eastAsia="Times New Roman" w:cs="Times New Roman"/>
          <w:sz w:val="24"/>
          <w:szCs w:val="24"/>
        </w:rPr>
        <w:t>. It helps investors understand the typical return they can expect from a mutual fund or index over time. However, mean return does not consider risk or volatility — it only shows the central tendency of returns.</w:t>
      </w:r>
    </w:p>
    <w:p w14:paraId="70E5983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            Mean Return =</w:t>
      </w:r>
      <w:r>
        <w:rPr>
          <w:rFonts w:ascii="Gungsuh" w:eastAsia="Gungsuh" w:hAnsi="Gungsuh" w:cs="Gungsuh"/>
          <w:sz w:val="24"/>
          <w:szCs w:val="24"/>
        </w:rPr>
        <w:t xml:space="preserve"> ∑​Ri / n </w:t>
      </w:r>
    </w:p>
    <w:p w14:paraId="330CD2B1" w14:textId="3C2FB300" w:rsidR="00D25741" w:rsidRDefault="00000000">
      <w:pPr>
        <w:spacing w:before="240" w:after="240"/>
        <w:jc w:val="both"/>
        <w:rPr>
          <w:rFonts w:eastAsia="Times New Roman" w:cs="Times New Roman"/>
          <w:sz w:val="24"/>
          <w:szCs w:val="24"/>
        </w:rPr>
      </w:pPr>
      <w:r>
        <w:rPr>
          <w:rFonts w:eastAsia="Times New Roman" w:cs="Times New Roman"/>
          <w:sz w:val="24"/>
          <w:szCs w:val="24"/>
        </w:rPr>
        <w:t>​​Where:</w:t>
      </w:r>
    </w:p>
    <w:p w14:paraId="0DFB9503" w14:textId="77777777" w:rsidR="00D25741" w:rsidRDefault="00000000" w:rsidP="00B50221">
      <w:pPr>
        <w:numPr>
          <w:ilvl w:val="0"/>
          <w:numId w:val="47"/>
        </w:numPr>
        <w:spacing w:before="240"/>
        <w:rPr>
          <w:rFonts w:eastAsia="Times New Roman" w:cs="Times New Roman"/>
          <w:sz w:val="24"/>
          <w:szCs w:val="24"/>
        </w:rPr>
      </w:pPr>
      <w:r>
        <w:rPr>
          <w:rFonts w:eastAsia="Times New Roman" w:cs="Times New Roman"/>
          <w:sz w:val="24"/>
          <w:szCs w:val="24"/>
        </w:rPr>
        <w:t>Ri​ = Return in each period (daily, monthly, or yearly)</w:t>
      </w:r>
      <w:r>
        <w:rPr>
          <w:rFonts w:eastAsia="Times New Roman" w:cs="Times New Roman"/>
          <w:sz w:val="24"/>
          <w:szCs w:val="24"/>
        </w:rPr>
        <w:br/>
      </w:r>
    </w:p>
    <w:p w14:paraId="07905D39" w14:textId="77777777" w:rsidR="00D25741" w:rsidRDefault="00000000" w:rsidP="00B50221">
      <w:pPr>
        <w:numPr>
          <w:ilvl w:val="0"/>
          <w:numId w:val="47"/>
        </w:numPr>
        <w:spacing w:after="240"/>
        <w:rPr>
          <w:rFonts w:eastAsia="Times New Roman" w:cs="Times New Roman"/>
          <w:sz w:val="24"/>
          <w:szCs w:val="24"/>
        </w:rPr>
      </w:pPr>
      <w:r>
        <w:rPr>
          <w:rFonts w:eastAsia="Times New Roman" w:cs="Times New Roman"/>
          <w:sz w:val="24"/>
          <w:szCs w:val="24"/>
        </w:rPr>
        <w:t>n = Number of periods</w:t>
      </w:r>
    </w:p>
    <w:p w14:paraId="485511F9" w14:textId="77777777" w:rsidR="00D25741" w:rsidRDefault="00D25741" w:rsidP="00B50221">
      <w:pPr>
        <w:spacing w:before="240" w:after="240"/>
        <w:rPr>
          <w:rFonts w:eastAsia="Times New Roman" w:cs="Times New Roman"/>
          <w:sz w:val="24"/>
          <w:szCs w:val="24"/>
        </w:rPr>
      </w:pPr>
    </w:p>
    <w:p w14:paraId="029F5521" w14:textId="77777777" w:rsidR="00D25741" w:rsidRDefault="00000000" w:rsidP="00B50221">
      <w:pPr>
        <w:spacing w:before="240" w:after="240"/>
        <w:rPr>
          <w:rFonts w:eastAsia="Times New Roman" w:cs="Times New Roman"/>
          <w:sz w:val="24"/>
          <w:szCs w:val="24"/>
        </w:rPr>
      </w:pPr>
      <w:r>
        <w:rPr>
          <w:rFonts w:eastAsia="Times New Roman" w:cs="Times New Roman"/>
          <w:sz w:val="24"/>
          <w:szCs w:val="24"/>
        </w:rPr>
        <w:t xml:space="preserve">Beta: </w:t>
      </w:r>
    </w:p>
    <w:p w14:paraId="783C6092" w14:textId="77777777" w:rsidR="001874D9" w:rsidRDefault="00000000" w:rsidP="001874D9">
      <w:pPr>
        <w:spacing w:before="240" w:after="240"/>
        <w:rPr>
          <w:rFonts w:eastAsia="Times New Roman" w:cs="Times New Roman"/>
          <w:sz w:val="24"/>
          <w:szCs w:val="24"/>
        </w:rPr>
      </w:pPr>
      <w:r>
        <w:rPr>
          <w:rFonts w:eastAsia="Times New Roman" w:cs="Times New Roman"/>
          <w:sz w:val="24"/>
          <w:szCs w:val="24"/>
        </w:rPr>
        <w:t>Beta is a measure of systematic risk, which shows how sensitive a mutual fund’s returns are to movements in the overall market or a benchmark index.</w:t>
      </w:r>
    </w:p>
    <w:p w14:paraId="037C5136" w14:textId="1AE9039D" w:rsidR="00D25741" w:rsidRDefault="00000000" w:rsidP="001874D9">
      <w:pPr>
        <w:spacing w:before="240" w:after="240"/>
        <w:rPr>
          <w:rFonts w:eastAsia="Times New Roman" w:cs="Times New Roman"/>
          <w:sz w:val="24"/>
          <w:szCs w:val="24"/>
        </w:rPr>
      </w:pPr>
      <w:r>
        <w:rPr>
          <w:rFonts w:eastAsia="Times New Roman" w:cs="Times New Roman"/>
          <w:sz w:val="24"/>
          <w:szCs w:val="24"/>
        </w:rPr>
        <w:t>Interpretation of beta values:</w:t>
      </w:r>
    </w:p>
    <w:p w14:paraId="53443A57" w14:textId="77777777" w:rsidR="00D25741" w:rsidRDefault="00000000">
      <w:pPr>
        <w:numPr>
          <w:ilvl w:val="0"/>
          <w:numId w:val="45"/>
        </w:numPr>
        <w:spacing w:before="240"/>
        <w:rPr>
          <w:rFonts w:eastAsia="Times New Roman" w:cs="Times New Roman"/>
          <w:sz w:val="24"/>
          <w:szCs w:val="24"/>
        </w:rPr>
      </w:pPr>
      <w:r>
        <w:rPr>
          <w:rFonts w:eastAsia="Times New Roman" w:cs="Times New Roman"/>
          <w:b/>
          <w:bCs/>
          <w:sz w:val="24"/>
          <w:szCs w:val="24"/>
        </w:rPr>
        <w:t>β = 1:</w:t>
      </w:r>
      <w:r>
        <w:rPr>
          <w:rFonts w:eastAsia="Times New Roman" w:cs="Times New Roman"/>
          <w:sz w:val="24"/>
          <w:szCs w:val="24"/>
        </w:rPr>
        <w:t xml:space="preserve"> </w:t>
      </w:r>
      <w:proofErr w:type="gramStart"/>
      <w:r>
        <w:rPr>
          <w:rFonts w:eastAsia="Times New Roman" w:cs="Times New Roman"/>
          <w:sz w:val="24"/>
          <w:szCs w:val="24"/>
        </w:rPr>
        <w:t>fund moves</w:t>
      </w:r>
      <w:proofErr w:type="gramEnd"/>
      <w:r>
        <w:rPr>
          <w:rFonts w:eastAsia="Times New Roman" w:cs="Times New Roman"/>
          <w:sz w:val="24"/>
          <w:szCs w:val="24"/>
        </w:rPr>
        <w:t xml:space="preserve"> in line with the market</w:t>
      </w:r>
      <w:r>
        <w:rPr>
          <w:rFonts w:eastAsia="Times New Roman" w:cs="Times New Roman"/>
          <w:sz w:val="24"/>
          <w:szCs w:val="24"/>
        </w:rPr>
        <w:br/>
      </w:r>
    </w:p>
    <w:p w14:paraId="7B7EFE82" w14:textId="77777777" w:rsidR="00D25741" w:rsidRDefault="00000000">
      <w:pPr>
        <w:numPr>
          <w:ilvl w:val="0"/>
          <w:numId w:val="45"/>
        </w:numPr>
        <w:rPr>
          <w:rFonts w:eastAsia="Times New Roman" w:cs="Times New Roman"/>
          <w:sz w:val="24"/>
          <w:szCs w:val="24"/>
        </w:rPr>
      </w:pPr>
      <w:r>
        <w:rPr>
          <w:rFonts w:eastAsia="Times New Roman" w:cs="Times New Roman"/>
          <w:b/>
          <w:bCs/>
          <w:sz w:val="24"/>
          <w:szCs w:val="24"/>
        </w:rPr>
        <w:t>β &gt; 1:</w:t>
      </w:r>
      <w:r>
        <w:rPr>
          <w:rFonts w:eastAsia="Times New Roman" w:cs="Times New Roman"/>
          <w:sz w:val="24"/>
          <w:szCs w:val="24"/>
        </w:rPr>
        <w:t xml:space="preserve"> </w:t>
      </w:r>
      <w:proofErr w:type="gramStart"/>
      <w:r>
        <w:rPr>
          <w:rFonts w:eastAsia="Times New Roman" w:cs="Times New Roman"/>
          <w:sz w:val="24"/>
          <w:szCs w:val="24"/>
        </w:rPr>
        <w:t>fund is</w:t>
      </w:r>
      <w:proofErr w:type="gramEnd"/>
      <w:r>
        <w:rPr>
          <w:rFonts w:eastAsia="Times New Roman" w:cs="Times New Roman"/>
          <w:sz w:val="24"/>
          <w:szCs w:val="24"/>
        </w:rPr>
        <w:t xml:space="preserve"> more volatile than the market (aggressive)</w:t>
      </w:r>
      <w:r>
        <w:rPr>
          <w:rFonts w:eastAsia="Times New Roman" w:cs="Times New Roman"/>
          <w:sz w:val="24"/>
          <w:szCs w:val="24"/>
        </w:rPr>
        <w:br/>
      </w:r>
    </w:p>
    <w:p w14:paraId="51F6B870" w14:textId="77777777" w:rsidR="00D25741" w:rsidRDefault="00000000">
      <w:pPr>
        <w:numPr>
          <w:ilvl w:val="0"/>
          <w:numId w:val="45"/>
        </w:numPr>
        <w:spacing w:after="240"/>
        <w:rPr>
          <w:rFonts w:eastAsia="Times New Roman" w:cs="Times New Roman"/>
          <w:sz w:val="24"/>
          <w:szCs w:val="24"/>
        </w:rPr>
      </w:pPr>
      <w:r>
        <w:rPr>
          <w:rFonts w:eastAsia="Times New Roman" w:cs="Times New Roman"/>
          <w:b/>
          <w:bCs/>
          <w:sz w:val="24"/>
          <w:szCs w:val="24"/>
        </w:rPr>
        <w:t>β &lt; 1:</w:t>
      </w:r>
      <w:r>
        <w:rPr>
          <w:rFonts w:eastAsia="Times New Roman" w:cs="Times New Roman"/>
          <w:sz w:val="24"/>
          <w:szCs w:val="24"/>
        </w:rPr>
        <w:t xml:space="preserve"> fund is less volatile than the market (defensive)</w:t>
      </w:r>
      <w:r>
        <w:rPr>
          <w:rFonts w:eastAsia="Times New Roman" w:cs="Times New Roman"/>
          <w:sz w:val="24"/>
          <w:szCs w:val="24"/>
        </w:rPr>
        <w:br/>
      </w:r>
    </w:p>
    <w:p w14:paraId="010E7A3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Beta helps investors understand how much market risk a fund is taking. It is used in risk-adjusted performance measures like the Treynor Ratio and Jensen’s Alpha. Index funds generally have beta values close to 1, as they track the benchmark index.</w:t>
      </w:r>
    </w:p>
    <w:p w14:paraId="2373DF3C" w14:textId="77777777" w:rsidR="00D25741" w:rsidRDefault="00D25741">
      <w:pPr>
        <w:spacing w:before="240" w:after="240"/>
        <w:rPr>
          <w:rFonts w:eastAsia="Times New Roman" w:cs="Times New Roman"/>
          <w:sz w:val="24"/>
          <w:szCs w:val="24"/>
        </w:rPr>
      </w:pPr>
    </w:p>
    <w:p w14:paraId="2F47C44F" w14:textId="77777777" w:rsidR="00D25741" w:rsidRDefault="00000000">
      <w:pPr>
        <w:spacing w:before="240" w:after="240"/>
        <w:rPr>
          <w:rFonts w:eastAsia="Times New Roman" w:cs="Times New Roman"/>
          <w:sz w:val="24"/>
          <w:szCs w:val="24"/>
        </w:rPr>
      </w:pPr>
      <w:r>
        <w:rPr>
          <w:rFonts w:eastAsia="Times New Roman" w:cs="Times New Roman"/>
          <w:sz w:val="24"/>
          <w:szCs w:val="24"/>
        </w:rPr>
        <w:lastRenderedPageBreak/>
        <w:t>Systematic risk:</w:t>
      </w:r>
    </w:p>
    <w:p w14:paraId="6F42E2ED" w14:textId="77777777" w:rsidR="00D25741" w:rsidRDefault="00000000" w:rsidP="00B50221">
      <w:pPr>
        <w:spacing w:before="240" w:after="240"/>
        <w:jc w:val="both"/>
        <w:rPr>
          <w:rFonts w:eastAsia="Times New Roman" w:cs="Times New Roman"/>
          <w:sz w:val="24"/>
          <w:szCs w:val="24"/>
        </w:rPr>
      </w:pPr>
      <w:r>
        <w:rPr>
          <w:rFonts w:eastAsia="Times New Roman" w:cs="Times New Roman"/>
          <w:sz w:val="24"/>
          <w:szCs w:val="24"/>
        </w:rPr>
        <w:t>Systematic risk is the market-related risk that affects all companies and cannot be eliminated through diversification. It arises from macroeconomic factors such as inflation, interest rate changes, recession, political instability, and global events. Because it impacts the entire market, even a well-diversified mutual fund cannot avoid systematic risk.</w:t>
      </w:r>
    </w:p>
    <w:p w14:paraId="74088695" w14:textId="77777777" w:rsidR="00D25741" w:rsidRDefault="00000000">
      <w:pPr>
        <w:spacing w:before="240" w:after="240"/>
        <w:rPr>
          <w:rFonts w:eastAsia="Times New Roman" w:cs="Times New Roman"/>
          <w:sz w:val="24"/>
          <w:szCs w:val="24"/>
        </w:rPr>
      </w:pPr>
      <w:r>
        <w:rPr>
          <w:rFonts w:eastAsia="Times New Roman" w:cs="Times New Roman"/>
          <w:sz w:val="24"/>
          <w:szCs w:val="24"/>
        </w:rPr>
        <w:t>Systematic risk is measured using Beta (β) and market variance.</w:t>
      </w:r>
    </w:p>
    <w:p w14:paraId="061FFAB1" w14:textId="77777777" w:rsidR="00D25741" w:rsidRDefault="00000000">
      <w:pPr>
        <w:spacing w:before="240" w:after="240"/>
        <w:rPr>
          <w:rFonts w:eastAsia="Times New Roman" w:cs="Times New Roman"/>
          <w:sz w:val="24"/>
          <w:szCs w:val="24"/>
        </w:rPr>
      </w:pPr>
      <w:r>
        <w:rPr>
          <w:rFonts w:eastAsia="Times New Roman" w:cs="Times New Roman"/>
          <w:sz w:val="24"/>
          <w:szCs w:val="24"/>
        </w:rPr>
        <w:t xml:space="preserve">                Systematic Risk = β2 × σm2​</w:t>
      </w:r>
    </w:p>
    <w:p w14:paraId="13E115D2" w14:textId="77777777" w:rsidR="00D25741" w:rsidRDefault="00000000">
      <w:pPr>
        <w:spacing w:before="240" w:after="240"/>
        <w:rPr>
          <w:rFonts w:eastAsia="Times New Roman" w:cs="Times New Roman"/>
          <w:sz w:val="24"/>
          <w:szCs w:val="24"/>
        </w:rPr>
      </w:pPr>
      <w:r>
        <w:rPr>
          <w:rFonts w:eastAsia="Times New Roman" w:cs="Times New Roman"/>
          <w:sz w:val="24"/>
          <w:szCs w:val="24"/>
        </w:rPr>
        <w:t>Where:</w:t>
      </w:r>
    </w:p>
    <w:p w14:paraId="3D0ED1A3" w14:textId="77777777" w:rsidR="00D25741" w:rsidRDefault="00000000">
      <w:pPr>
        <w:numPr>
          <w:ilvl w:val="0"/>
          <w:numId w:val="12"/>
        </w:numPr>
        <w:spacing w:before="240"/>
        <w:rPr>
          <w:rFonts w:eastAsia="Times New Roman" w:cs="Times New Roman"/>
          <w:sz w:val="24"/>
          <w:szCs w:val="24"/>
        </w:rPr>
      </w:pPr>
      <w:r>
        <w:rPr>
          <w:rFonts w:eastAsia="Times New Roman" w:cs="Times New Roman"/>
          <w:sz w:val="24"/>
          <w:szCs w:val="24"/>
        </w:rPr>
        <w:t>β = Beta of the security or fund</w:t>
      </w:r>
      <w:r>
        <w:rPr>
          <w:rFonts w:eastAsia="Times New Roman" w:cs="Times New Roman"/>
          <w:sz w:val="24"/>
          <w:szCs w:val="24"/>
        </w:rPr>
        <w:br/>
      </w:r>
    </w:p>
    <w:p w14:paraId="7C8D2477" w14:textId="77777777" w:rsidR="00D25741" w:rsidRDefault="00000000">
      <w:pPr>
        <w:numPr>
          <w:ilvl w:val="0"/>
          <w:numId w:val="12"/>
        </w:numPr>
        <w:spacing w:after="240"/>
        <w:rPr>
          <w:rFonts w:eastAsia="Times New Roman" w:cs="Times New Roman"/>
          <w:sz w:val="24"/>
          <w:szCs w:val="24"/>
        </w:rPr>
      </w:pPr>
      <w:r>
        <w:rPr>
          <w:rFonts w:eastAsia="Times New Roman" w:cs="Times New Roman"/>
          <w:sz w:val="24"/>
          <w:szCs w:val="24"/>
        </w:rPr>
        <w:t>σm2​ = Variance of the market (benchmark index)</w:t>
      </w:r>
      <w:r>
        <w:rPr>
          <w:rFonts w:eastAsia="Times New Roman" w:cs="Times New Roman"/>
          <w:sz w:val="24"/>
          <w:szCs w:val="24"/>
        </w:rPr>
        <w:br/>
      </w:r>
    </w:p>
    <w:p w14:paraId="4DBCE9A8" w14:textId="77777777" w:rsidR="00D25741" w:rsidRDefault="00000000">
      <w:pPr>
        <w:spacing w:before="240" w:after="240"/>
        <w:rPr>
          <w:rFonts w:eastAsia="Times New Roman" w:cs="Times New Roman"/>
          <w:b/>
          <w:bCs/>
          <w:sz w:val="24"/>
          <w:szCs w:val="24"/>
        </w:rPr>
      </w:pPr>
      <w:r>
        <w:rPr>
          <w:rFonts w:eastAsia="Times New Roman" w:cs="Times New Roman"/>
          <w:b/>
          <w:bCs/>
          <w:sz w:val="24"/>
          <w:szCs w:val="24"/>
        </w:rPr>
        <w:t>Interpretation:</w:t>
      </w:r>
    </w:p>
    <w:p w14:paraId="635CB8C2" w14:textId="77777777" w:rsidR="00D25741" w:rsidRDefault="00000000">
      <w:pPr>
        <w:numPr>
          <w:ilvl w:val="0"/>
          <w:numId w:val="10"/>
        </w:numPr>
        <w:spacing w:before="240"/>
        <w:rPr>
          <w:rFonts w:eastAsia="Times New Roman" w:cs="Times New Roman"/>
          <w:sz w:val="24"/>
          <w:szCs w:val="24"/>
        </w:rPr>
      </w:pPr>
      <w:r>
        <w:rPr>
          <w:rFonts w:ascii="Cardo" w:eastAsia="Cardo" w:hAnsi="Cardo" w:cs="Cardo"/>
          <w:sz w:val="24"/>
          <w:szCs w:val="24"/>
        </w:rPr>
        <w:t>Higher beta → higher systematic risk</w:t>
      </w:r>
      <w:r>
        <w:rPr>
          <w:rFonts w:ascii="Cardo" w:eastAsia="Cardo" w:hAnsi="Cardo" w:cs="Cardo"/>
          <w:sz w:val="24"/>
          <w:szCs w:val="24"/>
        </w:rPr>
        <w:br/>
      </w:r>
    </w:p>
    <w:p w14:paraId="7728C570" w14:textId="77777777" w:rsidR="00D25741" w:rsidRDefault="00000000">
      <w:pPr>
        <w:numPr>
          <w:ilvl w:val="0"/>
          <w:numId w:val="10"/>
        </w:numPr>
        <w:rPr>
          <w:rFonts w:eastAsia="Times New Roman" w:cs="Times New Roman"/>
          <w:sz w:val="24"/>
          <w:szCs w:val="24"/>
        </w:rPr>
      </w:pPr>
      <w:r>
        <w:rPr>
          <w:rFonts w:ascii="Cardo" w:eastAsia="Cardo" w:hAnsi="Cardo" w:cs="Cardo"/>
          <w:sz w:val="24"/>
          <w:szCs w:val="24"/>
        </w:rPr>
        <w:t>Beta = 1 → same risk as market</w:t>
      </w:r>
      <w:r>
        <w:rPr>
          <w:rFonts w:ascii="Cardo" w:eastAsia="Cardo" w:hAnsi="Cardo" w:cs="Cardo"/>
          <w:sz w:val="24"/>
          <w:szCs w:val="24"/>
        </w:rPr>
        <w:br/>
      </w:r>
    </w:p>
    <w:p w14:paraId="722B4728" w14:textId="77777777" w:rsidR="00D25741" w:rsidRDefault="00000000">
      <w:pPr>
        <w:numPr>
          <w:ilvl w:val="0"/>
          <w:numId w:val="10"/>
        </w:numPr>
        <w:rPr>
          <w:rFonts w:eastAsia="Times New Roman" w:cs="Times New Roman"/>
          <w:sz w:val="24"/>
          <w:szCs w:val="24"/>
        </w:rPr>
      </w:pPr>
      <w:r>
        <w:rPr>
          <w:rFonts w:ascii="Cardo" w:eastAsia="Cardo" w:hAnsi="Cardo" w:cs="Cardo"/>
          <w:sz w:val="24"/>
          <w:szCs w:val="24"/>
        </w:rPr>
        <w:t>Beta &gt; 1 → more volatile than market</w:t>
      </w:r>
      <w:r>
        <w:rPr>
          <w:rFonts w:ascii="Cardo" w:eastAsia="Cardo" w:hAnsi="Cardo" w:cs="Cardo"/>
          <w:sz w:val="24"/>
          <w:szCs w:val="24"/>
        </w:rPr>
        <w:br/>
      </w:r>
    </w:p>
    <w:p w14:paraId="0155B1E9" w14:textId="77777777" w:rsidR="00D25741" w:rsidRDefault="00000000">
      <w:pPr>
        <w:numPr>
          <w:ilvl w:val="0"/>
          <w:numId w:val="10"/>
        </w:numPr>
        <w:spacing w:after="240"/>
        <w:rPr>
          <w:rFonts w:eastAsia="Times New Roman" w:cs="Times New Roman"/>
          <w:sz w:val="24"/>
          <w:szCs w:val="24"/>
        </w:rPr>
      </w:pPr>
      <w:r>
        <w:rPr>
          <w:rFonts w:ascii="Cardo" w:eastAsia="Cardo" w:hAnsi="Cardo" w:cs="Cardo"/>
          <w:sz w:val="24"/>
          <w:szCs w:val="24"/>
        </w:rPr>
        <w:t>Beta &lt; 1 → less volatile than market</w:t>
      </w:r>
    </w:p>
    <w:p w14:paraId="3A6467D4" w14:textId="77777777" w:rsidR="001874D9" w:rsidRDefault="001874D9">
      <w:pPr>
        <w:spacing w:before="240" w:after="240"/>
        <w:rPr>
          <w:rFonts w:eastAsia="Times New Roman" w:cs="Times New Roman"/>
          <w:sz w:val="24"/>
          <w:szCs w:val="24"/>
        </w:rPr>
      </w:pPr>
    </w:p>
    <w:p w14:paraId="4F96EC2B" w14:textId="3F51A644" w:rsidR="00D25741" w:rsidRDefault="00000000">
      <w:pPr>
        <w:spacing w:before="240" w:after="240"/>
        <w:rPr>
          <w:rFonts w:eastAsia="Times New Roman" w:cs="Times New Roman"/>
          <w:sz w:val="24"/>
          <w:szCs w:val="24"/>
        </w:rPr>
      </w:pPr>
      <w:r>
        <w:rPr>
          <w:rFonts w:eastAsia="Times New Roman" w:cs="Times New Roman"/>
          <w:sz w:val="24"/>
          <w:szCs w:val="24"/>
        </w:rPr>
        <w:t>Unsystematic risk:</w:t>
      </w:r>
    </w:p>
    <w:p w14:paraId="6BEF141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Unsystematic risk is company-specific or industry-specific risk that affects only a particular business or sector. Examples include management failure, </w:t>
      </w:r>
      <w:proofErr w:type="spellStart"/>
      <w:r>
        <w:rPr>
          <w:rFonts w:eastAsia="Times New Roman" w:cs="Times New Roman"/>
          <w:sz w:val="24"/>
          <w:szCs w:val="24"/>
        </w:rPr>
        <w:t>labour</w:t>
      </w:r>
      <w:proofErr w:type="spellEnd"/>
      <w:r>
        <w:rPr>
          <w:rFonts w:eastAsia="Times New Roman" w:cs="Times New Roman"/>
          <w:sz w:val="24"/>
          <w:szCs w:val="24"/>
        </w:rPr>
        <w:t xml:space="preserve"> strikes, product recalls, competition, or financial issues within a company. This risk can be reduced or eliminated by diversification, which is why mutual funds carry very low unsystematic risk.</w:t>
      </w:r>
    </w:p>
    <w:p w14:paraId="4DE3E125"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Unsystematic risk is calculated as the total variance minus systematic variance:</w:t>
      </w:r>
    </w:p>
    <w:p w14:paraId="3A413A42" w14:textId="77777777" w:rsidR="00D25741" w:rsidRPr="001874D9" w:rsidRDefault="00000000">
      <w:pPr>
        <w:spacing w:before="240" w:after="240"/>
        <w:rPr>
          <w:rFonts w:eastAsia="Times New Roman" w:cs="Times New Roman"/>
          <w:sz w:val="24"/>
          <w:szCs w:val="24"/>
        </w:rPr>
      </w:pPr>
      <w:r>
        <w:rPr>
          <w:rFonts w:ascii="Cardo" w:eastAsia="Cardo" w:hAnsi="Cardo" w:cs="Cardo"/>
          <w:sz w:val="24"/>
          <w:szCs w:val="24"/>
        </w:rPr>
        <w:t xml:space="preserve">                    </w:t>
      </w:r>
      <w:r w:rsidRPr="001874D9">
        <w:rPr>
          <w:rFonts w:eastAsia="Cardo" w:cs="Times New Roman"/>
          <w:sz w:val="24"/>
          <w:szCs w:val="24"/>
        </w:rPr>
        <w:t>Unsystematic Risk = σp2 ​− (β2 × σm2​)</w:t>
      </w:r>
    </w:p>
    <w:p w14:paraId="7364CC71" w14:textId="77777777" w:rsidR="00D25741" w:rsidRDefault="00000000">
      <w:pPr>
        <w:spacing w:before="240" w:after="240"/>
        <w:rPr>
          <w:rFonts w:eastAsia="Times New Roman" w:cs="Times New Roman"/>
          <w:sz w:val="24"/>
          <w:szCs w:val="24"/>
        </w:rPr>
      </w:pPr>
      <w:r>
        <w:rPr>
          <w:rFonts w:eastAsia="Times New Roman" w:cs="Times New Roman"/>
          <w:sz w:val="24"/>
          <w:szCs w:val="24"/>
        </w:rPr>
        <w:t>Where:</w:t>
      </w:r>
    </w:p>
    <w:p w14:paraId="7D03FC6A" w14:textId="77777777" w:rsidR="00D25741" w:rsidRDefault="00000000">
      <w:pPr>
        <w:numPr>
          <w:ilvl w:val="0"/>
          <w:numId w:val="6"/>
        </w:numPr>
        <w:spacing w:before="240"/>
        <w:rPr>
          <w:rFonts w:eastAsia="Times New Roman" w:cs="Times New Roman"/>
          <w:sz w:val="24"/>
          <w:szCs w:val="24"/>
        </w:rPr>
      </w:pPr>
      <w:r>
        <w:rPr>
          <w:rFonts w:eastAsia="Times New Roman" w:cs="Times New Roman"/>
          <w:sz w:val="24"/>
          <w:szCs w:val="24"/>
        </w:rPr>
        <w:t>σp2​ = Total variance of the portfolio</w:t>
      </w:r>
      <w:r>
        <w:rPr>
          <w:rFonts w:eastAsia="Times New Roman" w:cs="Times New Roman"/>
          <w:sz w:val="24"/>
          <w:szCs w:val="24"/>
        </w:rPr>
        <w:br/>
      </w:r>
    </w:p>
    <w:p w14:paraId="1CF767F8" w14:textId="77777777" w:rsidR="00D25741" w:rsidRDefault="00000000">
      <w:pPr>
        <w:numPr>
          <w:ilvl w:val="0"/>
          <w:numId w:val="6"/>
        </w:numPr>
        <w:spacing w:after="240"/>
        <w:rPr>
          <w:rFonts w:eastAsia="Times New Roman" w:cs="Times New Roman"/>
          <w:sz w:val="24"/>
          <w:szCs w:val="24"/>
        </w:rPr>
      </w:pPr>
      <w:r>
        <w:rPr>
          <w:rFonts w:eastAsia="Times New Roman" w:cs="Times New Roman"/>
          <w:sz w:val="24"/>
          <w:szCs w:val="24"/>
        </w:rPr>
        <w:t>β2σm2​ = Systematic risk component</w:t>
      </w:r>
    </w:p>
    <w:p w14:paraId="5A5C5981" w14:textId="77777777" w:rsidR="00D25741" w:rsidRDefault="00D25741">
      <w:pPr>
        <w:spacing w:before="240" w:after="240"/>
        <w:ind w:left="720"/>
        <w:rPr>
          <w:rFonts w:eastAsia="Times New Roman" w:cs="Times New Roman"/>
          <w:sz w:val="24"/>
          <w:szCs w:val="24"/>
        </w:rPr>
      </w:pPr>
    </w:p>
    <w:p w14:paraId="23E27D7C" w14:textId="77777777" w:rsidR="00D25741" w:rsidRDefault="00000000">
      <w:pPr>
        <w:spacing w:before="240" w:after="240"/>
        <w:rPr>
          <w:rFonts w:eastAsia="Times New Roman" w:cs="Times New Roman"/>
          <w:sz w:val="24"/>
          <w:szCs w:val="24"/>
        </w:rPr>
      </w:pPr>
      <w:r>
        <w:rPr>
          <w:rFonts w:eastAsia="Times New Roman" w:cs="Times New Roman"/>
          <w:sz w:val="24"/>
          <w:szCs w:val="24"/>
        </w:rPr>
        <w:lastRenderedPageBreak/>
        <w:t>Benchmark Index:</w:t>
      </w:r>
    </w:p>
    <w:p w14:paraId="42F4CCC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A benchmark index is a standard reference index used to evaluate the performance of a mutual fund. For equity funds in India, popular benchmarks include the Nifty 50, Sensex, Nifty Next 50, etc. An index fund aims to replicate the returns and composition of its benchmark. Benchmark indices represent the performance of a group of stocks and reflect overall market </w:t>
      </w:r>
      <w:proofErr w:type="spellStart"/>
      <w:r>
        <w:rPr>
          <w:rFonts w:eastAsia="Times New Roman" w:cs="Times New Roman"/>
          <w:sz w:val="24"/>
          <w:szCs w:val="24"/>
        </w:rPr>
        <w:t>behaviour</w:t>
      </w:r>
      <w:proofErr w:type="spellEnd"/>
      <w:r>
        <w:rPr>
          <w:rFonts w:eastAsia="Times New Roman" w:cs="Times New Roman"/>
          <w:sz w:val="24"/>
          <w:szCs w:val="24"/>
        </w:rPr>
        <w:t>. Comparing a fund’s returns with its benchmark helps determine whether the fund has outperformed, matched, or underperformed the market.</w:t>
      </w:r>
    </w:p>
    <w:p w14:paraId="6ACE12B4" w14:textId="77777777" w:rsidR="001874D9" w:rsidRDefault="001874D9">
      <w:pPr>
        <w:spacing w:before="240" w:after="240"/>
        <w:jc w:val="both"/>
        <w:rPr>
          <w:rFonts w:eastAsia="Times New Roman" w:cs="Times New Roman"/>
          <w:sz w:val="24"/>
          <w:szCs w:val="24"/>
        </w:rPr>
      </w:pPr>
    </w:p>
    <w:p w14:paraId="6C1C6D49" w14:textId="38F003C9" w:rsidR="00D25741" w:rsidRDefault="00000000">
      <w:pPr>
        <w:spacing w:before="240" w:after="240"/>
        <w:jc w:val="both"/>
        <w:rPr>
          <w:rFonts w:eastAsia="Times New Roman" w:cs="Times New Roman"/>
          <w:b/>
          <w:bCs/>
          <w:sz w:val="24"/>
          <w:szCs w:val="24"/>
        </w:rPr>
      </w:pPr>
      <w:r>
        <w:rPr>
          <w:rFonts w:eastAsia="Times New Roman" w:cs="Times New Roman"/>
          <w:b/>
          <w:bCs/>
          <w:sz w:val="24"/>
          <w:szCs w:val="24"/>
        </w:rPr>
        <w:t>3.2 TREND ANALYSIS:</w:t>
      </w:r>
    </w:p>
    <w:p w14:paraId="19996D07" w14:textId="42AE395A" w:rsidR="00D25741" w:rsidRDefault="00000000">
      <w:pPr>
        <w:spacing w:before="240" w:after="240"/>
        <w:jc w:val="both"/>
        <w:rPr>
          <w:rFonts w:eastAsia="Times New Roman" w:cs="Times New Roman"/>
          <w:sz w:val="24"/>
          <w:szCs w:val="24"/>
        </w:rPr>
      </w:pPr>
      <w:r>
        <w:rPr>
          <w:rFonts w:eastAsia="Times New Roman" w:cs="Times New Roman"/>
          <w:sz w:val="24"/>
          <w:szCs w:val="24"/>
        </w:rPr>
        <w:t>NAV GROWTH FOR INDEX</w:t>
      </w:r>
      <w:r>
        <w:rPr>
          <w:rFonts w:eastAsia="Times New Roman" w:cs="Times New Roman"/>
          <w:b/>
          <w:bCs/>
          <w:sz w:val="24"/>
          <w:szCs w:val="24"/>
        </w:rPr>
        <w:t xml:space="preserve"> </w:t>
      </w:r>
      <w:r>
        <w:rPr>
          <w:rFonts w:eastAsia="Times New Roman" w:cs="Times New Roman"/>
          <w:sz w:val="24"/>
          <w:szCs w:val="24"/>
        </w:rPr>
        <w:t>FUND</w:t>
      </w:r>
    </w:p>
    <w:tbl>
      <w:tblPr>
        <w:tblStyle w:val="a0"/>
        <w:tblpPr w:leftFromText="180" w:rightFromText="180" w:topFromText="180" w:bottomFromText="180" w:vertAnchor="text" w:tblpX="-4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70"/>
        <w:gridCol w:w="2280"/>
        <w:gridCol w:w="2130"/>
        <w:gridCol w:w="2280"/>
      </w:tblGrid>
      <w:tr w:rsidR="00D25741" w14:paraId="1564381C" w14:textId="77777777">
        <w:tc>
          <w:tcPr>
            <w:tcW w:w="2670" w:type="dxa"/>
          </w:tcPr>
          <w:p w14:paraId="2DF86169" w14:textId="5A840185" w:rsidR="00D25741" w:rsidRDefault="00000000">
            <w:pPr>
              <w:widowControl w:val="0"/>
              <w:rPr>
                <w:rFonts w:eastAsia="Times New Roman" w:cs="Times New Roman"/>
                <w:sz w:val="24"/>
                <w:szCs w:val="24"/>
              </w:rPr>
            </w:pPr>
            <w:r>
              <w:rPr>
                <w:rFonts w:eastAsia="Times New Roman" w:cs="Times New Roman"/>
                <w:sz w:val="24"/>
                <w:szCs w:val="24"/>
              </w:rPr>
              <w:t xml:space="preserve">FUND NAME </w:t>
            </w:r>
          </w:p>
        </w:tc>
        <w:tc>
          <w:tcPr>
            <w:tcW w:w="2280" w:type="dxa"/>
          </w:tcPr>
          <w:p w14:paraId="2CBDD801" w14:textId="4CB43879" w:rsidR="00D25741" w:rsidRDefault="00000000">
            <w:pPr>
              <w:widowControl w:val="0"/>
              <w:rPr>
                <w:rFonts w:eastAsia="Times New Roman" w:cs="Times New Roman"/>
                <w:sz w:val="24"/>
                <w:szCs w:val="24"/>
              </w:rPr>
            </w:pPr>
            <w:r>
              <w:rPr>
                <w:rFonts w:eastAsia="Times New Roman" w:cs="Times New Roman"/>
                <w:sz w:val="24"/>
                <w:szCs w:val="24"/>
              </w:rPr>
              <w:t xml:space="preserve">NAV 2022 </w:t>
            </w:r>
          </w:p>
        </w:tc>
        <w:tc>
          <w:tcPr>
            <w:tcW w:w="2130" w:type="dxa"/>
          </w:tcPr>
          <w:p w14:paraId="0A14768F" w14:textId="6FBB6F3A" w:rsidR="00D25741" w:rsidRDefault="00000000">
            <w:pPr>
              <w:widowControl w:val="0"/>
              <w:rPr>
                <w:rFonts w:eastAsia="Times New Roman" w:cs="Times New Roman"/>
                <w:sz w:val="24"/>
                <w:szCs w:val="24"/>
              </w:rPr>
            </w:pPr>
            <w:r>
              <w:rPr>
                <w:rFonts w:eastAsia="Times New Roman" w:cs="Times New Roman"/>
                <w:sz w:val="24"/>
                <w:szCs w:val="24"/>
              </w:rPr>
              <w:t>NAV 2021</w:t>
            </w:r>
          </w:p>
        </w:tc>
        <w:tc>
          <w:tcPr>
            <w:tcW w:w="2280" w:type="dxa"/>
          </w:tcPr>
          <w:p w14:paraId="4E14F768" w14:textId="77777777" w:rsidR="00D25741" w:rsidRDefault="00000000">
            <w:pPr>
              <w:widowControl w:val="0"/>
              <w:rPr>
                <w:rFonts w:eastAsia="Times New Roman" w:cs="Times New Roman"/>
                <w:sz w:val="24"/>
                <w:szCs w:val="24"/>
              </w:rPr>
            </w:pPr>
            <w:r>
              <w:rPr>
                <w:rFonts w:eastAsia="Times New Roman" w:cs="Times New Roman"/>
                <w:sz w:val="24"/>
                <w:szCs w:val="24"/>
              </w:rPr>
              <w:t>GROWTH %</w:t>
            </w:r>
          </w:p>
        </w:tc>
      </w:tr>
      <w:tr w:rsidR="00D25741" w14:paraId="795D395C" w14:textId="77777777">
        <w:tc>
          <w:tcPr>
            <w:tcW w:w="2670" w:type="dxa"/>
          </w:tcPr>
          <w:p w14:paraId="40C95028" w14:textId="77777777" w:rsidR="00D25741" w:rsidRDefault="00000000">
            <w:pPr>
              <w:widowControl w:val="0"/>
              <w:rPr>
                <w:rFonts w:eastAsia="Times New Roman" w:cs="Times New Roman"/>
                <w:sz w:val="24"/>
                <w:szCs w:val="24"/>
              </w:rPr>
            </w:pPr>
            <w:r>
              <w:rPr>
                <w:rFonts w:eastAsia="Times New Roman" w:cs="Times New Roman"/>
                <w:sz w:val="24"/>
                <w:szCs w:val="24"/>
              </w:rPr>
              <w:t>ICICI Prudential Nifty 50 index fund</w:t>
            </w:r>
          </w:p>
        </w:tc>
        <w:tc>
          <w:tcPr>
            <w:tcW w:w="2280" w:type="dxa"/>
          </w:tcPr>
          <w:p w14:paraId="0614DB09" w14:textId="77777777" w:rsidR="00D25741" w:rsidRDefault="00000000">
            <w:pPr>
              <w:widowControl w:val="0"/>
              <w:rPr>
                <w:rFonts w:eastAsia="Times New Roman" w:cs="Times New Roman"/>
                <w:sz w:val="24"/>
                <w:szCs w:val="24"/>
              </w:rPr>
            </w:pPr>
            <w:r>
              <w:rPr>
                <w:rFonts w:eastAsia="Times New Roman" w:cs="Times New Roman"/>
                <w:sz w:val="24"/>
                <w:szCs w:val="24"/>
              </w:rPr>
              <w:t>176.5365</w:t>
            </w:r>
          </w:p>
        </w:tc>
        <w:tc>
          <w:tcPr>
            <w:tcW w:w="2130" w:type="dxa"/>
          </w:tcPr>
          <w:p w14:paraId="6923AD34" w14:textId="3C205924" w:rsidR="00D25741" w:rsidRDefault="00000000">
            <w:pPr>
              <w:widowControl w:val="0"/>
              <w:rPr>
                <w:rFonts w:eastAsia="Times New Roman" w:cs="Times New Roman"/>
                <w:sz w:val="24"/>
                <w:szCs w:val="24"/>
              </w:rPr>
            </w:pPr>
            <w:r>
              <w:rPr>
                <w:rFonts w:eastAsia="Times New Roman" w:cs="Times New Roman"/>
                <w:sz w:val="24"/>
                <w:szCs w:val="24"/>
              </w:rPr>
              <w:t>160.7994</w:t>
            </w:r>
          </w:p>
        </w:tc>
        <w:tc>
          <w:tcPr>
            <w:tcW w:w="2280" w:type="dxa"/>
          </w:tcPr>
          <w:p w14:paraId="18B881EE" w14:textId="77777777" w:rsidR="00D25741" w:rsidRDefault="00000000">
            <w:pPr>
              <w:widowControl w:val="0"/>
              <w:rPr>
                <w:rFonts w:eastAsia="Times New Roman" w:cs="Times New Roman"/>
                <w:sz w:val="24"/>
                <w:szCs w:val="24"/>
              </w:rPr>
            </w:pPr>
            <w:r>
              <w:rPr>
                <w:rFonts w:eastAsia="Times New Roman" w:cs="Times New Roman"/>
                <w:sz w:val="24"/>
                <w:szCs w:val="24"/>
              </w:rPr>
              <w:t>9.7868%</w:t>
            </w:r>
          </w:p>
        </w:tc>
      </w:tr>
      <w:tr w:rsidR="00D25741" w14:paraId="41FC985C" w14:textId="77777777">
        <w:tc>
          <w:tcPr>
            <w:tcW w:w="2670" w:type="dxa"/>
          </w:tcPr>
          <w:p w14:paraId="086E7D94" w14:textId="77777777" w:rsidR="00D25741" w:rsidRDefault="00000000">
            <w:pPr>
              <w:widowControl w:val="0"/>
              <w:rPr>
                <w:rFonts w:eastAsia="Times New Roman" w:cs="Times New Roman"/>
                <w:sz w:val="24"/>
                <w:szCs w:val="24"/>
              </w:rPr>
            </w:pPr>
            <w:r>
              <w:rPr>
                <w:rFonts w:eastAsia="Times New Roman" w:cs="Times New Roman"/>
                <w:sz w:val="24"/>
                <w:szCs w:val="24"/>
              </w:rPr>
              <w:t>HDFC Index Fund</w:t>
            </w:r>
          </w:p>
        </w:tc>
        <w:tc>
          <w:tcPr>
            <w:tcW w:w="2280" w:type="dxa"/>
          </w:tcPr>
          <w:p w14:paraId="11D453AF" w14:textId="77777777" w:rsidR="00D25741" w:rsidRDefault="00000000">
            <w:pPr>
              <w:widowControl w:val="0"/>
              <w:rPr>
                <w:rFonts w:eastAsia="Times New Roman" w:cs="Times New Roman"/>
                <w:sz w:val="24"/>
                <w:szCs w:val="24"/>
              </w:rPr>
            </w:pPr>
            <w:r>
              <w:rPr>
                <w:rFonts w:eastAsia="Times New Roman" w:cs="Times New Roman"/>
                <w:sz w:val="24"/>
                <w:szCs w:val="24"/>
              </w:rPr>
              <w:t>160.501</w:t>
            </w:r>
          </w:p>
        </w:tc>
        <w:tc>
          <w:tcPr>
            <w:tcW w:w="2130" w:type="dxa"/>
          </w:tcPr>
          <w:p w14:paraId="199B2DE7" w14:textId="77777777" w:rsidR="00D25741" w:rsidRDefault="00000000">
            <w:pPr>
              <w:widowControl w:val="0"/>
              <w:rPr>
                <w:rFonts w:eastAsia="Times New Roman" w:cs="Times New Roman"/>
                <w:sz w:val="24"/>
                <w:szCs w:val="24"/>
              </w:rPr>
            </w:pPr>
            <w:r>
              <w:rPr>
                <w:rFonts w:eastAsia="Times New Roman" w:cs="Times New Roman"/>
                <w:sz w:val="24"/>
                <w:szCs w:val="24"/>
              </w:rPr>
              <w:t>146.525</w:t>
            </w:r>
          </w:p>
        </w:tc>
        <w:tc>
          <w:tcPr>
            <w:tcW w:w="2280" w:type="dxa"/>
          </w:tcPr>
          <w:p w14:paraId="713CBBC6" w14:textId="77777777" w:rsidR="00D25741" w:rsidRDefault="00000000">
            <w:pPr>
              <w:widowControl w:val="0"/>
              <w:rPr>
                <w:rFonts w:eastAsia="Times New Roman" w:cs="Times New Roman"/>
                <w:sz w:val="24"/>
                <w:szCs w:val="24"/>
              </w:rPr>
            </w:pPr>
            <w:r>
              <w:rPr>
                <w:rFonts w:eastAsia="Times New Roman" w:cs="Times New Roman"/>
                <w:sz w:val="24"/>
                <w:szCs w:val="24"/>
              </w:rPr>
              <w:t>9.5382%</w:t>
            </w:r>
          </w:p>
        </w:tc>
      </w:tr>
      <w:tr w:rsidR="00D25741" w14:paraId="1FBA8EAF" w14:textId="77777777">
        <w:tc>
          <w:tcPr>
            <w:tcW w:w="2670" w:type="dxa"/>
          </w:tcPr>
          <w:p w14:paraId="126DDDF6" w14:textId="77777777" w:rsidR="00D25741" w:rsidRDefault="00000000">
            <w:pPr>
              <w:widowControl w:val="0"/>
              <w:rPr>
                <w:rFonts w:eastAsia="Times New Roman" w:cs="Times New Roman"/>
                <w:sz w:val="24"/>
                <w:szCs w:val="24"/>
              </w:rPr>
            </w:pPr>
            <w:r>
              <w:rPr>
                <w:rFonts w:eastAsia="Times New Roman" w:cs="Times New Roman"/>
                <w:sz w:val="24"/>
                <w:szCs w:val="24"/>
              </w:rPr>
              <w:t>UTI Nifty 50 Index Fund</w:t>
            </w:r>
          </w:p>
        </w:tc>
        <w:tc>
          <w:tcPr>
            <w:tcW w:w="2280" w:type="dxa"/>
          </w:tcPr>
          <w:p w14:paraId="1BE8E65C" w14:textId="77777777" w:rsidR="00D25741" w:rsidRDefault="00000000">
            <w:pPr>
              <w:widowControl w:val="0"/>
              <w:rPr>
                <w:rFonts w:eastAsia="Times New Roman" w:cs="Times New Roman"/>
                <w:sz w:val="24"/>
                <w:szCs w:val="24"/>
              </w:rPr>
            </w:pPr>
            <w:r>
              <w:rPr>
                <w:rFonts w:eastAsia="Times New Roman" w:cs="Times New Roman"/>
                <w:sz w:val="24"/>
                <w:szCs w:val="24"/>
              </w:rPr>
              <w:t>117.25</w:t>
            </w:r>
          </w:p>
        </w:tc>
        <w:tc>
          <w:tcPr>
            <w:tcW w:w="2130" w:type="dxa"/>
          </w:tcPr>
          <w:p w14:paraId="50DA0F8B" w14:textId="77777777" w:rsidR="00D25741" w:rsidRDefault="00000000">
            <w:pPr>
              <w:widowControl w:val="0"/>
              <w:rPr>
                <w:rFonts w:eastAsia="Times New Roman" w:cs="Times New Roman"/>
                <w:sz w:val="24"/>
                <w:szCs w:val="24"/>
              </w:rPr>
            </w:pPr>
            <w:r>
              <w:rPr>
                <w:rFonts w:eastAsia="Times New Roman" w:cs="Times New Roman"/>
                <w:sz w:val="24"/>
                <w:szCs w:val="24"/>
              </w:rPr>
              <w:t>106.78</w:t>
            </w:r>
          </w:p>
        </w:tc>
        <w:tc>
          <w:tcPr>
            <w:tcW w:w="2280" w:type="dxa"/>
          </w:tcPr>
          <w:p w14:paraId="58932335" w14:textId="77777777" w:rsidR="00D25741" w:rsidRDefault="00000000">
            <w:pPr>
              <w:widowControl w:val="0"/>
              <w:rPr>
                <w:rFonts w:eastAsia="Times New Roman" w:cs="Times New Roman"/>
                <w:sz w:val="24"/>
                <w:szCs w:val="24"/>
              </w:rPr>
            </w:pPr>
            <w:r>
              <w:rPr>
                <w:rFonts w:eastAsia="Times New Roman" w:cs="Times New Roman"/>
                <w:sz w:val="24"/>
                <w:szCs w:val="24"/>
              </w:rPr>
              <w:t>9.8054%</w:t>
            </w:r>
          </w:p>
        </w:tc>
      </w:tr>
      <w:tr w:rsidR="00D25741" w14:paraId="3BFBED82" w14:textId="77777777">
        <w:tc>
          <w:tcPr>
            <w:tcW w:w="2670" w:type="dxa"/>
          </w:tcPr>
          <w:p w14:paraId="53008EAA" w14:textId="77777777" w:rsidR="00D25741" w:rsidRDefault="00000000">
            <w:pPr>
              <w:widowControl w:val="0"/>
              <w:rPr>
                <w:rFonts w:eastAsia="Times New Roman" w:cs="Times New Roman"/>
                <w:sz w:val="24"/>
                <w:szCs w:val="24"/>
              </w:rPr>
            </w:pPr>
            <w:r>
              <w:rPr>
                <w:rFonts w:eastAsia="Times New Roman" w:cs="Times New Roman"/>
                <w:sz w:val="24"/>
                <w:szCs w:val="24"/>
              </w:rPr>
              <w:t>Nippon India Index Fund</w:t>
            </w:r>
          </w:p>
        </w:tc>
        <w:tc>
          <w:tcPr>
            <w:tcW w:w="2280" w:type="dxa"/>
          </w:tcPr>
          <w:p w14:paraId="576DE759" w14:textId="77777777" w:rsidR="00D25741" w:rsidRDefault="00000000">
            <w:pPr>
              <w:widowControl w:val="0"/>
              <w:rPr>
                <w:rFonts w:eastAsia="Times New Roman" w:cs="Times New Roman"/>
                <w:sz w:val="24"/>
                <w:szCs w:val="24"/>
              </w:rPr>
            </w:pPr>
            <w:r>
              <w:rPr>
                <w:rFonts w:eastAsia="Times New Roman" w:cs="Times New Roman"/>
                <w:sz w:val="24"/>
                <w:szCs w:val="24"/>
              </w:rPr>
              <w:t>30.73906</w:t>
            </w:r>
          </w:p>
        </w:tc>
        <w:tc>
          <w:tcPr>
            <w:tcW w:w="2130" w:type="dxa"/>
          </w:tcPr>
          <w:p w14:paraId="2E512823" w14:textId="77777777" w:rsidR="00D25741" w:rsidRDefault="00000000">
            <w:pPr>
              <w:widowControl w:val="0"/>
              <w:rPr>
                <w:rFonts w:eastAsia="Times New Roman" w:cs="Times New Roman"/>
                <w:sz w:val="24"/>
                <w:szCs w:val="24"/>
              </w:rPr>
            </w:pPr>
            <w:r>
              <w:rPr>
                <w:rFonts w:eastAsia="Times New Roman" w:cs="Times New Roman"/>
                <w:sz w:val="24"/>
                <w:szCs w:val="24"/>
              </w:rPr>
              <w:t>28.00506</w:t>
            </w:r>
          </w:p>
        </w:tc>
        <w:tc>
          <w:tcPr>
            <w:tcW w:w="2280" w:type="dxa"/>
          </w:tcPr>
          <w:p w14:paraId="7A7D8248" w14:textId="77777777" w:rsidR="00D25741" w:rsidRDefault="00000000">
            <w:pPr>
              <w:widowControl w:val="0"/>
              <w:rPr>
                <w:rFonts w:eastAsia="Times New Roman" w:cs="Times New Roman"/>
                <w:sz w:val="24"/>
                <w:szCs w:val="24"/>
              </w:rPr>
            </w:pPr>
            <w:r>
              <w:rPr>
                <w:rFonts w:eastAsia="Times New Roman" w:cs="Times New Roman"/>
                <w:sz w:val="24"/>
                <w:szCs w:val="24"/>
              </w:rPr>
              <w:t>9.7625%</w:t>
            </w:r>
          </w:p>
        </w:tc>
      </w:tr>
      <w:tr w:rsidR="00D25741" w14:paraId="16D38674" w14:textId="77777777">
        <w:tc>
          <w:tcPr>
            <w:tcW w:w="2670" w:type="dxa"/>
          </w:tcPr>
          <w:p w14:paraId="4AD356B0" w14:textId="77777777" w:rsidR="00D25741" w:rsidRDefault="00000000">
            <w:pPr>
              <w:widowControl w:val="0"/>
              <w:rPr>
                <w:rFonts w:eastAsia="Times New Roman" w:cs="Times New Roman"/>
                <w:sz w:val="24"/>
                <w:szCs w:val="24"/>
              </w:rPr>
            </w:pPr>
            <w:r>
              <w:rPr>
                <w:rFonts w:eastAsia="Times New Roman" w:cs="Times New Roman"/>
                <w:sz w:val="24"/>
                <w:szCs w:val="24"/>
              </w:rPr>
              <w:t>SBI Nifty index fund</w:t>
            </w:r>
          </w:p>
        </w:tc>
        <w:tc>
          <w:tcPr>
            <w:tcW w:w="2280" w:type="dxa"/>
          </w:tcPr>
          <w:p w14:paraId="28B17C33" w14:textId="77777777" w:rsidR="00D25741" w:rsidRDefault="00000000">
            <w:pPr>
              <w:widowControl w:val="0"/>
              <w:rPr>
                <w:rFonts w:eastAsia="Times New Roman" w:cs="Times New Roman"/>
                <w:sz w:val="24"/>
                <w:szCs w:val="24"/>
              </w:rPr>
            </w:pPr>
            <w:r>
              <w:rPr>
                <w:rFonts w:eastAsia="Times New Roman" w:cs="Times New Roman"/>
                <w:sz w:val="24"/>
                <w:szCs w:val="24"/>
              </w:rPr>
              <w:t>155.995</w:t>
            </w:r>
          </w:p>
        </w:tc>
        <w:tc>
          <w:tcPr>
            <w:tcW w:w="2130" w:type="dxa"/>
          </w:tcPr>
          <w:p w14:paraId="3BF67756" w14:textId="77777777" w:rsidR="00D25741" w:rsidRDefault="00000000">
            <w:pPr>
              <w:widowControl w:val="0"/>
              <w:rPr>
                <w:rFonts w:eastAsia="Times New Roman" w:cs="Times New Roman"/>
                <w:sz w:val="24"/>
                <w:szCs w:val="24"/>
              </w:rPr>
            </w:pPr>
            <w:r>
              <w:rPr>
                <w:rFonts w:eastAsia="Times New Roman" w:cs="Times New Roman"/>
                <w:sz w:val="24"/>
                <w:szCs w:val="24"/>
              </w:rPr>
              <w:t>142.119</w:t>
            </w:r>
          </w:p>
        </w:tc>
        <w:tc>
          <w:tcPr>
            <w:tcW w:w="2280" w:type="dxa"/>
          </w:tcPr>
          <w:p w14:paraId="794CEAAA" w14:textId="77777777" w:rsidR="00D25741" w:rsidRDefault="00000000">
            <w:pPr>
              <w:widowControl w:val="0"/>
              <w:rPr>
                <w:rFonts w:eastAsia="Times New Roman" w:cs="Times New Roman"/>
                <w:sz w:val="24"/>
                <w:szCs w:val="24"/>
              </w:rPr>
            </w:pPr>
            <w:r>
              <w:rPr>
                <w:rFonts w:eastAsia="Times New Roman" w:cs="Times New Roman"/>
                <w:sz w:val="24"/>
                <w:szCs w:val="24"/>
              </w:rPr>
              <w:t>9.7639%</w:t>
            </w:r>
          </w:p>
        </w:tc>
      </w:tr>
    </w:tbl>
    <w:p w14:paraId="4BD9CC02" w14:textId="419CF91D" w:rsidR="00D25741" w:rsidRDefault="00000000">
      <w:pPr>
        <w:pStyle w:val="Heading1"/>
        <w:keepNext w:val="0"/>
        <w:keepLines w:val="0"/>
        <w:spacing w:before="480"/>
        <w:jc w:val="both"/>
        <w:rPr>
          <w:rFonts w:eastAsia="Times New Roman" w:cs="Times New Roman"/>
          <w:sz w:val="24"/>
          <w:szCs w:val="24"/>
        </w:rPr>
      </w:pPr>
      <w:bookmarkStart w:id="62" w:name="_g5cusei4a4qh" w:colFirst="0" w:colLast="0"/>
      <w:bookmarkEnd w:id="62"/>
      <w:r>
        <w:rPr>
          <w:rFonts w:eastAsia="Times New Roman" w:cs="Times New Roman"/>
          <w:sz w:val="24"/>
          <w:szCs w:val="24"/>
        </w:rPr>
        <w:t xml:space="preserve">Interpretation:  </w:t>
      </w:r>
    </w:p>
    <w:p w14:paraId="7D744795" w14:textId="7681BFF2"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NAV growth analysis for the period 2021–2022 shows that all five selected Nifty 50 Index Funds delivered very similar returns, with growth rates ranging between 9.53% and 9.81%. This close similarity is expected, as all the funds replicate the Nifty 50 Index and follow a passive investment strategy. The UTI Nifty 50 Index Fund recorded the highest growth at 9.8054%, followed closely by the ICICI Prudential and Nippon India index funds. The HDFC Index Fund displayed the lowest growth rate at 9.5382%, though the difference is marginal. These variations are mainly due to differences in expense ratios, tracking efficiency, and fund management practices. </w:t>
      </w:r>
    </w:p>
    <w:p w14:paraId="70EB1DAE" w14:textId="1CA5E8CD" w:rsidR="00D25741" w:rsidRDefault="00000000">
      <w:pPr>
        <w:spacing w:before="240" w:after="240"/>
        <w:jc w:val="both"/>
        <w:rPr>
          <w:rFonts w:eastAsia="Times New Roman" w:cs="Times New Roman"/>
          <w:sz w:val="24"/>
          <w:szCs w:val="24"/>
        </w:rPr>
      </w:pPr>
      <w:r>
        <w:rPr>
          <w:rFonts w:eastAsia="Times New Roman" w:cs="Times New Roman"/>
          <w:sz w:val="24"/>
          <w:szCs w:val="24"/>
        </w:rPr>
        <w:t>Overall, the analysis indicates that all funds moved consistently with the benchmark index, confirming the effectiveness of passive index investing. The narrow range of growth percentages demonstrates that tracking error is low across all schemes. Funds with lower expense ratios, such as UTI and Nippon India, slightly outperformed others, showing that cost efficiency directly influences long-term returns. This suggests that investors seeking market-matching performance with minimal expenses may prefer funds with lower operating costs. The results reaffirm that Nifty 50 index funds offer stable, predictable returns aligned with the broader market.</w:t>
      </w:r>
    </w:p>
    <w:p w14:paraId="7E8D6B81" w14:textId="22A5E83B" w:rsidR="00B50221" w:rsidRDefault="001874D9">
      <w:pPr>
        <w:spacing w:before="240" w:after="240"/>
        <w:jc w:val="both"/>
        <w:rPr>
          <w:rFonts w:eastAsia="Times New Roman" w:cs="Times New Roman"/>
          <w:sz w:val="24"/>
          <w:szCs w:val="24"/>
        </w:rPr>
      </w:pPr>
      <w:r>
        <w:rPr>
          <w:rFonts w:eastAsia="Times New Roman" w:cs="Times New Roman"/>
          <w:noProof/>
          <w:sz w:val="24"/>
          <w:szCs w:val="24"/>
        </w:rPr>
        <w:lastRenderedPageBreak/>
        <w:drawing>
          <wp:anchor distT="0" distB="0" distL="114300" distR="114300" simplePos="0" relativeHeight="251658240" behindDoc="0" locked="0" layoutInCell="1" allowOverlap="1" wp14:anchorId="7964F8B0" wp14:editId="2F30163E">
            <wp:simplePos x="0" y="0"/>
            <wp:positionH relativeFrom="margin">
              <wp:align>center</wp:align>
            </wp:positionH>
            <wp:positionV relativeFrom="paragraph">
              <wp:posOffset>0</wp:posOffset>
            </wp:positionV>
            <wp:extent cx="4580357" cy="2751539"/>
            <wp:effectExtent l="0" t="0" r="0" b="0"/>
            <wp:wrapSquare wrapText="bothSides"/>
            <wp:docPr id="196595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53113" name="Picture 1965953113"/>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14:sizeRelH relativeFrom="page">
              <wp14:pctWidth>0</wp14:pctWidth>
            </wp14:sizeRelH>
            <wp14:sizeRelV relativeFrom="page">
              <wp14:pctHeight>0</wp14:pctHeight>
            </wp14:sizeRelV>
          </wp:anchor>
        </w:drawing>
      </w:r>
    </w:p>
    <w:p w14:paraId="06DE947A" w14:textId="529359B4" w:rsidR="00D25741" w:rsidRDefault="00D25741">
      <w:pPr>
        <w:spacing w:before="240" w:after="240"/>
        <w:jc w:val="both"/>
        <w:rPr>
          <w:rFonts w:eastAsia="Times New Roman" w:cs="Times New Roman"/>
          <w:sz w:val="24"/>
          <w:szCs w:val="24"/>
        </w:rPr>
      </w:pPr>
    </w:p>
    <w:p w14:paraId="625C7084" w14:textId="50ABDF19" w:rsidR="00B50221" w:rsidRDefault="00B50221">
      <w:pPr>
        <w:spacing w:before="240" w:after="240"/>
        <w:jc w:val="both"/>
        <w:rPr>
          <w:rFonts w:eastAsia="Times New Roman" w:cs="Times New Roman"/>
          <w:b/>
          <w:bCs/>
          <w:sz w:val="24"/>
          <w:szCs w:val="24"/>
        </w:rPr>
      </w:pPr>
    </w:p>
    <w:p w14:paraId="5A828423" w14:textId="77777777" w:rsidR="00B50221" w:rsidRDefault="00B50221">
      <w:pPr>
        <w:spacing w:before="240" w:after="240"/>
        <w:jc w:val="both"/>
        <w:rPr>
          <w:rFonts w:eastAsia="Times New Roman" w:cs="Times New Roman"/>
          <w:b/>
          <w:bCs/>
          <w:sz w:val="24"/>
          <w:szCs w:val="24"/>
        </w:rPr>
      </w:pPr>
    </w:p>
    <w:p w14:paraId="094C2896" w14:textId="5C3FC30C" w:rsidR="00B50221" w:rsidRDefault="00B50221">
      <w:pPr>
        <w:spacing w:before="240" w:after="240"/>
        <w:jc w:val="both"/>
        <w:rPr>
          <w:rFonts w:eastAsia="Times New Roman" w:cs="Times New Roman"/>
          <w:b/>
          <w:bCs/>
          <w:sz w:val="24"/>
          <w:szCs w:val="24"/>
        </w:rPr>
      </w:pPr>
    </w:p>
    <w:p w14:paraId="10A11E3F" w14:textId="39844709" w:rsidR="00B50221" w:rsidRDefault="00B50221">
      <w:pPr>
        <w:spacing w:before="240" w:after="240"/>
        <w:jc w:val="both"/>
        <w:rPr>
          <w:rFonts w:eastAsia="Times New Roman" w:cs="Times New Roman"/>
          <w:b/>
          <w:bCs/>
          <w:sz w:val="24"/>
          <w:szCs w:val="24"/>
        </w:rPr>
      </w:pPr>
    </w:p>
    <w:p w14:paraId="22CD794D" w14:textId="77777777" w:rsidR="00B50221" w:rsidRDefault="00B50221">
      <w:pPr>
        <w:spacing w:before="240" w:after="240"/>
        <w:jc w:val="both"/>
        <w:rPr>
          <w:rFonts w:eastAsia="Times New Roman" w:cs="Times New Roman"/>
          <w:b/>
          <w:bCs/>
          <w:sz w:val="24"/>
          <w:szCs w:val="24"/>
        </w:rPr>
      </w:pPr>
    </w:p>
    <w:p w14:paraId="3244FA96" w14:textId="77777777" w:rsidR="00B50221" w:rsidRDefault="00B50221">
      <w:pPr>
        <w:spacing w:before="240" w:after="240"/>
        <w:jc w:val="both"/>
        <w:rPr>
          <w:rFonts w:eastAsia="Times New Roman" w:cs="Times New Roman"/>
          <w:b/>
          <w:bCs/>
          <w:sz w:val="24"/>
          <w:szCs w:val="24"/>
        </w:rPr>
      </w:pPr>
    </w:p>
    <w:p w14:paraId="1C10CB5F" w14:textId="77777777" w:rsidR="00B50221" w:rsidRDefault="00B50221">
      <w:pPr>
        <w:spacing w:before="240" w:after="240"/>
        <w:jc w:val="both"/>
        <w:rPr>
          <w:rFonts w:eastAsia="Times New Roman" w:cs="Times New Roman"/>
          <w:b/>
          <w:bCs/>
          <w:sz w:val="24"/>
          <w:szCs w:val="24"/>
        </w:rPr>
      </w:pPr>
    </w:p>
    <w:p w14:paraId="30A8908A" w14:textId="77777777" w:rsidR="001874D9" w:rsidRDefault="001874D9">
      <w:pPr>
        <w:spacing w:before="240" w:after="240"/>
        <w:jc w:val="both"/>
        <w:rPr>
          <w:rFonts w:eastAsia="Times New Roman" w:cs="Times New Roman"/>
          <w:b/>
          <w:bCs/>
          <w:sz w:val="24"/>
          <w:szCs w:val="24"/>
        </w:rPr>
      </w:pPr>
    </w:p>
    <w:p w14:paraId="3008A590" w14:textId="62D21626" w:rsidR="00D25741" w:rsidRDefault="00000000">
      <w:pPr>
        <w:spacing w:before="240" w:after="240"/>
        <w:jc w:val="both"/>
        <w:rPr>
          <w:rFonts w:eastAsia="Times New Roman" w:cs="Times New Roman"/>
          <w:b/>
          <w:bCs/>
          <w:sz w:val="24"/>
          <w:szCs w:val="24"/>
        </w:rPr>
      </w:pPr>
      <w:r>
        <w:rPr>
          <w:rFonts w:eastAsia="Times New Roman" w:cs="Times New Roman"/>
          <w:b/>
          <w:bCs/>
          <w:sz w:val="24"/>
          <w:szCs w:val="24"/>
        </w:rPr>
        <w:t>3.3 MEAN RETURN AND BETA</w:t>
      </w:r>
    </w:p>
    <w:tbl>
      <w:tblPr>
        <w:tblStyle w:val="a1"/>
        <w:tblW w:w="744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845"/>
        <w:gridCol w:w="3860"/>
        <w:gridCol w:w="1610"/>
        <w:gridCol w:w="1130"/>
      </w:tblGrid>
      <w:tr w:rsidR="00D25741" w14:paraId="320EDE68" w14:textId="77777777" w:rsidTr="00B50221">
        <w:trPr>
          <w:trHeight w:val="992"/>
        </w:trPr>
        <w:tc>
          <w:tcPr>
            <w:tcW w:w="845" w:type="dxa"/>
            <w:tcMar>
              <w:top w:w="100" w:type="dxa"/>
              <w:left w:w="100" w:type="dxa"/>
              <w:bottom w:w="100" w:type="dxa"/>
              <w:right w:w="100" w:type="dxa"/>
            </w:tcMar>
          </w:tcPr>
          <w:p w14:paraId="56C44E11" w14:textId="77777777" w:rsidR="00D25741" w:rsidRDefault="00000000">
            <w:pPr>
              <w:spacing w:before="240" w:after="240"/>
              <w:jc w:val="center"/>
              <w:rPr>
                <w:rFonts w:eastAsia="Times New Roman" w:cs="Times New Roman"/>
                <w:sz w:val="24"/>
                <w:szCs w:val="24"/>
              </w:rPr>
            </w:pPr>
            <w:r>
              <w:rPr>
                <w:rFonts w:eastAsia="Times New Roman" w:cs="Times New Roman"/>
                <w:sz w:val="24"/>
                <w:szCs w:val="24"/>
              </w:rPr>
              <w:t>Sl. No</w:t>
            </w:r>
          </w:p>
        </w:tc>
        <w:tc>
          <w:tcPr>
            <w:tcW w:w="3860" w:type="dxa"/>
            <w:tcMar>
              <w:top w:w="100" w:type="dxa"/>
              <w:left w:w="100" w:type="dxa"/>
              <w:bottom w:w="100" w:type="dxa"/>
              <w:right w:w="100" w:type="dxa"/>
            </w:tcMar>
          </w:tcPr>
          <w:p w14:paraId="43F3CA54" w14:textId="77777777" w:rsidR="00D25741" w:rsidRDefault="00000000">
            <w:pPr>
              <w:spacing w:before="240" w:after="240"/>
              <w:jc w:val="center"/>
              <w:rPr>
                <w:rFonts w:eastAsia="Times New Roman" w:cs="Times New Roman"/>
                <w:sz w:val="24"/>
                <w:szCs w:val="24"/>
              </w:rPr>
            </w:pPr>
            <w:r>
              <w:rPr>
                <w:rFonts w:eastAsia="Times New Roman" w:cs="Times New Roman"/>
                <w:sz w:val="24"/>
                <w:szCs w:val="24"/>
              </w:rPr>
              <w:t>Mutual Fund</w:t>
            </w:r>
          </w:p>
        </w:tc>
        <w:tc>
          <w:tcPr>
            <w:tcW w:w="1610" w:type="dxa"/>
            <w:tcMar>
              <w:top w:w="100" w:type="dxa"/>
              <w:left w:w="100" w:type="dxa"/>
              <w:bottom w:w="100" w:type="dxa"/>
              <w:right w:w="100" w:type="dxa"/>
            </w:tcMar>
          </w:tcPr>
          <w:p w14:paraId="7AA5BE6C" w14:textId="77777777" w:rsidR="00D25741" w:rsidRDefault="00000000">
            <w:pPr>
              <w:spacing w:before="240" w:after="240"/>
              <w:jc w:val="center"/>
              <w:rPr>
                <w:rFonts w:eastAsia="Times New Roman" w:cs="Times New Roman"/>
                <w:sz w:val="24"/>
                <w:szCs w:val="24"/>
              </w:rPr>
            </w:pPr>
            <w:r>
              <w:rPr>
                <w:rFonts w:eastAsia="Times New Roman" w:cs="Times New Roman"/>
                <w:sz w:val="24"/>
                <w:szCs w:val="24"/>
              </w:rPr>
              <w:t>Mean Return</w:t>
            </w:r>
          </w:p>
        </w:tc>
        <w:tc>
          <w:tcPr>
            <w:tcW w:w="1130" w:type="dxa"/>
            <w:tcMar>
              <w:top w:w="100" w:type="dxa"/>
              <w:left w:w="100" w:type="dxa"/>
              <w:bottom w:w="100" w:type="dxa"/>
              <w:right w:w="100" w:type="dxa"/>
            </w:tcMar>
          </w:tcPr>
          <w:p w14:paraId="43872122" w14:textId="77777777" w:rsidR="00D25741" w:rsidRDefault="00000000">
            <w:pPr>
              <w:spacing w:before="240" w:after="240"/>
              <w:jc w:val="center"/>
              <w:rPr>
                <w:rFonts w:eastAsia="Times New Roman" w:cs="Times New Roman"/>
                <w:sz w:val="24"/>
                <w:szCs w:val="24"/>
              </w:rPr>
            </w:pPr>
            <w:r>
              <w:rPr>
                <w:rFonts w:eastAsia="Times New Roman" w:cs="Times New Roman"/>
                <w:sz w:val="24"/>
                <w:szCs w:val="24"/>
              </w:rPr>
              <w:t>Beta</w:t>
            </w:r>
          </w:p>
        </w:tc>
      </w:tr>
      <w:tr w:rsidR="00D25741" w14:paraId="45F14037" w14:textId="77777777" w:rsidTr="00B50221">
        <w:trPr>
          <w:trHeight w:val="500"/>
        </w:trPr>
        <w:tc>
          <w:tcPr>
            <w:tcW w:w="845" w:type="dxa"/>
            <w:tcMar>
              <w:top w:w="100" w:type="dxa"/>
              <w:left w:w="100" w:type="dxa"/>
              <w:bottom w:w="100" w:type="dxa"/>
              <w:right w:w="100" w:type="dxa"/>
            </w:tcMar>
          </w:tcPr>
          <w:p w14:paraId="7F771970"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w:t>
            </w:r>
          </w:p>
        </w:tc>
        <w:tc>
          <w:tcPr>
            <w:tcW w:w="3860" w:type="dxa"/>
            <w:tcMar>
              <w:top w:w="100" w:type="dxa"/>
              <w:left w:w="100" w:type="dxa"/>
              <w:bottom w:w="100" w:type="dxa"/>
              <w:right w:w="100" w:type="dxa"/>
            </w:tcMar>
          </w:tcPr>
          <w:p w14:paraId="1717DFD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ICICI Prudential Nifty 50 Index Fund</w:t>
            </w:r>
          </w:p>
        </w:tc>
        <w:tc>
          <w:tcPr>
            <w:tcW w:w="1610" w:type="dxa"/>
            <w:tcMar>
              <w:top w:w="100" w:type="dxa"/>
              <w:left w:w="100" w:type="dxa"/>
              <w:bottom w:w="100" w:type="dxa"/>
              <w:right w:w="100" w:type="dxa"/>
            </w:tcMar>
          </w:tcPr>
          <w:p w14:paraId="09F3023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1.099861</w:t>
            </w:r>
          </w:p>
        </w:tc>
        <w:tc>
          <w:tcPr>
            <w:tcW w:w="1130" w:type="dxa"/>
            <w:tcMar>
              <w:top w:w="100" w:type="dxa"/>
              <w:left w:w="100" w:type="dxa"/>
              <w:bottom w:w="100" w:type="dxa"/>
              <w:right w:w="100" w:type="dxa"/>
            </w:tcMar>
          </w:tcPr>
          <w:p w14:paraId="4AA8B9E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1.196841</w:t>
            </w:r>
          </w:p>
        </w:tc>
      </w:tr>
      <w:tr w:rsidR="00D25741" w14:paraId="1C08B47C" w14:textId="77777777" w:rsidTr="00B50221">
        <w:trPr>
          <w:trHeight w:val="500"/>
        </w:trPr>
        <w:tc>
          <w:tcPr>
            <w:tcW w:w="845" w:type="dxa"/>
            <w:tcMar>
              <w:top w:w="100" w:type="dxa"/>
              <w:left w:w="100" w:type="dxa"/>
              <w:bottom w:w="100" w:type="dxa"/>
              <w:right w:w="100" w:type="dxa"/>
            </w:tcMar>
          </w:tcPr>
          <w:p w14:paraId="533961A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2</w:t>
            </w:r>
          </w:p>
        </w:tc>
        <w:tc>
          <w:tcPr>
            <w:tcW w:w="3860" w:type="dxa"/>
            <w:tcMar>
              <w:top w:w="100" w:type="dxa"/>
              <w:left w:w="100" w:type="dxa"/>
              <w:bottom w:w="100" w:type="dxa"/>
              <w:right w:w="100" w:type="dxa"/>
            </w:tcMar>
          </w:tcPr>
          <w:p w14:paraId="5B637405"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HDFC Index Fund – NIFTY Plan</w:t>
            </w:r>
          </w:p>
        </w:tc>
        <w:tc>
          <w:tcPr>
            <w:tcW w:w="1610" w:type="dxa"/>
            <w:tcMar>
              <w:top w:w="100" w:type="dxa"/>
              <w:left w:w="100" w:type="dxa"/>
              <w:bottom w:w="100" w:type="dxa"/>
              <w:right w:w="100" w:type="dxa"/>
            </w:tcMar>
          </w:tcPr>
          <w:p w14:paraId="1166BA70"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1.052934</w:t>
            </w:r>
          </w:p>
        </w:tc>
        <w:tc>
          <w:tcPr>
            <w:tcW w:w="1130" w:type="dxa"/>
            <w:tcMar>
              <w:top w:w="100" w:type="dxa"/>
              <w:left w:w="100" w:type="dxa"/>
              <w:bottom w:w="100" w:type="dxa"/>
              <w:right w:w="100" w:type="dxa"/>
            </w:tcMar>
          </w:tcPr>
          <w:p w14:paraId="2D0B0D44"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1.051895</w:t>
            </w:r>
          </w:p>
        </w:tc>
      </w:tr>
      <w:tr w:rsidR="00D25741" w14:paraId="1C42887F" w14:textId="77777777" w:rsidTr="00B50221">
        <w:trPr>
          <w:trHeight w:val="500"/>
        </w:trPr>
        <w:tc>
          <w:tcPr>
            <w:tcW w:w="845" w:type="dxa"/>
            <w:tcMar>
              <w:top w:w="100" w:type="dxa"/>
              <w:left w:w="100" w:type="dxa"/>
              <w:bottom w:w="100" w:type="dxa"/>
              <w:right w:w="100" w:type="dxa"/>
            </w:tcMar>
          </w:tcPr>
          <w:p w14:paraId="1500B72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3</w:t>
            </w:r>
          </w:p>
        </w:tc>
        <w:tc>
          <w:tcPr>
            <w:tcW w:w="3860" w:type="dxa"/>
            <w:tcMar>
              <w:top w:w="100" w:type="dxa"/>
              <w:left w:w="100" w:type="dxa"/>
              <w:bottom w:w="100" w:type="dxa"/>
              <w:right w:w="100" w:type="dxa"/>
            </w:tcMar>
          </w:tcPr>
          <w:p w14:paraId="577F8FF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UTI Nifty 50 Index Fund</w:t>
            </w:r>
          </w:p>
        </w:tc>
        <w:tc>
          <w:tcPr>
            <w:tcW w:w="1610" w:type="dxa"/>
            <w:tcMar>
              <w:top w:w="100" w:type="dxa"/>
              <w:left w:w="100" w:type="dxa"/>
              <w:bottom w:w="100" w:type="dxa"/>
              <w:right w:w="100" w:type="dxa"/>
            </w:tcMar>
          </w:tcPr>
          <w:p w14:paraId="53C3AC8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1.073714</w:t>
            </w:r>
          </w:p>
        </w:tc>
        <w:tc>
          <w:tcPr>
            <w:tcW w:w="1130" w:type="dxa"/>
            <w:tcMar>
              <w:top w:w="100" w:type="dxa"/>
              <w:left w:w="100" w:type="dxa"/>
              <w:bottom w:w="100" w:type="dxa"/>
              <w:right w:w="100" w:type="dxa"/>
            </w:tcMar>
          </w:tcPr>
          <w:p w14:paraId="14BFC70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1.14666</w:t>
            </w:r>
          </w:p>
        </w:tc>
      </w:tr>
      <w:tr w:rsidR="00D25741" w14:paraId="5E154D5B" w14:textId="77777777" w:rsidTr="00B50221">
        <w:trPr>
          <w:trHeight w:val="500"/>
        </w:trPr>
        <w:tc>
          <w:tcPr>
            <w:tcW w:w="845" w:type="dxa"/>
            <w:tcMar>
              <w:top w:w="100" w:type="dxa"/>
              <w:left w:w="100" w:type="dxa"/>
              <w:bottom w:w="100" w:type="dxa"/>
              <w:right w:w="100" w:type="dxa"/>
            </w:tcMar>
          </w:tcPr>
          <w:p w14:paraId="3F7B31C6"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4</w:t>
            </w:r>
          </w:p>
        </w:tc>
        <w:tc>
          <w:tcPr>
            <w:tcW w:w="3860" w:type="dxa"/>
            <w:tcMar>
              <w:top w:w="100" w:type="dxa"/>
              <w:left w:w="100" w:type="dxa"/>
              <w:bottom w:w="100" w:type="dxa"/>
              <w:right w:w="100" w:type="dxa"/>
            </w:tcMar>
          </w:tcPr>
          <w:p w14:paraId="7431574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Nippon India Index Fund</w:t>
            </w:r>
          </w:p>
        </w:tc>
        <w:tc>
          <w:tcPr>
            <w:tcW w:w="1610" w:type="dxa"/>
            <w:tcMar>
              <w:top w:w="100" w:type="dxa"/>
              <w:left w:w="100" w:type="dxa"/>
              <w:bottom w:w="100" w:type="dxa"/>
              <w:right w:w="100" w:type="dxa"/>
            </w:tcMar>
          </w:tcPr>
          <w:p w14:paraId="23ED997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1.063187</w:t>
            </w:r>
          </w:p>
        </w:tc>
        <w:tc>
          <w:tcPr>
            <w:tcW w:w="1130" w:type="dxa"/>
            <w:tcMar>
              <w:top w:w="100" w:type="dxa"/>
              <w:left w:w="100" w:type="dxa"/>
              <w:bottom w:w="100" w:type="dxa"/>
              <w:right w:w="100" w:type="dxa"/>
            </w:tcMar>
          </w:tcPr>
          <w:p w14:paraId="6D25CC2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1.15134</w:t>
            </w:r>
          </w:p>
        </w:tc>
      </w:tr>
      <w:tr w:rsidR="00D25741" w14:paraId="5623C8E3" w14:textId="77777777" w:rsidTr="00B50221">
        <w:trPr>
          <w:trHeight w:val="500"/>
        </w:trPr>
        <w:tc>
          <w:tcPr>
            <w:tcW w:w="845" w:type="dxa"/>
            <w:tcMar>
              <w:top w:w="100" w:type="dxa"/>
              <w:left w:w="100" w:type="dxa"/>
              <w:bottom w:w="100" w:type="dxa"/>
              <w:right w:w="100" w:type="dxa"/>
            </w:tcMar>
          </w:tcPr>
          <w:p w14:paraId="72457299"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5</w:t>
            </w:r>
          </w:p>
        </w:tc>
        <w:tc>
          <w:tcPr>
            <w:tcW w:w="3860" w:type="dxa"/>
            <w:tcMar>
              <w:top w:w="100" w:type="dxa"/>
              <w:left w:w="100" w:type="dxa"/>
              <w:bottom w:w="100" w:type="dxa"/>
              <w:right w:w="100" w:type="dxa"/>
            </w:tcMar>
          </w:tcPr>
          <w:p w14:paraId="6D4A4FE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SBI Nifty Index Fund</w:t>
            </w:r>
          </w:p>
        </w:tc>
        <w:tc>
          <w:tcPr>
            <w:tcW w:w="1610" w:type="dxa"/>
            <w:tcMar>
              <w:top w:w="100" w:type="dxa"/>
              <w:left w:w="100" w:type="dxa"/>
              <w:bottom w:w="100" w:type="dxa"/>
              <w:right w:w="100" w:type="dxa"/>
            </w:tcMar>
          </w:tcPr>
          <w:p w14:paraId="56E8B96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1.1078</w:t>
            </w:r>
          </w:p>
        </w:tc>
        <w:tc>
          <w:tcPr>
            <w:tcW w:w="1130" w:type="dxa"/>
            <w:tcMar>
              <w:top w:w="100" w:type="dxa"/>
              <w:left w:w="100" w:type="dxa"/>
              <w:bottom w:w="100" w:type="dxa"/>
              <w:right w:w="100" w:type="dxa"/>
            </w:tcMar>
          </w:tcPr>
          <w:p w14:paraId="391E2FFD"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1.26613</w:t>
            </w:r>
          </w:p>
        </w:tc>
      </w:tr>
    </w:tbl>
    <w:p w14:paraId="04307E5F" w14:textId="77777777" w:rsidR="001874D9" w:rsidRDefault="001874D9">
      <w:pPr>
        <w:pStyle w:val="Heading1"/>
        <w:keepNext w:val="0"/>
        <w:keepLines w:val="0"/>
        <w:spacing w:before="480"/>
        <w:jc w:val="both"/>
        <w:rPr>
          <w:rFonts w:eastAsia="Times New Roman" w:cs="Times New Roman"/>
          <w:sz w:val="24"/>
          <w:szCs w:val="24"/>
        </w:rPr>
      </w:pPr>
      <w:bookmarkStart w:id="63" w:name="_qrt18g5pebvy" w:colFirst="0" w:colLast="0"/>
      <w:bookmarkEnd w:id="63"/>
    </w:p>
    <w:p w14:paraId="35DE8D59" w14:textId="4DBDC4B7" w:rsidR="00D25741" w:rsidRDefault="00000000">
      <w:pPr>
        <w:pStyle w:val="Heading1"/>
        <w:keepNext w:val="0"/>
        <w:keepLines w:val="0"/>
        <w:spacing w:before="480"/>
        <w:jc w:val="both"/>
        <w:rPr>
          <w:rFonts w:eastAsia="Times New Roman" w:cs="Times New Roman"/>
          <w:sz w:val="24"/>
          <w:szCs w:val="24"/>
        </w:rPr>
      </w:pPr>
      <w:r>
        <w:rPr>
          <w:rFonts w:eastAsia="Times New Roman" w:cs="Times New Roman"/>
          <w:sz w:val="24"/>
          <w:szCs w:val="24"/>
        </w:rPr>
        <w:lastRenderedPageBreak/>
        <w:t>INTERPRETATION</w:t>
      </w:r>
    </w:p>
    <w:p w14:paraId="35E163D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Table presents the mean return and beta values of the five selected Nifty 50 index funds over the study period. The results show that SBI Nifty Index Fund recorded the highest mean return of 1.1078, indicating it provided the best average performance among all the funds. In contrast, HDFC Index Fund – NIFTY Plan reported the lowest mean return of 1.052934, suggesting relatively lower growth compared to its peers. The remaining funds — ICICI Prudential, UTI, and Nippon India — show mean return values between 1.06 and 1.10, indicating consistent and stable performance typical of index funds.</w:t>
      </w:r>
    </w:p>
    <w:p w14:paraId="22C077D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beta values show the degree of systematic market risk each fund carries. SBI Nifty Index Fund again shows the highest beta (1.26613), meaning it is more volatile and reacts more strongly to market movements than the benchmark Nifty 50 index. HDFC Index Fund shows the lowest beta (1.051895), indicating lower volatility and a more conservative market response. The betas for ICICI, UTI, and Nippon India range between 1.14 and 1.19, demonstrating moderate-to-high sensitivity to market fluctuations.</w:t>
      </w:r>
    </w:p>
    <w:p w14:paraId="4CC23E2F" w14:textId="2A05C6E0"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Overall, the analysis </w:t>
      </w:r>
      <w:proofErr w:type="gramStart"/>
      <w:r>
        <w:rPr>
          <w:rFonts w:eastAsia="Times New Roman" w:cs="Times New Roman"/>
          <w:sz w:val="24"/>
          <w:szCs w:val="24"/>
        </w:rPr>
        <w:t>reflects</w:t>
      </w:r>
      <w:proofErr w:type="gramEnd"/>
      <w:r>
        <w:rPr>
          <w:rFonts w:eastAsia="Times New Roman" w:cs="Times New Roman"/>
          <w:sz w:val="24"/>
          <w:szCs w:val="24"/>
        </w:rPr>
        <w:t xml:space="preserve"> that all funds move closely with the market, as expected from index funds, but differences in beta values highlight varying levels of systematic risk. Funds with higher beta may offer potentially higher returns but with greater volatility, while funds with lower beta provide more stability. SBI emerges as the best performer in terms of mean return but also the riskiest due to its high beta.</w:t>
      </w:r>
    </w:p>
    <w:p w14:paraId="52D86B10" w14:textId="50B9586D" w:rsidR="00D25741" w:rsidRDefault="00D25741">
      <w:pPr>
        <w:spacing w:before="240" w:after="240"/>
        <w:jc w:val="both"/>
        <w:rPr>
          <w:rFonts w:eastAsia="Times New Roman" w:cs="Times New Roman"/>
          <w:sz w:val="24"/>
          <w:szCs w:val="24"/>
        </w:rPr>
      </w:pPr>
    </w:p>
    <w:p w14:paraId="5390246C" w14:textId="71822F14" w:rsidR="00D25741" w:rsidRDefault="001874D9">
      <w:pPr>
        <w:spacing w:before="240" w:after="240"/>
        <w:jc w:val="both"/>
        <w:rPr>
          <w:rFonts w:eastAsia="Times New Roman" w:cs="Times New Roman"/>
          <w:b/>
          <w:bCs/>
          <w:sz w:val="24"/>
          <w:szCs w:val="24"/>
        </w:rPr>
      </w:pPr>
      <w:r>
        <w:rPr>
          <w:rFonts w:eastAsia="Times New Roman" w:cs="Times New Roman"/>
          <w:noProof/>
          <w:sz w:val="24"/>
          <w:szCs w:val="24"/>
        </w:rPr>
        <w:drawing>
          <wp:anchor distT="0" distB="0" distL="114300" distR="114300" simplePos="0" relativeHeight="251659264" behindDoc="0" locked="0" layoutInCell="1" allowOverlap="1" wp14:anchorId="155C4C02" wp14:editId="2A54F82B">
            <wp:simplePos x="0" y="0"/>
            <wp:positionH relativeFrom="margin">
              <wp:align>center</wp:align>
            </wp:positionH>
            <wp:positionV relativeFrom="paragraph">
              <wp:posOffset>12700</wp:posOffset>
            </wp:positionV>
            <wp:extent cx="4580255" cy="2790190"/>
            <wp:effectExtent l="0" t="0" r="0" b="0"/>
            <wp:wrapSquare wrapText="bothSides"/>
            <wp:docPr id="244343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43662" name="Picture 24434366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0255" cy="2790190"/>
                    </a:xfrm>
                    <a:prstGeom prst="rect">
                      <a:avLst/>
                    </a:prstGeom>
                  </pic:spPr>
                </pic:pic>
              </a:graphicData>
            </a:graphic>
            <wp14:sizeRelH relativeFrom="page">
              <wp14:pctWidth>0</wp14:pctWidth>
            </wp14:sizeRelH>
            <wp14:sizeRelV relativeFrom="page">
              <wp14:pctHeight>0</wp14:pctHeight>
            </wp14:sizeRelV>
          </wp:anchor>
        </w:drawing>
      </w:r>
    </w:p>
    <w:p w14:paraId="5BD21461" w14:textId="77777777" w:rsidR="00D25741" w:rsidRDefault="00D25741">
      <w:pPr>
        <w:spacing w:before="240" w:after="240"/>
        <w:jc w:val="both"/>
        <w:rPr>
          <w:rFonts w:eastAsia="Times New Roman" w:cs="Times New Roman"/>
          <w:b/>
          <w:bCs/>
          <w:sz w:val="24"/>
          <w:szCs w:val="24"/>
        </w:rPr>
      </w:pPr>
    </w:p>
    <w:p w14:paraId="2564C294" w14:textId="77777777" w:rsidR="00D25741" w:rsidRDefault="00D25741">
      <w:pPr>
        <w:spacing w:before="240" w:after="240"/>
        <w:jc w:val="both"/>
        <w:rPr>
          <w:rFonts w:eastAsia="Times New Roman" w:cs="Times New Roman"/>
          <w:b/>
          <w:bCs/>
          <w:sz w:val="24"/>
          <w:szCs w:val="24"/>
        </w:rPr>
      </w:pPr>
    </w:p>
    <w:p w14:paraId="25896C7A" w14:textId="77777777" w:rsidR="00D25741" w:rsidRDefault="00D25741">
      <w:pPr>
        <w:spacing w:before="240" w:after="240"/>
        <w:jc w:val="both"/>
        <w:rPr>
          <w:rFonts w:eastAsia="Times New Roman" w:cs="Times New Roman"/>
          <w:b/>
          <w:bCs/>
          <w:sz w:val="24"/>
          <w:szCs w:val="24"/>
        </w:rPr>
      </w:pPr>
    </w:p>
    <w:p w14:paraId="24134D74" w14:textId="77777777" w:rsidR="00D25741" w:rsidRDefault="00D25741">
      <w:pPr>
        <w:spacing w:before="240" w:after="240"/>
        <w:jc w:val="both"/>
        <w:rPr>
          <w:rFonts w:eastAsia="Times New Roman" w:cs="Times New Roman"/>
          <w:b/>
          <w:bCs/>
          <w:sz w:val="24"/>
          <w:szCs w:val="24"/>
        </w:rPr>
      </w:pPr>
    </w:p>
    <w:p w14:paraId="2321DD17" w14:textId="77777777" w:rsidR="003C5B79" w:rsidRDefault="003C5B79">
      <w:pPr>
        <w:spacing w:before="240" w:after="240"/>
        <w:jc w:val="both"/>
        <w:rPr>
          <w:rFonts w:eastAsia="Times New Roman" w:cs="Times New Roman"/>
          <w:b/>
          <w:bCs/>
          <w:sz w:val="24"/>
          <w:szCs w:val="24"/>
        </w:rPr>
      </w:pPr>
    </w:p>
    <w:p w14:paraId="4EA0CF0B" w14:textId="77777777" w:rsidR="003C5B79" w:rsidRDefault="003C5B79">
      <w:pPr>
        <w:spacing w:before="240" w:after="240"/>
        <w:jc w:val="both"/>
        <w:rPr>
          <w:rFonts w:eastAsia="Times New Roman" w:cs="Times New Roman"/>
          <w:b/>
          <w:bCs/>
          <w:sz w:val="24"/>
          <w:szCs w:val="24"/>
        </w:rPr>
      </w:pPr>
    </w:p>
    <w:p w14:paraId="7A69840B" w14:textId="77777777" w:rsidR="003C5B79" w:rsidRDefault="003C5B79">
      <w:pPr>
        <w:spacing w:before="240" w:after="240"/>
        <w:jc w:val="both"/>
        <w:rPr>
          <w:rFonts w:eastAsia="Times New Roman" w:cs="Times New Roman"/>
          <w:b/>
          <w:bCs/>
          <w:sz w:val="24"/>
          <w:szCs w:val="24"/>
        </w:rPr>
      </w:pPr>
    </w:p>
    <w:p w14:paraId="1A1E1673" w14:textId="77777777" w:rsidR="003C5B79" w:rsidRDefault="003C5B79">
      <w:pPr>
        <w:spacing w:before="240" w:after="240"/>
        <w:jc w:val="both"/>
        <w:rPr>
          <w:rFonts w:eastAsia="Times New Roman" w:cs="Times New Roman"/>
          <w:b/>
          <w:bCs/>
          <w:sz w:val="24"/>
          <w:szCs w:val="24"/>
        </w:rPr>
      </w:pPr>
    </w:p>
    <w:p w14:paraId="32251AE6" w14:textId="77777777" w:rsidR="003C5B79" w:rsidRDefault="003C5B79">
      <w:pPr>
        <w:spacing w:before="240" w:after="240"/>
        <w:jc w:val="both"/>
        <w:rPr>
          <w:rFonts w:eastAsia="Times New Roman" w:cs="Times New Roman"/>
          <w:b/>
          <w:bCs/>
          <w:sz w:val="24"/>
          <w:szCs w:val="24"/>
        </w:rPr>
      </w:pPr>
    </w:p>
    <w:p w14:paraId="263EFE10" w14:textId="77777777" w:rsidR="003C5B79" w:rsidRDefault="003C5B79">
      <w:pPr>
        <w:spacing w:before="240" w:after="240"/>
        <w:jc w:val="both"/>
        <w:rPr>
          <w:rFonts w:eastAsia="Times New Roman" w:cs="Times New Roman"/>
          <w:b/>
          <w:bCs/>
          <w:sz w:val="24"/>
          <w:szCs w:val="24"/>
        </w:rPr>
      </w:pPr>
    </w:p>
    <w:p w14:paraId="38D52517" w14:textId="77777777" w:rsidR="003C5B79" w:rsidRDefault="003C5B79">
      <w:pPr>
        <w:spacing w:before="240" w:after="240"/>
        <w:jc w:val="both"/>
        <w:rPr>
          <w:rFonts w:eastAsia="Times New Roman" w:cs="Times New Roman"/>
          <w:b/>
          <w:bCs/>
          <w:sz w:val="24"/>
          <w:szCs w:val="24"/>
        </w:rPr>
      </w:pPr>
    </w:p>
    <w:p w14:paraId="138F1969" w14:textId="59A56309" w:rsidR="00D25741" w:rsidRDefault="00000000">
      <w:pPr>
        <w:spacing w:before="240" w:after="240"/>
        <w:jc w:val="both"/>
        <w:rPr>
          <w:rFonts w:eastAsia="Times New Roman" w:cs="Times New Roman"/>
          <w:b/>
          <w:bCs/>
          <w:sz w:val="24"/>
          <w:szCs w:val="24"/>
        </w:rPr>
      </w:pPr>
      <w:r>
        <w:rPr>
          <w:rFonts w:eastAsia="Times New Roman" w:cs="Times New Roman"/>
          <w:b/>
          <w:bCs/>
          <w:sz w:val="24"/>
          <w:szCs w:val="24"/>
        </w:rPr>
        <w:lastRenderedPageBreak/>
        <w:t>3.4 SYSTEMATIC AND UNSYSTEMATIC RISK</w:t>
      </w:r>
    </w:p>
    <w:p w14:paraId="546F3D2F" w14:textId="18C164A9" w:rsidR="00D25741" w:rsidRDefault="00000000">
      <w:pPr>
        <w:spacing w:before="240" w:after="240"/>
        <w:jc w:val="both"/>
        <w:rPr>
          <w:rFonts w:eastAsia="Times New Roman" w:cs="Times New Roman"/>
          <w:sz w:val="24"/>
          <w:szCs w:val="24"/>
        </w:rPr>
      </w:pPr>
      <w:r>
        <w:rPr>
          <w:rFonts w:eastAsia="Times New Roman" w:cs="Times New Roman"/>
          <w:sz w:val="24"/>
          <w:szCs w:val="24"/>
        </w:rPr>
        <w:t>SYSTEMATIC RISK</w:t>
      </w:r>
    </w:p>
    <w:tbl>
      <w:tblPr>
        <w:tblStyle w:val="a2"/>
        <w:tblW w:w="805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065"/>
        <w:gridCol w:w="4200"/>
        <w:gridCol w:w="2790"/>
      </w:tblGrid>
      <w:tr w:rsidR="00D25741" w14:paraId="0FBA3C20" w14:textId="77777777" w:rsidTr="003C5B79">
        <w:trPr>
          <w:trHeight w:val="500"/>
        </w:trPr>
        <w:tc>
          <w:tcPr>
            <w:tcW w:w="1065" w:type="dxa"/>
            <w:tcMar>
              <w:top w:w="100" w:type="dxa"/>
              <w:left w:w="100" w:type="dxa"/>
              <w:bottom w:w="100" w:type="dxa"/>
              <w:right w:w="100" w:type="dxa"/>
            </w:tcMar>
          </w:tcPr>
          <w:p w14:paraId="4A8B11F6"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SL. NO.</w:t>
            </w:r>
          </w:p>
        </w:tc>
        <w:tc>
          <w:tcPr>
            <w:tcW w:w="4200" w:type="dxa"/>
            <w:tcMar>
              <w:top w:w="100" w:type="dxa"/>
              <w:left w:w="100" w:type="dxa"/>
              <w:bottom w:w="100" w:type="dxa"/>
              <w:right w:w="100" w:type="dxa"/>
            </w:tcMar>
          </w:tcPr>
          <w:p w14:paraId="543CD4B2"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FUND NAME</w:t>
            </w:r>
          </w:p>
        </w:tc>
        <w:tc>
          <w:tcPr>
            <w:tcW w:w="2790" w:type="dxa"/>
            <w:tcMar>
              <w:top w:w="100" w:type="dxa"/>
              <w:left w:w="100" w:type="dxa"/>
              <w:bottom w:w="100" w:type="dxa"/>
              <w:right w:w="100" w:type="dxa"/>
            </w:tcMar>
          </w:tcPr>
          <w:p w14:paraId="3CB891B2"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SYSTEMATIC RISK</w:t>
            </w:r>
          </w:p>
        </w:tc>
      </w:tr>
      <w:tr w:rsidR="00D25741" w14:paraId="24F20173" w14:textId="77777777" w:rsidTr="003C5B79">
        <w:trPr>
          <w:trHeight w:val="500"/>
        </w:trPr>
        <w:tc>
          <w:tcPr>
            <w:tcW w:w="1065" w:type="dxa"/>
            <w:tcMar>
              <w:top w:w="100" w:type="dxa"/>
              <w:left w:w="100" w:type="dxa"/>
              <w:bottom w:w="100" w:type="dxa"/>
              <w:right w:w="100" w:type="dxa"/>
            </w:tcMar>
          </w:tcPr>
          <w:p w14:paraId="76A13EA9"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1</w:t>
            </w:r>
          </w:p>
        </w:tc>
        <w:tc>
          <w:tcPr>
            <w:tcW w:w="4200" w:type="dxa"/>
            <w:tcMar>
              <w:top w:w="100" w:type="dxa"/>
              <w:left w:w="100" w:type="dxa"/>
              <w:bottom w:w="100" w:type="dxa"/>
              <w:right w:w="100" w:type="dxa"/>
            </w:tcMar>
          </w:tcPr>
          <w:p w14:paraId="22EDCB96"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ICICI Prudential Nifty 50 Index Fund</w:t>
            </w:r>
          </w:p>
        </w:tc>
        <w:tc>
          <w:tcPr>
            <w:tcW w:w="2790" w:type="dxa"/>
            <w:tcMar>
              <w:top w:w="100" w:type="dxa"/>
              <w:left w:w="100" w:type="dxa"/>
              <w:bottom w:w="100" w:type="dxa"/>
              <w:right w:w="100" w:type="dxa"/>
            </w:tcMar>
          </w:tcPr>
          <w:p w14:paraId="17A80C71"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0.903875</w:t>
            </w:r>
          </w:p>
        </w:tc>
      </w:tr>
      <w:tr w:rsidR="00D25741" w14:paraId="662E3B4D" w14:textId="77777777" w:rsidTr="003C5B79">
        <w:trPr>
          <w:trHeight w:val="500"/>
        </w:trPr>
        <w:tc>
          <w:tcPr>
            <w:tcW w:w="1065" w:type="dxa"/>
            <w:tcMar>
              <w:top w:w="100" w:type="dxa"/>
              <w:left w:w="100" w:type="dxa"/>
              <w:bottom w:w="100" w:type="dxa"/>
              <w:right w:w="100" w:type="dxa"/>
            </w:tcMar>
          </w:tcPr>
          <w:p w14:paraId="732E6DAB"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2</w:t>
            </w:r>
          </w:p>
        </w:tc>
        <w:tc>
          <w:tcPr>
            <w:tcW w:w="4200" w:type="dxa"/>
            <w:tcMar>
              <w:top w:w="100" w:type="dxa"/>
              <w:left w:w="100" w:type="dxa"/>
              <w:bottom w:w="100" w:type="dxa"/>
              <w:right w:w="100" w:type="dxa"/>
            </w:tcMar>
          </w:tcPr>
          <w:p w14:paraId="5732319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HDFC Index Fund – NIFTY Plan</w:t>
            </w:r>
          </w:p>
        </w:tc>
        <w:tc>
          <w:tcPr>
            <w:tcW w:w="2790" w:type="dxa"/>
            <w:tcMar>
              <w:top w:w="100" w:type="dxa"/>
              <w:left w:w="100" w:type="dxa"/>
              <w:bottom w:w="100" w:type="dxa"/>
              <w:right w:w="100" w:type="dxa"/>
            </w:tcMar>
          </w:tcPr>
          <w:p w14:paraId="3BA5E425"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0.982247</w:t>
            </w:r>
          </w:p>
        </w:tc>
      </w:tr>
      <w:tr w:rsidR="00D25741" w14:paraId="6513C184" w14:textId="77777777" w:rsidTr="003C5B79">
        <w:trPr>
          <w:trHeight w:val="500"/>
        </w:trPr>
        <w:tc>
          <w:tcPr>
            <w:tcW w:w="1065" w:type="dxa"/>
            <w:tcMar>
              <w:top w:w="100" w:type="dxa"/>
              <w:left w:w="100" w:type="dxa"/>
              <w:bottom w:w="100" w:type="dxa"/>
              <w:right w:w="100" w:type="dxa"/>
            </w:tcMar>
          </w:tcPr>
          <w:p w14:paraId="16A5ED57"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3</w:t>
            </w:r>
          </w:p>
        </w:tc>
        <w:tc>
          <w:tcPr>
            <w:tcW w:w="4200" w:type="dxa"/>
            <w:tcMar>
              <w:top w:w="100" w:type="dxa"/>
              <w:left w:w="100" w:type="dxa"/>
              <w:bottom w:w="100" w:type="dxa"/>
              <w:right w:w="100" w:type="dxa"/>
            </w:tcMar>
          </w:tcPr>
          <w:p w14:paraId="768ED97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UTI Nifty 50 Index Fund</w:t>
            </w:r>
          </w:p>
        </w:tc>
        <w:tc>
          <w:tcPr>
            <w:tcW w:w="2790" w:type="dxa"/>
            <w:tcMar>
              <w:top w:w="100" w:type="dxa"/>
              <w:left w:w="100" w:type="dxa"/>
              <w:bottom w:w="100" w:type="dxa"/>
              <w:right w:w="100" w:type="dxa"/>
            </w:tcMar>
          </w:tcPr>
          <w:p w14:paraId="61390F7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0.70665</w:t>
            </w:r>
          </w:p>
        </w:tc>
      </w:tr>
      <w:tr w:rsidR="00D25741" w14:paraId="6BE69E9D" w14:textId="77777777" w:rsidTr="003C5B79">
        <w:trPr>
          <w:trHeight w:val="500"/>
        </w:trPr>
        <w:tc>
          <w:tcPr>
            <w:tcW w:w="1065" w:type="dxa"/>
            <w:tcMar>
              <w:top w:w="100" w:type="dxa"/>
              <w:left w:w="100" w:type="dxa"/>
              <w:bottom w:w="100" w:type="dxa"/>
              <w:right w:w="100" w:type="dxa"/>
            </w:tcMar>
          </w:tcPr>
          <w:p w14:paraId="41F3CB01"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4</w:t>
            </w:r>
          </w:p>
        </w:tc>
        <w:tc>
          <w:tcPr>
            <w:tcW w:w="4200" w:type="dxa"/>
            <w:tcMar>
              <w:top w:w="100" w:type="dxa"/>
              <w:left w:w="100" w:type="dxa"/>
              <w:bottom w:w="100" w:type="dxa"/>
              <w:right w:w="100" w:type="dxa"/>
            </w:tcMar>
          </w:tcPr>
          <w:p w14:paraId="40BFCE5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Nippon India Index Fund</w:t>
            </w:r>
          </w:p>
        </w:tc>
        <w:tc>
          <w:tcPr>
            <w:tcW w:w="2790" w:type="dxa"/>
            <w:tcMar>
              <w:top w:w="100" w:type="dxa"/>
              <w:left w:w="100" w:type="dxa"/>
              <w:bottom w:w="100" w:type="dxa"/>
              <w:right w:w="100" w:type="dxa"/>
            </w:tcMar>
          </w:tcPr>
          <w:p w14:paraId="195BA571"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2.953246</w:t>
            </w:r>
          </w:p>
        </w:tc>
      </w:tr>
      <w:tr w:rsidR="00D25741" w14:paraId="0AD7674F" w14:textId="77777777" w:rsidTr="003C5B79">
        <w:trPr>
          <w:trHeight w:val="500"/>
        </w:trPr>
        <w:tc>
          <w:tcPr>
            <w:tcW w:w="1065" w:type="dxa"/>
            <w:tcMar>
              <w:top w:w="100" w:type="dxa"/>
              <w:left w:w="100" w:type="dxa"/>
              <w:bottom w:w="100" w:type="dxa"/>
              <w:right w:w="100" w:type="dxa"/>
            </w:tcMar>
          </w:tcPr>
          <w:p w14:paraId="095FE094"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5</w:t>
            </w:r>
          </w:p>
        </w:tc>
        <w:tc>
          <w:tcPr>
            <w:tcW w:w="4200" w:type="dxa"/>
            <w:tcMar>
              <w:top w:w="100" w:type="dxa"/>
              <w:left w:w="100" w:type="dxa"/>
              <w:bottom w:w="100" w:type="dxa"/>
              <w:right w:w="100" w:type="dxa"/>
            </w:tcMar>
          </w:tcPr>
          <w:p w14:paraId="3E3744D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SBI Nifty Index Fund</w:t>
            </w:r>
          </w:p>
        </w:tc>
        <w:tc>
          <w:tcPr>
            <w:tcW w:w="2790" w:type="dxa"/>
            <w:tcMar>
              <w:top w:w="100" w:type="dxa"/>
              <w:left w:w="100" w:type="dxa"/>
              <w:bottom w:w="100" w:type="dxa"/>
              <w:right w:w="100" w:type="dxa"/>
            </w:tcMar>
          </w:tcPr>
          <w:p w14:paraId="6958B2F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0.730851</w:t>
            </w:r>
          </w:p>
        </w:tc>
      </w:tr>
    </w:tbl>
    <w:p w14:paraId="04A2FB8C" w14:textId="77777777" w:rsidR="00D25741" w:rsidRDefault="00000000">
      <w:pPr>
        <w:pStyle w:val="Heading1"/>
        <w:keepNext w:val="0"/>
        <w:keepLines w:val="0"/>
        <w:spacing w:before="480"/>
        <w:jc w:val="both"/>
        <w:rPr>
          <w:rFonts w:eastAsia="Times New Roman" w:cs="Times New Roman"/>
          <w:sz w:val="24"/>
          <w:szCs w:val="24"/>
        </w:rPr>
      </w:pPr>
      <w:bookmarkStart w:id="64" w:name="_4kxhp7hv7312" w:colFirst="0" w:colLast="0"/>
      <w:bookmarkEnd w:id="64"/>
      <w:r>
        <w:rPr>
          <w:rFonts w:eastAsia="Times New Roman" w:cs="Times New Roman"/>
          <w:sz w:val="24"/>
          <w:szCs w:val="24"/>
        </w:rPr>
        <w:t xml:space="preserve">INTERPRETATION </w:t>
      </w:r>
    </w:p>
    <w:p w14:paraId="7B98E606"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Above Table presents the systematic risk values of the selected open-ended mutual funds based on their beta coefficients and market variance. The results indicate that the Nippon India Index Fund shows the highest systematic risk, with a value of 2.953246. This suggests that the fund is highly sensitive to market movements and is exposed to a greater level of unavoidable market risk compared to the other funds.</w:t>
      </w:r>
    </w:p>
    <w:p w14:paraId="71FEE375" w14:textId="77777777" w:rsidR="007D5D04" w:rsidRDefault="00000000">
      <w:pPr>
        <w:spacing w:before="240" w:after="240"/>
        <w:jc w:val="both"/>
        <w:rPr>
          <w:rFonts w:eastAsia="Times New Roman" w:cs="Times New Roman"/>
          <w:sz w:val="24"/>
          <w:szCs w:val="24"/>
        </w:rPr>
      </w:pPr>
      <w:r>
        <w:rPr>
          <w:rFonts w:eastAsia="Times New Roman" w:cs="Times New Roman"/>
          <w:sz w:val="24"/>
          <w:szCs w:val="24"/>
        </w:rPr>
        <w:t>The HDFC Index Fund – NIFTY Plan also exhibits comparatively higher systematic risk with a value of 0.982247, followed closely by the ICICI Prudential Nifty 50 Index Fund, which has a systematic risk of 0.903875. These values imply that both funds move strongly in line with broader market fluctuations. On the other hand, the UTI Nifty 50 Index Fund shows the lowest systematic risk, at 0.70665, indicating lower exposure to market-wide volatility. Similarly, the SBI Nifty Index Fund, with a systematic risk of 0.730851, displays moderate sensitivity to market movements.</w:t>
      </w:r>
      <w:r w:rsidR="007D5D04">
        <w:rPr>
          <w:rFonts w:eastAsia="Times New Roman" w:cs="Times New Roman"/>
          <w:sz w:val="24"/>
          <w:szCs w:val="24"/>
        </w:rPr>
        <w:t xml:space="preserve"> </w:t>
      </w:r>
    </w:p>
    <w:p w14:paraId="0554CEDE" w14:textId="44A11066"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Overall, the table highlights that there is a noticeable variation in the level of systematic risk across the index funds. Nippon India carries the highest market-driven risk, while UTI carries the lowest. This implies that investors seeking lower exposure to market volatility may prefer UTI or SBI, </w:t>
      </w:r>
      <w:r>
        <w:rPr>
          <w:rFonts w:eastAsia="Times New Roman" w:cs="Times New Roman"/>
          <w:sz w:val="24"/>
          <w:szCs w:val="24"/>
        </w:rPr>
        <w:lastRenderedPageBreak/>
        <w:t>while those comfortable with higher volatility and potential higher returns may opt for Nippon India.</w:t>
      </w:r>
    </w:p>
    <w:p w14:paraId="64AE27E0" w14:textId="2249E528" w:rsidR="003C5B79" w:rsidRDefault="003C5B79">
      <w:pPr>
        <w:spacing w:before="240" w:after="240"/>
        <w:jc w:val="both"/>
        <w:rPr>
          <w:rFonts w:eastAsia="Times New Roman" w:cs="Times New Roman"/>
          <w:sz w:val="24"/>
          <w:szCs w:val="24"/>
        </w:rPr>
      </w:pPr>
      <w:r>
        <w:rPr>
          <w:rFonts w:eastAsia="Times New Roman" w:cs="Times New Roman"/>
          <w:noProof/>
          <w:sz w:val="24"/>
          <w:szCs w:val="24"/>
        </w:rPr>
        <w:drawing>
          <wp:anchor distT="0" distB="0" distL="114300" distR="114300" simplePos="0" relativeHeight="251660288" behindDoc="0" locked="0" layoutInCell="1" allowOverlap="1" wp14:anchorId="7E5FE4E8" wp14:editId="40562D66">
            <wp:simplePos x="0" y="0"/>
            <wp:positionH relativeFrom="margin">
              <wp:align>center</wp:align>
            </wp:positionH>
            <wp:positionV relativeFrom="paragraph">
              <wp:posOffset>299720</wp:posOffset>
            </wp:positionV>
            <wp:extent cx="4580357" cy="2751539"/>
            <wp:effectExtent l="0" t="0" r="0" b="0"/>
            <wp:wrapSquare wrapText="bothSides"/>
            <wp:docPr id="115938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8892" name="Picture 1159388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anchor>
        </w:drawing>
      </w:r>
    </w:p>
    <w:p w14:paraId="1CAB307C" w14:textId="5590779F" w:rsidR="003C5B79" w:rsidRDefault="003C5B79">
      <w:pPr>
        <w:spacing w:before="240" w:after="240"/>
        <w:jc w:val="both"/>
        <w:rPr>
          <w:rFonts w:eastAsia="Times New Roman" w:cs="Times New Roman"/>
          <w:sz w:val="24"/>
          <w:szCs w:val="24"/>
        </w:rPr>
      </w:pPr>
    </w:p>
    <w:p w14:paraId="500C5295" w14:textId="77777777" w:rsidR="003C5B79" w:rsidRDefault="003C5B79">
      <w:pPr>
        <w:spacing w:before="240" w:after="240"/>
        <w:jc w:val="both"/>
        <w:rPr>
          <w:rFonts w:eastAsia="Times New Roman" w:cs="Times New Roman"/>
          <w:sz w:val="24"/>
          <w:szCs w:val="24"/>
        </w:rPr>
      </w:pPr>
    </w:p>
    <w:p w14:paraId="5119E88A" w14:textId="77777777" w:rsidR="003C5B79" w:rsidRDefault="003C5B79">
      <w:pPr>
        <w:spacing w:before="240" w:after="240"/>
        <w:jc w:val="both"/>
        <w:rPr>
          <w:rFonts w:eastAsia="Times New Roman" w:cs="Times New Roman"/>
          <w:sz w:val="24"/>
          <w:szCs w:val="24"/>
        </w:rPr>
      </w:pPr>
    </w:p>
    <w:p w14:paraId="570649BF" w14:textId="77777777" w:rsidR="003C5B79" w:rsidRDefault="003C5B79">
      <w:pPr>
        <w:spacing w:before="240" w:after="240"/>
        <w:jc w:val="both"/>
        <w:rPr>
          <w:rFonts w:eastAsia="Times New Roman" w:cs="Times New Roman"/>
          <w:sz w:val="24"/>
          <w:szCs w:val="24"/>
        </w:rPr>
      </w:pPr>
    </w:p>
    <w:p w14:paraId="1304654F" w14:textId="77777777" w:rsidR="003C5B79" w:rsidRDefault="003C5B79">
      <w:pPr>
        <w:spacing w:before="240" w:after="240"/>
        <w:jc w:val="both"/>
        <w:rPr>
          <w:rFonts w:eastAsia="Times New Roman" w:cs="Times New Roman"/>
          <w:sz w:val="24"/>
          <w:szCs w:val="24"/>
        </w:rPr>
      </w:pPr>
    </w:p>
    <w:p w14:paraId="22AE5A4B" w14:textId="77777777" w:rsidR="003C5B79" w:rsidRDefault="003C5B79">
      <w:pPr>
        <w:spacing w:before="240" w:after="240"/>
        <w:jc w:val="both"/>
        <w:rPr>
          <w:rFonts w:eastAsia="Times New Roman" w:cs="Times New Roman"/>
          <w:sz w:val="24"/>
          <w:szCs w:val="24"/>
        </w:rPr>
      </w:pPr>
    </w:p>
    <w:p w14:paraId="1C948511" w14:textId="77777777" w:rsidR="003C5B79" w:rsidRDefault="003C5B79">
      <w:pPr>
        <w:spacing w:before="240" w:after="240"/>
        <w:jc w:val="both"/>
        <w:rPr>
          <w:rFonts w:eastAsia="Times New Roman" w:cs="Times New Roman"/>
          <w:sz w:val="24"/>
          <w:szCs w:val="24"/>
        </w:rPr>
      </w:pPr>
    </w:p>
    <w:p w14:paraId="08130319" w14:textId="77777777" w:rsidR="003C5B79" w:rsidRDefault="003C5B79">
      <w:pPr>
        <w:spacing w:before="240" w:after="240"/>
        <w:jc w:val="both"/>
        <w:rPr>
          <w:rFonts w:eastAsia="Times New Roman" w:cs="Times New Roman"/>
          <w:sz w:val="24"/>
          <w:szCs w:val="24"/>
        </w:rPr>
      </w:pPr>
    </w:p>
    <w:p w14:paraId="7E76C141" w14:textId="77777777" w:rsidR="003C5B79" w:rsidRDefault="003C5B79">
      <w:pPr>
        <w:spacing w:before="240" w:after="240"/>
        <w:jc w:val="both"/>
        <w:rPr>
          <w:rFonts w:eastAsia="Times New Roman" w:cs="Times New Roman"/>
          <w:sz w:val="24"/>
          <w:szCs w:val="24"/>
        </w:rPr>
      </w:pPr>
    </w:p>
    <w:p w14:paraId="77CF9663" w14:textId="77777777" w:rsidR="007D5D04" w:rsidRDefault="007D5D04">
      <w:pPr>
        <w:spacing w:before="240" w:after="240"/>
        <w:jc w:val="both"/>
        <w:rPr>
          <w:rFonts w:eastAsia="Times New Roman" w:cs="Times New Roman"/>
          <w:sz w:val="24"/>
          <w:szCs w:val="24"/>
        </w:rPr>
      </w:pPr>
    </w:p>
    <w:p w14:paraId="4C5D067E" w14:textId="05DC8464" w:rsidR="00D25741" w:rsidRDefault="00000000">
      <w:pPr>
        <w:spacing w:before="240" w:after="240"/>
        <w:jc w:val="both"/>
        <w:rPr>
          <w:rFonts w:eastAsia="Times New Roman" w:cs="Times New Roman"/>
          <w:sz w:val="24"/>
          <w:szCs w:val="24"/>
        </w:rPr>
      </w:pPr>
      <w:r>
        <w:rPr>
          <w:rFonts w:eastAsia="Times New Roman" w:cs="Times New Roman"/>
          <w:sz w:val="24"/>
          <w:szCs w:val="24"/>
        </w:rPr>
        <w:t>UNSYSTEMATIC RISK</w:t>
      </w:r>
    </w:p>
    <w:tbl>
      <w:tblPr>
        <w:tblStyle w:val="a3"/>
        <w:tblW w:w="77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070"/>
        <w:gridCol w:w="3860"/>
        <w:gridCol w:w="2795"/>
      </w:tblGrid>
      <w:tr w:rsidR="00D25741" w14:paraId="0116285F" w14:textId="77777777" w:rsidTr="003C5B79">
        <w:trPr>
          <w:trHeight w:val="500"/>
        </w:trPr>
        <w:tc>
          <w:tcPr>
            <w:tcW w:w="1070" w:type="dxa"/>
            <w:tcMar>
              <w:top w:w="100" w:type="dxa"/>
              <w:left w:w="100" w:type="dxa"/>
              <w:bottom w:w="100" w:type="dxa"/>
              <w:right w:w="100" w:type="dxa"/>
            </w:tcMar>
          </w:tcPr>
          <w:p w14:paraId="27CEF72D"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SL. NO.</w:t>
            </w:r>
          </w:p>
        </w:tc>
        <w:tc>
          <w:tcPr>
            <w:tcW w:w="3860" w:type="dxa"/>
            <w:tcMar>
              <w:top w:w="100" w:type="dxa"/>
              <w:left w:w="100" w:type="dxa"/>
              <w:bottom w:w="100" w:type="dxa"/>
              <w:right w:w="100" w:type="dxa"/>
            </w:tcMar>
          </w:tcPr>
          <w:p w14:paraId="49ED464C"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FUND NAME</w:t>
            </w:r>
          </w:p>
        </w:tc>
        <w:tc>
          <w:tcPr>
            <w:tcW w:w="2795" w:type="dxa"/>
            <w:tcMar>
              <w:top w:w="100" w:type="dxa"/>
              <w:left w:w="100" w:type="dxa"/>
              <w:bottom w:w="100" w:type="dxa"/>
              <w:right w:w="100" w:type="dxa"/>
            </w:tcMar>
          </w:tcPr>
          <w:p w14:paraId="2EAEC05B"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UNSYSTEMATIC RISK</w:t>
            </w:r>
          </w:p>
        </w:tc>
      </w:tr>
      <w:tr w:rsidR="00D25741" w14:paraId="7F4DD994" w14:textId="77777777" w:rsidTr="003C5B79">
        <w:trPr>
          <w:trHeight w:val="500"/>
        </w:trPr>
        <w:tc>
          <w:tcPr>
            <w:tcW w:w="1070" w:type="dxa"/>
            <w:tcMar>
              <w:top w:w="100" w:type="dxa"/>
              <w:left w:w="100" w:type="dxa"/>
              <w:bottom w:w="100" w:type="dxa"/>
              <w:right w:w="100" w:type="dxa"/>
            </w:tcMar>
          </w:tcPr>
          <w:p w14:paraId="4A1778A9"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1</w:t>
            </w:r>
          </w:p>
        </w:tc>
        <w:tc>
          <w:tcPr>
            <w:tcW w:w="3860" w:type="dxa"/>
            <w:tcMar>
              <w:top w:w="100" w:type="dxa"/>
              <w:left w:w="100" w:type="dxa"/>
              <w:bottom w:w="100" w:type="dxa"/>
              <w:right w:w="100" w:type="dxa"/>
            </w:tcMar>
          </w:tcPr>
          <w:p w14:paraId="017CD56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ICICI Prudential Nifty 50 Index Fund</w:t>
            </w:r>
          </w:p>
        </w:tc>
        <w:tc>
          <w:tcPr>
            <w:tcW w:w="2795" w:type="dxa"/>
            <w:tcMar>
              <w:top w:w="100" w:type="dxa"/>
              <w:left w:w="100" w:type="dxa"/>
              <w:bottom w:w="100" w:type="dxa"/>
              <w:right w:w="100" w:type="dxa"/>
            </w:tcMar>
          </w:tcPr>
          <w:p w14:paraId="2D145000"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2.614809</w:t>
            </w:r>
          </w:p>
        </w:tc>
      </w:tr>
      <w:tr w:rsidR="00D25741" w14:paraId="77BADF1D" w14:textId="77777777" w:rsidTr="003C5B79">
        <w:trPr>
          <w:trHeight w:val="500"/>
        </w:trPr>
        <w:tc>
          <w:tcPr>
            <w:tcW w:w="1070" w:type="dxa"/>
            <w:tcMar>
              <w:top w:w="100" w:type="dxa"/>
              <w:left w:w="100" w:type="dxa"/>
              <w:bottom w:w="100" w:type="dxa"/>
              <w:right w:w="100" w:type="dxa"/>
            </w:tcMar>
          </w:tcPr>
          <w:p w14:paraId="68A0F657"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2</w:t>
            </w:r>
          </w:p>
        </w:tc>
        <w:tc>
          <w:tcPr>
            <w:tcW w:w="3860" w:type="dxa"/>
            <w:tcMar>
              <w:top w:w="100" w:type="dxa"/>
              <w:left w:w="100" w:type="dxa"/>
              <w:bottom w:w="100" w:type="dxa"/>
              <w:right w:w="100" w:type="dxa"/>
            </w:tcMar>
          </w:tcPr>
          <w:p w14:paraId="02175BA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HDFC Index Fund – NIFTY Plan</w:t>
            </w:r>
          </w:p>
        </w:tc>
        <w:tc>
          <w:tcPr>
            <w:tcW w:w="2795" w:type="dxa"/>
            <w:tcMar>
              <w:top w:w="100" w:type="dxa"/>
              <w:left w:w="100" w:type="dxa"/>
              <w:bottom w:w="100" w:type="dxa"/>
              <w:right w:w="100" w:type="dxa"/>
            </w:tcMar>
          </w:tcPr>
          <w:p w14:paraId="552496D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2.394401</w:t>
            </w:r>
          </w:p>
        </w:tc>
      </w:tr>
      <w:tr w:rsidR="00D25741" w14:paraId="46A85A94" w14:textId="77777777" w:rsidTr="003C5B79">
        <w:trPr>
          <w:trHeight w:val="500"/>
        </w:trPr>
        <w:tc>
          <w:tcPr>
            <w:tcW w:w="1070" w:type="dxa"/>
            <w:tcMar>
              <w:top w:w="100" w:type="dxa"/>
              <w:left w:w="100" w:type="dxa"/>
              <w:bottom w:w="100" w:type="dxa"/>
              <w:right w:w="100" w:type="dxa"/>
            </w:tcMar>
          </w:tcPr>
          <w:p w14:paraId="570E50CC"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3</w:t>
            </w:r>
          </w:p>
        </w:tc>
        <w:tc>
          <w:tcPr>
            <w:tcW w:w="3860" w:type="dxa"/>
            <w:tcMar>
              <w:top w:w="100" w:type="dxa"/>
              <w:left w:w="100" w:type="dxa"/>
              <w:bottom w:w="100" w:type="dxa"/>
              <w:right w:w="100" w:type="dxa"/>
            </w:tcMar>
          </w:tcPr>
          <w:p w14:paraId="5B3E864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UTI Nifty 50 Index Fund</w:t>
            </w:r>
          </w:p>
        </w:tc>
        <w:tc>
          <w:tcPr>
            <w:tcW w:w="2795" w:type="dxa"/>
            <w:tcMar>
              <w:top w:w="100" w:type="dxa"/>
              <w:left w:w="100" w:type="dxa"/>
              <w:bottom w:w="100" w:type="dxa"/>
              <w:right w:w="100" w:type="dxa"/>
            </w:tcMar>
          </w:tcPr>
          <w:p w14:paraId="08B2991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3.330503</w:t>
            </w:r>
          </w:p>
        </w:tc>
      </w:tr>
      <w:tr w:rsidR="00D25741" w14:paraId="3C11284B" w14:textId="77777777" w:rsidTr="003C5B79">
        <w:trPr>
          <w:trHeight w:val="500"/>
        </w:trPr>
        <w:tc>
          <w:tcPr>
            <w:tcW w:w="1070" w:type="dxa"/>
            <w:tcMar>
              <w:top w:w="100" w:type="dxa"/>
              <w:left w:w="100" w:type="dxa"/>
              <w:bottom w:w="100" w:type="dxa"/>
              <w:right w:w="100" w:type="dxa"/>
            </w:tcMar>
          </w:tcPr>
          <w:p w14:paraId="43A7BB54"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4</w:t>
            </w:r>
          </w:p>
        </w:tc>
        <w:tc>
          <w:tcPr>
            <w:tcW w:w="3860" w:type="dxa"/>
            <w:tcMar>
              <w:top w:w="100" w:type="dxa"/>
              <w:left w:w="100" w:type="dxa"/>
              <w:bottom w:w="100" w:type="dxa"/>
              <w:right w:w="100" w:type="dxa"/>
            </w:tcMar>
          </w:tcPr>
          <w:p w14:paraId="14CA5E0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Nippon India Index Fund</w:t>
            </w:r>
          </w:p>
        </w:tc>
        <w:tc>
          <w:tcPr>
            <w:tcW w:w="2795" w:type="dxa"/>
            <w:tcMar>
              <w:top w:w="100" w:type="dxa"/>
              <w:left w:w="100" w:type="dxa"/>
              <w:bottom w:w="100" w:type="dxa"/>
              <w:right w:w="100" w:type="dxa"/>
            </w:tcMar>
          </w:tcPr>
          <w:p w14:paraId="32853A0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0.793748</w:t>
            </w:r>
          </w:p>
        </w:tc>
      </w:tr>
      <w:tr w:rsidR="00D25741" w14:paraId="07E4A53A" w14:textId="77777777" w:rsidTr="003C5B79">
        <w:trPr>
          <w:trHeight w:val="500"/>
        </w:trPr>
        <w:tc>
          <w:tcPr>
            <w:tcW w:w="1070" w:type="dxa"/>
            <w:tcMar>
              <w:top w:w="100" w:type="dxa"/>
              <w:left w:w="100" w:type="dxa"/>
              <w:bottom w:w="100" w:type="dxa"/>
              <w:right w:w="100" w:type="dxa"/>
            </w:tcMar>
          </w:tcPr>
          <w:p w14:paraId="79438CB9"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5</w:t>
            </w:r>
          </w:p>
        </w:tc>
        <w:tc>
          <w:tcPr>
            <w:tcW w:w="3860" w:type="dxa"/>
            <w:tcMar>
              <w:top w:w="100" w:type="dxa"/>
              <w:left w:w="100" w:type="dxa"/>
              <w:bottom w:w="100" w:type="dxa"/>
              <w:right w:w="100" w:type="dxa"/>
            </w:tcMar>
          </w:tcPr>
          <w:p w14:paraId="2F7AA05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SBI Nifty Index Fund</w:t>
            </w:r>
          </w:p>
        </w:tc>
        <w:tc>
          <w:tcPr>
            <w:tcW w:w="2795" w:type="dxa"/>
            <w:tcMar>
              <w:top w:w="100" w:type="dxa"/>
              <w:left w:w="100" w:type="dxa"/>
              <w:bottom w:w="100" w:type="dxa"/>
              <w:right w:w="100" w:type="dxa"/>
            </w:tcMar>
          </w:tcPr>
          <w:p w14:paraId="0E665C0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3.226402</w:t>
            </w:r>
          </w:p>
        </w:tc>
      </w:tr>
    </w:tbl>
    <w:p w14:paraId="69A35625"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lastRenderedPageBreak/>
        <w:t>INTERPRETATION:</w:t>
      </w:r>
    </w:p>
    <w:p w14:paraId="3A2CAC7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Above Table presents the unsystematic risk values of the selected open-ended mutual funds. Unsystematic risk represents the portion of total risk that is specific to an individual fund and can be reduced through diversification. The results indicate that the UTI Nifty 50 Index Fund carries the highest unsystematic risk, at 3.330503, suggesting that it is more exposed to fund-specific or company-specific variations compared with the others in the sample. Similarly, the SBI Nifty Index Fund also has a comparatively high unsystematic risk of 3.226402, indicating a higher degree of non-market-related volatility. The ICICI Prudential Nifty 50 Index Fund and the HDFC Index Fund – NIFTY Plan show moderate unsystematic risk values of 2.614809 and 2.394401 respectively, implying a balanced exposure to fund-specific risk. In contrast, the Nippon India Index Fund exhibits the lowest unsystematic risk, at 0.793748, indicating that it is the least affected by firm-level or sector-specific uncertainties.</w:t>
      </w:r>
    </w:p>
    <w:p w14:paraId="5EE262E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Overall, the table shows considerable variation in unsystematic risk among the five funds. The higher unsystematic risk values for UTI and SBI suggest a greater influence of internal fund-specific factors, while the lower value for Nippon India indicates stronger diversification and reduced fund-specific volatility.</w:t>
      </w:r>
    </w:p>
    <w:p w14:paraId="7D852F74" w14:textId="4D220E5B" w:rsidR="003C5B79" w:rsidRDefault="003C5B79">
      <w:pPr>
        <w:spacing w:before="240" w:after="240"/>
        <w:jc w:val="both"/>
        <w:rPr>
          <w:rFonts w:eastAsia="Times New Roman" w:cs="Times New Roman"/>
          <w:sz w:val="24"/>
          <w:szCs w:val="24"/>
        </w:rPr>
      </w:pPr>
      <w:r>
        <w:rPr>
          <w:rFonts w:eastAsia="Times New Roman" w:cs="Times New Roman"/>
          <w:noProof/>
          <w:sz w:val="24"/>
          <w:szCs w:val="24"/>
        </w:rPr>
        <w:drawing>
          <wp:anchor distT="0" distB="0" distL="114300" distR="114300" simplePos="0" relativeHeight="251661312" behindDoc="0" locked="0" layoutInCell="1" allowOverlap="1" wp14:anchorId="2E8D8D94" wp14:editId="63296567">
            <wp:simplePos x="0" y="0"/>
            <wp:positionH relativeFrom="margin">
              <wp:align>center</wp:align>
            </wp:positionH>
            <wp:positionV relativeFrom="paragraph">
              <wp:posOffset>307340</wp:posOffset>
            </wp:positionV>
            <wp:extent cx="4580357" cy="2751539"/>
            <wp:effectExtent l="0" t="0" r="0" b="0"/>
            <wp:wrapSquare wrapText="bothSides"/>
            <wp:docPr id="1707019589" name="Picture 4" descr="A graph of a number of blue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19589" name="Picture 4" descr="A graph of a number of blue bar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14:sizeRelH relativeFrom="page">
              <wp14:pctWidth>0</wp14:pctWidth>
            </wp14:sizeRelH>
            <wp14:sizeRelV relativeFrom="page">
              <wp14:pctHeight>0</wp14:pctHeight>
            </wp14:sizeRelV>
          </wp:anchor>
        </w:drawing>
      </w:r>
    </w:p>
    <w:p w14:paraId="6AFFD69C" w14:textId="77777777" w:rsidR="003C5B79" w:rsidRDefault="003C5B79">
      <w:pPr>
        <w:spacing w:before="240" w:after="240"/>
        <w:jc w:val="both"/>
        <w:rPr>
          <w:rFonts w:eastAsia="Times New Roman" w:cs="Times New Roman"/>
          <w:sz w:val="24"/>
          <w:szCs w:val="24"/>
        </w:rPr>
      </w:pPr>
    </w:p>
    <w:p w14:paraId="6B82491F" w14:textId="77777777" w:rsidR="003C5B79" w:rsidRDefault="003C5B79">
      <w:pPr>
        <w:spacing w:before="240" w:after="240"/>
        <w:jc w:val="both"/>
        <w:rPr>
          <w:rFonts w:eastAsia="Times New Roman" w:cs="Times New Roman"/>
          <w:sz w:val="24"/>
          <w:szCs w:val="24"/>
        </w:rPr>
      </w:pPr>
    </w:p>
    <w:p w14:paraId="1A731FD0" w14:textId="77777777" w:rsidR="003C5B79" w:rsidRDefault="003C5B79">
      <w:pPr>
        <w:spacing w:before="240" w:after="240"/>
        <w:jc w:val="both"/>
        <w:rPr>
          <w:rFonts w:eastAsia="Times New Roman" w:cs="Times New Roman"/>
          <w:sz w:val="24"/>
          <w:szCs w:val="24"/>
        </w:rPr>
      </w:pPr>
    </w:p>
    <w:p w14:paraId="647DAA35" w14:textId="77777777" w:rsidR="003C5B79" w:rsidRDefault="003C5B79">
      <w:pPr>
        <w:spacing w:before="240" w:after="240"/>
        <w:jc w:val="both"/>
        <w:rPr>
          <w:rFonts w:eastAsia="Times New Roman" w:cs="Times New Roman"/>
          <w:sz w:val="24"/>
          <w:szCs w:val="24"/>
        </w:rPr>
      </w:pPr>
    </w:p>
    <w:p w14:paraId="0EA138B7" w14:textId="77777777" w:rsidR="003C5B79" w:rsidRDefault="003C5B79">
      <w:pPr>
        <w:spacing w:before="240" w:after="240"/>
        <w:jc w:val="both"/>
        <w:rPr>
          <w:rFonts w:eastAsia="Times New Roman" w:cs="Times New Roman"/>
          <w:sz w:val="24"/>
          <w:szCs w:val="24"/>
        </w:rPr>
      </w:pPr>
    </w:p>
    <w:p w14:paraId="3B651FFB" w14:textId="77777777" w:rsidR="003C5B79" w:rsidRDefault="003C5B79">
      <w:pPr>
        <w:spacing w:before="240" w:after="240"/>
        <w:jc w:val="both"/>
        <w:rPr>
          <w:rFonts w:eastAsia="Times New Roman" w:cs="Times New Roman"/>
          <w:sz w:val="24"/>
          <w:szCs w:val="24"/>
        </w:rPr>
      </w:pPr>
    </w:p>
    <w:p w14:paraId="67497359" w14:textId="77777777" w:rsidR="003C5B79" w:rsidRDefault="003C5B79">
      <w:pPr>
        <w:spacing w:before="240" w:after="240"/>
        <w:jc w:val="both"/>
        <w:rPr>
          <w:rFonts w:eastAsia="Times New Roman" w:cs="Times New Roman"/>
          <w:sz w:val="24"/>
          <w:szCs w:val="24"/>
        </w:rPr>
      </w:pPr>
    </w:p>
    <w:p w14:paraId="77FE10FF" w14:textId="77777777" w:rsidR="003C5B79" w:rsidRDefault="003C5B79">
      <w:pPr>
        <w:spacing w:before="240" w:after="240"/>
        <w:jc w:val="both"/>
        <w:rPr>
          <w:rFonts w:eastAsia="Times New Roman" w:cs="Times New Roman"/>
          <w:sz w:val="24"/>
          <w:szCs w:val="24"/>
        </w:rPr>
      </w:pPr>
    </w:p>
    <w:p w14:paraId="2DF9C8F5" w14:textId="77777777" w:rsidR="00D25741" w:rsidRDefault="00D25741">
      <w:pPr>
        <w:spacing w:before="240" w:after="240"/>
        <w:jc w:val="both"/>
        <w:rPr>
          <w:rFonts w:eastAsia="Times New Roman" w:cs="Times New Roman"/>
          <w:sz w:val="24"/>
          <w:szCs w:val="24"/>
        </w:rPr>
      </w:pPr>
    </w:p>
    <w:p w14:paraId="07A55AB9" w14:textId="77777777" w:rsidR="003C5B79" w:rsidRDefault="003C5B79">
      <w:pPr>
        <w:spacing w:before="240" w:after="240"/>
        <w:jc w:val="both"/>
        <w:rPr>
          <w:rFonts w:eastAsia="Times New Roman" w:cs="Times New Roman"/>
          <w:b/>
          <w:bCs/>
          <w:sz w:val="24"/>
          <w:szCs w:val="24"/>
        </w:rPr>
      </w:pPr>
    </w:p>
    <w:p w14:paraId="33632E67" w14:textId="77777777" w:rsidR="003C5B79" w:rsidRDefault="003C5B79">
      <w:pPr>
        <w:spacing w:before="240" w:after="240"/>
        <w:jc w:val="both"/>
        <w:rPr>
          <w:rFonts w:eastAsia="Times New Roman" w:cs="Times New Roman"/>
          <w:b/>
          <w:bCs/>
          <w:sz w:val="24"/>
          <w:szCs w:val="24"/>
        </w:rPr>
      </w:pPr>
    </w:p>
    <w:p w14:paraId="08E0717C" w14:textId="77777777" w:rsidR="003C5B79" w:rsidRDefault="003C5B79">
      <w:pPr>
        <w:spacing w:before="240" w:after="240"/>
        <w:jc w:val="both"/>
        <w:rPr>
          <w:rFonts w:eastAsia="Times New Roman" w:cs="Times New Roman"/>
          <w:b/>
          <w:bCs/>
          <w:sz w:val="24"/>
          <w:szCs w:val="24"/>
        </w:rPr>
      </w:pPr>
    </w:p>
    <w:p w14:paraId="12A060B4" w14:textId="77777777" w:rsidR="003C5B79" w:rsidRDefault="003C5B79">
      <w:pPr>
        <w:spacing w:before="240" w:after="240"/>
        <w:jc w:val="both"/>
        <w:rPr>
          <w:rFonts w:eastAsia="Times New Roman" w:cs="Times New Roman"/>
          <w:b/>
          <w:bCs/>
          <w:sz w:val="24"/>
          <w:szCs w:val="24"/>
        </w:rPr>
      </w:pPr>
    </w:p>
    <w:p w14:paraId="720750D0" w14:textId="77777777" w:rsidR="007D5D04" w:rsidRDefault="007D5D04">
      <w:pPr>
        <w:spacing w:before="240" w:after="240"/>
        <w:jc w:val="both"/>
        <w:rPr>
          <w:rFonts w:eastAsia="Times New Roman" w:cs="Times New Roman"/>
          <w:b/>
          <w:bCs/>
          <w:sz w:val="24"/>
          <w:szCs w:val="24"/>
        </w:rPr>
      </w:pPr>
    </w:p>
    <w:p w14:paraId="629F34F2" w14:textId="46241A07" w:rsidR="00D25741" w:rsidRDefault="00000000">
      <w:pPr>
        <w:spacing w:before="240" w:after="240"/>
        <w:jc w:val="both"/>
        <w:rPr>
          <w:rFonts w:eastAsia="Times New Roman" w:cs="Times New Roman"/>
          <w:sz w:val="24"/>
          <w:szCs w:val="24"/>
        </w:rPr>
      </w:pPr>
      <w:r>
        <w:rPr>
          <w:rFonts w:eastAsia="Times New Roman" w:cs="Times New Roman"/>
          <w:b/>
          <w:bCs/>
          <w:sz w:val="24"/>
          <w:szCs w:val="24"/>
        </w:rPr>
        <w:lastRenderedPageBreak/>
        <w:t>3.5 RISK RATIO:</w:t>
      </w:r>
    </w:p>
    <w:tbl>
      <w:tblPr>
        <w:tblStyle w:val="a4"/>
        <w:tblW w:w="10676"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6"/>
        <w:gridCol w:w="3865"/>
        <w:gridCol w:w="1134"/>
        <w:gridCol w:w="1559"/>
        <w:gridCol w:w="1559"/>
        <w:gridCol w:w="1603"/>
      </w:tblGrid>
      <w:tr w:rsidR="00D25741" w14:paraId="46A1C904" w14:textId="77777777" w:rsidTr="00511022">
        <w:trPr>
          <w:trHeight w:val="770"/>
        </w:trPr>
        <w:tc>
          <w:tcPr>
            <w:tcW w:w="956" w:type="dxa"/>
            <w:tcMar>
              <w:top w:w="100" w:type="dxa"/>
              <w:left w:w="100" w:type="dxa"/>
              <w:bottom w:w="100" w:type="dxa"/>
              <w:right w:w="100" w:type="dxa"/>
            </w:tcMar>
          </w:tcPr>
          <w:p w14:paraId="10BF0EDE"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SL. NO.</w:t>
            </w:r>
          </w:p>
        </w:tc>
        <w:tc>
          <w:tcPr>
            <w:tcW w:w="3865" w:type="dxa"/>
            <w:tcMar>
              <w:top w:w="100" w:type="dxa"/>
              <w:left w:w="100" w:type="dxa"/>
              <w:bottom w:w="100" w:type="dxa"/>
              <w:right w:w="100" w:type="dxa"/>
            </w:tcMar>
          </w:tcPr>
          <w:p w14:paraId="0CAA2428"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FUND NAME</w:t>
            </w:r>
          </w:p>
        </w:tc>
        <w:tc>
          <w:tcPr>
            <w:tcW w:w="1134" w:type="dxa"/>
            <w:tcMar>
              <w:top w:w="100" w:type="dxa"/>
              <w:left w:w="100" w:type="dxa"/>
              <w:bottom w:w="100" w:type="dxa"/>
              <w:right w:w="100" w:type="dxa"/>
            </w:tcMar>
          </w:tcPr>
          <w:p w14:paraId="7639CD46"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SD</w:t>
            </w:r>
          </w:p>
        </w:tc>
        <w:tc>
          <w:tcPr>
            <w:tcW w:w="1559" w:type="dxa"/>
            <w:tcMar>
              <w:top w:w="100" w:type="dxa"/>
              <w:left w:w="100" w:type="dxa"/>
              <w:bottom w:w="100" w:type="dxa"/>
              <w:right w:w="100" w:type="dxa"/>
            </w:tcMar>
          </w:tcPr>
          <w:p w14:paraId="2284DFDB"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SHARPE RATIO</w:t>
            </w:r>
          </w:p>
        </w:tc>
        <w:tc>
          <w:tcPr>
            <w:tcW w:w="1559" w:type="dxa"/>
            <w:tcMar>
              <w:top w:w="100" w:type="dxa"/>
              <w:left w:w="100" w:type="dxa"/>
              <w:bottom w:w="100" w:type="dxa"/>
              <w:right w:w="100" w:type="dxa"/>
            </w:tcMar>
          </w:tcPr>
          <w:p w14:paraId="5E8C9DE9"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TREYNOR RATIO</w:t>
            </w:r>
          </w:p>
        </w:tc>
        <w:tc>
          <w:tcPr>
            <w:tcW w:w="1603" w:type="dxa"/>
            <w:tcMar>
              <w:top w:w="100" w:type="dxa"/>
              <w:left w:w="100" w:type="dxa"/>
              <w:bottom w:w="100" w:type="dxa"/>
              <w:right w:w="100" w:type="dxa"/>
            </w:tcMar>
          </w:tcPr>
          <w:p w14:paraId="5392ED2D" w14:textId="77777777" w:rsidR="00D25741" w:rsidRDefault="00000000">
            <w:pPr>
              <w:spacing w:before="240" w:after="240"/>
              <w:jc w:val="center"/>
              <w:rPr>
                <w:rFonts w:eastAsia="Times New Roman" w:cs="Times New Roman"/>
                <w:sz w:val="24"/>
                <w:szCs w:val="24"/>
              </w:rPr>
            </w:pPr>
            <w:r>
              <w:rPr>
                <w:rFonts w:eastAsia="Times New Roman" w:cs="Times New Roman"/>
                <w:b/>
                <w:bCs/>
                <w:sz w:val="24"/>
                <w:szCs w:val="24"/>
              </w:rPr>
              <w:t>JENSEN ALPHA</w:t>
            </w:r>
          </w:p>
        </w:tc>
      </w:tr>
      <w:tr w:rsidR="00D25741" w14:paraId="7EA0BDC7" w14:textId="77777777" w:rsidTr="00511022">
        <w:trPr>
          <w:trHeight w:val="770"/>
        </w:trPr>
        <w:tc>
          <w:tcPr>
            <w:tcW w:w="956" w:type="dxa"/>
            <w:tcMar>
              <w:top w:w="100" w:type="dxa"/>
              <w:left w:w="100" w:type="dxa"/>
              <w:bottom w:w="100" w:type="dxa"/>
              <w:right w:w="100" w:type="dxa"/>
            </w:tcMar>
          </w:tcPr>
          <w:p w14:paraId="47A966FC"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1</w:t>
            </w:r>
          </w:p>
        </w:tc>
        <w:tc>
          <w:tcPr>
            <w:tcW w:w="3865" w:type="dxa"/>
            <w:tcMar>
              <w:top w:w="100" w:type="dxa"/>
              <w:left w:w="100" w:type="dxa"/>
              <w:bottom w:w="100" w:type="dxa"/>
              <w:right w:w="100" w:type="dxa"/>
            </w:tcMar>
          </w:tcPr>
          <w:p w14:paraId="48E0A4C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ICICI Prudential Nifty 50 Index Fund</w:t>
            </w:r>
          </w:p>
        </w:tc>
        <w:tc>
          <w:tcPr>
            <w:tcW w:w="1134" w:type="dxa"/>
            <w:tcMar>
              <w:top w:w="100" w:type="dxa"/>
              <w:left w:w="100" w:type="dxa"/>
              <w:bottom w:w="100" w:type="dxa"/>
              <w:right w:w="100" w:type="dxa"/>
            </w:tcMar>
          </w:tcPr>
          <w:p w14:paraId="6D1ED204"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5.58595</w:t>
            </w:r>
          </w:p>
        </w:tc>
        <w:tc>
          <w:tcPr>
            <w:tcW w:w="1559" w:type="dxa"/>
            <w:tcMar>
              <w:top w:w="100" w:type="dxa"/>
              <w:left w:w="100" w:type="dxa"/>
              <w:bottom w:w="100" w:type="dxa"/>
              <w:right w:w="100" w:type="dxa"/>
            </w:tcMar>
          </w:tcPr>
          <w:p w14:paraId="526BCE3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0.196898</w:t>
            </w:r>
          </w:p>
        </w:tc>
        <w:tc>
          <w:tcPr>
            <w:tcW w:w="1559" w:type="dxa"/>
            <w:tcMar>
              <w:top w:w="100" w:type="dxa"/>
              <w:left w:w="100" w:type="dxa"/>
              <w:bottom w:w="100" w:type="dxa"/>
              <w:right w:w="100" w:type="dxa"/>
            </w:tcMar>
          </w:tcPr>
          <w:p w14:paraId="0CD35AC5"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0.00919</w:t>
            </w:r>
          </w:p>
        </w:tc>
        <w:tc>
          <w:tcPr>
            <w:tcW w:w="1603" w:type="dxa"/>
            <w:tcMar>
              <w:top w:w="100" w:type="dxa"/>
              <w:left w:w="100" w:type="dxa"/>
              <w:bottom w:w="100" w:type="dxa"/>
              <w:right w:w="100" w:type="dxa"/>
            </w:tcMar>
          </w:tcPr>
          <w:p w14:paraId="234DE6E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–0.06081</w:t>
            </w:r>
          </w:p>
        </w:tc>
      </w:tr>
      <w:tr w:rsidR="00D25741" w14:paraId="4AF42CD9" w14:textId="77777777" w:rsidTr="00511022">
        <w:trPr>
          <w:trHeight w:val="770"/>
        </w:trPr>
        <w:tc>
          <w:tcPr>
            <w:tcW w:w="956" w:type="dxa"/>
            <w:tcMar>
              <w:top w:w="100" w:type="dxa"/>
              <w:left w:w="100" w:type="dxa"/>
              <w:bottom w:w="100" w:type="dxa"/>
              <w:right w:w="100" w:type="dxa"/>
            </w:tcMar>
          </w:tcPr>
          <w:p w14:paraId="779D7785"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2</w:t>
            </w:r>
          </w:p>
        </w:tc>
        <w:tc>
          <w:tcPr>
            <w:tcW w:w="3865" w:type="dxa"/>
            <w:tcMar>
              <w:top w:w="100" w:type="dxa"/>
              <w:left w:w="100" w:type="dxa"/>
              <w:bottom w:w="100" w:type="dxa"/>
              <w:right w:w="100" w:type="dxa"/>
            </w:tcMar>
          </w:tcPr>
          <w:p w14:paraId="6EFF2FC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HDFC Index Fund – NIFTY Plan</w:t>
            </w:r>
          </w:p>
        </w:tc>
        <w:tc>
          <w:tcPr>
            <w:tcW w:w="1134" w:type="dxa"/>
            <w:tcMar>
              <w:top w:w="100" w:type="dxa"/>
              <w:left w:w="100" w:type="dxa"/>
              <w:bottom w:w="100" w:type="dxa"/>
              <w:right w:w="100" w:type="dxa"/>
            </w:tcMar>
          </w:tcPr>
          <w:p w14:paraId="4EDA1A3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5.531408</w:t>
            </w:r>
          </w:p>
        </w:tc>
        <w:tc>
          <w:tcPr>
            <w:tcW w:w="1559" w:type="dxa"/>
            <w:tcMar>
              <w:top w:w="100" w:type="dxa"/>
              <w:left w:w="100" w:type="dxa"/>
              <w:bottom w:w="100" w:type="dxa"/>
              <w:right w:w="100" w:type="dxa"/>
            </w:tcMar>
          </w:tcPr>
          <w:p w14:paraId="202BF610"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0.190356</w:t>
            </w:r>
          </w:p>
        </w:tc>
        <w:tc>
          <w:tcPr>
            <w:tcW w:w="1559" w:type="dxa"/>
            <w:tcMar>
              <w:top w:w="100" w:type="dxa"/>
              <w:left w:w="100" w:type="dxa"/>
              <w:bottom w:w="100" w:type="dxa"/>
              <w:right w:w="100" w:type="dxa"/>
            </w:tcMar>
          </w:tcPr>
          <w:p w14:paraId="518B8DF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0.01001</w:t>
            </w:r>
          </w:p>
        </w:tc>
        <w:tc>
          <w:tcPr>
            <w:tcW w:w="1603" w:type="dxa"/>
            <w:tcMar>
              <w:top w:w="100" w:type="dxa"/>
              <w:left w:w="100" w:type="dxa"/>
              <w:bottom w:w="100" w:type="dxa"/>
              <w:right w:w="100" w:type="dxa"/>
            </w:tcMar>
          </w:tcPr>
          <w:p w14:paraId="71D31C5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–0.05259</w:t>
            </w:r>
          </w:p>
        </w:tc>
      </w:tr>
      <w:tr w:rsidR="00D25741" w14:paraId="50E087DB" w14:textId="77777777" w:rsidTr="00511022">
        <w:trPr>
          <w:trHeight w:val="500"/>
        </w:trPr>
        <w:tc>
          <w:tcPr>
            <w:tcW w:w="956" w:type="dxa"/>
            <w:tcMar>
              <w:top w:w="100" w:type="dxa"/>
              <w:left w:w="100" w:type="dxa"/>
              <w:bottom w:w="100" w:type="dxa"/>
              <w:right w:w="100" w:type="dxa"/>
            </w:tcMar>
          </w:tcPr>
          <w:p w14:paraId="14694D7D"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3</w:t>
            </w:r>
          </w:p>
        </w:tc>
        <w:tc>
          <w:tcPr>
            <w:tcW w:w="3865" w:type="dxa"/>
            <w:tcMar>
              <w:top w:w="100" w:type="dxa"/>
              <w:left w:w="100" w:type="dxa"/>
              <w:bottom w:w="100" w:type="dxa"/>
              <w:right w:w="100" w:type="dxa"/>
            </w:tcMar>
          </w:tcPr>
          <w:p w14:paraId="26CE60E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UTI Nifty 50 Index Fund</w:t>
            </w:r>
          </w:p>
        </w:tc>
        <w:tc>
          <w:tcPr>
            <w:tcW w:w="1134" w:type="dxa"/>
            <w:tcMar>
              <w:top w:w="100" w:type="dxa"/>
              <w:left w:w="100" w:type="dxa"/>
              <w:bottom w:w="100" w:type="dxa"/>
              <w:right w:w="100" w:type="dxa"/>
            </w:tcMar>
          </w:tcPr>
          <w:p w14:paraId="5668ED2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5.538961</w:t>
            </w:r>
          </w:p>
        </w:tc>
        <w:tc>
          <w:tcPr>
            <w:tcW w:w="1559" w:type="dxa"/>
            <w:tcMar>
              <w:top w:w="100" w:type="dxa"/>
              <w:left w:w="100" w:type="dxa"/>
              <w:bottom w:w="100" w:type="dxa"/>
              <w:right w:w="100" w:type="dxa"/>
            </w:tcMar>
          </w:tcPr>
          <w:p w14:paraId="125F3D4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0.193848</w:t>
            </w:r>
          </w:p>
        </w:tc>
        <w:tc>
          <w:tcPr>
            <w:tcW w:w="1559" w:type="dxa"/>
            <w:tcMar>
              <w:top w:w="100" w:type="dxa"/>
              <w:left w:w="100" w:type="dxa"/>
              <w:bottom w:w="100" w:type="dxa"/>
              <w:right w:w="100" w:type="dxa"/>
            </w:tcMar>
          </w:tcPr>
          <w:p w14:paraId="6ABE782D"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0.00937</w:t>
            </w:r>
          </w:p>
        </w:tc>
        <w:tc>
          <w:tcPr>
            <w:tcW w:w="1603" w:type="dxa"/>
            <w:tcMar>
              <w:top w:w="100" w:type="dxa"/>
              <w:left w:w="100" w:type="dxa"/>
              <w:bottom w:w="100" w:type="dxa"/>
              <w:right w:w="100" w:type="dxa"/>
            </w:tcMar>
          </w:tcPr>
          <w:p w14:paraId="281536B5"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–0.05806</w:t>
            </w:r>
          </w:p>
        </w:tc>
      </w:tr>
      <w:tr w:rsidR="00D25741" w14:paraId="5C48AB06" w14:textId="77777777" w:rsidTr="00511022">
        <w:trPr>
          <w:trHeight w:val="500"/>
        </w:trPr>
        <w:tc>
          <w:tcPr>
            <w:tcW w:w="956" w:type="dxa"/>
            <w:tcMar>
              <w:top w:w="100" w:type="dxa"/>
              <w:left w:w="100" w:type="dxa"/>
              <w:bottom w:w="100" w:type="dxa"/>
              <w:right w:w="100" w:type="dxa"/>
            </w:tcMar>
          </w:tcPr>
          <w:p w14:paraId="50C8CF0C"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4</w:t>
            </w:r>
          </w:p>
        </w:tc>
        <w:tc>
          <w:tcPr>
            <w:tcW w:w="3865" w:type="dxa"/>
            <w:tcMar>
              <w:top w:w="100" w:type="dxa"/>
              <w:left w:w="100" w:type="dxa"/>
              <w:bottom w:w="100" w:type="dxa"/>
              <w:right w:w="100" w:type="dxa"/>
            </w:tcMar>
          </w:tcPr>
          <w:p w14:paraId="42BBEE2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Nippon India Index Fund</w:t>
            </w:r>
          </w:p>
        </w:tc>
        <w:tc>
          <w:tcPr>
            <w:tcW w:w="1134" w:type="dxa"/>
            <w:tcMar>
              <w:top w:w="100" w:type="dxa"/>
              <w:left w:w="100" w:type="dxa"/>
              <w:bottom w:w="100" w:type="dxa"/>
              <w:right w:w="100" w:type="dxa"/>
            </w:tcMar>
          </w:tcPr>
          <w:p w14:paraId="3EAD26FD"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5.494962</w:t>
            </w:r>
          </w:p>
        </w:tc>
        <w:tc>
          <w:tcPr>
            <w:tcW w:w="1559" w:type="dxa"/>
            <w:tcMar>
              <w:top w:w="100" w:type="dxa"/>
              <w:left w:w="100" w:type="dxa"/>
              <w:bottom w:w="100" w:type="dxa"/>
              <w:right w:w="100" w:type="dxa"/>
            </w:tcMar>
          </w:tcPr>
          <w:p w14:paraId="13BD8E4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0.193484</w:t>
            </w:r>
          </w:p>
        </w:tc>
        <w:tc>
          <w:tcPr>
            <w:tcW w:w="1559" w:type="dxa"/>
            <w:tcMar>
              <w:top w:w="100" w:type="dxa"/>
              <w:left w:w="100" w:type="dxa"/>
              <w:bottom w:w="100" w:type="dxa"/>
              <w:right w:w="100" w:type="dxa"/>
            </w:tcMar>
          </w:tcPr>
          <w:p w14:paraId="6A090A5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0.00923</w:t>
            </w:r>
          </w:p>
        </w:tc>
        <w:tc>
          <w:tcPr>
            <w:tcW w:w="1603" w:type="dxa"/>
            <w:tcMar>
              <w:top w:w="100" w:type="dxa"/>
              <w:left w:w="100" w:type="dxa"/>
              <w:bottom w:w="100" w:type="dxa"/>
              <w:right w:w="100" w:type="dxa"/>
            </w:tcMar>
          </w:tcPr>
          <w:p w14:paraId="77DFB5A6"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–0.05844</w:t>
            </w:r>
          </w:p>
        </w:tc>
      </w:tr>
      <w:tr w:rsidR="00D25741" w14:paraId="28EE835A" w14:textId="77777777" w:rsidTr="00511022">
        <w:trPr>
          <w:trHeight w:val="500"/>
        </w:trPr>
        <w:tc>
          <w:tcPr>
            <w:tcW w:w="956" w:type="dxa"/>
            <w:tcMar>
              <w:top w:w="100" w:type="dxa"/>
              <w:left w:w="100" w:type="dxa"/>
              <w:bottom w:w="100" w:type="dxa"/>
              <w:right w:w="100" w:type="dxa"/>
            </w:tcMar>
          </w:tcPr>
          <w:p w14:paraId="6AD5D99F" w14:textId="77777777" w:rsidR="00D25741" w:rsidRDefault="00000000">
            <w:pPr>
              <w:spacing w:before="240" w:after="240"/>
              <w:jc w:val="both"/>
              <w:rPr>
                <w:rFonts w:eastAsia="Times New Roman" w:cs="Times New Roman"/>
                <w:sz w:val="24"/>
                <w:szCs w:val="24"/>
              </w:rPr>
            </w:pPr>
            <w:r>
              <w:rPr>
                <w:rFonts w:eastAsia="Times New Roman" w:cs="Times New Roman"/>
                <w:b/>
                <w:bCs/>
                <w:sz w:val="24"/>
                <w:szCs w:val="24"/>
              </w:rPr>
              <w:t>5</w:t>
            </w:r>
          </w:p>
        </w:tc>
        <w:tc>
          <w:tcPr>
            <w:tcW w:w="3865" w:type="dxa"/>
            <w:tcMar>
              <w:top w:w="100" w:type="dxa"/>
              <w:left w:w="100" w:type="dxa"/>
              <w:bottom w:w="100" w:type="dxa"/>
              <w:right w:w="100" w:type="dxa"/>
            </w:tcMar>
          </w:tcPr>
          <w:p w14:paraId="290A9DCD"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SBI Nifty Index Fund</w:t>
            </w:r>
          </w:p>
        </w:tc>
        <w:tc>
          <w:tcPr>
            <w:tcW w:w="1134" w:type="dxa"/>
            <w:tcMar>
              <w:top w:w="100" w:type="dxa"/>
              <w:left w:w="100" w:type="dxa"/>
              <w:bottom w:w="100" w:type="dxa"/>
              <w:right w:w="100" w:type="dxa"/>
            </w:tcMar>
          </w:tcPr>
          <w:p w14:paraId="175490D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5.560257</w:t>
            </w:r>
          </w:p>
        </w:tc>
        <w:tc>
          <w:tcPr>
            <w:tcW w:w="1559" w:type="dxa"/>
            <w:tcMar>
              <w:top w:w="100" w:type="dxa"/>
              <w:left w:w="100" w:type="dxa"/>
              <w:bottom w:w="100" w:type="dxa"/>
              <w:right w:w="100" w:type="dxa"/>
            </w:tcMar>
          </w:tcPr>
          <w:p w14:paraId="2244AFD8"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0.199235</w:t>
            </w:r>
          </w:p>
        </w:tc>
        <w:tc>
          <w:tcPr>
            <w:tcW w:w="1559" w:type="dxa"/>
            <w:tcMar>
              <w:top w:w="100" w:type="dxa"/>
              <w:left w:w="100" w:type="dxa"/>
              <w:bottom w:w="100" w:type="dxa"/>
              <w:right w:w="100" w:type="dxa"/>
            </w:tcMar>
          </w:tcPr>
          <w:p w14:paraId="401AA5FE"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0.00874</w:t>
            </w:r>
          </w:p>
        </w:tc>
        <w:tc>
          <w:tcPr>
            <w:tcW w:w="1603" w:type="dxa"/>
            <w:tcMar>
              <w:top w:w="100" w:type="dxa"/>
              <w:left w:w="100" w:type="dxa"/>
              <w:bottom w:w="100" w:type="dxa"/>
              <w:right w:w="100" w:type="dxa"/>
            </w:tcMar>
          </w:tcPr>
          <w:p w14:paraId="595EE7C6"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–0.06489</w:t>
            </w:r>
          </w:p>
        </w:tc>
      </w:tr>
    </w:tbl>
    <w:p w14:paraId="4865E9B5" w14:textId="77777777" w:rsidR="007D5D04" w:rsidRDefault="007D5D04">
      <w:pPr>
        <w:spacing w:before="240" w:after="240"/>
        <w:jc w:val="both"/>
        <w:rPr>
          <w:rFonts w:eastAsia="Times New Roman" w:cs="Times New Roman"/>
          <w:sz w:val="24"/>
          <w:szCs w:val="24"/>
        </w:rPr>
      </w:pPr>
    </w:p>
    <w:p w14:paraId="30D16448" w14:textId="6D4698EF" w:rsidR="00511022" w:rsidRDefault="007D5D04">
      <w:pPr>
        <w:spacing w:before="240" w:after="240"/>
        <w:jc w:val="both"/>
        <w:rPr>
          <w:rFonts w:eastAsia="Times New Roman" w:cs="Times New Roman"/>
          <w:sz w:val="24"/>
          <w:szCs w:val="24"/>
        </w:rPr>
      </w:pPr>
      <w:r>
        <w:rPr>
          <w:rFonts w:eastAsia="Times New Roman" w:cs="Times New Roman"/>
          <w:sz w:val="24"/>
          <w:szCs w:val="24"/>
        </w:rPr>
        <w:t>INTERPRETATION:</w:t>
      </w:r>
    </w:p>
    <w:p w14:paraId="6131E72A" w14:textId="50D5B018" w:rsidR="00D25741" w:rsidRDefault="00000000">
      <w:pPr>
        <w:spacing w:before="240" w:after="240"/>
        <w:jc w:val="both"/>
        <w:rPr>
          <w:rFonts w:eastAsia="Times New Roman" w:cs="Times New Roman"/>
          <w:sz w:val="24"/>
          <w:szCs w:val="24"/>
        </w:rPr>
      </w:pPr>
      <w:r>
        <w:rPr>
          <w:rFonts w:eastAsia="Times New Roman" w:cs="Times New Roman"/>
          <w:sz w:val="24"/>
          <w:szCs w:val="24"/>
        </w:rPr>
        <w:t>Above Table presents the standard deviation, Sharpe ratio, Treynor ratio, and Jensen’s alpha for the five selected Nifty 50 index funds. From the values shown, the standard deviation (SD) for all funds lies between 5.49 and 5.58, indicating that each fund experiences a similar level of total volatility. Among them, ICICI Prudential has the highest standard deviation (5.58595), suggesting it is the most volatile, while Nippon India shows the lowest (5.494962), meaning it is comparatively less volatile.</w:t>
      </w:r>
    </w:p>
    <w:p w14:paraId="527E1D6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Sharpe Ratio values for all funds range narrowly from 0.190 to 0.199, indicating consistent excess return per unit of total risk. The highest Sharpe ratio is observed in the SBI Nifty Index Fund (0.199235), meaning it provides slightly better risk-adjusted performance compared to the others. The lowest Sharpe ratio belongs to the HDFC Index Fund (0.190356), showing marginally lower efficiency in generating return for the risk taken.</w:t>
      </w:r>
    </w:p>
    <w:p w14:paraId="4B3C09B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When comparing Treynor Ratios, which measure excess return per unit of systematic risk, HDFC Index Fund has the highest value (0.01001), indicating that it delivers the best performance relative to market risk. In contrast, the SBI Nifty Index Fund has the lowest Treynor ratio (0.00874), suggesting comparatively weaker performance when adjusted for systematic risk.</w:t>
      </w:r>
    </w:p>
    <w:p w14:paraId="594E460A"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lastRenderedPageBreak/>
        <w:t>Finally, Jensen’s Alpha values are negative for all the funds, which is expected for passively managed index funds. A negative alpha indicates that the fund did not outperform the expected return predicted by CAPM. Among the funds, HDFC Index Fund shows the least negative alpha (–0.05259), meaning it performed closest to market expectations, while SBI Nifty Index Fund has the most negative alpha (–0.06489), reflecting the weakest performance relative to its risk level.</w:t>
      </w:r>
    </w:p>
    <w:p w14:paraId="2AE1D82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Overall, the analysis shows that while all funds exhibit similar volatility and track the market closely, SBI performs best in total risk-adjusted returns (Sharpe), HDFC performs best in systematic risk-adjusted returns (Treynor), and all funds show slight underperformance as indicated by negative Jensen’s Alpha, which is typical for passive index funds.</w:t>
      </w:r>
    </w:p>
    <w:p w14:paraId="352F41CA" w14:textId="77777777" w:rsidR="00D25741" w:rsidRDefault="00D25741">
      <w:pPr>
        <w:spacing w:before="240" w:after="240"/>
        <w:jc w:val="both"/>
        <w:rPr>
          <w:rFonts w:eastAsia="Times New Roman" w:cs="Times New Roman"/>
          <w:sz w:val="24"/>
          <w:szCs w:val="24"/>
        </w:rPr>
      </w:pPr>
    </w:p>
    <w:p w14:paraId="70FBBD7E" w14:textId="77777777" w:rsidR="00D25741" w:rsidRDefault="00D25741">
      <w:pPr>
        <w:spacing w:before="240" w:after="240"/>
        <w:jc w:val="both"/>
        <w:rPr>
          <w:rFonts w:eastAsia="Times New Roman" w:cs="Times New Roman"/>
          <w:sz w:val="24"/>
          <w:szCs w:val="24"/>
        </w:rPr>
      </w:pPr>
    </w:p>
    <w:p w14:paraId="04A1862F"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br/>
      </w:r>
    </w:p>
    <w:p w14:paraId="21DA389B" w14:textId="77777777" w:rsidR="007D5D04" w:rsidRDefault="007D5D04">
      <w:pPr>
        <w:jc w:val="center"/>
        <w:rPr>
          <w:rFonts w:eastAsia="Times New Roman" w:cs="Times New Roman"/>
          <w:sz w:val="24"/>
          <w:szCs w:val="24"/>
        </w:rPr>
      </w:pPr>
    </w:p>
    <w:p w14:paraId="4652E7D3" w14:textId="77777777" w:rsidR="007D5D04" w:rsidRDefault="007D5D04">
      <w:pPr>
        <w:jc w:val="center"/>
        <w:rPr>
          <w:rFonts w:eastAsia="Times New Roman" w:cs="Times New Roman"/>
          <w:sz w:val="24"/>
          <w:szCs w:val="24"/>
        </w:rPr>
      </w:pPr>
    </w:p>
    <w:p w14:paraId="5B9F4914" w14:textId="77777777" w:rsidR="007D5D04" w:rsidRDefault="007D5D04">
      <w:pPr>
        <w:jc w:val="center"/>
        <w:rPr>
          <w:rFonts w:eastAsia="Times New Roman" w:cs="Times New Roman"/>
          <w:sz w:val="24"/>
          <w:szCs w:val="24"/>
        </w:rPr>
      </w:pPr>
    </w:p>
    <w:p w14:paraId="4B907160" w14:textId="77777777" w:rsidR="007D5D04" w:rsidRDefault="007D5D04">
      <w:pPr>
        <w:jc w:val="center"/>
        <w:rPr>
          <w:rFonts w:eastAsia="Times New Roman" w:cs="Times New Roman"/>
          <w:sz w:val="24"/>
          <w:szCs w:val="24"/>
        </w:rPr>
      </w:pPr>
    </w:p>
    <w:p w14:paraId="45800684" w14:textId="77777777" w:rsidR="007D5D04" w:rsidRDefault="007D5D04">
      <w:pPr>
        <w:jc w:val="center"/>
        <w:rPr>
          <w:rFonts w:eastAsia="Times New Roman" w:cs="Times New Roman"/>
          <w:sz w:val="24"/>
          <w:szCs w:val="24"/>
        </w:rPr>
      </w:pPr>
    </w:p>
    <w:p w14:paraId="5C9C7EE7" w14:textId="77777777" w:rsidR="007D5D04" w:rsidRDefault="007D5D04">
      <w:pPr>
        <w:jc w:val="center"/>
        <w:rPr>
          <w:rFonts w:eastAsia="Times New Roman" w:cs="Times New Roman"/>
          <w:sz w:val="24"/>
          <w:szCs w:val="24"/>
        </w:rPr>
      </w:pPr>
    </w:p>
    <w:p w14:paraId="4913CBDB" w14:textId="77777777" w:rsidR="007D5D04" w:rsidRDefault="007D5D04">
      <w:pPr>
        <w:jc w:val="center"/>
        <w:rPr>
          <w:rFonts w:eastAsia="Times New Roman" w:cs="Times New Roman"/>
          <w:sz w:val="24"/>
          <w:szCs w:val="24"/>
        </w:rPr>
      </w:pPr>
    </w:p>
    <w:p w14:paraId="3400226B" w14:textId="77777777" w:rsidR="007D5D04" w:rsidRDefault="007D5D04">
      <w:pPr>
        <w:jc w:val="center"/>
        <w:rPr>
          <w:rFonts w:eastAsia="Times New Roman" w:cs="Times New Roman"/>
          <w:sz w:val="24"/>
          <w:szCs w:val="24"/>
        </w:rPr>
      </w:pPr>
    </w:p>
    <w:p w14:paraId="07C336AD" w14:textId="77777777" w:rsidR="007D5D04" w:rsidRDefault="007D5D04">
      <w:pPr>
        <w:jc w:val="center"/>
        <w:rPr>
          <w:rFonts w:eastAsia="Times New Roman" w:cs="Times New Roman"/>
          <w:sz w:val="24"/>
          <w:szCs w:val="24"/>
        </w:rPr>
      </w:pPr>
    </w:p>
    <w:p w14:paraId="3321DD8D" w14:textId="77777777" w:rsidR="007D5D04" w:rsidRDefault="007D5D04">
      <w:pPr>
        <w:jc w:val="center"/>
        <w:rPr>
          <w:rFonts w:eastAsia="Times New Roman" w:cs="Times New Roman"/>
          <w:sz w:val="24"/>
          <w:szCs w:val="24"/>
        </w:rPr>
      </w:pPr>
    </w:p>
    <w:p w14:paraId="0A9CA929" w14:textId="77777777" w:rsidR="007D5D04" w:rsidRDefault="007D5D04">
      <w:pPr>
        <w:jc w:val="center"/>
        <w:rPr>
          <w:rFonts w:eastAsia="Times New Roman" w:cs="Times New Roman"/>
          <w:sz w:val="24"/>
          <w:szCs w:val="24"/>
        </w:rPr>
      </w:pPr>
    </w:p>
    <w:p w14:paraId="5219B390" w14:textId="77777777" w:rsidR="007D5D04" w:rsidRDefault="007D5D04">
      <w:pPr>
        <w:jc w:val="center"/>
        <w:rPr>
          <w:rFonts w:eastAsia="Times New Roman" w:cs="Times New Roman"/>
          <w:sz w:val="24"/>
          <w:szCs w:val="24"/>
        </w:rPr>
      </w:pPr>
    </w:p>
    <w:p w14:paraId="0F206C23" w14:textId="77777777" w:rsidR="007D5D04" w:rsidRDefault="007D5D04">
      <w:pPr>
        <w:jc w:val="center"/>
        <w:rPr>
          <w:rFonts w:eastAsia="Times New Roman" w:cs="Times New Roman"/>
          <w:sz w:val="24"/>
          <w:szCs w:val="24"/>
        </w:rPr>
      </w:pPr>
    </w:p>
    <w:p w14:paraId="7F11DB55" w14:textId="77777777" w:rsidR="007D5D04" w:rsidRDefault="007D5D04">
      <w:pPr>
        <w:jc w:val="center"/>
        <w:rPr>
          <w:rFonts w:eastAsia="Times New Roman" w:cs="Times New Roman"/>
          <w:sz w:val="24"/>
          <w:szCs w:val="24"/>
        </w:rPr>
      </w:pPr>
    </w:p>
    <w:p w14:paraId="1B967120" w14:textId="77777777" w:rsidR="007D5D04" w:rsidRDefault="007D5D04">
      <w:pPr>
        <w:jc w:val="center"/>
        <w:rPr>
          <w:rFonts w:eastAsia="Times New Roman" w:cs="Times New Roman"/>
          <w:sz w:val="24"/>
          <w:szCs w:val="24"/>
        </w:rPr>
      </w:pPr>
    </w:p>
    <w:p w14:paraId="121F5B23" w14:textId="77777777" w:rsidR="007D5D04" w:rsidRDefault="007D5D04">
      <w:pPr>
        <w:jc w:val="center"/>
        <w:rPr>
          <w:rFonts w:eastAsia="Times New Roman" w:cs="Times New Roman"/>
          <w:sz w:val="24"/>
          <w:szCs w:val="24"/>
        </w:rPr>
      </w:pPr>
    </w:p>
    <w:p w14:paraId="640CDB89" w14:textId="77777777" w:rsidR="007D5D04" w:rsidRDefault="007D5D04">
      <w:pPr>
        <w:jc w:val="center"/>
        <w:rPr>
          <w:rFonts w:eastAsia="Times New Roman" w:cs="Times New Roman"/>
          <w:sz w:val="24"/>
          <w:szCs w:val="24"/>
        </w:rPr>
      </w:pPr>
    </w:p>
    <w:p w14:paraId="5D4E8CE0" w14:textId="77777777" w:rsidR="007D5D04" w:rsidRDefault="007D5D04">
      <w:pPr>
        <w:jc w:val="center"/>
        <w:rPr>
          <w:rFonts w:eastAsia="Times New Roman" w:cs="Times New Roman"/>
          <w:sz w:val="24"/>
          <w:szCs w:val="24"/>
        </w:rPr>
      </w:pPr>
    </w:p>
    <w:p w14:paraId="13C1D04F" w14:textId="77777777" w:rsidR="007D5D04" w:rsidRDefault="007D5D04">
      <w:pPr>
        <w:jc w:val="center"/>
        <w:rPr>
          <w:rFonts w:eastAsia="Times New Roman" w:cs="Times New Roman"/>
          <w:sz w:val="24"/>
          <w:szCs w:val="24"/>
        </w:rPr>
      </w:pPr>
    </w:p>
    <w:p w14:paraId="637AA7E5" w14:textId="77777777" w:rsidR="007D5D04" w:rsidRDefault="007D5D04">
      <w:pPr>
        <w:jc w:val="center"/>
        <w:rPr>
          <w:rFonts w:eastAsia="Times New Roman" w:cs="Times New Roman"/>
          <w:sz w:val="24"/>
          <w:szCs w:val="24"/>
        </w:rPr>
      </w:pPr>
    </w:p>
    <w:p w14:paraId="3ED42F70" w14:textId="77777777" w:rsidR="007D5D04" w:rsidRDefault="007D5D04">
      <w:pPr>
        <w:jc w:val="center"/>
        <w:rPr>
          <w:rFonts w:eastAsia="Times New Roman" w:cs="Times New Roman"/>
          <w:sz w:val="24"/>
          <w:szCs w:val="24"/>
        </w:rPr>
      </w:pPr>
    </w:p>
    <w:p w14:paraId="67C6C781" w14:textId="77777777" w:rsidR="007D5D04" w:rsidRDefault="007D5D04">
      <w:pPr>
        <w:jc w:val="center"/>
        <w:rPr>
          <w:rFonts w:eastAsia="Times New Roman" w:cs="Times New Roman"/>
          <w:sz w:val="24"/>
          <w:szCs w:val="24"/>
        </w:rPr>
      </w:pPr>
    </w:p>
    <w:p w14:paraId="767808B5" w14:textId="77777777" w:rsidR="007D5D04" w:rsidRDefault="007D5D04">
      <w:pPr>
        <w:jc w:val="center"/>
        <w:rPr>
          <w:rFonts w:eastAsia="Times New Roman" w:cs="Times New Roman"/>
          <w:sz w:val="24"/>
          <w:szCs w:val="24"/>
        </w:rPr>
      </w:pPr>
    </w:p>
    <w:p w14:paraId="079652FA" w14:textId="77777777" w:rsidR="007D5D04" w:rsidRDefault="007D5D04">
      <w:pPr>
        <w:jc w:val="center"/>
        <w:rPr>
          <w:rFonts w:eastAsia="Times New Roman" w:cs="Times New Roman"/>
          <w:sz w:val="24"/>
          <w:szCs w:val="24"/>
        </w:rPr>
      </w:pPr>
    </w:p>
    <w:p w14:paraId="0F25F65E" w14:textId="77777777" w:rsidR="007D5D04" w:rsidRDefault="007D5D04">
      <w:pPr>
        <w:jc w:val="center"/>
        <w:rPr>
          <w:rFonts w:eastAsia="Times New Roman" w:cs="Times New Roman"/>
          <w:sz w:val="24"/>
          <w:szCs w:val="24"/>
        </w:rPr>
      </w:pPr>
    </w:p>
    <w:p w14:paraId="630AF7D4" w14:textId="77777777" w:rsidR="007D5D04" w:rsidRDefault="007D5D04">
      <w:pPr>
        <w:jc w:val="center"/>
        <w:rPr>
          <w:rFonts w:eastAsia="Times New Roman" w:cs="Times New Roman"/>
          <w:sz w:val="24"/>
          <w:szCs w:val="24"/>
        </w:rPr>
      </w:pPr>
    </w:p>
    <w:p w14:paraId="43AD801A" w14:textId="77777777" w:rsidR="007D5D04" w:rsidRDefault="007D5D04">
      <w:pPr>
        <w:jc w:val="center"/>
        <w:rPr>
          <w:rFonts w:eastAsia="Times New Roman" w:cs="Times New Roman"/>
          <w:sz w:val="24"/>
          <w:szCs w:val="24"/>
        </w:rPr>
      </w:pPr>
    </w:p>
    <w:p w14:paraId="295D0CE1" w14:textId="77777777" w:rsidR="007D5D04" w:rsidRDefault="007D5D04">
      <w:pPr>
        <w:jc w:val="center"/>
        <w:rPr>
          <w:rFonts w:eastAsia="Times New Roman" w:cs="Times New Roman"/>
          <w:sz w:val="24"/>
          <w:szCs w:val="24"/>
        </w:rPr>
      </w:pPr>
    </w:p>
    <w:p w14:paraId="035325E4" w14:textId="77777777" w:rsidR="007D5D04" w:rsidRDefault="007D5D04">
      <w:pPr>
        <w:jc w:val="center"/>
        <w:rPr>
          <w:rFonts w:eastAsia="Times New Roman" w:cs="Times New Roman"/>
          <w:sz w:val="24"/>
          <w:szCs w:val="24"/>
        </w:rPr>
      </w:pPr>
    </w:p>
    <w:p w14:paraId="05C79538" w14:textId="71C3E5C8" w:rsidR="00D25741" w:rsidRPr="007D5D04" w:rsidRDefault="00000000">
      <w:pPr>
        <w:jc w:val="center"/>
        <w:rPr>
          <w:rFonts w:eastAsia="Times New Roman" w:cs="Times New Roman"/>
          <w:b/>
          <w:bCs/>
          <w:sz w:val="24"/>
          <w:szCs w:val="24"/>
        </w:rPr>
      </w:pPr>
      <w:r w:rsidRPr="007D5D04">
        <w:rPr>
          <w:rFonts w:eastAsia="Times New Roman" w:cs="Times New Roman"/>
          <w:b/>
          <w:bCs/>
          <w:sz w:val="24"/>
          <w:szCs w:val="24"/>
        </w:rPr>
        <w:lastRenderedPageBreak/>
        <w:t xml:space="preserve">CHAPTER 4  </w:t>
      </w:r>
    </w:p>
    <w:p w14:paraId="54B43E4A" w14:textId="77777777" w:rsidR="00D25741" w:rsidRPr="007D5D04" w:rsidRDefault="00000000">
      <w:pPr>
        <w:jc w:val="center"/>
        <w:rPr>
          <w:rFonts w:eastAsia="Times New Roman" w:cs="Times New Roman"/>
          <w:b/>
          <w:bCs/>
          <w:sz w:val="24"/>
          <w:szCs w:val="24"/>
        </w:rPr>
      </w:pPr>
      <w:r w:rsidRPr="007D5D04">
        <w:rPr>
          <w:rFonts w:eastAsia="Times New Roman" w:cs="Times New Roman"/>
          <w:b/>
          <w:bCs/>
          <w:sz w:val="24"/>
          <w:szCs w:val="24"/>
        </w:rPr>
        <w:t>SUMMARY OF FINDINGS, CONCLUSION AND RECOMMENDATION</w:t>
      </w:r>
    </w:p>
    <w:p w14:paraId="21C67886" w14:textId="77777777" w:rsidR="00D25741" w:rsidRDefault="00D25741">
      <w:pPr>
        <w:rPr>
          <w:rFonts w:eastAsia="Times New Roman" w:cs="Times New Roman"/>
          <w:sz w:val="24"/>
          <w:szCs w:val="24"/>
        </w:rPr>
      </w:pPr>
    </w:p>
    <w:p w14:paraId="560A65C6" w14:textId="77777777" w:rsidR="00D25741" w:rsidRDefault="00D25741">
      <w:pPr>
        <w:rPr>
          <w:rFonts w:eastAsia="Times New Roman" w:cs="Times New Roman"/>
          <w:sz w:val="24"/>
          <w:szCs w:val="24"/>
        </w:rPr>
      </w:pPr>
    </w:p>
    <w:p w14:paraId="67EF4680" w14:textId="6C00F6A5" w:rsidR="00D25741" w:rsidRPr="007D5D04" w:rsidRDefault="00000000">
      <w:pPr>
        <w:rPr>
          <w:rFonts w:eastAsia="Times New Roman" w:cs="Times New Roman"/>
          <w:b/>
          <w:bCs/>
          <w:sz w:val="24"/>
          <w:szCs w:val="24"/>
        </w:rPr>
      </w:pPr>
      <w:r w:rsidRPr="007D5D04">
        <w:rPr>
          <w:rFonts w:eastAsia="Times New Roman" w:cs="Times New Roman"/>
          <w:b/>
          <w:bCs/>
          <w:sz w:val="24"/>
          <w:szCs w:val="24"/>
        </w:rPr>
        <w:t>4.1</w:t>
      </w:r>
      <w:r w:rsidR="00511022" w:rsidRPr="007D5D04">
        <w:rPr>
          <w:rFonts w:eastAsia="Times New Roman" w:cs="Times New Roman"/>
          <w:b/>
          <w:bCs/>
          <w:sz w:val="24"/>
          <w:szCs w:val="24"/>
        </w:rPr>
        <w:t xml:space="preserve"> </w:t>
      </w:r>
      <w:r w:rsidRPr="007D5D04">
        <w:rPr>
          <w:rFonts w:eastAsia="Times New Roman" w:cs="Times New Roman"/>
          <w:b/>
          <w:bCs/>
          <w:sz w:val="24"/>
          <w:szCs w:val="24"/>
        </w:rPr>
        <w:t>SUMMARY OF FINDINGS:</w:t>
      </w:r>
    </w:p>
    <w:p w14:paraId="61709A14"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 xml:space="preserve">The analysis of the five selected Nifty 50 index mutual funds—ICICI Prudential, HDFC, UTI, Nippon India, and SBI—provides a comprehensive understanding of their risk and return </w:t>
      </w:r>
      <w:proofErr w:type="spellStart"/>
      <w:r>
        <w:rPr>
          <w:rFonts w:eastAsia="Times New Roman" w:cs="Times New Roman"/>
          <w:sz w:val="24"/>
          <w:szCs w:val="24"/>
        </w:rPr>
        <w:t>behaviour</w:t>
      </w:r>
      <w:proofErr w:type="spellEnd"/>
      <w:r>
        <w:rPr>
          <w:rFonts w:eastAsia="Times New Roman" w:cs="Times New Roman"/>
          <w:sz w:val="24"/>
          <w:szCs w:val="24"/>
        </w:rPr>
        <w:t xml:space="preserve"> over the study period. The findings derived from NAV growth, risk decomposition, and performance ratios highlight the similarities and differences in the performance of these passively managed funds.</w:t>
      </w:r>
    </w:p>
    <w:p w14:paraId="37D3DB9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Firstly, the NAV growth analysis for 2021–2022 shows that all five funds delivered nearly similar growth rates ranging between 9.53% and 9.80%, reflecting the passive nature of index funds that track the Nifty 50 Index. The UTI and ICICI funds showed marginally higher growth, while the HDFC fund recorded the lowest growth, although the differences were minimal.</w:t>
      </w:r>
    </w:p>
    <w:p w14:paraId="559C000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mean return analysis indicates that the SBI Nifty Index Fund achieved the highest average return among the funds, with a mean return of 1.1078, while the HDFC Index Fund recorded the lowest mean return at 1.052934. The consistency in mean returns across the funds reinforces their alignment with market movements, which is expected from index-based schemes.</w:t>
      </w:r>
    </w:p>
    <w:p w14:paraId="5CB9F404"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In terms of market sensitivity, the beta values show that all funds move closely with the Nifty 50, although the SBI fund exhibits the highest beta (1.26613), making it the most sensitive to market fluctuations. The HDFC fund has the lowest beta, indicating relatively lower exposure to systematic risk.</w:t>
      </w:r>
    </w:p>
    <w:p w14:paraId="64D337B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systematic risk analysis reveals notable differences among the funds. Nippon India shows the highest systematic risk (2.953246), while UTI shows the lowest (0.70665). This signifies that Nippon India is highly affected by market-wide risk factors, whereas UTI experiences comparatively lower market-driven volatility.</w:t>
      </w:r>
    </w:p>
    <w:p w14:paraId="160E11EC"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unsystematic risk analysis highlights the fund-specific risk component. UTI displays the highest unsystematic risk (3.330503), followed closely by SBI (3.226402), indicating the presence of higher company-specific or fund-specific variability. Nippon India has the lowest unsystematic risk (0.793748), suggesting higher diversification efficiency.</w:t>
      </w:r>
    </w:p>
    <w:p w14:paraId="34D2506B"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risk ratios—Sharpe, Treynor, and Jensen—provide insight into risk-adjusted performance. The Sharpe ratios indicate that SBI delivers the best total risk-adjusted return (0.199235), while HDFC shows the lowest. Treynor ratios rank HDFC as the best performer relative to systematic risk, whereas SBI ranks lowest. Jensen’s Alpha is negative for all funds, consistent with the passive nature of index funds that aim to replicate the market rather than outperform it. The least negative alpha is observed in HDFC, indicating performance closest to expected market returns, while SBI records the most negative alpha.</w:t>
      </w:r>
    </w:p>
    <w:p w14:paraId="2CE86F7F" w14:textId="77777777" w:rsidR="007D5D04" w:rsidRDefault="007D5D04">
      <w:pPr>
        <w:spacing w:before="240" w:after="240"/>
        <w:jc w:val="both"/>
        <w:rPr>
          <w:rFonts w:eastAsia="Times New Roman" w:cs="Times New Roman"/>
          <w:sz w:val="24"/>
          <w:szCs w:val="24"/>
        </w:rPr>
      </w:pPr>
    </w:p>
    <w:p w14:paraId="0363EFDE" w14:textId="5AE561DE" w:rsidR="00D25741" w:rsidRDefault="00000000">
      <w:pPr>
        <w:spacing w:before="240" w:after="240"/>
        <w:jc w:val="both"/>
        <w:rPr>
          <w:rFonts w:eastAsia="Times New Roman" w:cs="Times New Roman"/>
          <w:sz w:val="24"/>
          <w:szCs w:val="24"/>
        </w:rPr>
      </w:pPr>
      <w:r>
        <w:rPr>
          <w:rFonts w:eastAsia="Times New Roman" w:cs="Times New Roman"/>
          <w:sz w:val="24"/>
          <w:szCs w:val="24"/>
        </w:rPr>
        <w:lastRenderedPageBreak/>
        <w:t>Overall, the findings suggest that while all selected index funds broadly mirror the market, they differ in risk components and risk-adjusted performance. SBI performs better when considering overall volatility, HDFC performs better against systematic risk, UTI carries high unsystematic risk, and Nippon India exhibits the lowest fund-specific risk. The results reinforce that index funds provide stable, market-linked returns with varying levels of risk exposure depending on fund structure, expense ratios, and tracking efficiency.</w:t>
      </w:r>
    </w:p>
    <w:p w14:paraId="2BF5C6B4" w14:textId="77777777" w:rsidR="00D25741" w:rsidRDefault="00D25741">
      <w:pPr>
        <w:spacing w:before="240" w:after="240"/>
        <w:jc w:val="both"/>
        <w:rPr>
          <w:rFonts w:eastAsia="Times New Roman" w:cs="Times New Roman"/>
          <w:sz w:val="24"/>
          <w:szCs w:val="24"/>
        </w:rPr>
      </w:pPr>
    </w:p>
    <w:p w14:paraId="0ED4C3EE" w14:textId="77777777" w:rsidR="00D25741" w:rsidRPr="007D5D04" w:rsidRDefault="00000000">
      <w:pPr>
        <w:spacing w:before="240" w:after="240"/>
        <w:jc w:val="both"/>
        <w:rPr>
          <w:rFonts w:eastAsia="Times New Roman" w:cs="Times New Roman"/>
          <w:b/>
          <w:bCs/>
          <w:sz w:val="24"/>
          <w:szCs w:val="24"/>
        </w:rPr>
      </w:pPr>
      <w:r w:rsidRPr="007D5D04">
        <w:rPr>
          <w:rFonts w:eastAsia="Times New Roman" w:cs="Times New Roman"/>
          <w:b/>
          <w:bCs/>
          <w:sz w:val="24"/>
          <w:szCs w:val="24"/>
        </w:rPr>
        <w:t>4.2 CONCLUSION:</w:t>
      </w:r>
    </w:p>
    <w:p w14:paraId="136D4174"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study “Analysis of Risk and Return of Mutual Funds” aimed to evaluate the performance of selected Nifty 50 index funds by examining their return patterns, risk components, and risk-adjusted performance over the study period. Based on the analysis conducted, it is evident that all five funds ICICI Prudential, HDFC, UTI, Nippon India, and SBI exhibit strong alignment with the Nifty 50 Index, reaffirming the nature of index funds as passive investment vehicles designed to mirror the market rather than outperform it.</w:t>
      </w:r>
    </w:p>
    <w:p w14:paraId="6174B743"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NAV growth and mean return analysis shows that although the funds delivered similar returns, slight differences exist due to variations in expense ratios, tracking error, and portfolio management efficiency. SBI demonstrated the highest mean return, while HDFC reported comparatively lower returns. The beta values confirm that all funds carry full exposure to market risk, with SBI being the most sensitive to market fluctuations and HDFC being the least.</w:t>
      </w:r>
    </w:p>
    <w:p w14:paraId="55A7610D"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Risk decomposition provided deeper insights into the nature of total risk. Nippon India showed the highest systematic risk, driven largely by market conditions, whereas UTI displayed the highest unsystematic risk, indicating greater influence from fund-specific or company-specific factors. Despite these differences, the overall risk profile for all funds remained within a predictable range, characteristic of diversified index funds.</w:t>
      </w:r>
    </w:p>
    <w:p w14:paraId="11431627"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The risk-adjusted performance metrics Sharpe, Treynor, and Jensen’s Alpha further highlighted nuanced differences. While the SBI fund performed best in terms of total risk-adjusted return (Sharpe Ratio), the HDFC fund outperformed others when evaluated against systematic risk (Treynor Ratio). Jensen’s Alpha was negative for all funds, indicating that none of the funds exceeded the returns expected by the market risk-return relationship, which is consistent with passive fund management.</w:t>
      </w:r>
    </w:p>
    <w:p w14:paraId="55B59542"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In conclusion, the study establishes that Nifty 50 index funds offer stable and predictable returns, making them suitable for long-term investors seeking market-linked performance with low active management risk. Although minor variations exist among funds, index funds remain an effective investment avenue for diversification, cost efficiency, and low-maintenance wealth creation. The findings emphasize the importance of understanding both risk and return metrics in selecting the most suitable mutual fund based on an investor’s risk tolerance and financial goals.</w:t>
      </w:r>
    </w:p>
    <w:p w14:paraId="322BDC92" w14:textId="77777777" w:rsidR="00D25741" w:rsidRDefault="00D25741">
      <w:pPr>
        <w:spacing w:before="240" w:after="240"/>
        <w:jc w:val="both"/>
        <w:rPr>
          <w:rFonts w:eastAsia="Times New Roman" w:cs="Times New Roman"/>
          <w:sz w:val="24"/>
          <w:szCs w:val="24"/>
        </w:rPr>
      </w:pPr>
    </w:p>
    <w:p w14:paraId="5CAB02FE" w14:textId="77777777" w:rsidR="007D5D04" w:rsidRDefault="007D5D04">
      <w:pPr>
        <w:spacing w:before="240" w:after="240"/>
        <w:jc w:val="both"/>
        <w:rPr>
          <w:rFonts w:eastAsia="Times New Roman" w:cs="Times New Roman"/>
          <w:b/>
          <w:bCs/>
          <w:sz w:val="24"/>
          <w:szCs w:val="24"/>
        </w:rPr>
      </w:pPr>
    </w:p>
    <w:p w14:paraId="57B98D7A" w14:textId="6C0A27F0" w:rsidR="00D25741" w:rsidRPr="007D5D04" w:rsidRDefault="00000000">
      <w:pPr>
        <w:spacing w:before="240" w:after="240"/>
        <w:jc w:val="both"/>
        <w:rPr>
          <w:rFonts w:eastAsia="Times New Roman" w:cs="Times New Roman"/>
          <w:b/>
          <w:bCs/>
          <w:sz w:val="24"/>
          <w:szCs w:val="24"/>
        </w:rPr>
      </w:pPr>
      <w:r w:rsidRPr="007D5D04">
        <w:rPr>
          <w:rFonts w:eastAsia="Times New Roman" w:cs="Times New Roman"/>
          <w:b/>
          <w:bCs/>
          <w:sz w:val="24"/>
          <w:szCs w:val="24"/>
        </w:rPr>
        <w:lastRenderedPageBreak/>
        <w:t>4.3 RECOMMENDATION:</w:t>
      </w:r>
    </w:p>
    <w:p w14:paraId="04756341" w14:textId="77777777" w:rsidR="00D25741" w:rsidRDefault="00000000">
      <w:pPr>
        <w:spacing w:before="240" w:after="240"/>
        <w:jc w:val="both"/>
        <w:rPr>
          <w:rFonts w:eastAsia="Times New Roman" w:cs="Times New Roman"/>
          <w:sz w:val="24"/>
          <w:szCs w:val="24"/>
        </w:rPr>
      </w:pPr>
      <w:r>
        <w:rPr>
          <w:rFonts w:eastAsia="Times New Roman" w:cs="Times New Roman"/>
          <w:sz w:val="24"/>
          <w:szCs w:val="24"/>
        </w:rPr>
        <w:t>Based on the findings of the study, several recommendations can be made to help investors, fund managers, and future researchers make informed decisions regarding mutual fund investments, especially index funds.</w:t>
      </w:r>
    </w:p>
    <w:p w14:paraId="5F0EAF50" w14:textId="77777777" w:rsidR="007D5D04" w:rsidRDefault="00000000" w:rsidP="007D5D04">
      <w:pPr>
        <w:numPr>
          <w:ilvl w:val="0"/>
          <w:numId w:val="43"/>
        </w:numPr>
        <w:spacing w:before="240"/>
        <w:jc w:val="both"/>
        <w:rPr>
          <w:rFonts w:eastAsia="Times New Roman" w:cs="Times New Roman"/>
          <w:sz w:val="24"/>
          <w:szCs w:val="24"/>
        </w:rPr>
      </w:pPr>
      <w:r>
        <w:rPr>
          <w:rFonts w:eastAsia="Times New Roman" w:cs="Times New Roman"/>
          <w:b/>
          <w:bCs/>
          <w:sz w:val="24"/>
          <w:szCs w:val="24"/>
        </w:rPr>
        <w:t>Investors Should Prefer Low-Cost Index Funds</w:t>
      </w:r>
    </w:p>
    <w:p w14:paraId="266D779A" w14:textId="51687D9B" w:rsidR="00D25741" w:rsidRPr="007D5D04" w:rsidRDefault="00000000" w:rsidP="007D5D04">
      <w:pPr>
        <w:spacing w:before="240"/>
        <w:ind w:left="720"/>
        <w:jc w:val="both"/>
        <w:rPr>
          <w:rFonts w:eastAsia="Times New Roman" w:cs="Times New Roman"/>
          <w:sz w:val="24"/>
          <w:szCs w:val="24"/>
        </w:rPr>
      </w:pPr>
      <w:r w:rsidRPr="007D5D04">
        <w:rPr>
          <w:rFonts w:eastAsia="Times New Roman" w:cs="Times New Roman"/>
          <w:sz w:val="24"/>
          <w:szCs w:val="24"/>
        </w:rPr>
        <w:t>Since expense ratio has a direct impact on net returns, investors are advised to choose index funds with lower expense ratios, such as UTI and Nippon India. Over the long term, even small differences in costs can significantly influence overall portfolio performance.</w:t>
      </w:r>
      <w:r w:rsidRPr="007D5D04">
        <w:rPr>
          <w:rFonts w:eastAsia="Times New Roman" w:cs="Times New Roman"/>
          <w:sz w:val="24"/>
          <w:szCs w:val="24"/>
        </w:rPr>
        <w:br/>
      </w:r>
    </w:p>
    <w:p w14:paraId="7B24E6DC" w14:textId="77777777" w:rsidR="007D5D04" w:rsidRPr="007D5D04" w:rsidRDefault="00000000">
      <w:pPr>
        <w:numPr>
          <w:ilvl w:val="0"/>
          <w:numId w:val="43"/>
        </w:numPr>
        <w:jc w:val="both"/>
        <w:rPr>
          <w:rFonts w:eastAsia="Times New Roman" w:cs="Times New Roman"/>
          <w:sz w:val="24"/>
          <w:szCs w:val="24"/>
        </w:rPr>
      </w:pPr>
      <w:r>
        <w:rPr>
          <w:rFonts w:eastAsia="Times New Roman" w:cs="Times New Roman"/>
          <w:b/>
          <w:bCs/>
          <w:sz w:val="24"/>
          <w:szCs w:val="24"/>
        </w:rPr>
        <w:t>Evaluate Risk Profile Before Investing</w:t>
      </w:r>
    </w:p>
    <w:p w14:paraId="343F62D3" w14:textId="30A79294" w:rsidR="007D5D04" w:rsidRDefault="00000000" w:rsidP="007D5D04">
      <w:pPr>
        <w:ind w:left="720"/>
        <w:jc w:val="both"/>
        <w:rPr>
          <w:rFonts w:eastAsia="Times New Roman" w:cs="Times New Roman"/>
          <w:sz w:val="24"/>
          <w:szCs w:val="24"/>
        </w:rPr>
      </w:pPr>
      <w:r>
        <w:rPr>
          <w:rFonts w:eastAsia="Times New Roman" w:cs="Times New Roman"/>
          <w:b/>
          <w:bCs/>
          <w:sz w:val="24"/>
          <w:szCs w:val="24"/>
        </w:rPr>
        <w:br/>
      </w:r>
      <w:r>
        <w:rPr>
          <w:rFonts w:eastAsia="Times New Roman" w:cs="Times New Roman"/>
          <w:sz w:val="24"/>
          <w:szCs w:val="24"/>
        </w:rPr>
        <w:t>Investors should assess their risk tolerance before selecting a fund. Those comfortable with higher market volatility may choose funds with higher beta, such as SBI, while conservative investors may prefer funds like HDFC, which show lower sensitivity to market fluctuations.</w:t>
      </w:r>
    </w:p>
    <w:p w14:paraId="50921142" w14:textId="75D62B13" w:rsidR="00D25741" w:rsidRDefault="00000000" w:rsidP="007D5D04">
      <w:pPr>
        <w:ind w:left="720"/>
        <w:jc w:val="both"/>
        <w:rPr>
          <w:rFonts w:eastAsia="Times New Roman" w:cs="Times New Roman"/>
          <w:sz w:val="24"/>
          <w:szCs w:val="24"/>
        </w:rPr>
      </w:pPr>
      <w:r>
        <w:rPr>
          <w:rFonts w:eastAsia="Times New Roman" w:cs="Times New Roman"/>
          <w:sz w:val="24"/>
          <w:szCs w:val="24"/>
        </w:rPr>
        <w:br/>
      </w:r>
    </w:p>
    <w:p w14:paraId="51BDB504" w14:textId="77777777" w:rsidR="007D5D04" w:rsidRPr="007D5D04" w:rsidRDefault="00000000">
      <w:pPr>
        <w:numPr>
          <w:ilvl w:val="0"/>
          <w:numId w:val="43"/>
        </w:numPr>
        <w:jc w:val="both"/>
        <w:rPr>
          <w:rFonts w:eastAsia="Times New Roman" w:cs="Times New Roman"/>
          <w:sz w:val="24"/>
          <w:szCs w:val="24"/>
        </w:rPr>
      </w:pPr>
      <w:r>
        <w:rPr>
          <w:rFonts w:eastAsia="Times New Roman" w:cs="Times New Roman"/>
          <w:b/>
          <w:bCs/>
          <w:sz w:val="24"/>
          <w:szCs w:val="24"/>
        </w:rPr>
        <w:t>Diversification Beyond Index Funds is Recommended</w:t>
      </w:r>
    </w:p>
    <w:p w14:paraId="04603000" w14:textId="27AF077E" w:rsidR="007D5D04" w:rsidRDefault="00000000" w:rsidP="007D5D04">
      <w:pPr>
        <w:ind w:left="720"/>
        <w:jc w:val="both"/>
        <w:rPr>
          <w:rFonts w:eastAsia="Times New Roman" w:cs="Times New Roman"/>
          <w:sz w:val="24"/>
          <w:szCs w:val="24"/>
        </w:rPr>
      </w:pPr>
      <w:r>
        <w:rPr>
          <w:rFonts w:eastAsia="Times New Roman" w:cs="Times New Roman"/>
          <w:b/>
          <w:bCs/>
          <w:sz w:val="24"/>
          <w:szCs w:val="24"/>
        </w:rPr>
        <w:br/>
      </w:r>
      <w:r>
        <w:rPr>
          <w:rFonts w:eastAsia="Times New Roman" w:cs="Times New Roman"/>
          <w:sz w:val="24"/>
          <w:szCs w:val="24"/>
        </w:rPr>
        <w:t>Although index funds provide broad market exposure, investors may benefit from combining them with other asset classes such as debt funds or hybrid funds to reduce portfolio-level risk and improve stability during volatile market conditions.</w:t>
      </w:r>
    </w:p>
    <w:p w14:paraId="0EACE14E" w14:textId="7EBF1A48" w:rsidR="00D25741" w:rsidRDefault="00000000" w:rsidP="007D5D04">
      <w:pPr>
        <w:ind w:left="720"/>
        <w:jc w:val="both"/>
        <w:rPr>
          <w:rFonts w:eastAsia="Times New Roman" w:cs="Times New Roman"/>
          <w:sz w:val="24"/>
          <w:szCs w:val="24"/>
        </w:rPr>
      </w:pPr>
      <w:r>
        <w:rPr>
          <w:rFonts w:eastAsia="Times New Roman" w:cs="Times New Roman"/>
          <w:sz w:val="24"/>
          <w:szCs w:val="24"/>
        </w:rPr>
        <w:br/>
      </w:r>
    </w:p>
    <w:p w14:paraId="133B5CE5" w14:textId="77777777" w:rsidR="007D5D04" w:rsidRPr="007D5D04" w:rsidRDefault="00000000">
      <w:pPr>
        <w:numPr>
          <w:ilvl w:val="0"/>
          <w:numId w:val="43"/>
        </w:numPr>
        <w:jc w:val="both"/>
        <w:rPr>
          <w:rFonts w:eastAsia="Times New Roman" w:cs="Times New Roman"/>
          <w:sz w:val="24"/>
          <w:szCs w:val="24"/>
        </w:rPr>
      </w:pPr>
      <w:r>
        <w:rPr>
          <w:rFonts w:eastAsia="Times New Roman" w:cs="Times New Roman"/>
          <w:b/>
          <w:bCs/>
          <w:sz w:val="24"/>
          <w:szCs w:val="24"/>
        </w:rPr>
        <w:t>Consider Long-Term Investment Horizon</w:t>
      </w:r>
    </w:p>
    <w:p w14:paraId="05A22A13" w14:textId="00BF2A72" w:rsidR="007D5D04" w:rsidRDefault="00000000" w:rsidP="007D5D04">
      <w:pPr>
        <w:ind w:left="720"/>
        <w:jc w:val="both"/>
        <w:rPr>
          <w:rFonts w:eastAsia="Times New Roman" w:cs="Times New Roman"/>
          <w:sz w:val="24"/>
          <w:szCs w:val="24"/>
        </w:rPr>
      </w:pPr>
      <w:r>
        <w:rPr>
          <w:rFonts w:eastAsia="Times New Roman" w:cs="Times New Roman"/>
          <w:b/>
          <w:bCs/>
          <w:sz w:val="24"/>
          <w:szCs w:val="24"/>
        </w:rPr>
        <w:br/>
      </w:r>
      <w:r>
        <w:rPr>
          <w:rFonts w:eastAsia="Times New Roman" w:cs="Times New Roman"/>
          <w:sz w:val="24"/>
          <w:szCs w:val="24"/>
        </w:rPr>
        <w:t>Index funds perform best over longer investment periods. Investors seeking short-term gains may not fully benefit from the compounding and market-tracking nature of these funds. A minimum investment horizon of 5–7 years is advisable.</w:t>
      </w:r>
    </w:p>
    <w:p w14:paraId="194C1606" w14:textId="67676BDF" w:rsidR="00D25741" w:rsidRDefault="00000000" w:rsidP="007D5D04">
      <w:pPr>
        <w:ind w:left="720"/>
        <w:jc w:val="both"/>
        <w:rPr>
          <w:rFonts w:eastAsia="Times New Roman" w:cs="Times New Roman"/>
          <w:sz w:val="24"/>
          <w:szCs w:val="24"/>
        </w:rPr>
      </w:pPr>
      <w:r>
        <w:rPr>
          <w:rFonts w:eastAsia="Times New Roman" w:cs="Times New Roman"/>
          <w:sz w:val="24"/>
          <w:szCs w:val="24"/>
        </w:rPr>
        <w:br/>
      </w:r>
    </w:p>
    <w:p w14:paraId="3914F9F7" w14:textId="77777777" w:rsidR="007D5D04" w:rsidRPr="007D5D04" w:rsidRDefault="00000000">
      <w:pPr>
        <w:numPr>
          <w:ilvl w:val="0"/>
          <w:numId w:val="43"/>
        </w:numPr>
        <w:jc w:val="both"/>
        <w:rPr>
          <w:rFonts w:eastAsia="Times New Roman" w:cs="Times New Roman"/>
          <w:sz w:val="24"/>
          <w:szCs w:val="24"/>
        </w:rPr>
      </w:pPr>
      <w:r>
        <w:rPr>
          <w:rFonts w:eastAsia="Times New Roman" w:cs="Times New Roman"/>
          <w:b/>
          <w:bCs/>
          <w:sz w:val="24"/>
          <w:szCs w:val="24"/>
        </w:rPr>
        <w:t>Regular Monitoring of Tracking Error</w:t>
      </w:r>
    </w:p>
    <w:p w14:paraId="16F5AFDC" w14:textId="40CBF755" w:rsidR="00D25741" w:rsidRDefault="00000000" w:rsidP="007D5D04">
      <w:pPr>
        <w:ind w:left="720"/>
        <w:jc w:val="both"/>
        <w:rPr>
          <w:rFonts w:eastAsia="Times New Roman" w:cs="Times New Roman"/>
          <w:sz w:val="24"/>
          <w:szCs w:val="24"/>
        </w:rPr>
      </w:pPr>
      <w:r>
        <w:rPr>
          <w:rFonts w:eastAsia="Times New Roman" w:cs="Times New Roman"/>
          <w:b/>
          <w:bCs/>
          <w:sz w:val="24"/>
          <w:szCs w:val="24"/>
        </w:rPr>
        <w:br/>
      </w:r>
      <w:r>
        <w:rPr>
          <w:rFonts w:eastAsia="Times New Roman" w:cs="Times New Roman"/>
          <w:sz w:val="24"/>
          <w:szCs w:val="24"/>
        </w:rPr>
        <w:t xml:space="preserve">Fund managers and investors should monitor the tracking error of index funds. Lower tracking error indicates better replication of the benchmark and more efficient management. Investors should </w:t>
      </w:r>
      <w:proofErr w:type="spellStart"/>
      <w:r>
        <w:rPr>
          <w:rFonts w:eastAsia="Times New Roman" w:cs="Times New Roman"/>
          <w:sz w:val="24"/>
          <w:szCs w:val="24"/>
        </w:rPr>
        <w:t>favour</w:t>
      </w:r>
      <w:proofErr w:type="spellEnd"/>
      <w:r>
        <w:rPr>
          <w:rFonts w:eastAsia="Times New Roman" w:cs="Times New Roman"/>
          <w:sz w:val="24"/>
          <w:szCs w:val="24"/>
        </w:rPr>
        <w:t xml:space="preserve"> funds that consistently maintain low tracking error values.</w:t>
      </w:r>
      <w:r>
        <w:rPr>
          <w:rFonts w:eastAsia="Times New Roman" w:cs="Times New Roman"/>
          <w:sz w:val="24"/>
          <w:szCs w:val="24"/>
        </w:rPr>
        <w:br/>
      </w:r>
    </w:p>
    <w:p w14:paraId="74861D4C" w14:textId="77777777" w:rsidR="007D5D04" w:rsidRPr="007D5D04" w:rsidRDefault="00000000">
      <w:pPr>
        <w:numPr>
          <w:ilvl w:val="0"/>
          <w:numId w:val="43"/>
        </w:numPr>
        <w:jc w:val="both"/>
        <w:rPr>
          <w:rFonts w:eastAsia="Times New Roman" w:cs="Times New Roman"/>
          <w:sz w:val="24"/>
          <w:szCs w:val="24"/>
        </w:rPr>
      </w:pPr>
      <w:r>
        <w:rPr>
          <w:rFonts w:eastAsia="Times New Roman" w:cs="Times New Roman"/>
          <w:b/>
          <w:bCs/>
          <w:sz w:val="24"/>
          <w:szCs w:val="24"/>
        </w:rPr>
        <w:t>Use Risk-Adjusted Performance Metrics for Fund Comparison</w:t>
      </w:r>
    </w:p>
    <w:p w14:paraId="6A684FEE" w14:textId="6BDC6041" w:rsidR="00D25741" w:rsidRDefault="00000000" w:rsidP="007D5D04">
      <w:pPr>
        <w:ind w:left="720"/>
        <w:jc w:val="both"/>
        <w:rPr>
          <w:rFonts w:eastAsia="Times New Roman" w:cs="Times New Roman"/>
          <w:sz w:val="24"/>
          <w:szCs w:val="24"/>
        </w:rPr>
      </w:pPr>
      <w:r>
        <w:rPr>
          <w:rFonts w:eastAsia="Times New Roman" w:cs="Times New Roman"/>
          <w:b/>
          <w:bCs/>
          <w:sz w:val="24"/>
          <w:szCs w:val="24"/>
        </w:rPr>
        <w:br/>
      </w:r>
      <w:r>
        <w:rPr>
          <w:rFonts w:eastAsia="Times New Roman" w:cs="Times New Roman"/>
          <w:sz w:val="24"/>
          <w:szCs w:val="24"/>
        </w:rPr>
        <w:t>Instead of focusing only on returns, investors should also evaluate Sharpe ratio, Treynor ratio, and Jensen’s Alpha to understand the true performance of a fund relative to the risk it carries. This ensures a more meaningful comparison between similar schemes.</w:t>
      </w:r>
      <w:r>
        <w:rPr>
          <w:rFonts w:eastAsia="Times New Roman" w:cs="Times New Roman"/>
          <w:sz w:val="24"/>
          <w:szCs w:val="24"/>
        </w:rPr>
        <w:br/>
      </w:r>
    </w:p>
    <w:p w14:paraId="35CBB52C" w14:textId="77777777" w:rsidR="007D5D04" w:rsidRPr="007D5D04" w:rsidRDefault="00000000">
      <w:pPr>
        <w:numPr>
          <w:ilvl w:val="0"/>
          <w:numId w:val="43"/>
        </w:numPr>
        <w:jc w:val="both"/>
        <w:rPr>
          <w:rFonts w:eastAsia="Times New Roman" w:cs="Times New Roman"/>
          <w:sz w:val="24"/>
          <w:szCs w:val="24"/>
        </w:rPr>
      </w:pPr>
      <w:r>
        <w:rPr>
          <w:rFonts w:eastAsia="Times New Roman" w:cs="Times New Roman"/>
          <w:b/>
          <w:bCs/>
          <w:sz w:val="24"/>
          <w:szCs w:val="24"/>
        </w:rPr>
        <w:lastRenderedPageBreak/>
        <w:t>Suitability for Passive Investors</w:t>
      </w:r>
    </w:p>
    <w:p w14:paraId="006918B4" w14:textId="77777777" w:rsidR="007D5D04" w:rsidRDefault="00000000" w:rsidP="007D5D04">
      <w:pPr>
        <w:ind w:left="720"/>
        <w:jc w:val="both"/>
        <w:rPr>
          <w:rFonts w:eastAsia="Times New Roman" w:cs="Times New Roman"/>
          <w:sz w:val="24"/>
          <w:szCs w:val="24"/>
        </w:rPr>
      </w:pPr>
      <w:r>
        <w:rPr>
          <w:rFonts w:eastAsia="Times New Roman" w:cs="Times New Roman"/>
          <w:b/>
          <w:bCs/>
          <w:sz w:val="24"/>
          <w:szCs w:val="24"/>
        </w:rPr>
        <w:br/>
      </w:r>
      <w:r>
        <w:rPr>
          <w:rFonts w:eastAsia="Times New Roman" w:cs="Times New Roman"/>
          <w:sz w:val="24"/>
          <w:szCs w:val="24"/>
        </w:rPr>
        <w:t>Since index funds are passive in nature, they are ideal for investors who prefer a hands-off approach. Individuals who do not wish to actively manage their portfolio or time the market can benefit from systematic investments in index funds.</w:t>
      </w:r>
    </w:p>
    <w:p w14:paraId="3ECF4277" w14:textId="313604F6" w:rsidR="00D25741" w:rsidRDefault="00000000" w:rsidP="007D5D04">
      <w:pPr>
        <w:ind w:left="720"/>
        <w:jc w:val="both"/>
        <w:rPr>
          <w:rFonts w:eastAsia="Times New Roman" w:cs="Times New Roman"/>
          <w:sz w:val="24"/>
          <w:szCs w:val="24"/>
        </w:rPr>
      </w:pPr>
      <w:r>
        <w:rPr>
          <w:rFonts w:eastAsia="Times New Roman" w:cs="Times New Roman"/>
          <w:sz w:val="24"/>
          <w:szCs w:val="24"/>
        </w:rPr>
        <w:br/>
      </w:r>
    </w:p>
    <w:p w14:paraId="143B33E9" w14:textId="77777777" w:rsidR="007D5D04" w:rsidRDefault="00000000" w:rsidP="007D5D04">
      <w:pPr>
        <w:numPr>
          <w:ilvl w:val="0"/>
          <w:numId w:val="43"/>
        </w:numPr>
        <w:spacing w:after="240"/>
        <w:jc w:val="both"/>
        <w:rPr>
          <w:rFonts w:eastAsia="Times New Roman" w:cs="Times New Roman"/>
          <w:sz w:val="24"/>
          <w:szCs w:val="24"/>
        </w:rPr>
      </w:pPr>
      <w:r>
        <w:rPr>
          <w:rFonts w:eastAsia="Times New Roman" w:cs="Times New Roman"/>
          <w:b/>
          <w:bCs/>
          <w:sz w:val="24"/>
          <w:szCs w:val="24"/>
        </w:rPr>
        <w:t>Future Research Should Include Extended Time Periods</w:t>
      </w:r>
    </w:p>
    <w:p w14:paraId="3035A360" w14:textId="0FF31134" w:rsidR="00D25741" w:rsidRPr="007D5D04" w:rsidRDefault="00000000" w:rsidP="007D5D04">
      <w:pPr>
        <w:spacing w:after="240"/>
        <w:ind w:left="720"/>
        <w:jc w:val="both"/>
        <w:rPr>
          <w:rFonts w:eastAsia="Times New Roman" w:cs="Times New Roman"/>
          <w:sz w:val="24"/>
          <w:szCs w:val="24"/>
        </w:rPr>
      </w:pPr>
      <w:r w:rsidRPr="007D5D04">
        <w:rPr>
          <w:rFonts w:eastAsia="Times New Roman" w:cs="Times New Roman"/>
          <w:sz w:val="24"/>
          <w:szCs w:val="24"/>
        </w:rPr>
        <w:t>Researchers should consider using longer time frames and a broader range of funds to capture different market cycles. Inclusion of different indices, such as Nifty Next 50 or sector-specific index funds, may provide deeper insights into mutual fund performance.</w:t>
      </w:r>
    </w:p>
    <w:p w14:paraId="14C9730B" w14:textId="77777777" w:rsidR="00D25741" w:rsidRDefault="00D25741">
      <w:pPr>
        <w:spacing w:before="240" w:after="240"/>
        <w:jc w:val="both"/>
        <w:rPr>
          <w:rFonts w:eastAsia="Times New Roman" w:cs="Times New Roman"/>
          <w:sz w:val="24"/>
          <w:szCs w:val="24"/>
        </w:rPr>
      </w:pPr>
    </w:p>
    <w:p w14:paraId="0F4F2652" w14:textId="77777777" w:rsidR="00D25741" w:rsidRDefault="00D25741">
      <w:pPr>
        <w:spacing w:before="240" w:after="240"/>
        <w:jc w:val="both"/>
        <w:rPr>
          <w:rFonts w:eastAsia="Times New Roman" w:cs="Times New Roman"/>
          <w:sz w:val="24"/>
          <w:szCs w:val="24"/>
        </w:rPr>
      </w:pPr>
    </w:p>
    <w:p w14:paraId="6A7DC98A" w14:textId="77777777" w:rsidR="00D25741" w:rsidRDefault="00D25741">
      <w:pPr>
        <w:rPr>
          <w:rFonts w:eastAsia="Times New Roman" w:cs="Times New Roman"/>
          <w:sz w:val="24"/>
          <w:szCs w:val="24"/>
        </w:rPr>
      </w:pPr>
    </w:p>
    <w:p w14:paraId="76A9A459" w14:textId="77777777" w:rsidR="00D25741" w:rsidRDefault="00D25741">
      <w:pPr>
        <w:rPr>
          <w:rFonts w:eastAsia="Times New Roman" w:cs="Times New Roman"/>
          <w:sz w:val="24"/>
          <w:szCs w:val="24"/>
        </w:rPr>
      </w:pPr>
    </w:p>
    <w:p w14:paraId="6512D5C7" w14:textId="77777777" w:rsidR="00D25741" w:rsidRDefault="00D25741">
      <w:pPr>
        <w:rPr>
          <w:rFonts w:eastAsia="Times New Roman" w:cs="Times New Roman"/>
          <w:sz w:val="24"/>
          <w:szCs w:val="24"/>
        </w:rPr>
      </w:pPr>
    </w:p>
    <w:sectPr w:rsidR="00D25741">
      <w:head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827C2" w14:textId="77777777" w:rsidR="00B6053A" w:rsidRDefault="00B6053A">
      <w:r>
        <w:separator/>
      </w:r>
    </w:p>
  </w:endnote>
  <w:endnote w:type="continuationSeparator" w:id="0">
    <w:p w14:paraId="79638610" w14:textId="77777777" w:rsidR="00B6053A" w:rsidRDefault="00B605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BA816352-CA4C-412E-974E-E1383751F5A1}"/>
  </w:font>
  <w:font w:name="Gungsuh">
    <w:charset w:val="81"/>
    <w:family w:val="roman"/>
    <w:pitch w:val="variable"/>
    <w:sig w:usb0="B00002AF" w:usb1="69D77CFB" w:usb2="00000030" w:usb3="00000000" w:csb0="0008009F" w:csb1="00000000"/>
    <w:embedRegular r:id="rId2" w:subsetted="1" w:fontKey="{96CBA133-5AC4-4B5C-BC1D-FEB9EC8E3080}"/>
  </w:font>
  <w:font w:name="Calibri">
    <w:panose1 w:val="020F0502020204030204"/>
    <w:charset w:val="00"/>
    <w:family w:val="swiss"/>
    <w:pitch w:val="variable"/>
    <w:sig w:usb0="E4002EFF" w:usb1="C200247B" w:usb2="00000009" w:usb3="00000000" w:csb0="000001FF" w:csb1="00000000"/>
    <w:embedRegular r:id="rId3" w:fontKey="{01A9EB66-063A-4F25-9049-A3A84D04AEA6}"/>
  </w:font>
  <w:font w:name="Cambria">
    <w:panose1 w:val="02040503050406030204"/>
    <w:charset w:val="00"/>
    <w:family w:val="roman"/>
    <w:pitch w:val="variable"/>
    <w:sig w:usb0="E00006FF" w:usb1="420024FF" w:usb2="02000000" w:usb3="00000000" w:csb0="0000019F" w:csb1="00000000"/>
    <w:embedRegular r:id="rId4" w:fontKey="{CD29B6B0-7878-4A2B-A56F-8FEB16E7068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998BF" w14:textId="77777777" w:rsidR="00B6053A" w:rsidRDefault="00B6053A">
      <w:r>
        <w:separator/>
      </w:r>
    </w:p>
  </w:footnote>
  <w:footnote w:type="continuationSeparator" w:id="0">
    <w:p w14:paraId="50F9CA83" w14:textId="77777777" w:rsidR="00B6053A" w:rsidRDefault="00B605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D724D" w14:textId="77777777" w:rsidR="00D25741" w:rsidRDefault="00D257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22A18"/>
    <w:multiLevelType w:val="multilevel"/>
    <w:tmpl w:val="2960D1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064AAF"/>
    <w:multiLevelType w:val="multilevel"/>
    <w:tmpl w:val="A218EC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7A34CF"/>
    <w:multiLevelType w:val="multilevel"/>
    <w:tmpl w:val="50FC32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6D068E"/>
    <w:multiLevelType w:val="multilevel"/>
    <w:tmpl w:val="4ADA0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251D50"/>
    <w:multiLevelType w:val="hybridMultilevel"/>
    <w:tmpl w:val="C9BE224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411788B"/>
    <w:multiLevelType w:val="multilevel"/>
    <w:tmpl w:val="8F24B9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66C6970"/>
    <w:multiLevelType w:val="multilevel"/>
    <w:tmpl w:val="63064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2B7E37"/>
    <w:multiLevelType w:val="multilevel"/>
    <w:tmpl w:val="9FB6B7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B5102E"/>
    <w:multiLevelType w:val="hybridMultilevel"/>
    <w:tmpl w:val="CC489AC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FC746EF"/>
    <w:multiLevelType w:val="multilevel"/>
    <w:tmpl w:val="18B64A2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4410241"/>
    <w:multiLevelType w:val="multilevel"/>
    <w:tmpl w:val="36E66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4DD7A62"/>
    <w:multiLevelType w:val="multilevel"/>
    <w:tmpl w:val="BEE25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596FDA"/>
    <w:multiLevelType w:val="multilevel"/>
    <w:tmpl w:val="A74C9B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A422E8"/>
    <w:multiLevelType w:val="multilevel"/>
    <w:tmpl w:val="BCFA7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ADA3659"/>
    <w:multiLevelType w:val="hybridMultilevel"/>
    <w:tmpl w:val="430E04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B395696"/>
    <w:multiLevelType w:val="multilevel"/>
    <w:tmpl w:val="1CD0D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DA60390"/>
    <w:multiLevelType w:val="multilevel"/>
    <w:tmpl w:val="90AEF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C35041"/>
    <w:multiLevelType w:val="multilevel"/>
    <w:tmpl w:val="1B20F0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8F71663"/>
    <w:multiLevelType w:val="multilevel"/>
    <w:tmpl w:val="F10ACB14"/>
    <w:lvl w:ilvl="0">
      <w:start w:val="1"/>
      <w:numFmt w:val="upp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39CC0E61"/>
    <w:multiLevelType w:val="multilevel"/>
    <w:tmpl w:val="C9C4E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A9F2D6C"/>
    <w:multiLevelType w:val="multilevel"/>
    <w:tmpl w:val="72E8C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CB93DBC"/>
    <w:multiLevelType w:val="hybridMultilevel"/>
    <w:tmpl w:val="6B7E18BC"/>
    <w:lvl w:ilvl="0" w:tplc="40090019">
      <w:start w:val="2"/>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981FAD"/>
    <w:multiLevelType w:val="hybridMultilevel"/>
    <w:tmpl w:val="00F29D4A"/>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3235FC"/>
    <w:multiLevelType w:val="multilevel"/>
    <w:tmpl w:val="6C046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06E007E"/>
    <w:multiLevelType w:val="multilevel"/>
    <w:tmpl w:val="43CAE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960208"/>
    <w:multiLevelType w:val="multilevel"/>
    <w:tmpl w:val="3CCE2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AD4E84"/>
    <w:multiLevelType w:val="multilevel"/>
    <w:tmpl w:val="BC409A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832AFA"/>
    <w:multiLevelType w:val="multilevel"/>
    <w:tmpl w:val="C98EF6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86D531C"/>
    <w:multiLevelType w:val="multilevel"/>
    <w:tmpl w:val="23F27F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A3526F0"/>
    <w:multiLevelType w:val="multilevel"/>
    <w:tmpl w:val="0AB06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A555BC6"/>
    <w:multiLevelType w:val="multilevel"/>
    <w:tmpl w:val="EA404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A6A10B5"/>
    <w:multiLevelType w:val="hybridMultilevel"/>
    <w:tmpl w:val="2872264E"/>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CB46D19"/>
    <w:multiLevelType w:val="multilevel"/>
    <w:tmpl w:val="6B4E0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CFA4631"/>
    <w:multiLevelType w:val="multilevel"/>
    <w:tmpl w:val="31CCE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E486C02"/>
    <w:multiLevelType w:val="multilevel"/>
    <w:tmpl w:val="9A10F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F7B5990"/>
    <w:multiLevelType w:val="multilevel"/>
    <w:tmpl w:val="6A9C7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3C598C"/>
    <w:multiLevelType w:val="multilevel"/>
    <w:tmpl w:val="3A843F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C70A57"/>
    <w:multiLevelType w:val="multilevel"/>
    <w:tmpl w:val="BA04E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3E25787"/>
    <w:multiLevelType w:val="multilevel"/>
    <w:tmpl w:val="2BAA8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9F25740"/>
    <w:multiLevelType w:val="multilevel"/>
    <w:tmpl w:val="E6946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AA06944"/>
    <w:multiLevelType w:val="multilevel"/>
    <w:tmpl w:val="62585C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E78727C"/>
    <w:multiLevelType w:val="multilevel"/>
    <w:tmpl w:val="AB1E4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098741F"/>
    <w:multiLevelType w:val="multilevel"/>
    <w:tmpl w:val="1248A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2231B36"/>
    <w:multiLevelType w:val="hybridMultilevel"/>
    <w:tmpl w:val="3BA486DE"/>
    <w:lvl w:ilvl="0" w:tplc="305A6962">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623E232B"/>
    <w:multiLevelType w:val="multilevel"/>
    <w:tmpl w:val="A0FC9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28D7C76"/>
    <w:multiLevelType w:val="multilevel"/>
    <w:tmpl w:val="040E0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33C4B28"/>
    <w:multiLevelType w:val="multilevel"/>
    <w:tmpl w:val="0BF874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4444814"/>
    <w:multiLevelType w:val="multilevel"/>
    <w:tmpl w:val="C4964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71A1CDB"/>
    <w:multiLevelType w:val="hybridMultilevel"/>
    <w:tmpl w:val="ABE03BA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69F35DEA"/>
    <w:multiLevelType w:val="multilevel"/>
    <w:tmpl w:val="3D7060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206120"/>
    <w:multiLevelType w:val="multilevel"/>
    <w:tmpl w:val="B0D67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3537ABA"/>
    <w:multiLevelType w:val="multilevel"/>
    <w:tmpl w:val="232E2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3C81F3B"/>
    <w:multiLevelType w:val="multilevel"/>
    <w:tmpl w:val="BEB0F7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7716D2E"/>
    <w:multiLevelType w:val="multilevel"/>
    <w:tmpl w:val="95AC9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BDC07D9"/>
    <w:multiLevelType w:val="multilevel"/>
    <w:tmpl w:val="80BC1F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C940103"/>
    <w:multiLevelType w:val="multilevel"/>
    <w:tmpl w:val="FF761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D1B5044"/>
    <w:multiLevelType w:val="multilevel"/>
    <w:tmpl w:val="F76454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F1F2302"/>
    <w:multiLevelType w:val="multilevel"/>
    <w:tmpl w:val="53D0C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13096436">
    <w:abstractNumId w:val="18"/>
  </w:num>
  <w:num w:numId="2" w16cid:durableId="2079283171">
    <w:abstractNumId w:val="13"/>
  </w:num>
  <w:num w:numId="3" w16cid:durableId="2120224666">
    <w:abstractNumId w:val="40"/>
  </w:num>
  <w:num w:numId="4" w16cid:durableId="1690789227">
    <w:abstractNumId w:val="24"/>
  </w:num>
  <w:num w:numId="5" w16cid:durableId="1256522425">
    <w:abstractNumId w:val="49"/>
  </w:num>
  <w:num w:numId="6" w16cid:durableId="1610428836">
    <w:abstractNumId w:val="50"/>
  </w:num>
  <w:num w:numId="7" w16cid:durableId="167018267">
    <w:abstractNumId w:val="37"/>
  </w:num>
  <w:num w:numId="8" w16cid:durableId="759834022">
    <w:abstractNumId w:val="34"/>
  </w:num>
  <w:num w:numId="9" w16cid:durableId="960573312">
    <w:abstractNumId w:val="42"/>
  </w:num>
  <w:num w:numId="10" w16cid:durableId="1357581462">
    <w:abstractNumId w:val="39"/>
  </w:num>
  <w:num w:numId="11" w16cid:durableId="1980185851">
    <w:abstractNumId w:val="7"/>
  </w:num>
  <w:num w:numId="12" w16cid:durableId="540633741">
    <w:abstractNumId w:val="29"/>
  </w:num>
  <w:num w:numId="13" w16cid:durableId="1287346432">
    <w:abstractNumId w:val="38"/>
  </w:num>
  <w:num w:numId="14" w16cid:durableId="2060543941">
    <w:abstractNumId w:val="3"/>
  </w:num>
  <w:num w:numId="15" w16cid:durableId="2107076533">
    <w:abstractNumId w:val="30"/>
  </w:num>
  <w:num w:numId="16" w16cid:durableId="2069497840">
    <w:abstractNumId w:val="36"/>
  </w:num>
  <w:num w:numId="17" w16cid:durableId="42680094">
    <w:abstractNumId w:val="26"/>
  </w:num>
  <w:num w:numId="18" w16cid:durableId="1165628464">
    <w:abstractNumId w:val="27"/>
  </w:num>
  <w:num w:numId="19" w16cid:durableId="858347676">
    <w:abstractNumId w:val="44"/>
  </w:num>
  <w:num w:numId="20" w16cid:durableId="295138167">
    <w:abstractNumId w:val="2"/>
  </w:num>
  <w:num w:numId="21" w16cid:durableId="827208319">
    <w:abstractNumId w:val="19"/>
  </w:num>
  <w:num w:numId="22" w16cid:durableId="742290778">
    <w:abstractNumId w:val="57"/>
  </w:num>
  <w:num w:numId="23" w16cid:durableId="1634285843">
    <w:abstractNumId w:val="56"/>
  </w:num>
  <w:num w:numId="24" w16cid:durableId="1796288589">
    <w:abstractNumId w:val="11"/>
  </w:num>
  <w:num w:numId="25" w16cid:durableId="673150161">
    <w:abstractNumId w:val="15"/>
  </w:num>
  <w:num w:numId="26" w16cid:durableId="395278543">
    <w:abstractNumId w:val="1"/>
  </w:num>
  <w:num w:numId="27" w16cid:durableId="820578108">
    <w:abstractNumId w:val="54"/>
  </w:num>
  <w:num w:numId="28" w16cid:durableId="179391891">
    <w:abstractNumId w:val="12"/>
  </w:num>
  <w:num w:numId="29" w16cid:durableId="573902874">
    <w:abstractNumId w:val="32"/>
  </w:num>
  <w:num w:numId="30" w16cid:durableId="140469835">
    <w:abstractNumId w:val="17"/>
  </w:num>
  <w:num w:numId="31" w16cid:durableId="1938825141">
    <w:abstractNumId w:val="10"/>
  </w:num>
  <w:num w:numId="32" w16cid:durableId="557978307">
    <w:abstractNumId w:val="0"/>
  </w:num>
  <w:num w:numId="33" w16cid:durableId="2005862833">
    <w:abstractNumId w:val="35"/>
  </w:num>
  <w:num w:numId="34" w16cid:durableId="1963681674">
    <w:abstractNumId w:val="53"/>
  </w:num>
  <w:num w:numId="35" w16cid:durableId="1925411898">
    <w:abstractNumId w:val="55"/>
  </w:num>
  <w:num w:numId="36" w16cid:durableId="1451557202">
    <w:abstractNumId w:val="23"/>
  </w:num>
  <w:num w:numId="37" w16cid:durableId="1697610099">
    <w:abstractNumId w:val="45"/>
  </w:num>
  <w:num w:numId="38" w16cid:durableId="1129981827">
    <w:abstractNumId w:val="46"/>
  </w:num>
  <w:num w:numId="39" w16cid:durableId="1474299820">
    <w:abstractNumId w:val="16"/>
  </w:num>
  <w:num w:numId="40" w16cid:durableId="906568922">
    <w:abstractNumId w:val="20"/>
  </w:num>
  <w:num w:numId="41" w16cid:durableId="1757819423">
    <w:abstractNumId w:val="5"/>
  </w:num>
  <w:num w:numId="42" w16cid:durableId="357006513">
    <w:abstractNumId w:val="41"/>
  </w:num>
  <w:num w:numId="43" w16cid:durableId="1452213265">
    <w:abstractNumId w:val="9"/>
  </w:num>
  <w:num w:numId="44" w16cid:durableId="3090682">
    <w:abstractNumId w:val="47"/>
  </w:num>
  <w:num w:numId="45" w16cid:durableId="1871263991">
    <w:abstractNumId w:val="52"/>
  </w:num>
  <w:num w:numId="46" w16cid:durableId="1608272337">
    <w:abstractNumId w:val="28"/>
  </w:num>
  <w:num w:numId="47" w16cid:durableId="706023907">
    <w:abstractNumId w:val="51"/>
  </w:num>
  <w:num w:numId="48" w16cid:durableId="1720981044">
    <w:abstractNumId w:val="6"/>
  </w:num>
  <w:num w:numId="49" w16cid:durableId="1108889248">
    <w:abstractNumId w:val="25"/>
  </w:num>
  <w:num w:numId="50" w16cid:durableId="1136797841">
    <w:abstractNumId w:val="33"/>
  </w:num>
  <w:num w:numId="51" w16cid:durableId="449012783">
    <w:abstractNumId w:val="14"/>
  </w:num>
  <w:num w:numId="52" w16cid:durableId="2118479654">
    <w:abstractNumId w:val="4"/>
  </w:num>
  <w:num w:numId="53" w16cid:durableId="1112701272">
    <w:abstractNumId w:val="22"/>
  </w:num>
  <w:num w:numId="54" w16cid:durableId="445005137">
    <w:abstractNumId w:val="8"/>
  </w:num>
  <w:num w:numId="55" w16cid:durableId="1274900481">
    <w:abstractNumId w:val="21"/>
  </w:num>
  <w:num w:numId="56" w16cid:durableId="1071928362">
    <w:abstractNumId w:val="43"/>
  </w:num>
  <w:num w:numId="57" w16cid:durableId="747843470">
    <w:abstractNumId w:val="31"/>
  </w:num>
  <w:num w:numId="58" w16cid:durableId="1336299757">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741"/>
    <w:rsid w:val="000A10EE"/>
    <w:rsid w:val="001874D9"/>
    <w:rsid w:val="003C5B79"/>
    <w:rsid w:val="00475E81"/>
    <w:rsid w:val="004E5B0B"/>
    <w:rsid w:val="00511022"/>
    <w:rsid w:val="00596D09"/>
    <w:rsid w:val="007D5D04"/>
    <w:rsid w:val="00807CAF"/>
    <w:rsid w:val="009F2F3A"/>
    <w:rsid w:val="00B50221"/>
    <w:rsid w:val="00B6053A"/>
    <w:rsid w:val="00D257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63223"/>
  <w15:docId w15:val="{9FD42B71-1675-44E2-B3EF-80AED3305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Arial"/>
        <w:sz w:val="22"/>
        <w:szCs w:val="22"/>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0EE"/>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180</TotalTime>
  <Pages>44</Pages>
  <Words>14129</Words>
  <Characters>80541</Characters>
  <Application>Microsoft Office Word</Application>
  <DocSecurity>0</DocSecurity>
  <Lines>671</Lines>
  <Paragraphs>188</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94482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M M Srikara</cp:lastModifiedBy>
  <cp:revision>2</cp:revision>
  <dcterms:created xsi:type="dcterms:W3CDTF">2025-12-07T06:19:00Z</dcterms:created>
  <dcterms:modified xsi:type="dcterms:W3CDTF">2025-12-07T09:29:00Z</dcterms:modified>
</cp:coreProperties>
</file>