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2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3. Technologie i metodyki wykorzystane w projekcie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 rozdziale opisano dobór technologii oraz metodyk projektowych zastosowanych przy budowie platformy MoodFlow. Każda decyzja techniczna została skonfrontowana z trzema kryteriami: spełnieniem wymagań projektu (rozdziały 2.2 i 2.3), adekwatnością do skali projektu inżynierskiego oraz możliwością merytorycznego uzasadnienia w pracy. Pominięto technologie eksperymentalne i takie, których wybór byłby trudny do obrony przed komisją.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3.1. Założenia metodyczne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U podstaw projektu leży kilka założeń metodycznych, które wpłynęły na całą architekturę systemu.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Architektura modularna w stylu DDD-light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Backend zorganizowano w niezależne moduły domenowe (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auth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users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organizations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assessments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results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analytics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notifications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audit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health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), z których każdy zawiera własny kontroler, serwis, repozytoria oraz definicje encji. Podejście to wynika z metodyki DDD (Domain-Driven Design) w jej uproszczonej formie i pozwala na czytelne mapowanie kodu na obszary biznesowe systemu.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Wzorzec architektury wielodostępnej (multi-tenant)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Zastosowano model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row-level multi-tenancy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wszystkie dane wszystkich firm znajdują się w jednej bazie danych, a izolacja jest realizowana przez filtrowanie zapytań po identyfikatorze organizacji pobieranym z tokenu uwierzytelniającego. Alternatywne modele (osobna baza per firma, osobny schemat) odrzucono jako zbyt kosztowne operacyjnie dla tej skali projektu.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Priorytetyzacja wymagań metodyką MoSCoW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Wymagania funkcjonalne i niefunkcjonalne zostały skategoryzowane zgodnie z metodyką MoSCoW (rozdziały 2.1–2.4), co umożliwiło świadome rozdzielenie funkcjonalności krytycznych od pomocniczych oraz uzasadnienie elementów świadomie wykluczonych z bieżącej wersji.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Anonimizacja danych metodą k-anonymity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Dla raportów dla działu HR przyjęto regułę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k-anonymity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z progiem k=5 — agregaty są ukrywane dla grup mniejszych niż pięć osób. Metoda ta jest uznanym standardem w przetwarzaniu danych medycznych i pozwala zachować równowagę pomiędzy użytecznością analityczną a ochroną prywatności.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3.2. Język programowania — TypeScript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Cały kod aplikacji — zarówno backend, jak i oba frontendy — został napisany w języku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TypeScript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 Jest to nadbudowa nad JavaScriptem rozwijana przez firmę Microsoft, dodająca do języka system typów statycznych weryfikowanych podczas kompilacji.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Wybór TypeScriptu wynikał z następujących przesłanek: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Bezpieczeństwo typowe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znaczna część błędów programistycznych (np. próba odczytu właściwości z </w:t>
      </w:r>
      <w:r>
        <w:rPr>
          <w:rFonts w:ascii="Courier New" w:hAnsi="Courier New" w:cs="Courier New"/>
          <w:sz w:val="29"/>
          <w:sz-cs w:val="29"/>
          <w:spacing w:val="0"/>
        </w:rPr>
        <w:t xml:space="preserve">undefined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jest wykrywana na etapie kompilacji, a nie w działającej aplikacji. W kontekście danych dotyczących zdrowia psychicznego minimalizacja ryzyka błędów ma znaczenie krytyczne.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Spójność typów end-to-end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ten sam typ użytkownika lub wyniku testu może być współdzielony pomiędzy backendem a frontendem, co eliminuje rozbieżności w kontraktach API.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Wsparcie nowoczesnych frameworków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NestJS, Next.js, Vite oraz Redux Toolkit traktują TypeScript jako pierwszorzędny język, co przekłada się na lepszą jakość dokumentacji i ekosystemu bibliotek.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Wartość edukacyjna i zawodowa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TypeScript jest standardem branżowym w nowoczesnym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web developmencie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a praca napisana w tym języku łatwiej spełnia wymagania utrzymania w przyszłości.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3.3. Backend — Node.js i NestJS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Warstwa serwerowa aplikacji została zbudowana w środowisku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Node.js 20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z użyciem frameworka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NestJS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 wersji 11. NestJS wprowadza do ekosystemu JavaScript koncepcje znane z dojrzałych frameworków takich jak Spring (Java) lub Angular — modułowość, wstrzykiwanie zależności (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dependency injection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), dekoratory oraz wyraźny podział na warstwy.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Uzasadnienie wyboru NestJS: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Modularna struktura kodu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każdy obszar domenowy aplikacji (np. testy, użytkownicy, audyt) jest niezależnym modułem z jasno określonymi zależnościami, co odpowiada wymogowi czytelnej architektury opisanemu w pracy inżynierskiej.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Wbudowane mechanizmy bezpieczeństwa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system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Guards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umożliwia deklaratywne zabezpieczenie endpointów rolami użytkownika, a globalny </w:t>
      </w:r>
      <w:r>
        <w:rPr>
          <w:rFonts w:ascii="Courier New" w:hAnsi="Courier New" w:cs="Courier New"/>
          <w:sz w:val="29"/>
          <w:sz-cs w:val="29"/>
          <w:spacing w:val="0"/>
        </w:rPr>
        <w:t xml:space="preserve">ValidationPipe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automatycznie waliduje dane wejściowe na podstawie definicji DTO.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Pierwszorzędne wsparcie TypeScript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framework wykorzystuje dekoratory i metadata reflection, dzięki czemu typowanie kodu jest ścisłe i czytelne.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Bogaty ekosystem oficjalnych modułów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</w:t>
      </w:r>
      <w:r>
        <w:rPr>
          <w:rFonts w:ascii="Courier New" w:hAnsi="Courier New" w:cs="Courier New"/>
          <w:sz w:val="29"/>
          <w:sz-cs w:val="29"/>
          <w:spacing w:val="0"/>
        </w:rPr>
        <w:t xml:space="preserve">@nestjs/jwt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@nestjs/passport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@nestjs/typeorm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@nestjs/throttler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pozwoliły na szybkie wdrożenie kluczowych funkcji bez poszukiwania niesprawdzonych bibliotek zewnętrznych.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Alternatywą rozważaną był framework Express (minimalistyczny). Został odrzucony, ponieważ wymagałby ręcznego budowania wszystkich abstrakcji (modularność, walidacja, autoryzacja), co rozszerzyłoby zakres pracy bez wartości merytorycznej. Z kolei Fastify, choć technicznie wydajniejszy, ma uboższy ekosystem i mniejszą bazę dokumentacji w języku polskim.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3.4. Trwałość danych — PostgreSQL i TypeORM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Jako system zarządzania bazą danych wybrano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PostgreSQL 16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relacyjną bazę danych z otwartym kodem źródłowym. Komunikacja z bazą odbywa się poprzez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TypeORM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bibliotekę typu ORM (Object-Relational Mapping) ściśle zintegrowaną z NestJS.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Uzasadnienie wyboru PostgreSQL: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Natywne wsparcie dla typu JSONB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wykorzystywanego przez tabele </w:t>
      </w:r>
      <w:r>
        <w:rPr>
          <w:rFonts w:ascii="Courier New" w:hAnsi="Courier New" w:cs="Courier New"/>
          <w:sz w:val="29"/>
          <w:sz-cs w:val="29"/>
          <w:spacing w:val="0"/>
        </w:rPr>
        <w:t xml:space="preserve">audit_logs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(metadane akcji) oraz </w:t>
      </w:r>
      <w:r>
        <w:rPr>
          <w:rFonts w:ascii="Courier New" w:hAnsi="Courier New" w:cs="Courier New"/>
          <w:sz w:val="29"/>
          <w:sz-cs w:val="29"/>
          <w:spacing w:val="0"/>
        </w:rPr>
        <w:t xml:space="preserve">assessment_results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(snapshot odpowiedzi). Wsparcie indeksów GIN umożliwia efektywne zapytania po polach JSON.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Pełniejsza zgodność ze standardem SQL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window functions, CTE (Common Table Expressions), typy ENUM i CHECK constraints są przydatne w analityce HR.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Dojrzałość i stabilność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PostgreSQL ma ponad 30-letnią historię rozwoju i jest obsługiwany przez wszystkich znaczących dostawców chmurowych (AWS RDS, Google Cloud SQL, Azure Database, Railway, Neon, Supabase).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Otwarta licencja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brak kosztów licencyjnych zarówno na etapie projektu, jak i przy ewentualnym wdrożeniu komercyjnym.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Alternatywą rozważaną był MySQL (sugerowany w pierwotnym PRD), jednak po analizie potrzeb projektu (typ JSONB, audit log, anonimizacja agregatów) zdecydowano o zmianie na PostgreSQL. Decyzja ta została udokumentowana jako jedna z architektonicznych (ADR-002).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TypeORM wybrano zamiast alternatyw (Prisma, Sequelize, Knex.js) z uwagi na pełną integrację z NestJS, wsparcie dla dekoratorów typescriptowych oraz natywne mechanizmy migracji.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3.5. Frontend pracownika — React i Vite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Aplikacja przeznaczona dla pracownika została zrealizowana w bibliotece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React 18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z wykorzystaniem narzędzia budującego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Vite 8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 Stan aplikacji zarządzany jest przez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Redux Toolkit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a routing realizuje biblioteka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React Router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Uzasadnienie: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React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najczęściej stosowana biblioteka do budowy interfejsów webowych, z bogatym ekosystemem komponentów oraz dużą społecznością. Komponentowy model programowania ułatwia ponowne wykorzystanie elementów (np.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StatCard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ClientCard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i jest zgodny z zasadą rozdzielenia odpowiedzialności.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Vite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nowoczesne narzędzie budujące zastępujące starsze rozwiązania (Webpack, Create React App). Czas startu serwera deweloperskiego w typowym projekcie wynosi poniżej sekundy, a hot module replacement działa niemal natychmiastowo. Vite oferuje również wsparcie dla budowania PWA poprzez </w:t>
      </w:r>
      <w:r>
        <w:rPr>
          <w:rFonts w:ascii="Courier New" w:hAnsi="Courier New" w:cs="Courier New"/>
          <w:sz w:val="29"/>
          <w:sz-cs w:val="29"/>
          <w:spacing w:val="0"/>
        </w:rPr>
        <w:t xml:space="preserve">vite-plugin-pwa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Redux Toolkit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oficjalna, opinionated wersja Reduksa eliminująca dawne problemy boilerplate'u. Zarządza stanem uwierzytelnienia oraz wynikami zapytań do API. Dla aplikacji średniej skali Redux Toolkit zapewnia balans pomiędzy strukturą a prostotą.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React Router 6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standard de facto dla routingu w aplikacjach React.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Alternatywami rozważanymi były Vue.js i Svelte. React wybrano z uwagi na rozmiar ekosystemu, wsparcie dla TypeScriptu oraz wartość edukacyjną — jest to najbardziej rozpoznawana biblioteka w polskich ofertach pracy w 2025 roku.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3.6. Frontend administracyjny — Next.js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Panele administracyjne (administrator firmy, HR, właściciel platformy) zostały zbudowane przy użyciu frameworka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Next.js 16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nadbudowy nad Reactem rozwijanej przez firmę Vercel. Next.js wprowadza renderowanie po stronie serwera (SSR), automatyczne dzielenie kodu (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code splitting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), routing oparty o strukturę folderów oraz model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App Router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z wsparciem dla React Server Components.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Uzasadnienie wyboru: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SEO i wydajność wstępnego renderu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choć panele administracyjne nie są publiczne, SSR przyspiesza pierwszy render i poprawia odbiór aplikacji.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Routing oparty o pliki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struktura folderów </w:t>
      </w:r>
      <w:r>
        <w:rPr>
          <w:rFonts w:ascii="Courier New" w:hAnsi="Courier New" w:cs="Courier New"/>
          <w:sz w:val="29"/>
          <w:sz-cs w:val="29"/>
          <w:spacing w:val="0"/>
        </w:rPr>
        <w:t xml:space="preserve">app/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bezpośrednio odzwierciedla strukturę URL, co jest szczególnie przydatne przy wielu zagnieżdżonych panelach (administracyjnym, HR, super-admina).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Wsparcie dla TypeScriptu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oraz integracja z bibliotekami React (Recharts, Framer Motion).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Świadome rozdzielenie aplikacji pracownika i administracyjnej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każda ma inne wymagania (PWA dla pracownika, bogata analityka dla admina), więc wybór różnych frameworków pozwolił na optymalizację pod konkretny przypadek użycia.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3.7. Stylowanie i komponenty UI — Tailwind CSS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Wszystkie warstwy prezentacji aplikacji wykorzystują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Tailwind CSS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framework typu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utility-first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w którym style są aplikowane bezpośrednio jako klasy w kodzie HTML/JSX. W projekcie zastosowano wersję 4.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Uzasadnienie: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Spójność wizualna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predefiniowane skale kolorów, marginesów i typografii eliminują niespójności wynikające z ręcznego pisania CSS.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Mała wielkość finalnej paczki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Tailwind generuje wyłącznie te klasy, które zostały faktycznie użyte w kodzie, dzięki czemu rozmiar arkusza stylów w produkcji jest minimalny.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Łatwość modyfikacji motywu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system tokenów CSS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--bg-page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--text-base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itd.) pozwolił na zaimplementowanie trybu jasnego i ciemnego z minimalną ingerencją w komponenty.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Mobile-first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wbudowane modyfikatory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md: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lg: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wymuszają projektowanie zaczynając od urządzeń mobilnych, co odpowiada wymogom NF14.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Alternatywą rozważaną był system styled-components (CSS-in-JS), odrzucony z uwagi na większy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runtime overhead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oraz mniejsze wsparcie dla statycznej analizy.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3.8. Wizualizacja danych — Recharts oraz SVG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 panelu HR oraz na pulpicie pracownika prezentowane są wykresy: trendy w czasie, rozkłady wyników, indeks dobrostanu. Wykorzystano dwa podejścia: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Recharts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biblioteka komponentów wykresów dla Reacta, oparta na D3.js. Wykorzystywana w panelu HR (Bar Chart aktywności, Line Chart trendów, Pie Chart rozkładu nasilenia objawów). Recharts oferuje wbudowaną responsywność oraz spójną stylistykę.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Wykresy SVG własnego autorstwa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 aplikacji pracownika wykresy indeksu dobrostanu i historii wyników zostały zaimplementowane bez zewnętrznej biblioteki, z użyciem natywnych elementów SVG. Pozwala to na precyzyjną kontrolę nad wyglądem (krzywa Beziera dla wygładzonej linii, gradient pod krzywą, animowane wartości).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Recharts wybrano nad alternatywami (Chart.js, ApexCharts) z uwagi na natywną integrację z React (komponenty zamiast imperatywnego API canvas) oraz lekki rozmiar.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3.9. Progressive Web App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Aplikacja pracownika została zaimplementowana jako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Progressive Web App (PWA)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z wykorzystaniem wtyczki </w:t>
      </w:r>
      <w:r>
        <w:rPr>
          <w:rFonts w:ascii="Courier New" w:hAnsi="Courier New" w:cs="Courier New"/>
          <w:sz w:val="29"/>
          <w:sz-cs w:val="29"/>
          <w:spacing w:val="0"/>
        </w:rPr>
        <w:t xml:space="preserve">vite-plugin-pwa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opartej na bibliotece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Workbox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(Google).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Implementacja zawiera: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Manifest aplikacji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manifest.webmanifest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— opisuje nazwę, opis, kolor motywu, ikony oraz tryb wyświetlania (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standalone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Ikony w formatach PNG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iOS i Androida (192×192, 512×512, 180×180 dla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apple-touch-icon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Service Worker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buforuje zasoby statyczne (kod JavaScript, arkusze stylów, czcionki) z polityką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cache-first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dzięki czemu kolejne uruchomienia są niemal natychmiastowe;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Strategie wykluczenia cache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endpointy autoryzacji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/auth/*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/users/me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/results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są wykluczone z buforowania, aby zapobiec wyciekowi danych po wylogowaniu;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Mechanizm powiadamiania o nowych wersjach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tryb </w:t>
      </w:r>
      <w:r>
        <w:rPr>
          <w:rFonts w:ascii="Courier New" w:hAnsi="Courier New" w:cs="Courier New"/>
          <w:sz w:val="29"/>
          <w:sz-cs w:val="29"/>
          <w:spacing w:val="0"/>
        </w:rPr>
        <w:t xml:space="preserve">registerType: 'prompt'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pokazuje użytkownikowi banner z propozycją odświeżenia, dzięki czemu nigdy nie traci on niezapisanych danych formularza.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Wybór PWA jako alternatywy dla aplikacji natywnych iOS/Android pozwolił zachować pojedynczą bazę kodu i wyeliminować konieczność dystrybucji przez sklepy Apple App Store i Google Play.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3.10. Bezpieczeństwo aplikacji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 warstwie bezpieczeństwa wykorzystano zestaw sprawdzonych bibliotek branżowych: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bcrypt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hashowanie haseł z 12 rundami soli;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JSON Web Tokens (JWT)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tokeny dostępu (15 minut) oraz odświeżania (7 dni), podpisywane algorytmem HS256 z różnymi sekretami;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Helmet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automatyczne dołączanie nagłówków bezpieczeństwa HTTP (X-Frame-Options, X-Content-Type-Options, HSTS, Referrer-Policy);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cookie-parser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parsowanie ciasteczek HttpOnly z tokenami JWT;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class-validator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class-transformer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walidacja danych wejściowych w DTO z deklaratywnymi dekoratorami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@IsEmail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@MinLength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@IsString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@nestjs/throttler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ograniczenie liczby żądań na endpointy uwierzytelniające (login: 10 prób na 15 minut, rejestracja: 5 prób na 15 minut).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Szczegółowy opis każdego z mechanizmów bezpieczeństwa został zawarty w rozdziale poświęconym bezpieczeństwu aplikacji.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3.11. Konteneryzacja i wdrożenie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Docker oraz Docker Compose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Wszystkie komponenty aplikacji (backend, dwa frontendy, baza danych) działają w izolowanych kontenerach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Docker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 Orkiestrację realizuje narzędzie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Docker Compose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 dwóch konfiguracjach: </w:t>
      </w:r>
      <w:r>
        <w:rPr>
          <w:rFonts w:ascii="Courier New" w:hAnsi="Courier New" w:cs="Courier New"/>
          <w:sz w:val="29"/>
          <w:sz-cs w:val="29"/>
          <w:spacing w:val="0"/>
        </w:rPr>
        <w:t xml:space="preserve">docker-compose.yml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środowiska rozwojowego (z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hot reload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narzędziem Adminer dla bazy danych, bind-mount wolumenów źródłowych) oraz </w:t>
      </w:r>
      <w:r>
        <w:rPr>
          <w:rFonts w:ascii="Courier New" w:hAnsi="Courier New" w:cs="Courier New"/>
          <w:sz w:val="29"/>
          <w:sz-cs w:val="29"/>
          <w:spacing w:val="0"/>
        </w:rPr>
        <w:t xml:space="preserve">docker-compose.prod.yml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środowiska produkcyjnego (z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health checkami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polityką restartu </w:t>
      </w:r>
      <w:r>
        <w:rPr>
          <w:rFonts w:ascii="Courier New" w:hAnsi="Courier New" w:cs="Courier New"/>
          <w:sz w:val="29"/>
          <w:sz-cs w:val="29"/>
          <w:spacing w:val="0"/>
        </w:rPr>
        <w:t xml:space="preserve">unless-stopped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bazą danych dostępną tylko wewnętrznie).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Konteneryzacja zapewnia identyczne środowisko uruchomieniowe na różnych platformach (lokalnie, na chmurze, w CI/CD) i jest standardem branżowym w nowoczesnych aplikacjach webowych.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Platforma chmurowa Railway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Aplikacja produkcyjna została wdrożona na platformie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Railway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nowoczesnym dostawcy chmurowym typu PaaS (Platform as a Service), zorientowanym na deweloperów. Railway integruje się z repozytorium GitHub i automatycznie wdraża zmiany po każdym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push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'u do gałęzi produkcyjnej.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Wybór Railway: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Natywne wsparcie dla aplikacji w kontenerach Docker oraz dla plików </w:t>
      </w:r>
      <w:r>
        <w:rPr>
          <w:rFonts w:ascii="Courier New" w:hAnsi="Courier New" w:cs="Courier New"/>
          <w:sz w:val="29"/>
          <w:sz-cs w:val="29"/>
          <w:spacing w:val="0"/>
        </w:rPr>
        <w:t xml:space="preserve">docker-compose.yml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Automatyczne udostępnianie certyfikatów TLS (Let's Encrypt) dla każdej domeny;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Managed PostgreSQL z dziennymi snapshotami i wewnętrznym DNS (</w:t>
      </w:r>
      <w:r>
        <w:rPr>
          <w:rFonts w:ascii="Courier New" w:hAnsi="Courier New" w:cs="Courier New"/>
          <w:sz w:val="29"/>
          <w:sz-cs w:val="29"/>
          <w:spacing w:val="0"/>
        </w:rPr>
        <w:t xml:space="preserve">postgres.railway.internal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niedostępnym z internetu;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Wbudowane narzędzia obserwowalności (logi, metryki) i healthchecki;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Hobby tier z 5 USD kredytów miesięcznie wystarczający na potrzeby projektu inżynierskiego.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Alternatywami rozważanymi były Render, Fly.io oraz wirtualny serwer prywatny (VPS) z konfiguracją od zera. Railway wybrano z uwagi na najprostszy proces wdrażania monorepo z wieloma serwisami oraz dobrą dokumentację.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3.12. Narzędzia wspierające proces tworzenia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Git i GitHub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Cały kod projektu utrzymywany jest w systemie kontroli wersji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Git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w repozytorium hostowanym na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GitHub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 Każda istotna zmiana jest dokumentowana czytelnym komunikatem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commit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a krytyczne decyzje techniczne wpisywane są do dziennika decyzji architektonicznych w katalogu </w:t>
      </w:r>
      <w:r>
        <w:rPr>
          <w:rFonts w:ascii="Courier New" w:hAnsi="Courier New" w:cs="Courier New"/>
          <w:sz w:val="29"/>
          <w:sz-cs w:val="29"/>
          <w:spacing w:val="0"/>
        </w:rPr>
        <w:t xml:space="preserve">docs/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Visual Studio Code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Środowiskiem rozwojowym był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Visual Studio Code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z dodatkami: ESLint, Prettier, TypeScript Vue Plugin, Tailwind CSS IntelliSense, GitLens.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Mermaid — diagramy w formacie tekstowym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Wszystkie diagramy projektowe (use case, klas, sekwencji, ERD, komponentów, wdrożenia, BPMN) zostały opisane składnią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Mermaid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językiem do generowania diagramów z opisu tekstowego. Mermaid jest natywnie renderowany w plikach Markdown na GitHub i większości nowoczesnych edytorów. Dzięki temu diagramy są wersjonowane razem z kodem i można je modyfikować w sposób kontrolowany przez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code review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Postman / Thunder Client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Testy ręczne API w trakcie rozwoju realizowane były przy użyciu klienta REST (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Postman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oraz wbudowany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Thunder Client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 VS Code).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3"/>
          <w:sz-cs w:val="33"/>
          <w:b/>
          <w:i/>
          <w:spacing w:val="0"/>
        </w:rPr>
        <w:t xml:space="preserve">Pencil i Figma — projektowanie interfejsu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Wstępne makiety interfejsu zostały przygotowane w narzędziach do projektowania UI —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Pencil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(formaty </w:t>
      </w:r>
      <w:r>
        <w:rPr>
          <w:rFonts w:ascii="Courier New" w:hAnsi="Courier New" w:cs="Courier New"/>
          <w:sz w:val="29"/>
          <w:sz-cs w:val="29"/>
          <w:spacing w:val="0"/>
        </w:rPr>
        <w:t xml:space="preserve">.pen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oraz dla wybranych ekranów w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Figma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. Stanowiły one bazę referencyjną dla finalnej implementacji w Tailwind CSS.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Podsumowanie doboru technologii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Stos technologiczny projektu MoodFlow został zaprojektowany pod kątem trzech celów: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Spełnienia wymagań projektu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każda technologia odpowiada konkretnym wymaganiom funkcjonalnym lub niefunkcjonalnym opisanym w rozdziale 2.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Adekwatności do skali projektu inżynierskiego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preferowano rozwiązania popularne, dobrze udokumentowane, możliwe do obrony na obronie pracy bez konieczności tłumaczenia eksperymentalnych decyzji.</w:t>
      </w:r>
    </w:p>
    <w:p>
      <w:pPr>
        <w:jc w:val="both"/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Aktualności rynkowej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wszystkie wybrane technologie są standardem branżowym w 2025 roku, co zwiększa wartość edukacyjną i zawodową projektu.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Pełen stos technologiczny przedstawia się następująco: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TypeScript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jako język programowania,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NestJS + TypeORM + PostgreSQL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 warstwie backendowej,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React + Vite + Redux Toolkit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aplikacji pracownika,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Next.js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aplikacji administracyjnej,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Tailwind CSS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jako system stylowania,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Recharts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 SVG do wizualizacji danych,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vite-plugin-pwa + Workbox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funkcji PWA,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Docker + Docker Compose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dla konteneryzacji oraz </w:t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Railway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jako platforma chmurowa.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