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spacing w:after="320"/>
      </w:pPr>
      <w:r>
        <w:rPr>
          <w:rFonts w:ascii="Verdana" w:hAnsi="Verdana" w:cs="Verdana"/>
          <w:sz w:val="32"/>
          <w:sz-cs w:val="32"/>
          <w:b/>
          <w:spacing w:val="0"/>
        </w:rPr>
        <w:t xml:space="preserve">3.1. Metodyka pracy zespołowej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spacing w:val="0"/>
        </w:rPr>
        <w:t xml:space="preserve">Wytwarzanie platformy oparto o iteracyjne podejście wywodzące się z filozofii Agile, ze szczególnym uwzględnieniem elementów metodyki Scrum oraz tablicy zadań w stylu Kanban. Wybór metodyki zwinnej był podyktowany kilkoma czynnikami. Po pierwsze, na początku projektu nie wszystkie wymagania były znane w sposób precyzyjny i pojawiała się konieczność ich uściślania w trakcie realizacji. Po drugie, zespół składał się z osób o różnych specjalizacjach, co wymagało regularnej komunikacji i transparentności postępów. Po trzecie, krótkie iteracje pozwalały na bieżącą walidację rozwiązań w kontekście wymagań pracy inżynierskiej oraz konsultacji z promotorem.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spacing w:val="0"/>
        </w:rPr>
        <w:t xml:space="preserve">Praca przebiegała w dwutygodniowych iteracjach. Na początku każdej iteracji ustalano zakres zadań do wykonania na podstawie listy backlog, w trakcie iteracji prowadzono krótkie spotkania synchronizacyjne, a na zakończenie weryfikowano efekty. Tablica zadań w narzędziu do zarządzania projektami obrazowała aktualny stan każdego zadania w pięciu kolumnach: Backlog, To Do, In Progress, Review oraz Done.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spacing w:val="0"/>
        </w:rPr>
        <w:t xml:space="preserve">Alternatywą rozważaną była metodyka Waterfall, jednak została odrzucona ze względu na ograniczenia wynikające z liniowej kolejności faz oraz brak elastyczności w przypadku zmiany wymagań w trakcie projektu. Charakter pracy inżynierskiej, w której wymagania funkcjonalne dojrzewały równolegle z postępami implementacji, wymagał podejścia adaptacyjnego.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spacing w:val="0"/>
        </w:rPr>
        <w:t xml:space="preserve">Cały proces wytwarzania platformy MoodFlow zaplanowano i zrealizowano w okresie dziewięciu miesięcy, od października 2025 do czerwca 2026. Pracę podzielono na siedem następujących po sobie faz, z których każda zakończona została kamieniem milowym (</w:t>
      </w:r>
      <w:r>
        <w:rPr>
          <w:rFonts w:ascii="Verdana" w:hAnsi="Verdana" w:cs="Verdana"/>
          <w:sz w:val="26"/>
          <w:sz-cs w:val="26"/>
          <w:i/>
          <w:spacing w:val="0"/>
        </w:rPr>
        <w:t xml:space="preserve">milestone</w:t>
      </w:r>
      <w:r>
        <w:rPr>
          <w:rFonts w:ascii="Verdana" w:hAnsi="Verdana" w:cs="Verdana"/>
          <w:sz w:val="26"/>
          <w:sz-cs w:val="26"/>
          <w:spacing w:val="0"/>
        </w:rPr>
        <w:t xml:space="preserve">) potwierdzającym osiągnięcie konkretnego rezultatu cząstkowego. Część zadań realizowana była równolegle, ze względu na specjalizację członków zespołu (warstwa backendu, dwa frontendy, dokumentacja). Szczegółowy harmonogram prac w ujęciu tygodniowym przedstawiono na wykresie Gantta na kolejnej stronie.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spacing w:val="0"/>
        </w:rPr>
        <w:t xml:space="preserve">Każda z siedmiu faz odpowiadała innemu obszarowi systemu. Faza pierwsza obejmowała analizę dziedziny i planowanie projektu, w tym wybór tematu, analizę istniejących rozwiązań rynkowych, analizę SWOT, sporządzenie wymagań funkcjonalnych i niefunkcjonalnych metodą MoSCoW oraz wybór stosu technologicznego. Faza druga to przygotowanie infrastruktury — repozytorium Git, konfiguracji konteneryzacji Docker, schematu bazy danych PostgreSQL oraz szkieletów aplikacji backendowej i obu frontendów. Faza trzecia objęła implementację warstwy uwierzytelniania, ról oraz wielodostępności (multi-tenant), wraz z zatwierdzaniem użytkowników i organizacji. W fazie czwartej zaimplementowano walidowane testy psychologiczne, scoring oraz indeks dobrostanu — rdzeń wartości merytorycznej platformy. Faza piąta dotyczyła dashboardów i analityki HR, z anonimizacją k-anonymity dla raportów. W fazie szóstej dodano powiadomienia in-app i e-mail, dziennik audytu, PWA oraz tryb jasny i ciemny, a także przeprowadzono testy ręczne. Ostatnia, siódma faza obejmowała przygotowanie diagramów UML i BPMN, wdrożenie produkcyjne na platformę chmurową Railway, redakcję pracy inżynierskiej oraz przygotowanie do obrony.</w:t>
      </w:r>
    </w:p>
    <w:p>
      <w:pPr>
        <w:jc w:val="both"/>
        <w:spacing w:after="106"/>
      </w:pPr>
      <w:r>
        <w:rPr>
          <w:rFonts w:ascii="Verdana" w:hAnsi="Verdana" w:cs="Verdana"/>
          <w:sz w:val="26"/>
          <w:sz-cs w:val="26"/>
          <w:b/>
          <w:spacing w:val="0"/>
        </w:rPr>
        <w:t xml:space="preserve">Tabela 3.1 Harmonogram prac projektowych w ujęciu tygodniowym (źródło: opracowanie własne)</w:t>
      </w:r>
    </w:p>
    <w:p>
      <w:pPr/>
      <w:r>
        <w:rPr>
          <w:rFonts w:ascii="Verdana" w:hAnsi="Verdana" w:cs="Verdana"/>
          <w:sz w:val="21"/>
          <w:sz-cs w:val="21"/>
          <w:b/>
          <w:spacing w:val="0"/>
        </w:rPr>
        <w:t xml:space="preserve">Zadanie</w:t>
      </w:r>
    </w:p>
    <w:p>
      <w:pPr>
        <w:jc w:val="center"/>
      </w:pPr>
      <w:r>
        <w:rPr>
          <w:rFonts w:ascii="Verdana" w:hAnsi="Verdana" w:cs="Verdana"/>
          <w:sz w:val="21"/>
          <w:sz-cs w:val="21"/>
          <w:b/>
          <w:spacing w:val="0"/>
          <w:color w:val="FFFFFF"/>
        </w:rPr>
        <w:t xml:space="preserve">Październik 2025</w:t>
      </w:r>
    </w:p>
    <w:p>
      <w:pPr>
        <w:jc w:val="center"/>
      </w:pPr>
      <w:r>
        <w:rPr>
          <w:rFonts w:ascii="Verdana" w:hAnsi="Verdana" w:cs="Verdana"/>
          <w:sz w:val="21"/>
          <w:sz-cs w:val="21"/>
          <w:b/>
          <w:spacing w:val="0"/>
          <w:color w:val="FFFFFF"/>
        </w:rPr>
        <w:t xml:space="preserve">Listopad 2025</w:t>
      </w:r>
    </w:p>
    <w:p>
      <w:pPr>
        <w:jc w:val="center"/>
      </w:pPr>
      <w:r>
        <w:rPr>
          <w:rFonts w:ascii="Verdana" w:hAnsi="Verdana" w:cs="Verdana"/>
          <w:sz w:val="21"/>
          <w:sz-cs w:val="21"/>
          <w:b/>
          <w:spacing w:val="0"/>
          <w:color w:val="FFFFFF"/>
        </w:rPr>
        <w:t xml:space="preserve">Grudzień 2025</w:t>
      </w:r>
    </w:p>
    <w:p>
      <w:pPr>
        <w:jc w:val="center"/>
      </w:pPr>
      <w:r>
        <w:rPr>
          <w:rFonts w:ascii="Verdana" w:hAnsi="Verdana" w:cs="Verdana"/>
          <w:sz w:val="21"/>
          <w:sz-cs w:val="21"/>
          <w:b/>
          <w:spacing w:val="0"/>
          <w:color w:val="FFFFFF"/>
        </w:rPr>
        <w:t xml:space="preserve">Styczeń 2026</w:t>
      </w:r>
    </w:p>
    <w:p>
      <w:pPr>
        <w:jc w:val="center"/>
      </w:pPr>
      <w:r>
        <w:rPr>
          <w:rFonts w:ascii="Verdana" w:hAnsi="Verdana" w:cs="Verdana"/>
          <w:sz w:val="21"/>
          <w:sz-cs w:val="21"/>
          <w:b/>
          <w:spacing w:val="0"/>
          <w:color w:val="FFFFFF"/>
        </w:rPr>
        <w:t xml:space="preserve">Luty 2026</w:t>
      </w:r>
    </w:p>
    <w:p>
      <w:pPr>
        <w:jc w:val="center"/>
      </w:pPr>
      <w:r>
        <w:rPr>
          <w:rFonts w:ascii="Verdana" w:hAnsi="Verdana" w:cs="Verdana"/>
          <w:sz w:val="21"/>
          <w:sz-cs w:val="21"/>
          <w:b/>
          <w:spacing w:val="0"/>
          <w:color w:val="FFFFFF"/>
        </w:rPr>
        <w:t xml:space="preserve">Marzec 2026</w:t>
      </w:r>
    </w:p>
    <w:p>
      <w:pPr>
        <w:jc w:val="center"/>
      </w:pPr>
      <w:r>
        <w:rPr>
          <w:rFonts w:ascii="Verdana" w:hAnsi="Verdana" w:cs="Verdana"/>
          <w:sz w:val="21"/>
          <w:sz-cs w:val="21"/>
          <w:b/>
          <w:spacing w:val="0"/>
          <w:color w:val="FFFFFF"/>
        </w:rPr>
        <w:t xml:space="preserve">Kwiecień 2026</w:t>
      </w:r>
    </w:p>
    <w:p>
      <w:pPr>
        <w:jc w:val="center"/>
      </w:pPr>
      <w:r>
        <w:rPr>
          <w:rFonts w:ascii="Verdana" w:hAnsi="Verdana" w:cs="Verdana"/>
          <w:sz w:val="21"/>
          <w:sz-cs w:val="21"/>
          <w:b/>
          <w:spacing w:val="0"/>
          <w:color w:val="FFFFFF"/>
        </w:rPr>
        <w:t xml:space="preserve">Maj 2026</w:t>
      </w:r>
    </w:p>
    <w:p>
      <w:pPr>
        <w:jc w:val="center"/>
      </w:pPr>
      <w:r>
        <w:rPr>
          <w:rFonts w:ascii="Verdana" w:hAnsi="Verdana" w:cs="Verdana"/>
          <w:sz w:val="21"/>
          <w:sz-cs w:val="21"/>
          <w:b/>
          <w:spacing w:val="0"/>
          <w:color w:val="FFFFFF"/>
        </w:rPr>
        <w:t xml:space="preserve">Czerwiec 2026</w:t>
      </w:r>
    </w:p>
    <w:p>
      <w:pPr>
        <w:jc w:val="center"/>
      </w:pPr>
      <w:r>
        <w:rPr>
          <w:rFonts w:ascii="Verdana" w:hAnsi="Verdana" w:cs="Verdana"/>
          <w:sz w:val="17"/>
          <w:sz-cs w:val="17"/>
          <w:b/>
          <w:spacing w:val="0"/>
          <w:color w:val="434343"/>
        </w:rPr>
        <w:t xml:space="preserve">T1</w:t>
      </w:r>
    </w:p>
    <w:p>
      <w:pPr>
        <w:jc w:val="center"/>
      </w:pPr>
      <w:r>
        <w:rPr>
          <w:rFonts w:ascii="Verdana" w:hAnsi="Verdana" w:cs="Verdana"/>
          <w:sz w:val="17"/>
          <w:sz-cs w:val="17"/>
          <w:b/>
          <w:spacing w:val="0"/>
          <w:color w:val="434343"/>
        </w:rPr>
        <w:t xml:space="preserve">T2</w:t>
      </w:r>
    </w:p>
    <w:p>
      <w:pPr>
        <w:jc w:val="center"/>
      </w:pPr>
      <w:r>
        <w:rPr>
          <w:rFonts w:ascii="Verdana" w:hAnsi="Verdana" w:cs="Verdana"/>
          <w:sz w:val="17"/>
          <w:sz-cs w:val="17"/>
          <w:b/>
          <w:spacing w:val="0"/>
          <w:color w:val="434343"/>
        </w:rPr>
        <w:t xml:space="preserve">T3</w:t>
      </w:r>
    </w:p>
    <w:p>
      <w:pPr>
        <w:jc w:val="center"/>
      </w:pPr>
      <w:r>
        <w:rPr>
          <w:rFonts w:ascii="Verdana" w:hAnsi="Verdana" w:cs="Verdana"/>
          <w:sz w:val="17"/>
          <w:sz-cs w:val="17"/>
          <w:b/>
          <w:spacing w:val="0"/>
          <w:color w:val="434343"/>
        </w:rPr>
        <w:t xml:space="preserve">T4</w:t>
      </w:r>
    </w:p>
    <w:p>
      <w:pPr>
        <w:jc w:val="center"/>
      </w:pPr>
      <w:r>
        <w:rPr>
          <w:rFonts w:ascii="Verdana" w:hAnsi="Verdana" w:cs="Verdana"/>
          <w:sz w:val="17"/>
          <w:sz-cs w:val="17"/>
          <w:b/>
          <w:spacing w:val="0"/>
          <w:color w:val="434343"/>
        </w:rPr>
        <w:t xml:space="preserve">T5</w:t>
      </w:r>
    </w:p>
    <w:p>
      <w:pPr>
        <w:jc w:val="center"/>
      </w:pPr>
      <w:r>
        <w:rPr>
          <w:rFonts w:ascii="Verdana" w:hAnsi="Verdana" w:cs="Verdana"/>
          <w:sz w:val="17"/>
          <w:sz-cs w:val="17"/>
          <w:b/>
          <w:spacing w:val="0"/>
          <w:color w:val="434343"/>
        </w:rPr>
        <w:t xml:space="preserve">T6</w:t>
      </w:r>
    </w:p>
    <w:p>
      <w:pPr>
        <w:jc w:val="center"/>
      </w:pPr>
      <w:r>
        <w:rPr>
          <w:rFonts w:ascii="Verdana" w:hAnsi="Verdana" w:cs="Verdana"/>
          <w:sz w:val="17"/>
          <w:sz-cs w:val="17"/>
          <w:b/>
          <w:spacing w:val="0"/>
          <w:color w:val="434343"/>
        </w:rPr>
        <w:t xml:space="preserve">T7</w:t>
      </w:r>
    </w:p>
    <w:p>
      <w:pPr>
        <w:jc w:val="center"/>
      </w:pPr>
      <w:r>
        <w:rPr>
          <w:rFonts w:ascii="Verdana" w:hAnsi="Verdana" w:cs="Verdana"/>
          <w:sz w:val="17"/>
          <w:sz-cs w:val="17"/>
          <w:b/>
          <w:spacing w:val="0"/>
          <w:color w:val="434343"/>
        </w:rPr>
        <w:t xml:space="preserve">T8</w:t>
      </w:r>
    </w:p>
    <w:p>
      <w:pPr>
        <w:jc w:val="center"/>
      </w:pPr>
      <w:r>
        <w:rPr>
          <w:rFonts w:ascii="Verdana" w:hAnsi="Verdana" w:cs="Verdana"/>
          <w:sz w:val="17"/>
          <w:sz-cs w:val="17"/>
          <w:b/>
          <w:spacing w:val="0"/>
          <w:color w:val="434343"/>
        </w:rPr>
        <w:t xml:space="preserve">T9</w:t>
      </w:r>
    </w:p>
    <w:p>
      <w:pPr>
        <w:jc w:val="center"/>
      </w:pPr>
      <w:r>
        <w:rPr>
          <w:rFonts w:ascii="Verdana" w:hAnsi="Verdana" w:cs="Verdana"/>
          <w:sz w:val="17"/>
          <w:sz-cs w:val="17"/>
          <w:b/>
          <w:spacing w:val="0"/>
          <w:color w:val="434343"/>
        </w:rPr>
        <w:t xml:space="preserve">T10</w:t>
      </w:r>
    </w:p>
    <w:p>
      <w:pPr>
        <w:jc w:val="center"/>
      </w:pPr>
      <w:r>
        <w:rPr>
          <w:rFonts w:ascii="Verdana" w:hAnsi="Verdana" w:cs="Verdana"/>
          <w:sz w:val="17"/>
          <w:sz-cs w:val="17"/>
          <w:b/>
          <w:spacing w:val="0"/>
          <w:color w:val="434343"/>
        </w:rPr>
        <w:t xml:space="preserve">T11</w:t>
      </w:r>
    </w:p>
    <w:p>
      <w:pPr>
        <w:jc w:val="center"/>
      </w:pPr>
      <w:r>
        <w:rPr>
          <w:rFonts w:ascii="Verdana" w:hAnsi="Verdana" w:cs="Verdana"/>
          <w:sz w:val="17"/>
          <w:sz-cs w:val="17"/>
          <w:b/>
          <w:spacing w:val="0"/>
          <w:color w:val="434343"/>
        </w:rPr>
        <w:t xml:space="preserve">T12</w:t>
      </w:r>
    </w:p>
    <w:p>
      <w:pPr>
        <w:jc w:val="center"/>
      </w:pPr>
      <w:r>
        <w:rPr>
          <w:rFonts w:ascii="Verdana" w:hAnsi="Verdana" w:cs="Verdana"/>
          <w:sz w:val="17"/>
          <w:sz-cs w:val="17"/>
          <w:b/>
          <w:spacing w:val="0"/>
          <w:color w:val="434343"/>
        </w:rPr>
        <w:t xml:space="preserve">T13</w:t>
      </w:r>
    </w:p>
    <w:p>
      <w:pPr>
        <w:jc w:val="center"/>
      </w:pPr>
      <w:r>
        <w:rPr>
          <w:rFonts w:ascii="Verdana" w:hAnsi="Verdana" w:cs="Verdana"/>
          <w:sz w:val="17"/>
          <w:sz-cs w:val="17"/>
          <w:b/>
          <w:spacing w:val="0"/>
          <w:color w:val="434343"/>
        </w:rPr>
        <w:t xml:space="preserve">T14</w:t>
      </w:r>
    </w:p>
    <w:p>
      <w:pPr>
        <w:jc w:val="center"/>
      </w:pPr>
      <w:r>
        <w:rPr>
          <w:rFonts w:ascii="Verdana" w:hAnsi="Verdana" w:cs="Verdana"/>
          <w:sz w:val="17"/>
          <w:sz-cs w:val="17"/>
          <w:b/>
          <w:spacing w:val="0"/>
          <w:color w:val="434343"/>
        </w:rPr>
        <w:t xml:space="preserve">T15</w:t>
      </w:r>
    </w:p>
    <w:p>
      <w:pPr>
        <w:jc w:val="center"/>
      </w:pPr>
      <w:r>
        <w:rPr>
          <w:rFonts w:ascii="Verdana" w:hAnsi="Verdana" w:cs="Verdana"/>
          <w:sz w:val="17"/>
          <w:sz-cs w:val="17"/>
          <w:b/>
          <w:spacing w:val="0"/>
          <w:color w:val="434343"/>
        </w:rPr>
        <w:t xml:space="preserve">T16</w:t>
      </w:r>
    </w:p>
    <w:p>
      <w:pPr>
        <w:jc w:val="center"/>
      </w:pPr>
      <w:r>
        <w:rPr>
          <w:rFonts w:ascii="Verdana" w:hAnsi="Verdana" w:cs="Verdana"/>
          <w:sz w:val="17"/>
          <w:sz-cs w:val="17"/>
          <w:b/>
          <w:spacing w:val="0"/>
          <w:color w:val="434343"/>
        </w:rPr>
        <w:t xml:space="preserve">T17</w:t>
      </w:r>
    </w:p>
    <w:p>
      <w:pPr>
        <w:jc w:val="center"/>
      </w:pPr>
      <w:r>
        <w:rPr>
          <w:rFonts w:ascii="Verdana" w:hAnsi="Verdana" w:cs="Verdana"/>
          <w:sz w:val="17"/>
          <w:sz-cs w:val="17"/>
          <w:b/>
          <w:spacing w:val="0"/>
          <w:color w:val="434343"/>
        </w:rPr>
        <w:t xml:space="preserve">T18</w:t>
      </w:r>
    </w:p>
    <w:p>
      <w:pPr>
        <w:jc w:val="center"/>
      </w:pPr>
      <w:r>
        <w:rPr>
          <w:rFonts w:ascii="Verdana" w:hAnsi="Verdana" w:cs="Verdana"/>
          <w:sz w:val="17"/>
          <w:sz-cs w:val="17"/>
          <w:b/>
          <w:spacing w:val="0"/>
          <w:color w:val="434343"/>
        </w:rPr>
        <w:t xml:space="preserve">T19</w:t>
      </w:r>
    </w:p>
    <w:p>
      <w:pPr>
        <w:jc w:val="center"/>
      </w:pPr>
      <w:r>
        <w:rPr>
          <w:rFonts w:ascii="Verdana" w:hAnsi="Verdana" w:cs="Verdana"/>
          <w:sz w:val="17"/>
          <w:sz-cs w:val="17"/>
          <w:b/>
          <w:spacing w:val="0"/>
          <w:color w:val="434343"/>
        </w:rPr>
        <w:t xml:space="preserve">T20</w:t>
      </w:r>
    </w:p>
    <w:p>
      <w:pPr>
        <w:jc w:val="center"/>
      </w:pPr>
      <w:r>
        <w:rPr>
          <w:rFonts w:ascii="Verdana" w:hAnsi="Verdana" w:cs="Verdana"/>
          <w:sz w:val="17"/>
          <w:sz-cs w:val="17"/>
          <w:b/>
          <w:spacing w:val="0"/>
          <w:color w:val="434343"/>
        </w:rPr>
        <w:t xml:space="preserve">T21</w:t>
      </w:r>
    </w:p>
    <w:p>
      <w:pPr>
        <w:jc w:val="center"/>
      </w:pPr>
      <w:r>
        <w:rPr>
          <w:rFonts w:ascii="Verdana" w:hAnsi="Verdana" w:cs="Verdana"/>
          <w:sz w:val="17"/>
          <w:sz-cs w:val="17"/>
          <w:b/>
          <w:spacing w:val="0"/>
          <w:color w:val="434343"/>
        </w:rPr>
        <w:t xml:space="preserve">T22</w:t>
      </w:r>
    </w:p>
    <w:p>
      <w:pPr>
        <w:jc w:val="center"/>
      </w:pPr>
      <w:r>
        <w:rPr>
          <w:rFonts w:ascii="Verdana" w:hAnsi="Verdana" w:cs="Verdana"/>
          <w:sz w:val="17"/>
          <w:sz-cs w:val="17"/>
          <w:b/>
          <w:spacing w:val="0"/>
          <w:color w:val="434343"/>
        </w:rPr>
        <w:t xml:space="preserve">T23</w:t>
      </w:r>
    </w:p>
    <w:p>
      <w:pPr>
        <w:jc w:val="center"/>
      </w:pPr>
      <w:r>
        <w:rPr>
          <w:rFonts w:ascii="Verdana" w:hAnsi="Verdana" w:cs="Verdana"/>
          <w:sz w:val="17"/>
          <w:sz-cs w:val="17"/>
          <w:b/>
          <w:spacing w:val="0"/>
          <w:color w:val="434343"/>
        </w:rPr>
        <w:t xml:space="preserve">T24</w:t>
      </w:r>
    </w:p>
    <w:p>
      <w:pPr>
        <w:jc w:val="center"/>
      </w:pPr>
      <w:r>
        <w:rPr>
          <w:rFonts w:ascii="Verdana" w:hAnsi="Verdana" w:cs="Verdana"/>
          <w:sz w:val="17"/>
          <w:sz-cs w:val="17"/>
          <w:b/>
          <w:spacing w:val="0"/>
          <w:color w:val="434343"/>
        </w:rPr>
        <w:t xml:space="preserve">T25</w:t>
      </w:r>
    </w:p>
    <w:p>
      <w:pPr>
        <w:jc w:val="center"/>
      </w:pPr>
      <w:r>
        <w:rPr>
          <w:rFonts w:ascii="Verdana" w:hAnsi="Verdana" w:cs="Verdana"/>
          <w:sz w:val="17"/>
          <w:sz-cs w:val="17"/>
          <w:b/>
          <w:spacing w:val="0"/>
          <w:color w:val="434343"/>
        </w:rPr>
        <w:t xml:space="preserve">T26</w:t>
      </w:r>
    </w:p>
    <w:p>
      <w:pPr>
        <w:jc w:val="center"/>
      </w:pPr>
      <w:r>
        <w:rPr>
          <w:rFonts w:ascii="Verdana" w:hAnsi="Verdana" w:cs="Verdana"/>
          <w:sz w:val="17"/>
          <w:sz-cs w:val="17"/>
          <w:b/>
          <w:spacing w:val="0"/>
          <w:color w:val="434343"/>
        </w:rPr>
        <w:t xml:space="preserve">T27</w:t>
      </w:r>
    </w:p>
    <w:p>
      <w:pPr>
        <w:jc w:val="center"/>
      </w:pPr>
      <w:r>
        <w:rPr>
          <w:rFonts w:ascii="Verdana" w:hAnsi="Verdana" w:cs="Verdana"/>
          <w:sz w:val="17"/>
          <w:sz-cs w:val="17"/>
          <w:b/>
          <w:spacing w:val="0"/>
          <w:color w:val="434343"/>
        </w:rPr>
        <w:t xml:space="preserve">T28</w:t>
      </w:r>
    </w:p>
    <w:p>
      <w:pPr>
        <w:jc w:val="center"/>
      </w:pPr>
      <w:r>
        <w:rPr>
          <w:rFonts w:ascii="Verdana" w:hAnsi="Verdana" w:cs="Verdana"/>
          <w:sz w:val="17"/>
          <w:sz-cs w:val="17"/>
          <w:b/>
          <w:spacing w:val="0"/>
          <w:color w:val="434343"/>
        </w:rPr>
        <w:t xml:space="preserve">T29</w:t>
      </w:r>
    </w:p>
    <w:p>
      <w:pPr>
        <w:jc w:val="center"/>
      </w:pPr>
      <w:r>
        <w:rPr>
          <w:rFonts w:ascii="Verdana" w:hAnsi="Verdana" w:cs="Verdana"/>
          <w:sz w:val="17"/>
          <w:sz-cs w:val="17"/>
          <w:b/>
          <w:spacing w:val="0"/>
          <w:color w:val="434343"/>
        </w:rPr>
        <w:t xml:space="preserve">T30</w:t>
      </w:r>
    </w:p>
    <w:p>
      <w:pPr>
        <w:jc w:val="center"/>
      </w:pPr>
      <w:r>
        <w:rPr>
          <w:rFonts w:ascii="Verdana" w:hAnsi="Verdana" w:cs="Verdana"/>
          <w:sz w:val="17"/>
          <w:sz-cs w:val="17"/>
          <w:b/>
          <w:spacing w:val="0"/>
          <w:color w:val="434343"/>
        </w:rPr>
        <w:t xml:space="preserve">T31</w:t>
      </w:r>
    </w:p>
    <w:p>
      <w:pPr>
        <w:jc w:val="center"/>
      </w:pPr>
      <w:r>
        <w:rPr>
          <w:rFonts w:ascii="Verdana" w:hAnsi="Verdana" w:cs="Verdana"/>
          <w:sz w:val="17"/>
          <w:sz-cs w:val="17"/>
          <w:b/>
          <w:spacing w:val="0"/>
          <w:color w:val="434343"/>
        </w:rPr>
        <w:t xml:space="preserve">T32</w:t>
      </w:r>
    </w:p>
    <w:p>
      <w:pPr>
        <w:jc w:val="center"/>
      </w:pPr>
      <w:r>
        <w:rPr>
          <w:rFonts w:ascii="Verdana" w:hAnsi="Verdana" w:cs="Verdana"/>
          <w:sz w:val="17"/>
          <w:sz-cs w:val="17"/>
          <w:b/>
          <w:spacing w:val="0"/>
          <w:color w:val="434343"/>
        </w:rPr>
        <w:t xml:space="preserve">T33</w:t>
      </w:r>
    </w:p>
    <w:p>
      <w:pPr>
        <w:jc w:val="center"/>
      </w:pPr>
      <w:r>
        <w:rPr>
          <w:rFonts w:ascii="Verdana" w:hAnsi="Verdana" w:cs="Verdana"/>
          <w:sz w:val="17"/>
          <w:sz-cs w:val="17"/>
          <w:b/>
          <w:spacing w:val="0"/>
          <w:color w:val="434343"/>
        </w:rPr>
        <w:t xml:space="preserve">T34</w:t>
      </w:r>
    </w:p>
    <w:p>
      <w:pPr>
        <w:jc w:val="center"/>
      </w:pPr>
      <w:r>
        <w:rPr>
          <w:rFonts w:ascii="Verdana" w:hAnsi="Verdana" w:cs="Verdana"/>
          <w:sz w:val="17"/>
          <w:sz-cs w:val="17"/>
          <w:b/>
          <w:spacing w:val="0"/>
          <w:color w:val="434343"/>
        </w:rPr>
        <w:t xml:space="preserve">T35</w:t>
      </w:r>
    </w:p>
    <w:p>
      <w:pPr>
        <w:jc w:val="center"/>
      </w:pPr>
      <w:r>
        <w:rPr>
          <w:rFonts w:ascii="Verdana" w:hAnsi="Verdana" w:cs="Verdana"/>
          <w:sz w:val="17"/>
          <w:sz-cs w:val="17"/>
          <w:b/>
          <w:spacing w:val="0"/>
          <w:color w:val="434343"/>
        </w:rPr>
        <w:t xml:space="preserve">T36</w:t>
      </w:r>
    </w:p>
    <w:p>
      <w:pPr/>
      <w:r>
        <w:rPr>
          <w:rFonts w:ascii="Verdana" w:hAnsi="Verdana" w:cs="Verdana"/>
          <w:sz w:val="21"/>
          <w:sz-cs w:val="21"/>
          <w:b/>
          <w:spacing w:val="0"/>
          <w:color w:val="FFFFFF"/>
        </w:rPr>
        <w:t xml:space="preserve">FAZA 1 — ANALIZA I PLANOWANIE PROJEKTU</w:t>
      </w:r>
    </w:p>
    <w:p>
      <w:pPr/>
      <w:r>
        <w:rPr>
          <w:rFonts w:ascii="Verdana" w:hAnsi="Verdana" w:cs="Verdana"/>
          <w:sz w:val="21"/>
          <w:sz-cs w:val="21"/>
          <w:spacing w:val="0"/>
        </w:rPr>
        <w:t xml:space="preserve">Wybór tematu i analiza rynku</w:t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spacing w:val="0"/>
        </w:rPr>
        <w:t xml:space="preserve">Analiza SWOT, persony użytkowników</w:t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spacing w:val="0"/>
        </w:rPr>
        <w:t xml:space="preserve">Wymagania funkcjonalne i niefunkcjonalne (MoSCoW)</w:t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spacing w:val="0"/>
        </w:rPr>
        <w:t xml:space="preserve">Wybór stosu technologicznego</w:t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spacing w:val="0"/>
        </w:rPr>
        <w:t xml:space="preserve">Diagramy UML wstępne, ERD</w:t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spacing w:val="0"/>
        </w:rPr>
        <w:t xml:space="preserve">Karta pracy dyplomowej, akceptacja przez promotora</w:t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b/>
          <w:spacing w:val="0"/>
          <w:color w:val="B14E1D"/>
        </w:rPr>
        <w:t xml:space="preserve">◆ Kamień milowy: Zatwierdzony zakres projektu i temat pracy</w:t>
      </w:r>
    </w:p>
    <w:p>
      <w:pPr/>
      <w:r>
        <w:rPr>
          <w:rFonts w:ascii="Verdana" w:hAnsi="Verdana" w:cs="Verdana"/>
          <w:sz w:val="21"/>
          <w:sz-cs w:val="21"/>
          <w:b/>
          <w:spacing w:val="0"/>
          <w:color w:val="FFFFFF"/>
        </w:rPr>
        <w:t xml:space="preserve">FAZA 2 — INFRASTRUKTURA I FUNDAMENTY TECHNICZNE</w:t>
      </w:r>
    </w:p>
    <w:p>
      <w:pPr/>
      <w:r>
        <w:rPr>
          <w:rFonts w:ascii="Verdana" w:hAnsi="Verdana" w:cs="Verdana"/>
          <w:sz w:val="21"/>
          <w:sz-cs w:val="21"/>
          <w:spacing w:val="0"/>
        </w:rPr>
        <w:t xml:space="preserve">Repozytorium Git, struktura monorepo</w:t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spacing w:val="0"/>
        </w:rPr>
        <w:t xml:space="preserve">Docker, Docker Compose, środowisko dev</w:t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spacing w:val="0"/>
        </w:rPr>
        <w:t xml:space="preserve">Baza danych PostgreSQL, TypeORM</w:t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spacing w:val="0"/>
        </w:rPr>
        <w:t xml:space="preserve">Szkielet backendu (NestJS), modularność</w:t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spacing w:val="0"/>
        </w:rPr>
        <w:t xml:space="preserve">Szkielet frontendów (React+Vite, Next.js)</w:t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b/>
          <w:spacing w:val="0"/>
          <w:color w:val="B14E1D"/>
        </w:rPr>
        <w:t xml:space="preserve">◆ Kamień milowy: Środowisko gotowe do implementacji</w:t>
      </w:r>
    </w:p>
    <w:p>
      <w:pPr/>
      <w:r>
        <w:rPr>
          <w:rFonts w:ascii="Verdana" w:hAnsi="Verdana" w:cs="Verdana"/>
          <w:sz w:val="21"/>
          <w:sz-cs w:val="21"/>
          <w:b/>
          <w:spacing w:val="0"/>
          <w:color w:val="FFFFFF"/>
        </w:rPr>
        <w:t xml:space="preserve">FAZA 3 — AUTORYZACJA, UŻYTKOWNICY, ROLE, MULTI-TENANT</w:t>
      </w:r>
    </w:p>
    <w:p>
      <w:pPr/>
      <w:r>
        <w:rPr>
          <w:rFonts w:ascii="Verdana" w:hAnsi="Verdana" w:cs="Verdana"/>
          <w:sz w:val="21"/>
          <w:sz-cs w:val="21"/>
          <w:spacing w:val="0"/>
        </w:rPr>
        <w:t xml:space="preserve">Moduł auth (JWT, bcrypt, Passport)</w:t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spacing w:val="0"/>
        </w:rPr>
        <w:t xml:space="preserve">Moduł users (profil, role, statusy)</w:t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spacing w:val="0"/>
        </w:rPr>
        <w:t xml:space="preserve">Multi-tenant (organizacje, działy)</w:t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spacing w:val="0"/>
        </w:rPr>
        <w:t xml:space="preserve">Zatwierdzanie użytkowników i firm</w:t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spacing w:val="0"/>
        </w:rPr>
        <w:t xml:space="preserve">UI logowania, rejestracji, panele dostępu</w:t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spacing w:val="0"/>
        </w:rPr>
        <w:t xml:space="preserve">Bezpieczeństwo (CORS, Helmet, rate limit)</w:t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b/>
          <w:spacing w:val="0"/>
          <w:color w:val="B14E1D"/>
        </w:rPr>
        <w:t xml:space="preserve">◆ Kamień milowy: Logowanie i role działają w trzech panelach</w:t>
      </w:r>
    </w:p>
    <w:p>
      <w:pPr/>
      <w:r>
        <w:rPr>
          <w:rFonts w:ascii="Verdana" w:hAnsi="Verdana" w:cs="Verdana"/>
          <w:sz w:val="21"/>
          <w:sz-cs w:val="21"/>
          <w:b/>
          <w:spacing w:val="0"/>
          <w:color w:val="FFFFFF"/>
        </w:rPr>
        <w:t xml:space="preserve">FAZA 4 — TESTY PSYCHOLOGICZNE, SCORING, WYNIKI</w:t>
      </w:r>
    </w:p>
    <w:p>
      <w:pPr/>
      <w:r>
        <w:rPr>
          <w:rFonts w:ascii="Verdana" w:hAnsi="Verdana" w:cs="Verdana"/>
          <w:sz w:val="21"/>
          <w:sz-cs w:val="21"/>
          <w:spacing w:val="0"/>
        </w:rPr>
        <w:t xml:space="preserve">Szablony ankiet i pytania (PHQ-9, GAD-7, WHO-5, PSS-10, MOOD10)</w:t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spacing w:val="0"/>
        </w:rPr>
        <w:t xml:space="preserve">Zapis odpowiedzi (responses), snapshot</w:t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spacing w:val="0"/>
        </w:rPr>
        <w:t xml:space="preserve">Scoring i klasyfikacja nasilenia (severity)</w:t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spacing w:val="0"/>
        </w:rPr>
        <w:t xml:space="preserve">Indeks dobrostanu (Wellbeing Index)</w:t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spacing w:val="0"/>
        </w:rPr>
        <w:t xml:space="preserve">UI wypełniania testów (mobile-first)</w:t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spacing w:val="0"/>
        </w:rPr>
        <w:t xml:space="preserve">UI wyników, historii, wykresy</w:t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b/>
          <w:spacing w:val="0"/>
          <w:color w:val="B14E1D"/>
        </w:rPr>
        <w:t xml:space="preserve">◆ Kamień milowy: Core MVP — testy działają end-to-end</w:t>
      </w:r>
    </w:p>
    <w:p>
      <w:pPr/>
      <w:r>
        <w:rPr>
          <w:rFonts w:ascii="Verdana" w:hAnsi="Verdana" w:cs="Verdana"/>
          <w:sz w:val="21"/>
          <w:sz-cs w:val="21"/>
          <w:b/>
          <w:spacing w:val="0"/>
          <w:color w:val="FFFFFF"/>
        </w:rPr>
        <w:t xml:space="preserve">FAZA 5 — DASHBOARDY, ANALITYKA HR, PANEL ADMINISTRATORA</w:t>
      </w:r>
    </w:p>
    <w:p>
      <w:pPr/>
      <w:r>
        <w:rPr>
          <w:rFonts w:ascii="Verdana" w:hAnsi="Verdana" w:cs="Verdana"/>
          <w:sz w:val="21"/>
          <w:sz-cs w:val="21"/>
          <w:spacing w:val="0"/>
        </w:rPr>
        <w:t xml:space="preserve">Analityka (agregacja, anonimizacja k=5)</w:t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spacing w:val="0"/>
        </w:rPr>
        <w:t xml:space="preserve">Dashboard pracownika (Wellbeing Index)</w:t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spacing w:val="0"/>
        </w:rPr>
        <w:t xml:space="preserve">Panel raportowy HR (wykresy, filtry)</w:t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spacing w:val="0"/>
        </w:rPr>
        <w:t xml:space="preserve">Panel administracyjny firmy</w:t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spacing w:val="0"/>
        </w:rPr>
        <w:t xml:space="preserve">Panel właściciela platformy (super-admin)</w:t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b/>
          <w:spacing w:val="0"/>
          <w:color w:val="B14E1D"/>
        </w:rPr>
        <w:t xml:space="preserve">◆ Kamień milowy: Wszystkie panele i widoki gotowe</w:t>
      </w:r>
    </w:p>
    <w:p>
      <w:pPr/>
      <w:r>
        <w:rPr>
          <w:rFonts w:ascii="Verdana" w:hAnsi="Verdana" w:cs="Verdana"/>
          <w:sz w:val="21"/>
          <w:sz-cs w:val="21"/>
          <w:b/>
          <w:spacing w:val="0"/>
          <w:color w:val="FFFFFF"/>
        </w:rPr>
        <w:t xml:space="preserve">FAZA 6 — POWIADOMIENIA, AUDYT, PWA, TESTY</w:t>
      </w:r>
    </w:p>
    <w:p>
      <w:pPr/>
      <w:r>
        <w:rPr>
          <w:rFonts w:ascii="Verdana" w:hAnsi="Verdana" w:cs="Verdana"/>
          <w:sz w:val="21"/>
          <w:sz-cs w:val="21"/>
          <w:spacing w:val="0"/>
        </w:rPr>
        <w:t xml:space="preserve">Powiadomienia in-app (bell, dropdown)</w:t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spacing w:val="0"/>
        </w:rPr>
        <w:t xml:space="preserve">Powiadomienia e-mail (SMTP, Helmet escape)</w:t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spacing w:val="0"/>
        </w:rPr>
        <w:t xml:space="preserve">Audit logging (akcje administracyjne)</w:t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spacing w:val="0"/>
        </w:rPr>
        <w:t xml:space="preserve">PWA, ikony, Service Worker, offline</w:t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spacing w:val="0"/>
        </w:rPr>
        <w:t xml:space="preserve">Tryb jasny i ciemny (theme switcher)</w:t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spacing w:val="0"/>
        </w:rPr>
        <w:t xml:space="preserve">Testy klikalne (manualne) i nieklikalne</w:t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b/>
          <w:spacing w:val="0"/>
          <w:color w:val="B14E1D"/>
        </w:rPr>
        <w:t xml:space="preserve">◆ Kamień milowy: Aplikacja przetestowana, zabezpieczenia ukończone</w:t>
      </w:r>
    </w:p>
    <w:p>
      <w:pPr/>
      <w:r>
        <w:rPr>
          <w:rFonts w:ascii="Verdana" w:hAnsi="Verdana" w:cs="Verdana"/>
          <w:sz w:val="21"/>
          <w:sz-cs w:val="21"/>
          <w:b/>
          <w:spacing w:val="0"/>
          <w:color w:val="FFFFFF"/>
        </w:rPr>
        <w:t xml:space="preserve">FAZA 7 — DIAGRAMY, DOKUMENTACJA, WDROŻENIE, FINALIZACJA PRACY</w:t>
      </w:r>
    </w:p>
    <w:p>
      <w:pPr/>
      <w:r>
        <w:rPr>
          <w:rFonts w:ascii="Verdana" w:hAnsi="Verdana" w:cs="Verdana"/>
          <w:sz w:val="21"/>
          <w:sz-cs w:val="21"/>
          <w:spacing w:val="0"/>
        </w:rPr>
        <w:t xml:space="preserve">Diagramy UML i BPMN (use case, klas, sekwencji)</w:t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spacing w:val="0"/>
        </w:rPr>
        <w:t xml:space="preserve">Wdrożenie produkcyjne (Railway, HTTPS)</w:t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spacing w:val="0"/>
        </w:rPr>
        <w:t xml:space="preserve">Dokumentacja techniczna (docs/)</w:t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spacing w:val="0"/>
        </w:rPr>
        <w:t xml:space="preserve">Pisanie pracy inżynierskiej</w:t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spacing w:val="0"/>
        </w:rPr>
        <w:t xml:space="preserve">Korekta językowa, kontrola antyplagiatowa</w:t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spacing w:val="0"/>
        </w:rPr>
        <w:t xml:space="preserve">Przygotowanie prezentacji obrony</w:t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>
        <w:jc w:val="center"/>
      </w:pPr>
      <w:r>
        <w:rPr>
          <w:rFonts w:ascii="Verdana" w:hAnsi="Verdana" w:cs="Verdana"/>
          <w:sz w:val="20"/>
          <w:sz-cs w:val="20"/>
          <w:spacing w:val="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b/>
          <w:spacing w:val="0"/>
          <w:color w:val="B14E1D"/>
        </w:rPr>
        <w:t xml:space="preserve">◆ Kamień milowy: Praca inżynierska oddana, projekt gotowy do obrony</w:t>
      </w:r>
    </w:p>
    <w:p>
      <w:pPr>
        <w:jc w:val="both"/>
        <w:spacing w:after="213"/>
      </w:pPr>
      <w:r>
        <w:rPr>
          <w:rFonts w:ascii="Verdana" w:hAnsi="Verdana" w:cs="Verdana"/>
          <w:sz w:val="22"/>
          <w:sz-cs w:val="22"/>
          <w:b/>
          <w:spacing w:val="0"/>
        </w:rPr>
        <w:t xml:space="preserve">Legenda kolorów:</w:t>
      </w:r>
      <w:r>
        <w:rPr>
          <w:rFonts w:ascii="Verdana" w:hAnsi="Verdana" w:cs="Verdana"/>
          <w:sz w:val="22"/>
          <w:sz-cs w:val="22"/>
          <w:spacing w:val="0"/>
        </w:rPr>
        <w:t xml:space="preserve"> analiza i planowanie /diagramy infrastruktura backend (auth, users, notifications) UI logowania bezpieczeństwo scoring testów UI testów analityka i agregacja dashboardy testy QA audit logging wdrożenie produkcyjne dokumentacja i pisanie pracy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