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2"/>
        </w:rPr>
        <w:t>3.2. Schemat bazy danych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Warstwę trwałego przechowywania danych aplikacji MoodFlow stanowi relacyjna baza danych </w:t>
      </w:r>
      <w:r>
        <w:rPr>
          <w:rFonts w:ascii="Verdana" w:hAnsi="Verdana" w:cs="Verdana"/>
          <w:b/>
          <w:i w:val="0"/>
          <w:sz w:val="20"/>
        </w:rPr>
        <w:t>PostgreSQL 16</w:t>
      </w:r>
      <w:r>
        <w:rPr>
          <w:rFonts w:ascii="Verdana" w:hAnsi="Verdana" w:cs="Verdana"/>
          <w:b w:val="0"/>
          <w:i w:val="0"/>
          <w:sz w:val="20"/>
        </w:rPr>
        <w:t xml:space="preserve">. Wybór modelu relacyjnego wynika z charakteru przetwarzanych informacji — silnie ustrukturyzowanych, powiązanych ze sobą zależnościami referencyjnymi (klucze obce) i wymagających transakcyjności typu ACID. Dane dotyczące dobrostanu pracowników, wyników testów psychologicznych oraz konfiguracji wielu organizacji w architekturze </w:t>
      </w:r>
      <w:r>
        <w:rPr>
          <w:rFonts w:ascii="Verdana" w:hAnsi="Verdana" w:cs="Verdana"/>
          <w:b w:val="0"/>
          <w:i/>
          <w:sz w:val="20"/>
        </w:rPr>
        <w:t>multi-tenant</w:t>
      </w:r>
      <w:r>
        <w:rPr>
          <w:rFonts w:ascii="Verdana" w:hAnsi="Verdana" w:cs="Verdana"/>
          <w:b w:val="0"/>
          <w:i w:val="0"/>
          <w:sz w:val="20"/>
        </w:rPr>
        <w:t xml:space="preserve"> wymagają jednoznacznych powiązań, walidowanej spójności oraz izolacji na poziomie wierszy. Z uwagi na te wymagania zrezygnowano z baz dokumentowych typu NoSQL, których model danych byłby niewystarczająco rygorystyczny dla warstwy domenowej tego systemu.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Komunikacja warstwy serwerowej z bazą danych odbywa się za pośrednictwem biblioteki </w:t>
      </w:r>
      <w:r>
        <w:rPr>
          <w:rFonts w:ascii="Verdana" w:hAnsi="Verdana" w:cs="Verdana"/>
          <w:b/>
          <w:i w:val="0"/>
          <w:sz w:val="20"/>
        </w:rPr>
        <w:t>TypeORM</w:t>
      </w:r>
      <w:r>
        <w:rPr>
          <w:rFonts w:ascii="Verdana" w:hAnsi="Verdana" w:cs="Verdana"/>
          <w:b w:val="0"/>
          <w:i w:val="0"/>
          <w:sz w:val="20"/>
        </w:rPr>
        <w:t xml:space="preserve"> — mapera obiektowo-relacyjnego (ORM) zintegrowanego z frameworkiem </w:t>
      </w:r>
      <w:r>
        <w:rPr>
          <w:rFonts w:ascii="Verdana" w:hAnsi="Verdana" w:cs="Verdana"/>
          <w:b/>
          <w:i w:val="0"/>
          <w:sz w:val="20"/>
        </w:rPr>
        <w:t>NestJS</w:t>
      </w:r>
      <w:r>
        <w:rPr>
          <w:rFonts w:ascii="Verdana" w:hAnsi="Verdana" w:cs="Verdana"/>
          <w:b w:val="0"/>
          <w:i w:val="0"/>
          <w:sz w:val="20"/>
        </w:rPr>
        <w:t xml:space="preserve">. Każda tabela jest reprezentowana w kodzie jako encja TypeScript opatrzona dekoratorami opisującymi kolumny, klucze i relacje. Relacje 1:N oraz N:1 zostały zadeklarowane bezpośrednio w encjach przy użyciu dekoratorów </w:t>
      </w:r>
      <w:r>
        <w:rPr>
          <w:rFonts w:ascii="Verdana" w:hAnsi="Verdana" w:cs="Verdana"/>
          <w:b w:val="0"/>
          <w:i/>
          <w:sz w:val="20"/>
        </w:rPr>
        <w:t>@OneToMany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Verdana" w:hAnsi="Verdana" w:cs="Verdana"/>
          <w:b w:val="0"/>
          <w:i/>
          <w:sz w:val="20"/>
        </w:rPr>
        <w:t>@ManyToOne</w:t>
      </w:r>
      <w:r>
        <w:rPr>
          <w:rFonts w:ascii="Verdana" w:hAnsi="Verdana" w:cs="Verdana"/>
          <w:b w:val="0"/>
          <w:i w:val="0"/>
          <w:sz w:val="20"/>
        </w:rPr>
        <w:t>, co umożliwia czytelne nawigowanie po grafie obiektów oraz automatyczne dołączanie powiązanych rekordów (</w:t>
      </w:r>
      <w:r>
        <w:rPr>
          <w:rFonts w:ascii="Verdana" w:hAnsi="Verdana" w:cs="Verdana"/>
          <w:b w:val="0"/>
          <w:i/>
          <w:sz w:val="20"/>
        </w:rPr>
        <w:t>eager / lazy loading</w:t>
      </w:r>
      <w:r>
        <w:rPr>
          <w:rFonts w:ascii="Verdana" w:hAnsi="Verdana" w:cs="Verdana"/>
          <w:b w:val="0"/>
          <w:i w:val="0"/>
          <w:sz w:val="20"/>
        </w:rPr>
        <w:t>).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Struktura schematu została zaprojektowana zgodnie z trzecią postacią normalną (3NF) — każda nieklucząca kolumna zależy wyłącznie od klucza głównego, eliminowane są redundancje, a powiązania pomiędzy bytami biznesowymi modelowane są przez tabele słownikowe i klucze obce. Dane półstrukturalne, dla których pełna normalizacja byłaby nieefektywna (np. metadane wpisów audytu, snapshoty odpowiedzi), są przechowywane w kolumnach typu </w:t>
      </w:r>
      <w:r>
        <w:rPr>
          <w:rFonts w:ascii="Verdana" w:hAnsi="Verdana" w:cs="Verdana"/>
          <w:b w:val="0"/>
          <w:i/>
          <w:sz w:val="20"/>
        </w:rPr>
        <w:t>jsonb</w:t>
      </w:r>
      <w:r>
        <w:rPr>
          <w:rFonts w:ascii="Verdana" w:hAnsi="Verdana" w:cs="Verdana"/>
          <w:b w:val="0"/>
          <w:i w:val="0"/>
          <w:sz w:val="20"/>
        </w:rPr>
        <w:t>, co zachowuje elastyczność modelu przy jednoczesnym wsparciu indeksowania i zapytań po polach JSON oferowanym przez PostgreSQL.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Diagram związków encji (ERD) przedstawiony na Rysunku 3.2 prezentuje pełną strukturę bazy danych aplikacji MoodFlow wraz z relacjami pomiędzy tabelami. Notacja diagramu opiera się na tzw. </w:t>
      </w:r>
      <w:r>
        <w:rPr>
          <w:rFonts w:ascii="Verdana" w:hAnsi="Verdana" w:cs="Verdana"/>
          <w:b w:val="0"/>
          <w:i/>
          <w:sz w:val="20"/>
        </w:rPr>
        <w:t>kurzych nóżkach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Verdana" w:hAnsi="Verdana" w:cs="Verdana"/>
          <w:b w:val="0"/>
          <w:i/>
          <w:sz w:val="20"/>
        </w:rPr>
        <w:t>crow’s foot notation</w:t>
      </w:r>
      <w:r>
        <w:rPr>
          <w:rFonts w:ascii="Verdana" w:hAnsi="Verdana" w:cs="Verdana"/>
          <w:b w:val="0"/>
          <w:i w:val="0"/>
          <w:sz w:val="20"/>
        </w:rPr>
        <w:t>), gdzie symbol jednej kreski oznacza krotność „jeden”, a rozwidlenie — krotność „wiele”. Klucze główne (PK) zostały oznaczone w lewej kolumnie tabeli oraz wyróżnione przez podkreślenie nazwy pola, a klucze obce (FK) — przez etykietę FK i odwołanie do tabeli źródłowej.</w:t>
      </w:r>
    </w:p>
    <w:p>
      <w:pPr>
        <w:spacing w:line="276" w:lineRule="auto" w:before="160" w:after="80"/>
        <w:jc w:val="center"/>
      </w:pPr>
      <w:r>
        <w:rPr>
          <w:rFonts w:ascii="Verdana" w:hAnsi="Verdana" w:cs="Verdana"/>
          <w:b/>
          <w:i/>
          <w:sz w:val="20"/>
        </w:rPr>
        <w:t>[ TUTAJ WKLEJ DIAGRAM ERD — plik praca-pdf/Diagram-ERD.png ]</w:t>
      </w:r>
    </w:p>
    <w:p>
      <w:pPr>
        <w:spacing w:line="276" w:lineRule="auto" w:before="40" w:after="200"/>
        <w:jc w:val="center"/>
      </w:pPr>
      <w:r>
        <w:rPr>
          <w:rFonts w:ascii="Verdana" w:hAnsi="Verdana" w:cs="Verdana"/>
          <w:b w:val="0"/>
          <w:i/>
          <w:sz w:val="20"/>
        </w:rPr>
        <w:t>Rysunek 3.2 Diagram ERD bazy danych aplikacji MoodFlow (źródło: opracowanie własne)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Schemat zawiera jedenaście podstawowych tabel, które można pogrupować w cztery logiczne obszary domenowe odpowiadające głównym modułom aplikacji.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Obszar I — wielodostępność i tożsamość użytkowników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Tabele </w:t>
      </w:r>
      <w:r>
        <w:rPr>
          <w:rFonts w:ascii="Verdana" w:hAnsi="Verdana" w:cs="Verdana"/>
          <w:b/>
          <w:i w:val="0"/>
          <w:sz w:val="20"/>
        </w:rPr>
        <w:t>organizations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/>
          <w:i w:val="0"/>
          <w:sz w:val="20"/>
        </w:rPr>
        <w:t>departments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  <w:r>
        <w:rPr>
          <w:rFonts w:ascii="Verdana" w:hAnsi="Verdana" w:cs="Verdana"/>
          <w:b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 realizują architekturę </w:t>
      </w:r>
      <w:r>
        <w:rPr>
          <w:rFonts w:ascii="Verdana" w:hAnsi="Verdana" w:cs="Verdana"/>
          <w:b w:val="0"/>
          <w:i/>
          <w:sz w:val="20"/>
        </w:rPr>
        <w:t>multi-tenant</w:t>
      </w:r>
      <w:r>
        <w:rPr>
          <w:rFonts w:ascii="Verdana" w:hAnsi="Verdana" w:cs="Verdana"/>
          <w:b w:val="0"/>
          <w:i w:val="0"/>
          <w:sz w:val="20"/>
        </w:rPr>
        <w:t xml:space="preserve"> z izolacją na poziomie wierszy. Każdy rekord użytkownika oraz każdy obiekt operacyjny powiązany jest kluczem obcym </w:t>
      </w:r>
      <w:r>
        <w:rPr>
          <w:rFonts w:ascii="Verdana" w:hAnsi="Verdana" w:cs="Verdana"/>
          <w:b w:val="0"/>
          <w:i/>
          <w:sz w:val="20"/>
        </w:rPr>
        <w:t>organizationId</w:t>
      </w:r>
      <w:r>
        <w:rPr>
          <w:rFonts w:ascii="Verdana" w:hAnsi="Verdana" w:cs="Verdana"/>
          <w:b w:val="0"/>
          <w:i w:val="0"/>
          <w:sz w:val="20"/>
        </w:rPr>
        <w:t xml:space="preserve"> z konkretną organizacją, co gwarantuje, że dane jednej firmy są fizycznie i logicznie odseparowane od danych innych klientów platformy. Tabela </w:t>
      </w:r>
      <w:r>
        <w:rPr>
          <w:rFonts w:ascii="Verdana" w:hAnsi="Verdana" w:cs="Verdana"/>
          <w:b/>
          <w:i w:val="0"/>
          <w:sz w:val="20"/>
        </w:rPr>
        <w:t>organizations</w:t>
      </w:r>
      <w:r>
        <w:rPr>
          <w:rFonts w:ascii="Verdana" w:hAnsi="Verdana" w:cs="Verdana"/>
          <w:b w:val="0"/>
          <w:i w:val="0"/>
          <w:sz w:val="20"/>
        </w:rPr>
        <w:t xml:space="preserve"> przechowuje metadane firmy (nazwa, NIP, kod zaproszenia, status cyklu życia: </w:t>
      </w:r>
      <w:r>
        <w:rPr>
          <w:rFonts w:ascii="Verdana" w:hAnsi="Verdana" w:cs="Verdana"/>
          <w:b w:val="0"/>
          <w:i/>
          <w:sz w:val="20"/>
        </w:rPr>
        <w:t>pending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active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blocked</w:t>
      </w:r>
      <w:r>
        <w:rPr>
          <w:rFonts w:ascii="Verdana" w:hAnsi="Verdana" w:cs="Verdana"/>
          <w:b w:val="0"/>
          <w:i w:val="0"/>
          <w:sz w:val="20"/>
        </w:rPr>
        <w:t xml:space="preserve"> lub </w:t>
      </w:r>
      <w:r>
        <w:rPr>
          <w:rFonts w:ascii="Verdana" w:hAnsi="Verdana" w:cs="Verdana"/>
          <w:b w:val="0"/>
          <w:i/>
          <w:sz w:val="20"/>
        </w:rPr>
        <w:t>rejected</w:t>
      </w:r>
      <w:r>
        <w:rPr>
          <w:rFonts w:ascii="Verdana" w:hAnsi="Verdana" w:cs="Verdana"/>
          <w:b w:val="0"/>
          <w:i w:val="0"/>
          <w:sz w:val="20"/>
        </w:rPr>
        <w:t xml:space="preserve">), a tabela </w:t>
      </w:r>
      <w:r>
        <w:rPr>
          <w:rFonts w:ascii="Verdana" w:hAnsi="Verdana" w:cs="Verdana"/>
          <w:b/>
          <w:i w:val="0"/>
          <w:sz w:val="20"/>
        </w:rPr>
        <w:t>users</w:t>
      </w:r>
      <w:r>
        <w:rPr>
          <w:rFonts w:ascii="Verdana" w:hAnsi="Verdana" w:cs="Verdana"/>
          <w:b w:val="0"/>
          <w:i w:val="0"/>
          <w:sz w:val="20"/>
        </w:rPr>
        <w:t xml:space="preserve"> — konta indywidualne, role w systemie (</w:t>
      </w:r>
      <w:r>
        <w:rPr>
          <w:rFonts w:ascii="Verdana" w:hAnsi="Verdana" w:cs="Verdana"/>
          <w:b w:val="0"/>
          <w:i/>
          <w:sz w:val="20"/>
        </w:rPr>
        <w:t>employee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hr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admin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super_admin</w:t>
      </w:r>
      <w:r>
        <w:rPr>
          <w:rFonts w:ascii="Verdana" w:hAnsi="Verdana" w:cs="Verdana"/>
          <w:b w:val="0"/>
          <w:i w:val="0"/>
          <w:sz w:val="20"/>
        </w:rPr>
        <w:t xml:space="preserve">) oraz status konta. Hasła nigdy nie są przechowywane w postaci jawnej; pole </w:t>
      </w:r>
      <w:r>
        <w:rPr>
          <w:rFonts w:ascii="Verdana" w:hAnsi="Verdana" w:cs="Verdana"/>
          <w:b w:val="0"/>
          <w:i/>
          <w:sz w:val="20"/>
        </w:rPr>
        <w:t>passwordHash</w:t>
      </w:r>
      <w:r>
        <w:rPr>
          <w:rFonts w:ascii="Verdana" w:hAnsi="Verdana" w:cs="Verdana"/>
          <w:b w:val="0"/>
          <w:i w:val="0"/>
          <w:sz w:val="20"/>
        </w:rPr>
        <w:t xml:space="preserve"> zawiera skrót algorytmu </w:t>
      </w:r>
      <w:r>
        <w:rPr>
          <w:rFonts w:ascii="Verdana" w:hAnsi="Verdana" w:cs="Verdana"/>
          <w:b/>
          <w:i w:val="0"/>
          <w:sz w:val="20"/>
        </w:rPr>
        <w:t>bcrypt</w:t>
      </w:r>
      <w:r>
        <w:rPr>
          <w:rFonts w:ascii="Verdana" w:hAnsi="Verdana" w:cs="Verdana"/>
          <w:b w:val="0"/>
          <w:i w:val="0"/>
          <w:sz w:val="20"/>
        </w:rPr>
        <w:t xml:space="preserve"> z kosztem 12 rund.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Obszar II — definicje testów psychologicznych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Tabele </w:t>
      </w:r>
      <w:r>
        <w:rPr>
          <w:rFonts w:ascii="Verdana" w:hAnsi="Verdana" w:cs="Verdana"/>
          <w:b/>
          <w:i w:val="0"/>
          <w:sz w:val="20"/>
        </w:rPr>
        <w:t>assessments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/>
          <w:i w:val="0"/>
          <w:sz w:val="20"/>
        </w:rPr>
        <w:t>questions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  <w:r>
        <w:rPr>
          <w:rFonts w:ascii="Verdana" w:hAnsi="Verdana" w:cs="Verdana"/>
          <w:b/>
          <w:i w:val="0"/>
          <w:sz w:val="20"/>
        </w:rPr>
        <w:t>answer_options</w:t>
      </w:r>
      <w:r>
        <w:rPr>
          <w:rFonts w:ascii="Verdana" w:hAnsi="Verdana" w:cs="Verdana"/>
          <w:b w:val="0"/>
          <w:i w:val="0"/>
          <w:sz w:val="20"/>
        </w:rPr>
        <w:t xml:space="preserve"> przechowują definicje pięciu walidowanych testów psychologicznych zaimplementowanych w aplikacji: PHQ-9, GAD-7, PSS-10, WHO-5 oraz autorskiego testu nastroju MOOD10. Tabela </w:t>
      </w:r>
      <w:r>
        <w:rPr>
          <w:rFonts w:ascii="Verdana" w:hAnsi="Verdana" w:cs="Verdana"/>
          <w:b/>
          <w:i w:val="0"/>
          <w:sz w:val="20"/>
        </w:rPr>
        <w:t>assessments</w:t>
      </w:r>
      <w:r>
        <w:rPr>
          <w:rFonts w:ascii="Verdana" w:hAnsi="Verdana" w:cs="Verdana"/>
          <w:b w:val="0"/>
          <w:i w:val="0"/>
          <w:sz w:val="20"/>
        </w:rPr>
        <w:t xml:space="preserve"> zawiera metadane testu (kod, nazwa, opis, liczba pytań, wersja, flagi aktywności i anonimizacji dla HR), a tabele </w:t>
      </w:r>
      <w:r>
        <w:rPr>
          <w:rFonts w:ascii="Verdana" w:hAnsi="Verdana" w:cs="Verdana"/>
          <w:b/>
          <w:i w:val="0"/>
          <w:sz w:val="20"/>
        </w:rPr>
        <w:t>questions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Verdana" w:hAnsi="Verdana" w:cs="Verdana"/>
          <w:b/>
          <w:i w:val="0"/>
          <w:sz w:val="20"/>
        </w:rPr>
        <w:t>answer_options</w:t>
      </w:r>
      <w:r>
        <w:rPr>
          <w:rFonts w:ascii="Verdana" w:hAnsi="Verdana" w:cs="Verdana"/>
          <w:b w:val="0"/>
          <w:i w:val="0"/>
          <w:sz w:val="20"/>
        </w:rPr>
        <w:t xml:space="preserve"> — odpowiednio treść poszczególnych pytań i opcje odpowiedzi w skali Likerta. Powiązanie 1:N z testem oraz pole </w:t>
      </w:r>
      <w:r>
        <w:rPr>
          <w:rFonts w:ascii="Verdana" w:hAnsi="Verdana" w:cs="Verdana"/>
          <w:b w:val="0"/>
          <w:i/>
          <w:sz w:val="20"/>
        </w:rPr>
        <w:t>order</w:t>
      </w:r>
      <w:r>
        <w:rPr>
          <w:rFonts w:ascii="Verdana" w:hAnsi="Verdana" w:cs="Verdana"/>
          <w:b w:val="0"/>
          <w:i w:val="0"/>
          <w:sz w:val="20"/>
        </w:rPr>
        <w:t xml:space="preserve"> utrzymują kolejność prezentacji w interfejsie pracownika.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Obszar III — przypisania, wyniki i odpowiedzi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Trzy najbardziej obciążone tabele systemu — </w:t>
      </w:r>
      <w:r>
        <w:rPr>
          <w:rFonts w:ascii="Verdana" w:hAnsi="Verdana" w:cs="Verdana"/>
          <w:b/>
          <w:i w:val="0"/>
          <w:sz w:val="20"/>
        </w:rPr>
        <w:t>assessment_assignments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Verdana" w:hAnsi="Verdana" w:cs="Verdana"/>
          <w:b/>
          <w:i w:val="0"/>
          <w:sz w:val="20"/>
        </w:rPr>
        <w:t>user_responses</w:t>
      </w:r>
      <w:r>
        <w:rPr>
          <w:rFonts w:ascii="Verdana" w:hAnsi="Verdana" w:cs="Verdana"/>
          <w:b w:val="0"/>
          <w:i w:val="0"/>
          <w:sz w:val="20"/>
        </w:rPr>
        <w:t xml:space="preserve"> — opisują pełen cykl życia testu wypełnianego przez pracownika. Rekord w tabeli przypisań (</w:t>
      </w:r>
      <w:r>
        <w:rPr>
          <w:rFonts w:ascii="Verdana" w:hAnsi="Verdana" w:cs="Verdana"/>
          <w:b w:val="0"/>
          <w:i/>
          <w:sz w:val="20"/>
        </w:rPr>
        <w:t>assessment_assignments</w:t>
      </w:r>
      <w:r>
        <w:rPr>
          <w:rFonts w:ascii="Verdana" w:hAnsi="Verdana" w:cs="Verdana"/>
          <w:b w:val="0"/>
          <w:i w:val="0"/>
          <w:sz w:val="20"/>
        </w:rPr>
        <w:t xml:space="preserve">) określa, którzy pracownicy mają wykonać dany test (typ celu: </w:t>
      </w:r>
      <w:r>
        <w:rPr>
          <w:rFonts w:ascii="Verdana" w:hAnsi="Verdana" w:cs="Verdana"/>
          <w:b w:val="0"/>
          <w:i/>
          <w:sz w:val="20"/>
        </w:rPr>
        <w:t>ALL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USER</w:t>
      </w:r>
      <w:r>
        <w:rPr>
          <w:rFonts w:ascii="Verdana" w:hAnsi="Verdana" w:cs="Verdana"/>
          <w:b w:val="0"/>
          <w:i w:val="0"/>
          <w:sz w:val="20"/>
        </w:rPr>
        <w:t xml:space="preserve"> lub </w:t>
      </w:r>
      <w:r>
        <w:rPr>
          <w:rFonts w:ascii="Verdana" w:hAnsi="Verdana" w:cs="Verdana"/>
          <w:b w:val="0"/>
          <w:i/>
          <w:sz w:val="20"/>
        </w:rPr>
        <w:t>DEPARTMENT</w:t>
      </w:r>
      <w:r>
        <w:rPr>
          <w:rFonts w:ascii="Verdana" w:hAnsi="Verdana" w:cs="Verdana"/>
          <w:b w:val="0"/>
          <w:i w:val="0"/>
          <w:sz w:val="20"/>
        </w:rPr>
        <w:t xml:space="preserve">), w jakim oknie czasowym oraz przez kogo zostali przypisani. Po wypełnieniu testu w tabeli </w:t>
      </w:r>
      <w:r>
        <w:rPr>
          <w:rFonts w:ascii="Verdana" w:hAnsi="Verdana" w:cs="Verdana"/>
          <w:b/>
          <w:i w:val="0"/>
          <w:sz w:val="20"/>
        </w:rPr>
        <w:t>assessment_results</w:t>
      </w:r>
      <w:r>
        <w:rPr>
          <w:rFonts w:ascii="Verdana" w:hAnsi="Verdana" w:cs="Verdana"/>
          <w:b w:val="0"/>
          <w:i w:val="0"/>
          <w:sz w:val="20"/>
        </w:rPr>
        <w:t xml:space="preserve"> powstaje rekord wyniku zawierający wynik surowy (</w:t>
      </w:r>
      <w:r>
        <w:rPr>
          <w:rFonts w:ascii="Verdana" w:hAnsi="Verdana" w:cs="Verdana"/>
          <w:b w:val="0"/>
          <w:i/>
          <w:sz w:val="20"/>
        </w:rPr>
        <w:t>rawScore</w:t>
      </w:r>
      <w:r>
        <w:rPr>
          <w:rFonts w:ascii="Verdana" w:hAnsi="Verdana" w:cs="Verdana"/>
          <w:b w:val="0"/>
          <w:i w:val="0"/>
          <w:sz w:val="20"/>
        </w:rPr>
        <w:t>), wynik znormalizowany w skali 0–100 (</w:t>
      </w:r>
      <w:r>
        <w:rPr>
          <w:rFonts w:ascii="Verdana" w:hAnsi="Verdana" w:cs="Verdana"/>
          <w:b w:val="0"/>
          <w:i/>
          <w:sz w:val="20"/>
        </w:rPr>
        <w:t>normalizedScore</w:t>
      </w:r>
      <w:r>
        <w:rPr>
          <w:rFonts w:ascii="Verdana" w:hAnsi="Verdana" w:cs="Verdana"/>
          <w:b w:val="0"/>
          <w:i w:val="0"/>
          <w:sz w:val="20"/>
        </w:rPr>
        <w:t>), interpretację poziomu nasilenia (</w:t>
      </w:r>
      <w:r>
        <w:rPr>
          <w:rFonts w:ascii="Verdana" w:hAnsi="Verdana" w:cs="Verdana"/>
          <w:b w:val="0"/>
          <w:i/>
          <w:sz w:val="20"/>
        </w:rPr>
        <w:t>severity</w:t>
      </w:r>
      <w:r>
        <w:rPr>
          <w:rFonts w:ascii="Verdana" w:hAnsi="Verdana" w:cs="Verdana"/>
          <w:b w:val="0"/>
          <w:i w:val="0"/>
          <w:sz w:val="20"/>
        </w:rPr>
        <w:t>) oraz flagi ryzyka (</w:t>
      </w:r>
      <w:r>
        <w:rPr>
          <w:rFonts w:ascii="Verdana" w:hAnsi="Verdana" w:cs="Verdana"/>
          <w:b w:val="0"/>
          <w:i/>
          <w:sz w:val="20"/>
        </w:rPr>
        <w:t>riskFlags</w:t>
      </w:r>
      <w:r>
        <w:rPr>
          <w:rFonts w:ascii="Verdana" w:hAnsi="Verdana" w:cs="Verdana"/>
          <w:b w:val="0"/>
          <w:i w:val="0"/>
          <w:sz w:val="20"/>
        </w:rPr>
        <w:t xml:space="preserve">). Pojedyncze odpowiedzi pracownika na każde pytanie są zapisywane w tabeli </w:t>
      </w:r>
      <w:r>
        <w:rPr>
          <w:rFonts w:ascii="Verdana" w:hAnsi="Verdana" w:cs="Verdana"/>
          <w:b/>
          <w:i w:val="0"/>
          <w:sz w:val="20"/>
        </w:rPr>
        <w:t>user_responses</w:t>
      </w:r>
      <w:r>
        <w:rPr>
          <w:rFonts w:ascii="Verdana" w:hAnsi="Verdana" w:cs="Verdana"/>
          <w:b w:val="0"/>
          <w:i w:val="0"/>
          <w:sz w:val="20"/>
        </w:rPr>
        <w:t>, co umożliwia ponowną analizę i ewentualną rekalkulację wyników.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Logika obliczania wyniku znajduje się wyłącznie po stronie backendu w klasach serwisowych modułu </w:t>
      </w:r>
      <w:r>
        <w:rPr>
          <w:rFonts w:ascii="Verdana" w:hAnsi="Verdana" w:cs="Verdana"/>
          <w:b w:val="0"/>
          <w:i/>
          <w:sz w:val="20"/>
        </w:rPr>
        <w:t>assessments</w:t>
      </w:r>
      <w:r>
        <w:rPr>
          <w:rFonts w:ascii="Verdana" w:hAnsi="Verdana" w:cs="Verdana"/>
          <w:b w:val="0"/>
          <w:i w:val="0"/>
          <w:sz w:val="20"/>
        </w:rPr>
        <w:t>, co eliminuje ryzyko manipulacji punktacją z poziomu klienta i pozwala na centralne wprowadzanie zmian w algorytmach scoringu psychologicznego.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Obszar IV — bezpieczeństwo, audyt i komunikacja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Tabele </w:t>
      </w:r>
      <w:r>
        <w:rPr>
          <w:rFonts w:ascii="Verdana" w:hAnsi="Verdana" w:cs="Verdana"/>
          <w:b/>
          <w:i w:val="0"/>
          <w:sz w:val="20"/>
        </w:rPr>
        <w:t>audit_logs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  <w:r>
        <w:rPr>
          <w:rFonts w:ascii="Verdana" w:hAnsi="Verdana" w:cs="Verdana"/>
          <w:b/>
          <w:i w:val="0"/>
          <w:sz w:val="20"/>
        </w:rPr>
        <w:t>notifications</w:t>
      </w:r>
      <w:r>
        <w:rPr>
          <w:rFonts w:ascii="Verdana" w:hAnsi="Verdana" w:cs="Verdana"/>
          <w:b w:val="0"/>
          <w:i w:val="0"/>
          <w:sz w:val="20"/>
        </w:rPr>
        <w:t xml:space="preserve"> wspierają wymagania bezpieczeństwa i komunikacji w systemie. Dziennik audytu rejestruje krytyczne zdarzenia (logowania, zmiany ról, zatwierdzanie kont, eksporty danych, blokady firm) wraz z identyfikatorem użytkownika wykonującego operację, znacznikiem czasu, adresem IP oraz strukturą metadanych w polu </w:t>
      </w:r>
      <w:r>
        <w:rPr>
          <w:rFonts w:ascii="Verdana" w:hAnsi="Verdana" w:cs="Verdana"/>
          <w:b w:val="0"/>
          <w:i/>
          <w:sz w:val="20"/>
        </w:rPr>
        <w:t>jsonb</w:t>
      </w:r>
      <w:r>
        <w:rPr>
          <w:rFonts w:ascii="Verdana" w:hAnsi="Verdana" w:cs="Verdana"/>
          <w:b w:val="0"/>
          <w:i w:val="0"/>
          <w:sz w:val="20"/>
        </w:rPr>
        <w:t xml:space="preserve">. Wpisy są niemodyfikowalne (append-only), co spełnia wymóg integralności śladu audytowego oraz wspiera zgodność z RODO w zakresie rozliczalności (art. 5 ust. 2). Tabela </w:t>
      </w:r>
      <w:r>
        <w:rPr>
          <w:rFonts w:ascii="Verdana" w:hAnsi="Verdana" w:cs="Verdana"/>
          <w:b/>
          <w:i w:val="0"/>
          <w:sz w:val="20"/>
        </w:rPr>
        <w:t>notifications</w:t>
      </w:r>
      <w:r>
        <w:rPr>
          <w:rFonts w:ascii="Verdana" w:hAnsi="Verdana" w:cs="Verdana"/>
          <w:b w:val="0"/>
          <w:i w:val="0"/>
          <w:sz w:val="20"/>
        </w:rPr>
        <w:t xml:space="preserve"> przechowuje powiadomienia w aplikacji przeznaczone dla pracowników (np. informacja o przypisanym teście) z polem statusu odczytania oraz głębokim linkiem do odpowiedniego widoku w aplikacji.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Indeksowanie i wydajność zapytań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 bazie zostały zdefiniowane indeksy na kluczach obcych oraz na polach często używanych w klauzulach </w:t>
      </w:r>
      <w:r>
        <w:rPr>
          <w:rFonts w:ascii="Verdana" w:hAnsi="Verdana" w:cs="Verdana"/>
          <w:b w:val="0"/>
          <w:i/>
          <w:sz w:val="20"/>
        </w:rPr>
        <w:t>WHERE</w:t>
      </w:r>
      <w:r>
        <w:rPr>
          <w:rFonts w:ascii="Verdana" w:hAnsi="Verdana" w:cs="Verdana"/>
          <w:b w:val="0"/>
          <w:i w:val="0"/>
          <w:sz w:val="20"/>
        </w:rPr>
        <w:t xml:space="preserve"> (m.in. </w:t>
      </w:r>
      <w:r>
        <w:rPr>
          <w:rFonts w:ascii="Verdana" w:hAnsi="Verdana" w:cs="Verdana"/>
          <w:b w:val="0"/>
          <w:i/>
          <w:sz w:val="20"/>
        </w:rPr>
        <w:t>users.email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assessment_results.userId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assessment_results.organizationId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Verdana" w:hAnsi="Verdana" w:cs="Verdana"/>
          <w:b w:val="0"/>
          <w:i/>
          <w:sz w:val="20"/>
        </w:rPr>
        <w:t>audit_logs.organizationId</w:t>
      </w:r>
      <w:r>
        <w:rPr>
          <w:rFonts w:ascii="Verdana" w:hAnsi="Verdana" w:cs="Verdana"/>
          <w:b w:val="0"/>
          <w:i w:val="0"/>
          <w:sz w:val="20"/>
        </w:rPr>
        <w:t xml:space="preserve">). Indeks </w:t>
      </w:r>
      <w:r>
        <w:rPr>
          <w:rFonts w:ascii="Verdana" w:hAnsi="Verdana" w:cs="Verdana"/>
          <w:b w:val="0"/>
          <w:i/>
          <w:sz w:val="20"/>
        </w:rPr>
        <w:t>UNIQUE</w:t>
      </w:r>
      <w:r>
        <w:rPr>
          <w:rFonts w:ascii="Verdana" w:hAnsi="Verdana" w:cs="Verdana"/>
          <w:b w:val="0"/>
          <w:i w:val="0"/>
          <w:sz w:val="20"/>
        </w:rPr>
        <w:t xml:space="preserve"> na polach </w:t>
      </w:r>
      <w:r>
        <w:rPr>
          <w:rFonts w:ascii="Verdana" w:hAnsi="Verdana" w:cs="Verdana"/>
          <w:b w:val="0"/>
          <w:i/>
          <w:sz w:val="20"/>
        </w:rPr>
        <w:t>users.email</w:t>
      </w:r>
      <w:r>
        <w:rPr>
          <w:rFonts w:ascii="Verdana" w:hAnsi="Verdana" w:cs="Verdana"/>
          <w:b w:val="0"/>
          <w:i w:val="0"/>
          <w:sz w:val="20"/>
        </w:rPr>
        <w:t xml:space="preserve"> oraz </w:t>
      </w:r>
      <w:r>
        <w:rPr>
          <w:rFonts w:ascii="Verdana" w:hAnsi="Verdana" w:cs="Verdana"/>
          <w:b w:val="0"/>
          <w:i/>
          <w:sz w:val="20"/>
        </w:rPr>
        <w:t>organizations.nip</w:t>
      </w:r>
      <w:r>
        <w:rPr>
          <w:rFonts w:ascii="Verdana" w:hAnsi="Verdana" w:cs="Verdana"/>
          <w:b w:val="0"/>
          <w:i w:val="0"/>
          <w:sz w:val="20"/>
        </w:rPr>
        <w:t xml:space="preserve"> wymusza globalną unikalność identyfikatorów logowania i numerów identyfikacyjnych firm. Pola typu </w:t>
      </w:r>
      <w:r>
        <w:rPr>
          <w:rFonts w:ascii="Verdana" w:hAnsi="Verdana" w:cs="Verdana"/>
          <w:b w:val="0"/>
          <w:i/>
          <w:sz w:val="20"/>
        </w:rPr>
        <w:t>jsonb</w:t>
      </w:r>
      <w:r>
        <w:rPr>
          <w:rFonts w:ascii="Verdana" w:hAnsi="Verdana" w:cs="Verdana"/>
          <w:b w:val="0"/>
          <w:i w:val="0"/>
          <w:sz w:val="20"/>
        </w:rPr>
        <w:t xml:space="preserve"> (np. </w:t>
      </w:r>
      <w:r>
        <w:rPr>
          <w:rFonts w:ascii="Verdana" w:hAnsi="Verdana" w:cs="Verdana"/>
          <w:b w:val="0"/>
          <w:i/>
          <w:sz w:val="20"/>
        </w:rPr>
        <w:t>audit_logs.metadata</w:t>
      </w:r>
      <w:r>
        <w:rPr>
          <w:rFonts w:ascii="Verdana" w:hAnsi="Verdana" w:cs="Verdana"/>
          <w:b w:val="0"/>
          <w:i w:val="0"/>
          <w:sz w:val="20"/>
        </w:rPr>
        <w:t>) mogą być w przyszłości wyposażone w indeksy GIN dla zapytań po atrybutach metadanych, co stanowi przewagę PostgreSQL nad innymi systemami relacyjnymi.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Migracje i zarządzanie schematem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Schemat bazy danych jest wersjonowany razem z kodem aplikacji w katalogu </w:t>
      </w:r>
      <w:r>
        <w:rPr>
          <w:rFonts w:ascii="Verdana" w:hAnsi="Verdana" w:cs="Verdana"/>
          <w:b w:val="0"/>
          <w:i/>
          <w:sz w:val="20"/>
        </w:rPr>
        <w:t>backend-api/src/database/migrations/</w:t>
      </w:r>
      <w:r>
        <w:rPr>
          <w:rFonts w:ascii="Verdana" w:hAnsi="Verdana" w:cs="Verdana"/>
          <w:b w:val="0"/>
          <w:i w:val="0"/>
          <w:sz w:val="20"/>
        </w:rPr>
        <w:t>. Każda istotna zmiana modelu danych (dodanie kolumny, modyfikacja typu, utworzenie nowej tabeli) jest zapisywana jako odrębny skrypt migracyjny TypeORM. W środowisku rozwojowym wykorzystywany jest tryb synchronizacji schematu z encjami TypeScript, natomiast w środowisku produkcyjnym schemat jest tworzony i aktualizowany wyłącznie przez kontrolowane uruchomienie migracji, co zapobiega niezamierzonym zmianom struktury bazy.</w:t>
      </w:r>
    </w:p>
    <w:p>
      <w:pPr>
        <w:spacing w:line="276" w:lineRule="auto" w:before="120" w:after="160"/>
      </w:pPr>
      <w:r>
        <w:rPr>
          <w:rFonts w:ascii="Verdana" w:hAnsi="Verdana" w:cs="Verdana"/>
          <w:b/>
          <w:i w:val="0"/>
          <w:sz w:val="20"/>
        </w:rPr>
        <w:t>Anonimizacja na poziomie zapytań analitycznych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Choć baza danych przechowuje pełne dane wyników testów wraz z identyfikatorem pracownika, warstwa serwerowa udostępnia widokom HR wyłącznie zapytania zagregowane (np. średnia wartość </w:t>
      </w:r>
      <w:r>
        <w:rPr>
          <w:rFonts w:ascii="Verdana" w:hAnsi="Verdana" w:cs="Verdana"/>
          <w:b w:val="0"/>
          <w:i/>
          <w:sz w:val="20"/>
        </w:rPr>
        <w:t>normalizedScore</w:t>
      </w:r>
      <w:r>
        <w:rPr>
          <w:rFonts w:ascii="Verdana" w:hAnsi="Verdana" w:cs="Verdana"/>
          <w:b w:val="0"/>
          <w:i w:val="0"/>
          <w:sz w:val="20"/>
        </w:rPr>
        <w:t xml:space="preserve"> w obrębie działu) z dodatkowym warunkiem </w:t>
      </w:r>
      <w:r>
        <w:rPr>
          <w:rFonts w:ascii="Verdana" w:hAnsi="Verdana" w:cs="Verdana"/>
          <w:b w:val="0"/>
          <w:i/>
          <w:sz w:val="20"/>
        </w:rPr>
        <w:t>HAVING COUNT(*) ≥ 5</w:t>
      </w:r>
      <w:r>
        <w:rPr>
          <w:rFonts w:ascii="Verdana" w:hAnsi="Verdana" w:cs="Verdana"/>
          <w:b w:val="0"/>
          <w:i w:val="0"/>
          <w:sz w:val="20"/>
        </w:rPr>
        <w:t xml:space="preserve">, co realizuje politykę </w:t>
      </w:r>
      <w:r>
        <w:rPr>
          <w:rFonts w:ascii="Verdana" w:hAnsi="Verdana" w:cs="Verdana"/>
          <w:b/>
          <w:i w:val="0"/>
          <w:sz w:val="20"/>
        </w:rPr>
        <w:t>k-anonimowości</w:t>
      </w:r>
      <w:r>
        <w:rPr>
          <w:rFonts w:ascii="Verdana" w:hAnsi="Verdana" w:cs="Verdana"/>
          <w:b w:val="0"/>
          <w:i w:val="0"/>
          <w:sz w:val="20"/>
        </w:rPr>
        <w:t xml:space="preserve"> z parametrem k=5. Dzięki temu raporty zawsze obejmują grupę co najmniej pięciu pracowników, co uniemożliwia identyfikację konkretnego respondenta nawet osobie posiadającej dostęp do panelu HR.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Zaprojektowany schemat bazy danych jest spójny z ideą produktu — łączy ścisłą strukturalizację wymaganą dla danych osobowych pracowników z elastycznością niezbędną dla rozszerzania modułu testów oraz audytu. Stanowi solidny fundament zarówno dla obecnych funkcjonalności aplikacji, jak i jej dalszej rozbudowy w ramach pracy poza zakresem inżynierskim.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