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160" w:after="160"/>
      </w:pPr>
      <w:r>
        <w:rPr>
          <w:rFonts w:ascii="Verdana" w:hAnsi="Verdana" w:cs="Verdana"/>
          <w:b/>
          <w:i w:val="0"/>
          <w:sz w:val="24"/>
        </w:rPr>
        <w:t>4.1. Architektura repozytorium i konteneryzacja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Implementacja aplikacji MoodFlow została zorganizowana w postaci </w:t>
      </w:r>
      <w:r>
        <w:rPr>
          <w:rFonts w:ascii="Verdana" w:hAnsi="Verdana" w:cs="Verdana"/>
          <w:b/>
          <w:i w:val="0"/>
          <w:sz w:val="20"/>
        </w:rPr>
        <w:t>monorepozytorium</w:t>
      </w:r>
      <w:r>
        <w:rPr>
          <w:rFonts w:ascii="Verdana" w:hAnsi="Verdana" w:cs="Verdana"/>
          <w:b w:val="0"/>
          <w:i w:val="0"/>
          <w:sz w:val="20"/>
        </w:rPr>
        <w:t xml:space="preserve"> — pojedynczego repozytorium Git, w którym współistnieją trzy niezależnie wdrażalne aplikacje (warstwa serwerowa oraz dwie aplikacje frontendowe) wraz z konfiguracją bazy danych, plikami środowiskowymi oraz dokumentacją techniczną. Takie podejście zostało wybrane jako optymalne dla projektu w skali pracy inżynierskiej, ponieważ ułatwia utrzymanie spójności wersji pomiędzy backendem a frontendami, umożliwia przeglądanie zmian w wielu warstwach w obrębie jednej zmiany w systemie kontroli wersji, a także upraszcza orkiestrację środowiska lokalnego za pomocą jednego pliku </w:t>
      </w:r>
      <w:r>
        <w:rPr>
          <w:rFonts w:ascii="Consolas" w:hAnsi="Consolas" w:cs="Consolas"/>
          <w:b w:val="0"/>
          <w:i w:val="0"/>
          <w:sz w:val="20"/>
        </w:rPr>
        <w:t>docker-compose.yml</w:t>
      </w:r>
      <w:r>
        <w:rPr>
          <w:rFonts w:ascii="Verdana" w:hAnsi="Verdana" w:cs="Verdana"/>
          <w:b w:val="0"/>
          <w:i w:val="0"/>
          <w:sz w:val="20"/>
        </w:rPr>
        <w:t>. Alternatywą rozważaną na etapie projektowania była konfiguracja osobnych repozytoriów dla każdej aplikacji (</w:t>
      </w:r>
      <w:r>
        <w:rPr>
          <w:rFonts w:ascii="Verdana" w:hAnsi="Verdana" w:cs="Verdana"/>
          <w:b w:val="0"/>
          <w:i/>
          <w:sz w:val="20"/>
        </w:rPr>
        <w:t>multi-repo</w:t>
      </w:r>
      <w:r>
        <w:rPr>
          <w:rFonts w:ascii="Verdana" w:hAnsi="Verdana" w:cs="Verdana"/>
          <w:b w:val="0"/>
          <w:i w:val="0"/>
          <w:sz w:val="20"/>
        </w:rPr>
        <w:t>), jednak ze względu na liczbę współdzielonych decyzji architektonicznych oraz wspólny cykl wdrożeniowy zdecydowano się na monorepozytorium.</w:t>
      </w:r>
    </w:p>
    <w:p>
      <w:pPr>
        <w:spacing w:line="276" w:lineRule="auto" w:before="0" w:after="160"/>
        <w:jc w:val="both"/>
      </w:pPr>
      <w:r>
        <w:rPr>
          <w:rFonts w:ascii="Verdana" w:hAnsi="Verdana" w:cs="Verdana"/>
          <w:b w:val="0"/>
          <w:i w:val="0"/>
          <w:sz w:val="20"/>
        </w:rPr>
        <w:t>Struktura katalogów na poziomie głównym repozytorium odzwierciedla logiczny podział systemu na warstwy: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 w:val="0"/>
          <w:i w:val="0"/>
          <w:sz w:val="20"/>
        </w:rPr>
      </w:r>
      <w:r>
        <w:rPr>
          <w:rFonts w:ascii="Consolas" w:hAnsi="Consolas" w:cs="Consolas"/>
          <w:b w:val="0"/>
          <w:i w:val="0"/>
          <w:sz w:val="20"/>
        </w:rPr>
        <w:t>client-frontend/</w:t>
      </w:r>
      <w:r>
        <w:rPr>
          <w:rFonts w:ascii="Verdana" w:hAnsi="Verdana" w:cs="Verdana"/>
          <w:b w:val="0"/>
          <w:i w:val="0"/>
          <w:sz w:val="20"/>
        </w:rPr>
        <w:t xml:space="preserve"> — aplikacja pracownika zbudowana w technologii React 19 + Vite 7, działająca jako Progressive Web App;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 w:val="0"/>
          <w:i w:val="0"/>
          <w:sz w:val="20"/>
        </w:rPr>
      </w:r>
      <w:r>
        <w:rPr>
          <w:rFonts w:ascii="Consolas" w:hAnsi="Consolas" w:cs="Consolas"/>
          <w:b w:val="0"/>
          <w:i w:val="0"/>
          <w:sz w:val="20"/>
        </w:rPr>
        <w:t>admin-frontend/</w:t>
      </w:r>
      <w:r>
        <w:rPr>
          <w:rFonts w:ascii="Verdana" w:hAnsi="Verdana" w:cs="Verdana"/>
          <w:b w:val="0"/>
          <w:i w:val="0"/>
          <w:sz w:val="20"/>
        </w:rPr>
        <w:t xml:space="preserve"> — aplikacja administracyjna (HR, administrator firmy, właściciel platformy) zbudowana w Next.js 16 z wykorzystaniem App Router;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 w:val="0"/>
          <w:i w:val="0"/>
          <w:sz w:val="20"/>
        </w:rPr>
      </w:r>
      <w:r>
        <w:rPr>
          <w:rFonts w:ascii="Consolas" w:hAnsi="Consolas" w:cs="Consolas"/>
          <w:b w:val="0"/>
          <w:i w:val="0"/>
          <w:sz w:val="20"/>
        </w:rPr>
        <w:t>backend-api/</w:t>
      </w:r>
      <w:r>
        <w:rPr>
          <w:rFonts w:ascii="Verdana" w:hAnsi="Verdana" w:cs="Verdana"/>
          <w:b w:val="0"/>
          <w:i w:val="0"/>
          <w:sz w:val="20"/>
        </w:rPr>
        <w:t xml:space="preserve"> — warstwa serwerowa zbudowana w NestJS 11 z TypeORM 0.3 i sterownikiem PostgreSQL;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 w:val="0"/>
          <w:i w:val="0"/>
          <w:sz w:val="20"/>
        </w:rPr>
      </w:r>
      <w:r>
        <w:rPr>
          <w:rFonts w:ascii="Consolas" w:hAnsi="Consolas" w:cs="Consolas"/>
          <w:b w:val="0"/>
          <w:i w:val="0"/>
          <w:sz w:val="20"/>
        </w:rPr>
        <w:t>docker-compose.yml</w:t>
      </w:r>
      <w:r>
        <w:rPr>
          <w:rFonts w:ascii="Verdana" w:hAnsi="Verdana" w:cs="Verdana"/>
          <w:b w:val="0"/>
          <w:i w:val="0"/>
          <w:sz w:val="20"/>
        </w:rPr>
        <w:t xml:space="preserve"> oraz 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 w:val="0"/>
          <w:i w:val="0"/>
          <w:sz w:val="20"/>
        </w:rPr>
      </w:r>
      <w:r>
        <w:rPr>
          <w:rFonts w:ascii="Consolas" w:hAnsi="Consolas" w:cs="Consolas"/>
          <w:b w:val="0"/>
          <w:i w:val="0"/>
          <w:sz w:val="20"/>
        </w:rPr>
        <w:t>docker-compose.prod.yml</w:t>
      </w:r>
      <w:r>
        <w:rPr>
          <w:rFonts w:ascii="Verdana" w:hAnsi="Verdana" w:cs="Verdana"/>
          <w:b w:val="0"/>
          <w:i w:val="0"/>
          <w:sz w:val="20"/>
        </w:rPr>
        <w:t xml:space="preserve"> — konfiguracje środowisk uruchomieniowych dla wariantu lokalnego oraz produkcyjnego;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 w:val="0"/>
          <w:i w:val="0"/>
          <w:sz w:val="20"/>
        </w:rPr>
      </w:r>
      <w:r>
        <w:rPr>
          <w:rFonts w:ascii="Consolas" w:hAnsi="Consolas" w:cs="Consolas"/>
          <w:b w:val="0"/>
          <w:i w:val="0"/>
          <w:sz w:val="20"/>
        </w:rPr>
        <w:t>praca-pdf/</w:t>
      </w:r>
      <w:r>
        <w:rPr>
          <w:rFonts w:ascii="Verdana" w:hAnsi="Verdana" w:cs="Verdana"/>
          <w:b w:val="0"/>
          <w:i w:val="0"/>
          <w:sz w:val="20"/>
        </w:rPr>
        <w:t xml:space="preserve"> — dokumentacja pracy inżynierskiej (rozdziały, diagramy, scenariusze przypadków użycia);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 w:val="0"/>
          <w:i w:val="0"/>
          <w:sz w:val="20"/>
        </w:rPr>
      </w:r>
      <w:r>
        <w:rPr>
          <w:rFonts w:ascii="Consolas" w:hAnsi="Consolas" w:cs="Consolas"/>
          <w:b w:val="0"/>
          <w:i w:val="0"/>
          <w:sz w:val="20"/>
        </w:rPr>
        <w:t>docs/</w:t>
      </w:r>
      <w:r>
        <w:rPr>
          <w:rFonts w:ascii="Verdana" w:hAnsi="Verdana" w:cs="Verdana"/>
          <w:b w:val="0"/>
          <w:i w:val="0"/>
          <w:sz w:val="20"/>
        </w:rPr>
        <w:t xml:space="preserve"> — wewnętrzne notatki techniczne i decyzje architektoniczne (ADR).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Konteneryzacja (Docker Compose)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Środowisko uruchomieniowe aplikacji oparto na kontenerach </w:t>
      </w:r>
      <w:r>
        <w:rPr>
          <w:rFonts w:ascii="Verdana" w:hAnsi="Verdana" w:cs="Verdana"/>
          <w:b/>
          <w:i w:val="0"/>
          <w:sz w:val="20"/>
        </w:rPr>
        <w:t>Docker</w:t>
      </w:r>
      <w:r>
        <w:rPr>
          <w:rFonts w:ascii="Verdana" w:hAnsi="Verdana" w:cs="Verdana"/>
          <w:b w:val="0"/>
          <w:i w:val="0"/>
          <w:sz w:val="20"/>
        </w:rPr>
        <w:t xml:space="preserve">, co zapewnia identyczne warunki działania na komputerze deweloperskim, w środowisku testowym oraz w środowisku produkcyjnym (Railway). Eliminuje to problem rozbieżności wersji Node.js, PostgreSQL czy bibliotek systemowych. Plik </w:t>
      </w:r>
      <w:r>
        <w:rPr>
          <w:rFonts w:ascii="Consolas" w:hAnsi="Consolas" w:cs="Consolas"/>
          <w:b w:val="0"/>
          <w:i w:val="0"/>
          <w:sz w:val="20"/>
        </w:rPr>
        <w:t>docker-compose.yml</w:t>
      </w:r>
      <w:r>
        <w:rPr>
          <w:rFonts w:ascii="Verdana" w:hAnsi="Verdana" w:cs="Verdana"/>
          <w:b w:val="0"/>
          <w:i w:val="0"/>
          <w:sz w:val="20"/>
        </w:rPr>
        <w:t xml:space="preserve"> definiuje pięć usług: </w:t>
      </w:r>
      <w:r>
        <w:rPr>
          <w:rFonts w:ascii="Consolas" w:hAnsi="Consolas" w:cs="Consolas"/>
          <w:b w:val="0"/>
          <w:i w:val="0"/>
          <w:sz w:val="20"/>
        </w:rPr>
        <w:t>client-frontend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admin-frontend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backend-api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postgres</w:t>
      </w:r>
      <w:r>
        <w:rPr>
          <w:rFonts w:ascii="Verdana" w:hAnsi="Verdana" w:cs="Verdana"/>
          <w:b w:val="0"/>
          <w:i w:val="0"/>
          <w:sz w:val="20"/>
        </w:rPr>
        <w:t xml:space="preserve"> (PostgreSQL 16 Alpine) oraz pomocniczego klienta </w:t>
      </w:r>
      <w:r>
        <w:rPr>
          <w:rFonts w:ascii="Consolas" w:hAnsi="Consolas" w:cs="Consolas"/>
          <w:b w:val="0"/>
          <w:i w:val="0"/>
          <w:sz w:val="20"/>
        </w:rPr>
        <w:t>adminer</w:t>
      </w:r>
      <w:r>
        <w:rPr>
          <w:rFonts w:ascii="Verdana" w:hAnsi="Verdana" w:cs="Verdana"/>
          <w:b w:val="0"/>
          <w:i w:val="0"/>
          <w:sz w:val="20"/>
        </w:rPr>
        <w:t xml:space="preserve"> do podglądu danych w bazie. Kontenery są ze sobą połączone domyślną siecią Docker, dzięki czemu serwis backendu odwołuje się do bazy przez nazwę hosta </w:t>
      </w:r>
      <w:r>
        <w:rPr>
          <w:rFonts w:ascii="Consolas" w:hAnsi="Consolas" w:cs="Consolas"/>
          <w:b w:val="0"/>
          <w:i w:val="0"/>
          <w:sz w:val="20"/>
        </w:rPr>
        <w:t>postgres</w:t>
      </w:r>
      <w:r>
        <w:rPr>
          <w:rFonts w:ascii="Verdana" w:hAnsi="Verdana" w:cs="Verdana"/>
          <w:b w:val="0"/>
          <w:i w:val="0"/>
          <w:sz w:val="20"/>
        </w:rPr>
        <w:t>, a nie przez adres IP.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Krytyczne zmienne środowiskowe (poświadczenia bazy, sekrety JWT) są wymagane na starcie i — w przypadku ich braku — powodują natychmiastowe zatrzymanie kontenera. Składnia </w:t>
      </w:r>
      <w:r>
        <w:rPr>
          <w:rFonts w:ascii="Consolas" w:hAnsi="Consolas" w:cs="Consolas"/>
          <w:b w:val="0"/>
          <w:i w:val="0"/>
          <w:sz w:val="20"/>
        </w:rPr>
        <w:t>${ZMIENNA:?komunikat}</w:t>
      </w:r>
      <w:r>
        <w:rPr>
          <w:rFonts w:ascii="Verdana" w:hAnsi="Verdana" w:cs="Verdana"/>
          <w:b w:val="0"/>
          <w:i w:val="0"/>
          <w:sz w:val="20"/>
        </w:rPr>
        <w:t xml:space="preserve"> zapewnia </w:t>
      </w:r>
      <w:r>
        <w:rPr>
          <w:rFonts w:ascii="Verdana" w:hAnsi="Verdana" w:cs="Verdana"/>
          <w:b w:val="0"/>
          <w:i/>
          <w:sz w:val="20"/>
        </w:rPr>
        <w:t>fail-fast</w:t>
      </w:r>
      <w:r>
        <w:rPr>
          <w:rFonts w:ascii="Verdana" w:hAnsi="Verdana" w:cs="Verdana"/>
          <w:b w:val="0"/>
          <w:i w:val="0"/>
          <w:sz w:val="20"/>
        </w:rPr>
        <w:t xml:space="preserve">, co eliminuje ryzyko uruchomienia aplikacji z domyślnymi, niebezpiecznymi wartościami. Usługa bazy danych korzysta z </w:t>
      </w:r>
      <w:r>
        <w:rPr>
          <w:rFonts w:ascii="Verdana" w:hAnsi="Verdana" w:cs="Verdana"/>
          <w:b w:val="0"/>
          <w:i/>
          <w:sz w:val="20"/>
        </w:rPr>
        <w:t>healthcheck</w:t>
      </w:r>
      <w:r>
        <w:rPr>
          <w:rFonts w:ascii="Verdana" w:hAnsi="Verdana" w:cs="Verdana"/>
          <w:b w:val="0"/>
          <w:i w:val="0"/>
          <w:sz w:val="20"/>
        </w:rPr>
        <w:t xml:space="preserve">-a opartego o polecenie </w:t>
      </w:r>
      <w:r>
        <w:rPr>
          <w:rFonts w:ascii="Consolas" w:hAnsi="Consolas" w:cs="Consolas"/>
          <w:b w:val="0"/>
          <w:i w:val="0"/>
          <w:sz w:val="20"/>
        </w:rPr>
        <w:t>pg_isready</w:t>
      </w:r>
      <w:r>
        <w:rPr>
          <w:rFonts w:ascii="Verdana" w:hAnsi="Verdana" w:cs="Verdana"/>
          <w:b w:val="0"/>
          <w:i w:val="0"/>
          <w:sz w:val="20"/>
        </w:rPr>
        <w:t>, a backend startuje dopiero po jego pomyślnym przejściu (</w:t>
      </w:r>
      <w:r>
        <w:rPr>
          <w:rFonts w:ascii="Consolas" w:hAnsi="Consolas" w:cs="Consolas"/>
          <w:b w:val="0"/>
          <w:i w:val="0"/>
          <w:sz w:val="20"/>
        </w:rPr>
        <w:t>depends_on: condition: service_healthy</w:t>
      </w:r>
      <w:r>
        <w:rPr>
          <w:rFonts w:ascii="Verdana" w:hAnsi="Verdana" w:cs="Verdana"/>
          <w:b w:val="0"/>
          <w:i w:val="0"/>
          <w:sz w:val="20"/>
        </w:rPr>
        <w:t>), co eliminuje problem race condition przy starcie środowiska.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4.1 ]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docker-compose.yml</w:t>
      </w:r>
      <w:r>
        <w:rPr>
          <w:rFonts w:ascii="Verdana" w:hAnsi="Verdana" w:cs="Verdana"/>
          <w:b w:val="0"/>
          <w:i w:val="0"/>
          <w:sz w:val="20"/>
        </w:rPr>
        <w:t xml:space="preserve">   Linie: 1–91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4.1. Konfiguracja środowiska deweloperskiego (Docker Compose)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4.1 prezentuje pełną konfigurację środowiska lokalnego. Warto zwrócić uwagę na: (1) wymuszanie zmiennych środowiskowych składnią ${VAR:?...}, (2) montowanie wolumenów źródłowych do kontenerów frontendowych i backendowego, dzięki czemu zmiany w kodzie są natychmiast podchwytywane przez tryb watch, oraz (3) healthcheck bazy danych zapobiegający startowi backendu przed gotowością PostgreSQL.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Dockerfile backendu — wieloetapowe budowanie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Plik </w:t>
      </w:r>
      <w:r>
        <w:rPr>
          <w:rFonts w:ascii="Consolas" w:hAnsi="Consolas" w:cs="Consolas"/>
          <w:b w:val="0"/>
          <w:i w:val="0"/>
          <w:sz w:val="20"/>
        </w:rPr>
        <w:t>backend-api/Dockerfile</w:t>
      </w:r>
      <w:r>
        <w:rPr>
          <w:rFonts w:ascii="Verdana" w:hAnsi="Verdana" w:cs="Verdana"/>
          <w:b w:val="0"/>
          <w:i w:val="0"/>
          <w:sz w:val="20"/>
        </w:rPr>
        <w:t xml:space="preserve"> wykorzystuje wzorzec </w:t>
      </w:r>
      <w:r>
        <w:rPr>
          <w:rFonts w:ascii="Verdana" w:hAnsi="Verdana" w:cs="Verdana"/>
          <w:b/>
          <w:i w:val="0"/>
          <w:sz w:val="20"/>
        </w:rPr>
        <w:t>multi-stage build</w:t>
      </w:r>
      <w:r>
        <w:rPr>
          <w:rFonts w:ascii="Verdana" w:hAnsi="Verdana" w:cs="Verdana"/>
          <w:b w:val="0"/>
          <w:i w:val="0"/>
          <w:sz w:val="20"/>
        </w:rPr>
        <w:t>, który minimalizuje rozmiar końcowego obrazu produkcyjnego oraz oddziela środowisko kompilacji od środowiska uruchomieniowego. W pierwszym etapie (</w:t>
      </w:r>
      <w:r>
        <w:rPr>
          <w:rFonts w:ascii="Verdana" w:hAnsi="Verdana" w:cs="Verdana"/>
          <w:b w:val="0"/>
          <w:i/>
          <w:sz w:val="20"/>
        </w:rPr>
        <w:t>builder</w:t>
      </w:r>
      <w:r>
        <w:rPr>
          <w:rFonts w:ascii="Verdana" w:hAnsi="Verdana" w:cs="Verdana"/>
          <w:b w:val="0"/>
          <w:i w:val="0"/>
          <w:sz w:val="20"/>
        </w:rPr>
        <w:t xml:space="preserve">) instalowane są wszystkie zależności (w tym narzędzia deweloperskie potrzebne do kompilacji TypeScriptu), wykonywany jest skrypt </w:t>
      </w:r>
      <w:r>
        <w:rPr>
          <w:rFonts w:ascii="Consolas" w:hAnsi="Consolas" w:cs="Consolas"/>
          <w:b w:val="0"/>
          <w:i w:val="0"/>
          <w:sz w:val="20"/>
        </w:rPr>
        <w:t>npm run build</w:t>
      </w:r>
      <w:r>
        <w:rPr>
          <w:rFonts w:ascii="Verdana" w:hAnsi="Verdana" w:cs="Verdana"/>
          <w:b w:val="0"/>
          <w:i w:val="0"/>
          <w:sz w:val="20"/>
        </w:rPr>
        <w:t xml:space="preserve"> generujący skompilowany JavaScript w katalogu </w:t>
      </w:r>
      <w:r>
        <w:rPr>
          <w:rFonts w:ascii="Consolas" w:hAnsi="Consolas" w:cs="Consolas"/>
          <w:b w:val="0"/>
          <w:i w:val="0"/>
          <w:sz w:val="20"/>
        </w:rPr>
        <w:t>dist/</w:t>
      </w:r>
      <w:r>
        <w:rPr>
          <w:rFonts w:ascii="Verdana" w:hAnsi="Verdana" w:cs="Verdana"/>
          <w:b w:val="0"/>
          <w:i w:val="0"/>
          <w:sz w:val="20"/>
        </w:rPr>
        <w:t>, a następnie w drugim etapie (</w:t>
      </w:r>
      <w:r>
        <w:rPr>
          <w:rFonts w:ascii="Verdana" w:hAnsi="Verdana" w:cs="Verdana"/>
          <w:b w:val="0"/>
          <w:i/>
          <w:sz w:val="20"/>
        </w:rPr>
        <w:t>runner</w:t>
      </w:r>
      <w:r>
        <w:rPr>
          <w:rFonts w:ascii="Verdana" w:hAnsi="Verdana" w:cs="Verdana"/>
          <w:b w:val="0"/>
          <w:i w:val="0"/>
          <w:sz w:val="20"/>
        </w:rPr>
        <w:t>) do nowego, czystego obrazu Node.js 20 Alpine kopiowane są wyłącznie pliki niezbędne do uruchomienia aplikacji. Dzięki temu finalny obraz nie zawiera narzędzi kompilacyjnych ani plików źródłowych.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Dodatkowo kontener uruchamiany jest przez nieuprzywilejowanego użytkownika </w:t>
      </w:r>
      <w:r>
        <w:rPr>
          <w:rFonts w:ascii="Consolas" w:hAnsi="Consolas" w:cs="Consolas"/>
          <w:b w:val="0"/>
          <w:i w:val="0"/>
          <w:sz w:val="20"/>
        </w:rPr>
        <w:t>node</w:t>
      </w:r>
      <w:r>
        <w:rPr>
          <w:rFonts w:ascii="Verdana" w:hAnsi="Verdana" w:cs="Verdana"/>
          <w:b w:val="0"/>
          <w:i w:val="0"/>
          <w:sz w:val="20"/>
        </w:rPr>
        <w:t xml:space="preserve"> (</w:t>
      </w:r>
      <w:r>
        <w:rPr>
          <w:rFonts w:ascii="Consolas" w:hAnsi="Consolas" w:cs="Consolas"/>
          <w:b w:val="0"/>
          <w:i w:val="0"/>
          <w:sz w:val="20"/>
        </w:rPr>
        <w:t>USER node</w:t>
      </w:r>
      <w:r>
        <w:rPr>
          <w:rFonts w:ascii="Verdana" w:hAnsi="Verdana" w:cs="Verdana"/>
          <w:b w:val="0"/>
          <w:i w:val="0"/>
          <w:sz w:val="20"/>
        </w:rPr>
        <w:t>), co stanowi element zabezpieczenia warstwy uruchomieniowej zgodny z zasadą najmniejszych uprawnień (</w:t>
      </w:r>
      <w:r>
        <w:rPr>
          <w:rFonts w:ascii="Verdana" w:hAnsi="Verdana" w:cs="Verdana"/>
          <w:b w:val="0"/>
          <w:i/>
          <w:sz w:val="20"/>
        </w:rPr>
        <w:t>principle of least privilege</w:t>
      </w:r>
      <w:r>
        <w:rPr>
          <w:rFonts w:ascii="Verdana" w:hAnsi="Verdana" w:cs="Verdana"/>
          <w:b w:val="0"/>
          <w:i w:val="0"/>
          <w:sz w:val="20"/>
        </w:rPr>
        <w:t xml:space="preserve">). Polecenie </w:t>
      </w:r>
      <w:r>
        <w:rPr>
          <w:rFonts w:ascii="Consolas" w:hAnsi="Consolas" w:cs="Consolas"/>
          <w:b w:val="0"/>
          <w:i w:val="0"/>
          <w:sz w:val="20"/>
        </w:rPr>
        <w:t>CMD ["node", "dist/main"]</w:t>
      </w:r>
      <w:r>
        <w:rPr>
          <w:rFonts w:ascii="Verdana" w:hAnsi="Verdana" w:cs="Verdana"/>
          <w:b w:val="0"/>
          <w:i w:val="0"/>
          <w:sz w:val="20"/>
        </w:rPr>
        <w:t xml:space="preserve"> uruchamia bezpośrednio skompilowany plik wejściowy aplikacji NestJS, bez warstwy pośredniej </w:t>
      </w:r>
      <w:r>
        <w:rPr>
          <w:rFonts w:ascii="Verdana" w:hAnsi="Verdana" w:cs="Verdana"/>
          <w:b w:val="0"/>
          <w:i/>
          <w:sz w:val="20"/>
        </w:rPr>
        <w:t>npm run start</w:t>
      </w:r>
      <w:r>
        <w:rPr>
          <w:rFonts w:ascii="Verdana" w:hAnsi="Verdana" w:cs="Verdana"/>
          <w:b w:val="0"/>
          <w:i w:val="0"/>
          <w:sz w:val="20"/>
        </w:rPr>
        <w:t>, co przyspiesza start kontenera oraz upraszcza obsługę sygnałów systemowych.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4.2 ]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backend-api/Dockerfile</w:t>
      </w:r>
      <w:r>
        <w:rPr>
          <w:rFonts w:ascii="Verdana" w:hAnsi="Verdana" w:cs="Verdana"/>
          <w:b w:val="0"/>
          <w:i w:val="0"/>
          <w:sz w:val="20"/>
        </w:rPr>
        <w:t xml:space="preserve">   Linie: 1–19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4.2. Wieloetapowy obraz Docker dla warstwy serwerowej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W Listingu 4.2 widoczny jest podział na dwa etapy budowania (builder, runner) oraz przełączenie procesu na nieuprzywilejowanego użytkownika node. Rozmiar finalnego obrazu produkcyjnego wynosi około 180 MB, co stanowi około 35 % rozmiaru analogicznego obrazu jednoetapowego.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Plik docker-compose.prod.yml — wariant produkcyjny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Drugi plik kompozycji, </w:t>
      </w:r>
      <w:r>
        <w:rPr>
          <w:rFonts w:ascii="Consolas" w:hAnsi="Consolas" w:cs="Consolas"/>
          <w:b w:val="0"/>
          <w:i w:val="0"/>
          <w:sz w:val="20"/>
        </w:rPr>
        <w:t>docker-compose.prod.yml</w:t>
      </w:r>
      <w:r>
        <w:rPr>
          <w:rFonts w:ascii="Verdana" w:hAnsi="Verdana" w:cs="Verdana"/>
          <w:b w:val="0"/>
          <w:i w:val="0"/>
          <w:sz w:val="20"/>
        </w:rPr>
        <w:t xml:space="preserve">, różni się od wariantu deweloperskiego brakiem montowania źródeł, brakiem komendy </w:t>
      </w:r>
      <w:r>
        <w:rPr>
          <w:rFonts w:ascii="Consolas" w:hAnsi="Consolas" w:cs="Consolas"/>
          <w:b w:val="0"/>
          <w:i w:val="0"/>
          <w:sz w:val="20"/>
        </w:rPr>
        <w:t>npm run dev</w:t>
      </w:r>
      <w:r>
        <w:rPr>
          <w:rFonts w:ascii="Verdana" w:hAnsi="Verdana" w:cs="Verdana"/>
          <w:b w:val="0"/>
          <w:i w:val="0"/>
          <w:sz w:val="20"/>
        </w:rPr>
        <w:t xml:space="preserve"> oraz ustawieniem </w:t>
      </w:r>
      <w:r>
        <w:rPr>
          <w:rFonts w:ascii="Consolas" w:hAnsi="Consolas" w:cs="Consolas"/>
          <w:b w:val="0"/>
          <w:i w:val="0"/>
          <w:sz w:val="20"/>
        </w:rPr>
        <w:t>NODE_ENV=production</w:t>
      </w:r>
      <w:r>
        <w:rPr>
          <w:rFonts w:ascii="Verdana" w:hAnsi="Verdana" w:cs="Verdana"/>
          <w:b w:val="0"/>
          <w:i w:val="0"/>
          <w:sz w:val="20"/>
        </w:rPr>
        <w:t xml:space="preserve">. W obu plikach reguła </w:t>
      </w:r>
      <w:r>
        <w:rPr>
          <w:rFonts w:ascii="Consolas" w:hAnsi="Consolas" w:cs="Consolas"/>
          <w:b w:val="0"/>
          <w:i w:val="0"/>
          <w:sz w:val="20"/>
        </w:rPr>
        <w:t>restart: unless-stopped</w:t>
      </w:r>
      <w:r>
        <w:rPr>
          <w:rFonts w:ascii="Verdana" w:hAnsi="Verdana" w:cs="Verdana"/>
          <w:b w:val="0"/>
          <w:i w:val="0"/>
          <w:sz w:val="20"/>
        </w:rPr>
        <w:t xml:space="preserve"> zapewnia automatyczny restart kontenera w przypadku awarii lub przeładowania hosta, co zwiększa odporność systemu na zdarzenia losowe.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4.3 ]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docker-compose.prod.yml</w:t>
      </w:r>
      <w:r>
        <w:rPr>
          <w:rFonts w:ascii="Verdana" w:hAnsi="Verdana" w:cs="Verdana"/>
          <w:b w:val="0"/>
          <w:i w:val="0"/>
          <w:sz w:val="20"/>
        </w:rPr>
        <w:t xml:space="preserve">   Linie: 1–92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4.3. Konfiguracja produkcyjna Docker Compose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4.3 pokazuje wariant produkcyjny pliku kompozycji — w odróżnieniu od wersji deweloperskiej (Listing 4.1) nie montuje on źródeł aplikacji, a kontenery uruchamiane są na podstawie wcześniej zbudowanych obrazów. Konfiguracja ta była używana w środowisku testowym przed wdrożeniem aplikacji na platformę Railway.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Plik .env.example jako kontrakt konfiguracji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W repozytorium znajduje się plik </w:t>
      </w:r>
      <w:r>
        <w:rPr>
          <w:rFonts w:ascii="Consolas" w:hAnsi="Consolas" w:cs="Consolas"/>
          <w:b w:val="0"/>
          <w:i w:val="0"/>
          <w:sz w:val="20"/>
        </w:rPr>
        <w:t>.env.example</w:t>
      </w:r>
      <w:r>
        <w:rPr>
          <w:rFonts w:ascii="Verdana" w:hAnsi="Verdana" w:cs="Verdana"/>
          <w:b w:val="0"/>
          <w:i w:val="0"/>
          <w:sz w:val="20"/>
        </w:rPr>
        <w:t xml:space="preserve"> pełniący rolę kontraktu konfiguracji środowiska. Zawiera on listę wszystkich wymaganych zmiennych środowiskowych wraz z przykładowymi (niezawierającymi prawdziwych sekretów) wartościami. Każdy nowy deweloper rozpoczyna pracę od skopiowania go jako </w:t>
      </w:r>
      <w:r>
        <w:rPr>
          <w:rFonts w:ascii="Consolas" w:hAnsi="Consolas" w:cs="Consolas"/>
          <w:b w:val="0"/>
          <w:i w:val="0"/>
          <w:sz w:val="20"/>
        </w:rPr>
        <w:t>.env</w:t>
      </w:r>
      <w:r>
        <w:rPr>
          <w:rFonts w:ascii="Verdana" w:hAnsi="Verdana" w:cs="Verdana"/>
          <w:b w:val="0"/>
          <w:i w:val="0"/>
          <w:sz w:val="20"/>
        </w:rPr>
        <w:t xml:space="preserve"> i uzupełnienia własnymi poświadczeniami. Pliki </w:t>
      </w:r>
      <w:r>
        <w:rPr>
          <w:rFonts w:ascii="Consolas" w:hAnsi="Consolas" w:cs="Consolas"/>
          <w:b w:val="0"/>
          <w:i w:val="0"/>
          <w:sz w:val="20"/>
        </w:rPr>
        <w:t>.env</w:t>
      </w:r>
      <w:r>
        <w:rPr>
          <w:rFonts w:ascii="Verdana" w:hAnsi="Verdana" w:cs="Verdana"/>
          <w:b w:val="0"/>
          <w:i w:val="0"/>
          <w:sz w:val="20"/>
        </w:rPr>
        <w:t xml:space="preserve"> są ignorowane przez </w:t>
      </w:r>
      <w:r>
        <w:rPr>
          <w:rFonts w:ascii="Consolas" w:hAnsi="Consolas" w:cs="Consolas"/>
          <w:b w:val="0"/>
          <w:i w:val="0"/>
          <w:sz w:val="20"/>
        </w:rPr>
        <w:t>.gitignore</w:t>
      </w:r>
      <w:r>
        <w:rPr>
          <w:rFonts w:ascii="Verdana" w:hAnsi="Verdana" w:cs="Verdana"/>
          <w:b w:val="0"/>
          <w:i w:val="0"/>
          <w:sz w:val="20"/>
        </w:rPr>
        <w:t>, co eliminuje ryzyko przypadkowego ujawnienia kluczy w historii repozytorium. Zmienne podzielone są na cztery grupy: konfiguracja bazy danych (</w:t>
      </w:r>
      <w:r>
        <w:rPr>
          <w:rFonts w:ascii="Consolas" w:hAnsi="Consolas" w:cs="Consolas"/>
          <w:b w:val="0"/>
          <w:i w:val="0"/>
          <w:sz w:val="20"/>
        </w:rPr>
        <w:t>DB_*</w:t>
      </w:r>
      <w:r>
        <w:rPr>
          <w:rFonts w:ascii="Verdana" w:hAnsi="Verdana" w:cs="Verdana"/>
          <w:b w:val="0"/>
          <w:i w:val="0"/>
          <w:sz w:val="20"/>
        </w:rPr>
        <w:t>), sekrety JWT (</w:t>
      </w:r>
      <w:r>
        <w:rPr>
          <w:rFonts w:ascii="Consolas" w:hAnsi="Consolas" w:cs="Consolas"/>
          <w:b w:val="0"/>
          <w:i w:val="0"/>
          <w:sz w:val="20"/>
        </w:rPr>
        <w:t>JWT_SECRET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JWT_REFRESH_SECRET</w:t>
      </w:r>
      <w:r>
        <w:rPr>
          <w:rFonts w:ascii="Verdana" w:hAnsi="Verdana" w:cs="Verdana"/>
          <w:b w:val="0"/>
          <w:i w:val="0"/>
          <w:sz w:val="20"/>
        </w:rPr>
        <w:t>), polityka CORS (</w:t>
      </w:r>
      <w:r>
        <w:rPr>
          <w:rFonts w:ascii="Consolas" w:hAnsi="Consolas" w:cs="Consolas"/>
          <w:b w:val="0"/>
          <w:i w:val="0"/>
          <w:sz w:val="20"/>
        </w:rPr>
        <w:t>CORS_ORIGIN</w:t>
      </w:r>
      <w:r>
        <w:rPr>
          <w:rFonts w:ascii="Verdana" w:hAnsi="Verdana" w:cs="Verdana"/>
          <w:b w:val="0"/>
          <w:i w:val="0"/>
          <w:sz w:val="20"/>
        </w:rPr>
        <w:t>) oraz parametry serwera SMTP (</w:t>
      </w:r>
      <w:r>
        <w:rPr>
          <w:rFonts w:ascii="Consolas" w:hAnsi="Consolas" w:cs="Consolas"/>
          <w:b w:val="0"/>
          <w:i w:val="0"/>
          <w:sz w:val="20"/>
        </w:rPr>
        <w:t>MAIL_HOST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MAIL_USER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MAIL_PASS</w:t>
      </w:r>
      <w:r>
        <w:rPr>
          <w:rFonts w:ascii="Verdana" w:hAnsi="Verdana" w:cs="Verdana"/>
          <w:b w:val="0"/>
          <w:i w:val="0"/>
          <w:sz w:val="20"/>
        </w:rPr>
        <w:t>).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Uzasadnienie wyboru rozwiązania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Na etapie projektowania rozważono trzy alternatywy organizacji środowiska uruchomieniowego: bezpośrednie uruchamianie procesów w systemie operacyjnym dewelopera, lokalne instalacje PostgreSQL z dynamicznym wykrywaniem portu oraz orkiestrację z wykorzystaniem </w:t>
      </w:r>
      <w:r>
        <w:rPr>
          <w:rFonts w:ascii="Verdana" w:hAnsi="Verdana" w:cs="Verdana"/>
          <w:b w:val="0"/>
          <w:i/>
          <w:sz w:val="20"/>
        </w:rPr>
        <w:t>Kubernetes</w:t>
      </w:r>
      <w:r>
        <w:rPr>
          <w:rFonts w:ascii="Verdana" w:hAnsi="Verdana" w:cs="Verdana"/>
          <w:b w:val="0"/>
          <w:i w:val="0"/>
          <w:sz w:val="20"/>
        </w:rPr>
        <w:t xml:space="preserve">. Pierwsze podejście prowadziłoby do problemów ze spójnością środowiska między autorami pracy oraz utrudniłoby odtworzenie aplikacji przez egzaminatora. Drugie podejście wymagałoby ręcznej konfiguracji bazy. Trzecie — Kubernetes — wprowadzałoby nieuzasadnioną złożoność dla projektu w skali pracy inżynierskiej. </w:t>
      </w:r>
      <w:r>
        <w:rPr>
          <w:rFonts w:ascii="Verdana" w:hAnsi="Verdana" w:cs="Verdana"/>
          <w:b/>
          <w:i w:val="0"/>
          <w:sz w:val="20"/>
        </w:rPr>
        <w:t>Docker Compose</w:t>
      </w:r>
      <w:r>
        <w:rPr>
          <w:rFonts w:ascii="Verdana" w:hAnsi="Verdana" w:cs="Verdana"/>
          <w:b w:val="0"/>
          <w:i w:val="0"/>
          <w:sz w:val="20"/>
        </w:rPr>
        <w:t xml:space="preserve"> okazał się rozwiązaniem optymalnym: zapewnia powtarzalność środowiska, jest powszechnie znany, dobrze udokumentowany oraz akceptowany przez większość platform PaaS, na które aplikacja może zostać wdrożona w przyszłości.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Konteneryzacja stanowi jednocześnie podstawę procesu wdrożeniowego — platforma chmurowa Railway, na której uruchomiono produkcyjną instancję MoodFlow, korzysta z tych samych obrazów Docker, co środowisko lokalne, dzięki czemu zachowana jest pełna zgodność konfiguracji pomiędzy środowiskami (omówione szerzej w podrozdziale 4.10).</w:t>
      </w:r>
    </w:p>
    <w:sectPr w:rsidR="00FC693F" w:rsidRPr="0006063C" w:rsidSect="00034616"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