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4.4. Architektura multi-tenant — izolacja danych firm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MoodFlow został zaprojektowany jako platforma </w:t>
      </w:r>
      <w:r>
        <w:rPr>
          <w:rFonts w:ascii="Verdana" w:hAnsi="Verdana" w:cs="Verdana"/>
          <w:b/>
          <w:i w:val="0"/>
          <w:sz w:val="20"/>
        </w:rPr>
        <w:t>multi-tenant</w:t>
      </w:r>
      <w:r>
        <w:rPr>
          <w:rFonts w:ascii="Verdana" w:hAnsi="Verdana" w:cs="Verdana"/>
          <w:b w:val="0"/>
          <w:i w:val="0"/>
          <w:sz w:val="20"/>
        </w:rPr>
        <w:t xml:space="preserve"> (wielodostępna), co oznacza, że jedna instancja aplikacji oraz jedna baza danych obsługują wiele niezależnych firm jednocześnie. Każda firma — w terminologii systemu nazywana </w:t>
      </w:r>
      <w:r>
        <w:rPr>
          <w:rFonts w:ascii="Verdana" w:hAnsi="Verdana" w:cs="Verdana"/>
          <w:b w:val="0"/>
          <w:i/>
          <w:sz w:val="20"/>
        </w:rPr>
        <w:t>organizacją</w:t>
      </w:r>
      <w:r>
        <w:rPr>
          <w:rFonts w:ascii="Verdana" w:hAnsi="Verdana" w:cs="Verdana"/>
          <w:b w:val="0"/>
          <w:i w:val="0"/>
          <w:sz w:val="20"/>
        </w:rPr>
        <w:t xml:space="preserve"> — ma własnych pracowników, własne testy, własne wyniki i własne raporty. Krytycznym wymaganiem biznesowym jest to, aby pracownik firmy A nigdy nie zobaczył danych firmy B, a administrator firmy A nie miał wglądu w listę pracowników firmy B. Naruszenie tej zasady oznaczałoby poważny incydent prywatności danych dotyczących dobrostanu psychicznego.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Wybór strategii izolacji danych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Istnieją trzy klasyczne podejścia do izolacji danych w systemach multi-tenant. Pierwsze — </w:t>
      </w:r>
      <w:r>
        <w:rPr>
          <w:rFonts w:ascii="Verdana" w:hAnsi="Verdana" w:cs="Verdana"/>
          <w:b/>
          <w:i w:val="0"/>
          <w:sz w:val="20"/>
        </w:rPr>
        <w:t>database per tenant</w:t>
      </w:r>
      <w:r>
        <w:rPr>
          <w:rFonts w:ascii="Verdana" w:hAnsi="Verdana" w:cs="Verdana"/>
          <w:b w:val="0"/>
          <w:i w:val="0"/>
          <w:sz w:val="20"/>
        </w:rPr>
        <w:t xml:space="preserve"> — zakłada, że każda firma ma własną osobną bazę danych. Daje to silną izolację, ale komplikuje wdrożenie i utrzymanie (każda nowa firma to osobna baza do utworzenia, migrowania i monitorowania). Drugie — </w:t>
      </w:r>
      <w:r>
        <w:rPr>
          <w:rFonts w:ascii="Verdana" w:hAnsi="Verdana" w:cs="Verdana"/>
          <w:b/>
          <w:i w:val="0"/>
          <w:sz w:val="20"/>
        </w:rPr>
        <w:t>schema per tenant</w:t>
      </w:r>
      <w:r>
        <w:rPr>
          <w:rFonts w:ascii="Verdana" w:hAnsi="Verdana" w:cs="Verdana"/>
          <w:b w:val="0"/>
          <w:i w:val="0"/>
          <w:sz w:val="20"/>
        </w:rPr>
        <w:t xml:space="preserve"> — wykorzystuje mechanizm schematów PostgreSQL: jedna baza, ale każda firma ma własny zestaw tabel. To rozwiązanie pośrednie, ale wymaga dynamicznego przełączania schematu dla każdego zapytania. Trzecie — </w:t>
      </w:r>
      <w:r>
        <w:rPr>
          <w:rFonts w:ascii="Verdana" w:hAnsi="Verdana" w:cs="Verdana"/>
          <w:b/>
          <w:i w:val="0"/>
          <w:sz w:val="20"/>
        </w:rPr>
        <w:t>row-level isolation</w:t>
      </w:r>
      <w:r>
        <w:rPr>
          <w:rFonts w:ascii="Verdana" w:hAnsi="Verdana" w:cs="Verdana"/>
          <w:b w:val="0"/>
          <w:i w:val="0"/>
          <w:sz w:val="20"/>
        </w:rPr>
        <w:t xml:space="preserve"> (izolacja na poziomie wierszy) — zakłada, że wszystkie firmy korzystają z tych samych tabel, ale każdy wiersz zawiera dodatkową kolumnę identyfikującą organizację, a aplikacja zawsze filtruje dane po tym identyfikatorze.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MoodFlow wybrano podejście </w:t>
      </w:r>
      <w:r>
        <w:rPr>
          <w:rFonts w:ascii="Verdana" w:hAnsi="Verdana" w:cs="Verdana"/>
          <w:b/>
          <w:i w:val="0"/>
          <w:sz w:val="20"/>
        </w:rPr>
        <w:t>row-level isolation</w:t>
      </w:r>
      <w:r>
        <w:rPr>
          <w:rFonts w:ascii="Verdana" w:hAnsi="Verdana" w:cs="Verdana"/>
          <w:b w:val="0"/>
          <w:i w:val="0"/>
          <w:sz w:val="20"/>
        </w:rPr>
        <w:t xml:space="preserve"> z trzech powodów. Po pierwsze, jest najprostsze do wdrożenia — nie wymaga skomplikowanej orkiestracji baz ani schematów. Po drugie, idealnie pasuje do skali pracy inżynierskiej — system testowy nie obsługuje setek firm i nie potrzebuje fizycznej separacji storage. Po trzecie, izolacja jest realizowana w warstwie aplikacyjnej w sposób, który łatwo się audytuje i opisuje w pracy: wystarczy pokazać, że każde zapytanie do bazy zawiera warunek </w:t>
      </w:r>
      <w:r>
        <w:rPr>
          <w:rFonts w:ascii="Consolas" w:hAnsi="Consolas" w:cs="Consolas"/>
          <w:b w:val="0"/>
          <w:i w:val="0"/>
          <w:sz w:val="20"/>
        </w:rPr>
        <w:t>WHERE organizationId = :id</w:t>
      </w:r>
      <w:r>
        <w:rPr>
          <w:rFonts w:ascii="Verdana" w:hAnsi="Verdana" w:cs="Verdana"/>
          <w:b w:val="0"/>
          <w:i w:val="0"/>
          <w:sz w:val="20"/>
        </w:rPr>
        <w:t xml:space="preserve">. Gdyby system miał kiedyś obsługiwać kilkaset organizacji z wymogami zgodności typu HIPAA czy SOC 2, można rozważyć migrację do schema per tenant — ale dla obecnej skali byłoby to </w:t>
      </w:r>
      <w:r>
        <w:rPr>
          <w:rFonts w:ascii="Verdana" w:hAnsi="Verdana" w:cs="Verdana"/>
          <w:b w:val="0"/>
          <w:i/>
          <w:sz w:val="20"/>
        </w:rPr>
        <w:t>over-engineering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Klucz organizacji w encjach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Centralnym elementem architektury multi-tenant jest tabela </w:t>
      </w:r>
      <w:r>
        <w:rPr>
          <w:rFonts w:ascii="Consolas" w:hAnsi="Consolas" w:cs="Consolas"/>
          <w:b w:val="0"/>
          <w:i w:val="0"/>
          <w:sz w:val="20"/>
        </w:rPr>
        <w:t>organizations</w:t>
      </w:r>
      <w:r>
        <w:rPr>
          <w:rFonts w:ascii="Verdana" w:hAnsi="Verdana" w:cs="Verdana"/>
          <w:b w:val="0"/>
          <w:i w:val="0"/>
          <w:sz w:val="20"/>
        </w:rPr>
        <w:t xml:space="preserve"> przechowująca dane firm korzystających z platformy. Każda organizacja ma unikalny identyfikator, nazwę, NIP, status cyklu życia (</w:t>
      </w:r>
      <w:r>
        <w:rPr>
          <w:rFonts w:ascii="Verdana" w:hAnsi="Verdana" w:cs="Verdana"/>
          <w:b w:val="0"/>
          <w:i/>
          <w:sz w:val="20"/>
        </w:rPr>
        <w:t>PENDING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ACTIVE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BLOCKED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REJECTED</w:t>
      </w:r>
      <w:r>
        <w:rPr>
          <w:rFonts w:ascii="Verdana" w:hAnsi="Verdana" w:cs="Verdana"/>
          <w:b w:val="0"/>
          <w:i w:val="0"/>
          <w:sz w:val="20"/>
        </w:rPr>
        <w:t xml:space="preserve">), kod zaproszenia oraz powiązanie z administratorem firmy. Wszystkie pozostałe tabele operacyjne — </w:t>
      </w:r>
      <w:r>
        <w:rPr>
          <w:rFonts w:ascii="Consolas" w:hAnsi="Consolas" w:cs="Consolas"/>
          <w:b w:val="0"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departments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assessment_assignments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 xml:space="preserve"> — zawierają kolumnę </w:t>
      </w:r>
      <w:r>
        <w:rPr>
          <w:rFonts w:ascii="Verdana" w:hAnsi="Verdana" w:cs="Verdana"/>
          <w:b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będącą kluczem obcym do tabeli </w:t>
      </w:r>
      <w:r>
        <w:rPr>
          <w:rFonts w:ascii="Consolas" w:hAnsi="Consolas" w:cs="Consolas"/>
          <w:b w:val="0"/>
          <w:i w:val="0"/>
          <w:sz w:val="20"/>
        </w:rPr>
        <w:t>organizations</w:t>
      </w:r>
      <w:r>
        <w:rPr>
          <w:rFonts w:ascii="Verdana" w:hAnsi="Verdana" w:cs="Verdana"/>
          <w:b w:val="0"/>
          <w:i w:val="0"/>
          <w:sz w:val="20"/>
        </w:rPr>
        <w:t>. To właśnie ta kolumna fizycznie identyfikuje, do której firmy należy dany rekord.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4.13 ]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backend-api/src/modules/organizations/entities/organization.entity.ts</w:t>
      </w:r>
      <w:r>
        <w:rPr>
          <w:rFonts w:ascii="Verdana" w:hAnsi="Verdana" w:cs="Verdana"/>
          <w:b w:val="0"/>
          <w:i w:val="0"/>
          <w:sz w:val="20"/>
        </w:rPr>
        <w:t xml:space="preserve">   Linie: 1–42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4.13. Encja organizations — definicja firmy w systemie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4.13 prezentuje encję Organization. Najważniejsze pola to status (określający cykl życia firmy w systemie), inviteCode (unikalny kod zaproszenia pozwalający pracownikom rejestrować się w obrębie tej organizacji) oraz adminUserId (powiązanie z kontem administratora firmy). Dekoratory @Column TypeORM mapują pola na kolumny w PostgreSQL.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Encja </w:t>
      </w:r>
      <w:r>
        <w:rPr>
          <w:rFonts w:ascii="Consolas" w:hAnsi="Consolas" w:cs="Consolas"/>
          <w:b w:val="0"/>
          <w:i w:val="0"/>
          <w:sz w:val="20"/>
        </w:rPr>
        <w:t>User</w:t>
      </w:r>
      <w:r>
        <w:rPr>
          <w:rFonts w:ascii="Verdana" w:hAnsi="Verdana" w:cs="Verdana"/>
          <w:b w:val="0"/>
          <w:i w:val="0"/>
          <w:sz w:val="20"/>
        </w:rPr>
        <w:t xml:space="preserve"> zawiera kolumnę </w:t>
      </w:r>
      <w:r>
        <w:rPr>
          <w:rFonts w:ascii="Verdana" w:hAnsi="Verdana" w:cs="Verdana"/>
          <w:b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wraz z relacją </w:t>
      </w:r>
      <w:r>
        <w:rPr>
          <w:rFonts w:ascii="Consolas" w:hAnsi="Consolas" w:cs="Consolas"/>
          <w:b w:val="0"/>
          <w:i w:val="0"/>
          <w:sz w:val="20"/>
        </w:rPr>
        <w:t>@ManyToOne</w:t>
      </w:r>
      <w:r>
        <w:rPr>
          <w:rFonts w:ascii="Verdana" w:hAnsi="Verdana" w:cs="Verdana"/>
          <w:b w:val="0"/>
          <w:i w:val="0"/>
          <w:sz w:val="20"/>
        </w:rPr>
        <w:t xml:space="preserve"> do encji </w:t>
      </w:r>
      <w:r>
        <w:rPr>
          <w:rFonts w:ascii="Consolas" w:hAnsi="Consolas" w:cs="Consolas"/>
          <w:b w:val="0"/>
          <w:i w:val="0"/>
          <w:sz w:val="20"/>
        </w:rPr>
        <w:t>Organization</w:t>
      </w:r>
      <w:r>
        <w:rPr>
          <w:rFonts w:ascii="Verdana" w:hAnsi="Verdana" w:cs="Verdana"/>
          <w:b w:val="0"/>
          <w:i w:val="0"/>
          <w:sz w:val="20"/>
        </w:rPr>
        <w:t>. Dzięki temu z poziomu kodu można w łatwy sposób pobrać organizację użytkownika (</w:t>
      </w:r>
      <w:r>
        <w:rPr>
          <w:rFonts w:ascii="Consolas" w:hAnsi="Consolas" w:cs="Consolas"/>
          <w:b w:val="0"/>
          <w:i w:val="0"/>
          <w:sz w:val="20"/>
        </w:rPr>
        <w:t>user.organization</w:t>
      </w:r>
      <w:r>
        <w:rPr>
          <w:rFonts w:ascii="Verdana" w:hAnsi="Verdana" w:cs="Verdana"/>
          <w:b w:val="0"/>
          <w:i w:val="0"/>
          <w:sz w:val="20"/>
        </w:rPr>
        <w:t xml:space="preserve">), a TypeORM automatycznie wygeneruje odpowiednie zapytanie </w:t>
      </w:r>
      <w:r>
        <w:rPr>
          <w:rFonts w:ascii="Verdana" w:hAnsi="Verdana" w:cs="Verdana"/>
          <w:b w:val="0"/>
          <w:i/>
          <w:sz w:val="20"/>
        </w:rPr>
        <w:t>JOIN</w:t>
      </w:r>
      <w:r>
        <w:rPr>
          <w:rFonts w:ascii="Verdana" w:hAnsi="Verdana" w:cs="Verdana"/>
          <w:b w:val="0"/>
          <w:i w:val="0"/>
          <w:sz w:val="20"/>
        </w:rPr>
        <w:t xml:space="preserve">. Klucz obcy </w:t>
      </w:r>
      <w:r>
        <w:rPr>
          <w:rFonts w:ascii="Consolas" w:hAnsi="Consolas" w:cs="Consolas"/>
          <w:b w:val="0"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z opcją </w:t>
      </w:r>
      <w:r>
        <w:rPr>
          <w:rFonts w:ascii="Consolas" w:hAnsi="Consolas" w:cs="Consolas"/>
          <w:b w:val="0"/>
          <w:i w:val="0"/>
          <w:sz w:val="20"/>
        </w:rPr>
        <w:t>onDelete: SET NULL</w:t>
      </w:r>
      <w:r>
        <w:rPr>
          <w:rFonts w:ascii="Verdana" w:hAnsi="Verdana" w:cs="Verdana"/>
          <w:b w:val="0"/>
          <w:i w:val="0"/>
          <w:sz w:val="20"/>
        </w:rPr>
        <w:t xml:space="preserve"> oznacza, że jeśli organizacja zostanie usunięta z bazy, powiązani użytkownicy nie znikną automatycznie — ich pole </w:t>
      </w:r>
      <w:r>
        <w:rPr>
          <w:rFonts w:ascii="Consolas" w:hAnsi="Consolas" w:cs="Consolas"/>
          <w:b w:val="0"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zostanie wyzerowane, co umożliwia kontrolowaną migrację lub czyszczenie danych przez administratora platformy.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4.14 ]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backend-api/src/modules/users/entities/user.entity.ts</w:t>
      </w:r>
      <w:r>
        <w:rPr>
          <w:rFonts w:ascii="Verdana" w:hAnsi="Verdana" w:cs="Verdana"/>
          <w:b w:val="0"/>
          <w:i w:val="0"/>
          <w:sz w:val="20"/>
        </w:rPr>
        <w:t xml:space="preserve">   Linie: 15–68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4.14. Encja users z polem organizationId i relacją do organizacji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4.14 pokazuje encję User. Kluczowe dla architektury multi-tenant są linie 50–55: pole organizationId oraz relacja @ManyToOne do encji Organization. Dodatkowo widoczne są pola role (employee, hr, admin, super_admin) oraz status (pending, active, suspended, rejected), które wspólnie determinują, do jakich danych użytkownik ma dostęp.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Filtrowanie zapytań po organizationId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Sama obecność kolumny </w:t>
      </w:r>
      <w:r>
        <w:rPr>
          <w:rFonts w:ascii="Consolas" w:hAnsi="Consolas" w:cs="Consolas"/>
          <w:b w:val="0"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w bazie nie wystarczy — kluczowe jest to, że </w:t>
      </w:r>
      <w:r>
        <w:rPr>
          <w:rFonts w:ascii="Verdana" w:hAnsi="Verdana" w:cs="Verdana"/>
          <w:b/>
          <w:i w:val="0"/>
          <w:sz w:val="20"/>
        </w:rPr>
        <w:t>każde</w:t>
      </w:r>
      <w:r>
        <w:rPr>
          <w:rFonts w:ascii="Verdana" w:hAnsi="Verdana" w:cs="Verdana"/>
          <w:b w:val="0"/>
          <w:i w:val="0"/>
          <w:sz w:val="20"/>
        </w:rPr>
        <w:t xml:space="preserve"> zapytanie modyfikujące lub odczytujące dane musi jawnie filtrować po tej kolumnie. Konsekwentne stosowanie tej zasady realizuje serwis </w:t>
      </w:r>
      <w:r>
        <w:rPr>
          <w:rFonts w:ascii="Consolas" w:hAnsi="Consolas" w:cs="Consolas"/>
          <w:b w:val="0"/>
          <w:i w:val="0"/>
          <w:sz w:val="20"/>
        </w:rPr>
        <w:t>UsersService</w:t>
      </w:r>
      <w:r>
        <w:rPr>
          <w:rFonts w:ascii="Verdana" w:hAnsi="Verdana" w:cs="Verdana"/>
          <w:b w:val="0"/>
          <w:i w:val="0"/>
          <w:sz w:val="20"/>
        </w:rPr>
        <w:t xml:space="preserve">. Metoda </w:t>
      </w:r>
      <w:r>
        <w:rPr>
          <w:rFonts w:ascii="Consolas" w:hAnsi="Consolas" w:cs="Consolas"/>
          <w:b w:val="0"/>
          <w:i w:val="0"/>
          <w:sz w:val="20"/>
        </w:rPr>
        <w:t>findAll</w:t>
      </w:r>
      <w:r>
        <w:rPr>
          <w:rFonts w:ascii="Verdana" w:hAnsi="Verdana" w:cs="Verdana"/>
          <w:b w:val="0"/>
          <w:i w:val="0"/>
          <w:sz w:val="20"/>
        </w:rPr>
        <w:t xml:space="preserve"> przyjmuje opcjonalny parametr </w:t>
      </w:r>
      <w:r>
        <w:rPr>
          <w:rFonts w:ascii="Consolas" w:hAnsi="Consolas" w:cs="Consolas"/>
          <w:b w:val="0"/>
          <w:i w:val="0"/>
          <w:sz w:val="20"/>
        </w:rPr>
        <w:t>callerOrganizationId</w:t>
      </w:r>
      <w:r>
        <w:rPr>
          <w:rFonts w:ascii="Verdana" w:hAnsi="Verdana" w:cs="Verdana"/>
          <w:b w:val="0"/>
          <w:i w:val="0"/>
          <w:sz w:val="20"/>
        </w:rPr>
        <w:t xml:space="preserve">. Jeśli wywołanie pochodzi od administratora firmy, parametr jest ustawiony i zapytanie zwraca tylko użytkowników z tej organizacji. Jeśli wywołanie pochodzi od właściciela platformy (super-admina), parametr jest pominięty i metoda zwraca wszystkich użytkowników. Identyczna logika obowiązuje w metodach </w:t>
      </w:r>
      <w:r>
        <w:rPr>
          <w:rFonts w:ascii="Consolas" w:hAnsi="Consolas" w:cs="Consolas"/>
          <w:b w:val="0"/>
          <w:i w:val="0"/>
          <w:sz w:val="20"/>
        </w:rPr>
        <w:t>findPending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updateStatus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renameDepartment</w:t>
      </w:r>
      <w:r>
        <w:rPr>
          <w:rFonts w:ascii="Verdana" w:hAnsi="Verdana" w:cs="Verdana"/>
          <w:b w:val="0"/>
          <w:i w:val="0"/>
          <w:sz w:val="20"/>
        </w:rPr>
        <w:t xml:space="preserve"> i wszystkich innych operacjach na danych pracowników.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4.15 ]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backend-api/src/modules/users/users.service.ts</w:t>
      </w:r>
      <w:r>
        <w:rPr>
          <w:rFonts w:ascii="Verdana" w:hAnsi="Verdana" w:cs="Verdana"/>
          <w:b w:val="0"/>
          <w:i w:val="0"/>
          <w:sz w:val="20"/>
        </w:rPr>
        <w:t xml:space="preserve">   Linie: 80–103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4.15. Filtrowanie listy użytkowników po organizationId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4.15 pokazuje, jak prosta i deklaratywna jest izolacja danych. Jeśli wywołujący ma przypisaną organizację, metoda automatycznie dodaje warunek where: { organizationId: callerOrganizationId } do zapytania TypeORM. Super-admin pomija ten warunek i widzi wszystkie organizacje. Identyczny wzorzec jest zastosowany w pozostałych metodach serwisu — dzięki temu izolacja jest ujednolicona w całej aplikacji.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Jeszcze ważniejsze są </w:t>
      </w:r>
      <w:r>
        <w:rPr>
          <w:rFonts w:ascii="Verdana" w:hAnsi="Verdana" w:cs="Verdana"/>
          <w:b/>
          <w:i w:val="0"/>
          <w:sz w:val="20"/>
        </w:rPr>
        <w:t>operacje modyfikujące</w:t>
      </w:r>
      <w:r>
        <w:rPr>
          <w:rFonts w:ascii="Verdana" w:hAnsi="Verdana" w:cs="Verdana"/>
          <w:b w:val="0"/>
          <w:i w:val="0"/>
          <w:sz w:val="20"/>
        </w:rPr>
        <w:t xml:space="preserve"> — w szczególności </w:t>
      </w:r>
      <w:r>
        <w:rPr>
          <w:rFonts w:ascii="Consolas" w:hAnsi="Consolas" w:cs="Consolas"/>
          <w:b w:val="0"/>
          <w:i w:val="0"/>
          <w:sz w:val="20"/>
        </w:rPr>
        <w:t>updateStatus</w:t>
      </w:r>
      <w:r>
        <w:rPr>
          <w:rFonts w:ascii="Verdana" w:hAnsi="Verdana" w:cs="Verdana"/>
          <w:b w:val="0"/>
          <w:i w:val="0"/>
          <w:sz w:val="20"/>
        </w:rPr>
        <w:t xml:space="preserve"> (zatwierdzanie kont) oraz </w:t>
      </w:r>
      <w:r>
        <w:rPr>
          <w:rFonts w:ascii="Consolas" w:hAnsi="Consolas" w:cs="Consolas"/>
          <w:b w:val="0"/>
          <w:i w:val="0"/>
          <w:sz w:val="20"/>
        </w:rPr>
        <w:t>renameDepartment</w:t>
      </w:r>
      <w:r>
        <w:rPr>
          <w:rFonts w:ascii="Verdana" w:hAnsi="Verdana" w:cs="Verdana"/>
          <w:b w:val="0"/>
          <w:i w:val="0"/>
          <w:sz w:val="20"/>
        </w:rPr>
        <w:t xml:space="preserve"> (zmiana nazwy działu). Te metody dodatkowo </w:t>
      </w:r>
      <w:r>
        <w:rPr>
          <w:rFonts w:ascii="Verdana" w:hAnsi="Verdana" w:cs="Verdana"/>
          <w:b/>
          <w:i w:val="0"/>
          <w:sz w:val="20"/>
        </w:rPr>
        <w:t>weryfikują</w:t>
      </w:r>
      <w:r>
        <w:rPr>
          <w:rFonts w:ascii="Verdana" w:hAnsi="Verdana" w:cs="Verdana"/>
          <w:b w:val="0"/>
          <w:i w:val="0"/>
          <w:sz w:val="20"/>
        </w:rPr>
        <w:t xml:space="preserve"> przed wykonaniem operacji, czy obiekt docelowy faktycznie należy do organizacji wywołującego, a w razie niezgodności rzucają wyjątek </w:t>
      </w:r>
      <w:r>
        <w:rPr>
          <w:rFonts w:ascii="Consolas" w:hAnsi="Consolas" w:cs="Consolas"/>
          <w:b w:val="0"/>
          <w:i w:val="0"/>
          <w:sz w:val="20"/>
        </w:rPr>
        <w:t>ForbiddenException</w:t>
      </w:r>
      <w:r>
        <w:rPr>
          <w:rFonts w:ascii="Verdana" w:hAnsi="Verdana" w:cs="Verdana"/>
          <w:b w:val="0"/>
          <w:i w:val="0"/>
          <w:sz w:val="20"/>
        </w:rPr>
        <w:t>. Dzięki temu nawet teoretyczna manipulacja parametrami żądania (na przykład próba zatwierdzenia konta z innej firmy przez podstawienie identyfikatora) zakończy się błędem 403, a nie wykonaniem niedozwolonej akcji.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4.16 ]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backend-api/src/modules/users/users.service.ts</w:t>
      </w:r>
      <w:r>
        <w:rPr>
          <w:rFonts w:ascii="Verdana" w:hAnsi="Verdana" w:cs="Verdana"/>
          <w:b w:val="0"/>
          <w:i w:val="0"/>
          <w:sz w:val="20"/>
        </w:rPr>
        <w:t xml:space="preserve">   Linie: 106–115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4.16. Weryfikacja właściciela rekordu przed operacją modyfikującą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4.16 pokazuje fragment metody updateStatus. Po pobraniu użytkownika z bazy sprawdzane jest, czy jego organizationId zgadza się z organizationId wywołującego. Jeżeli nie, wyrzucany jest wyjątek ForbiddenException, a operacja w ogóle się nie wykonuje. Ta dwustopniowa weryfikacja (filtr w zapytaniu + sprawdzenie po pobraniu) realizuje zasadę defense in depth na poziomie warstwy biznesowej.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Kod zaproszenia — przypisywanie pracownika do firmy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Pracownik nie loguje się „do platformy MoodFlow" — loguje się do swojej firmy. Aby to zrealizować, przy zakładaniu nowej organizacji generowany jest unikalny </w:t>
      </w:r>
      <w:r>
        <w:rPr>
          <w:rFonts w:ascii="Verdana" w:hAnsi="Verdana" w:cs="Verdana"/>
          <w:b/>
          <w:i w:val="0"/>
          <w:sz w:val="20"/>
        </w:rPr>
        <w:t>kod zaproszenia</w:t>
      </w:r>
      <w:r>
        <w:rPr>
          <w:rFonts w:ascii="Verdana" w:hAnsi="Verdana" w:cs="Verdana"/>
          <w:b w:val="0"/>
          <w:i w:val="0"/>
          <w:sz w:val="20"/>
        </w:rPr>
        <w:t xml:space="preserve"> w formacie </w:t>
      </w:r>
      <w:r>
        <w:rPr>
          <w:rFonts w:ascii="Consolas" w:hAnsi="Consolas" w:cs="Consolas"/>
          <w:b w:val="0"/>
          <w:i w:val="0"/>
          <w:sz w:val="20"/>
        </w:rPr>
        <w:t>MOOD-XXXXXXXX</w:t>
      </w:r>
      <w:r>
        <w:rPr>
          <w:rFonts w:ascii="Verdana" w:hAnsi="Verdana" w:cs="Verdana"/>
          <w:b w:val="0"/>
          <w:i w:val="0"/>
          <w:sz w:val="20"/>
        </w:rPr>
        <w:t xml:space="preserve"> (osiem znaków heksadecymalnych zaczerpniętych z generatora kryptograficznego </w:t>
      </w:r>
      <w:r>
        <w:rPr>
          <w:rFonts w:ascii="Consolas" w:hAnsi="Consolas" w:cs="Consolas"/>
          <w:b w:val="0"/>
          <w:i w:val="0"/>
          <w:sz w:val="20"/>
        </w:rPr>
        <w:t>crypto.randomBytes</w:t>
      </w:r>
      <w:r>
        <w:rPr>
          <w:rFonts w:ascii="Verdana" w:hAnsi="Verdana" w:cs="Verdana"/>
          <w:b w:val="0"/>
          <w:i w:val="0"/>
          <w:sz w:val="20"/>
        </w:rPr>
        <w:t xml:space="preserve">). Administrator firmy przekazuje ten kod swoim pracownikom, którzy podają go w formularzu rejestracji. Backend wyszukuje organizację po </w:t>
      </w:r>
      <w:r>
        <w:rPr>
          <w:rFonts w:ascii="Consolas" w:hAnsi="Consolas" w:cs="Consolas"/>
          <w:b w:val="0"/>
          <w:i w:val="0"/>
          <w:sz w:val="20"/>
        </w:rPr>
        <w:t>inviteCode</w:t>
      </w:r>
      <w:r>
        <w:rPr>
          <w:rFonts w:ascii="Verdana" w:hAnsi="Verdana" w:cs="Verdana"/>
          <w:b w:val="0"/>
          <w:i w:val="0"/>
          <w:sz w:val="20"/>
        </w:rPr>
        <w:t xml:space="preserve"> i automatycznie ustawia </w:t>
      </w:r>
      <w:r>
        <w:rPr>
          <w:rFonts w:ascii="Consolas" w:hAnsi="Consolas" w:cs="Consolas"/>
          <w:b w:val="0"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nowego użytkownika. Dzięki temu pracownik nigdy nie wybiera ręcznie firmy z listy — co eliminuje ryzyko pomyłki oraz scenariusz, w którym ktoś niezwiązany z firmą zarejestruje się w niej „przez przypadek".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4.17 ]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backend-api/src/modules/auth/auth.service.ts</w:t>
      </w:r>
      <w:r>
        <w:rPr>
          <w:rFonts w:ascii="Verdana" w:hAnsi="Verdana" w:cs="Verdana"/>
          <w:b w:val="0"/>
          <w:i w:val="0"/>
          <w:sz w:val="20"/>
        </w:rPr>
        <w:t xml:space="preserve">   Linie: 92–119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4.17. Rejestracja pracownika z walidacją kodu zaproszenia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4.17 pokazuje metodę registerEmployee. Najpierw sprawdzane jest, czy kod zaproszenia istnieje w bazie i czy organizacja jest aktywna — jeśli nie, rejestracja kończy się błędem. Dopiero po pomyślnej walidacji tworzone jest konto pracownika z automatycznie ustawionym organizationId pobranym z odnalezionej organizacji. Status nowego konta to PENDING — pracownik czeka na zatwierdzenie przez administratora swojej firmy.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Cykl życia organizacji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Każda nowa firma trafiająca do systemu przechodzi przez kontrolowany cykl życia. Po wypełnieniu formularza rejestracyjnego organizacja otrzymuje status </w:t>
      </w:r>
      <w:r>
        <w:rPr>
          <w:rFonts w:ascii="Verdana" w:hAnsi="Verdana" w:cs="Verdana"/>
          <w:b/>
          <w:i w:val="0"/>
          <w:sz w:val="20"/>
        </w:rPr>
        <w:t>PENDING</w:t>
      </w:r>
      <w:r>
        <w:rPr>
          <w:rFonts w:ascii="Verdana" w:hAnsi="Verdana" w:cs="Verdana"/>
          <w:b w:val="0"/>
          <w:i w:val="0"/>
          <w:sz w:val="20"/>
        </w:rPr>
        <w:t xml:space="preserve"> i czeka na akceptację przez właściciela platformy. Dopóki status nie zostanie zmieniony na </w:t>
      </w:r>
      <w:r>
        <w:rPr>
          <w:rFonts w:ascii="Verdana" w:hAnsi="Verdana" w:cs="Verdana"/>
          <w:b/>
          <w:i w:val="0"/>
          <w:sz w:val="20"/>
        </w:rPr>
        <w:t>ACTIVE</w:t>
      </w:r>
      <w:r>
        <w:rPr>
          <w:rFonts w:ascii="Verdana" w:hAnsi="Verdana" w:cs="Verdana"/>
          <w:b w:val="0"/>
          <w:i w:val="0"/>
          <w:sz w:val="20"/>
        </w:rPr>
        <w:t xml:space="preserve">, kod zaproszenia jest nieaktywny — nie można dołączyć pracowników, nie można korzystać z aplikacji. Po akceptacji firma staje się aktywna i może rozpocząć normalną pracę. W razie naruszenia regulaminu lub zakończenia umowy właściciel platformy może ustawić status na </w:t>
      </w:r>
      <w:r>
        <w:rPr>
          <w:rFonts w:ascii="Verdana" w:hAnsi="Verdana" w:cs="Verdana"/>
          <w:b/>
          <w:i w:val="0"/>
          <w:sz w:val="20"/>
        </w:rPr>
        <w:t>BLOCKED</w:t>
      </w:r>
      <w:r>
        <w:rPr>
          <w:rFonts w:ascii="Verdana" w:hAnsi="Verdana" w:cs="Verdana"/>
          <w:b w:val="0"/>
          <w:i w:val="0"/>
          <w:sz w:val="20"/>
        </w:rPr>
        <w:t xml:space="preserve"> — wszyscy użytkownicy tej firmy zostają wówczas wylogowani, a ich kolejne próby logowania kończą się komunikatem o zablokowanym koncie firmowym. Status </w:t>
      </w:r>
      <w:r>
        <w:rPr>
          <w:rFonts w:ascii="Verdana" w:hAnsi="Verdana" w:cs="Verdana"/>
          <w:b/>
          <w:i w:val="0"/>
          <w:sz w:val="20"/>
        </w:rPr>
        <w:t>REJECTED</w:t>
      </w:r>
      <w:r>
        <w:rPr>
          <w:rFonts w:ascii="Verdana" w:hAnsi="Verdana" w:cs="Verdana"/>
          <w:b w:val="0"/>
          <w:i w:val="0"/>
          <w:sz w:val="20"/>
        </w:rPr>
        <w:t xml:space="preserve"> jest stosowany dla zgłoszeń odrzuconych już na etapie weryfikacji.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izolacji multi-tenant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Architektura multi-tenant w MoodFlow opiera się na trzech filarach: </w:t>
      </w:r>
      <w:r>
        <w:rPr>
          <w:rFonts w:ascii="Verdana" w:hAnsi="Verdana" w:cs="Verdana"/>
          <w:b/>
          <w:i w:val="0"/>
          <w:sz w:val="20"/>
        </w:rPr>
        <w:t>strukturalnym</w:t>
      </w:r>
      <w:r>
        <w:rPr>
          <w:rFonts w:ascii="Verdana" w:hAnsi="Verdana" w:cs="Verdana"/>
          <w:b w:val="0"/>
          <w:i w:val="0"/>
          <w:sz w:val="20"/>
        </w:rPr>
        <w:t xml:space="preserve"> (kolumna organizationId we wszystkich tabelach operacyjnych), </w:t>
      </w:r>
      <w:r>
        <w:rPr>
          <w:rFonts w:ascii="Verdana" w:hAnsi="Verdana" w:cs="Verdana"/>
          <w:b/>
          <w:i w:val="0"/>
          <w:sz w:val="20"/>
        </w:rPr>
        <w:t>aplikacyjnym</w:t>
      </w:r>
      <w:r>
        <w:rPr>
          <w:rFonts w:ascii="Verdana" w:hAnsi="Verdana" w:cs="Verdana"/>
          <w:b w:val="0"/>
          <w:i w:val="0"/>
          <w:sz w:val="20"/>
        </w:rPr>
        <w:t xml:space="preserve"> (każde zapytanie i każda mutacja filtruje po organizationId pobranym z tokena JWT) oraz </w:t>
      </w:r>
      <w:r>
        <w:rPr>
          <w:rFonts w:ascii="Verdana" w:hAnsi="Verdana" w:cs="Verdana"/>
          <w:b/>
          <w:i w:val="0"/>
          <w:sz w:val="20"/>
        </w:rPr>
        <w:t>proceduralnym</w:t>
      </w:r>
      <w:r>
        <w:rPr>
          <w:rFonts w:ascii="Verdana" w:hAnsi="Verdana" w:cs="Verdana"/>
          <w:b w:val="0"/>
          <w:i w:val="0"/>
          <w:sz w:val="20"/>
        </w:rPr>
        <w:t xml:space="preserve"> (kontrolowany cykl życia organizacji od PENDING po BLOCKED). Razem te trzy warstwy zapewniają, że dane jednej firmy nie wyciekną do drugiej, a system pozostaje prosty w utrzymaniu i opisaniu w pracy inżynierskiej. Decyzję o wyborze tej strategii — zamiast bardziej złożonych alternatyw typu schema per tenant czy database per tenant — uzasadnia skala projektu: pracownia inżynierska wymaga rozwiązania działającego, prostego i jasno opisywalnego, a nie infrastruktury enterprise dla tysięcy klientów.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