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160" w:after="160"/>
      </w:pPr>
      <w:r>
        <w:rPr>
          <w:rFonts w:ascii="Verdana" w:hAnsi="Verdana" w:cs="Verdana"/>
          <w:b/>
          <w:i w:val="0"/>
          <w:sz w:val="24"/>
        </w:rPr>
        <w:t>4.5. Frontend pracownika — aplikacja React z Vite i Redux Toolkit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Aplikacja pracownika została wydzielona jako odrębny projekt frontendowy </w:t>
      </w:r>
      <w:r>
        <w:rPr>
          <w:rFonts w:ascii="Consolas" w:hAnsi="Consolas" w:cs="Consolas"/>
          <w:b w:val="0"/>
          <w:i w:val="0"/>
          <w:sz w:val="20"/>
        </w:rPr>
        <w:t>client-frontend</w:t>
      </w:r>
      <w:r>
        <w:rPr>
          <w:rFonts w:ascii="Verdana" w:hAnsi="Verdana" w:cs="Verdana"/>
          <w:b w:val="0"/>
          <w:i w:val="0"/>
          <w:sz w:val="20"/>
        </w:rPr>
        <w:t>, niezależny od panelu administracyjnego i od backendu. Decyzja o rozdziale na dwie aplikacje frontendowe wynika z różnicy ról i potrzeb użytkowników: pracownik korzysta z aplikacji najczęściej z urządzenia mobilnego, w trakcie krótkich sesji (wypełnienie codziennego nastroju, ukończenie testu psychologicznego, podgląd wyniku), natomiast administrator i dział HR pracują z desktopa, z bardziej rozbudowanymi widokami analitycznymi. Łączenie obu interfejsów w jedną aplikację prowadziłoby do nadmiarowych zależności, większego rozmiaru paczki produkcyjnej oraz trudniejszej kontroli uprawnień na poziomie routingu. Osobny projekt umożliwia także niezależne wdrożenia i niezależną optymalizację bundle’a.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Stos technologiczny i organizacja kodu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Aplikacja została zbudowana w oparciu o </w:t>
      </w:r>
      <w:r>
        <w:rPr>
          <w:rFonts w:ascii="Verdana" w:hAnsi="Verdana" w:cs="Verdana"/>
          <w:b/>
          <w:i w:val="0"/>
          <w:sz w:val="20"/>
        </w:rPr>
        <w:t>React</w:t>
      </w:r>
      <w:r>
        <w:rPr>
          <w:rFonts w:ascii="Verdana" w:hAnsi="Verdana" w:cs="Verdana"/>
          <w:b w:val="0"/>
          <w:i w:val="0"/>
          <w:sz w:val="20"/>
        </w:rPr>
        <w:t xml:space="preserve"> (biblioteka komponentowa do budowy interfejsów użytkownika) i </w:t>
      </w:r>
      <w:r>
        <w:rPr>
          <w:rFonts w:ascii="Verdana" w:hAnsi="Verdana" w:cs="Verdana"/>
          <w:b/>
          <w:i w:val="0"/>
          <w:sz w:val="20"/>
        </w:rPr>
        <w:t>TypeScript</w:t>
      </w:r>
      <w:r>
        <w:rPr>
          <w:rFonts w:ascii="Verdana" w:hAnsi="Verdana" w:cs="Verdana"/>
          <w:b w:val="0"/>
          <w:i w:val="0"/>
          <w:sz w:val="20"/>
        </w:rPr>
        <w:t xml:space="preserve"> (statyczny system typów eliminujący znaczną część błędów na etapie kompilacji). Środowisko deweloperskie i bundler zapewnia </w:t>
      </w:r>
      <w:r>
        <w:rPr>
          <w:rFonts w:ascii="Verdana" w:hAnsi="Verdana" w:cs="Verdana"/>
          <w:b/>
          <w:i w:val="0"/>
          <w:sz w:val="20"/>
        </w:rPr>
        <w:t>Vite</w:t>
      </w:r>
      <w:r>
        <w:rPr>
          <w:rFonts w:ascii="Verdana" w:hAnsi="Verdana" w:cs="Verdana"/>
          <w:b w:val="0"/>
          <w:i w:val="0"/>
          <w:sz w:val="20"/>
        </w:rPr>
        <w:t xml:space="preserve"> — narzędzie wybrane zamiast Create React App ze względu na natywne wykorzystanie modułów ECMAScript w trybie deweloperskim, błyskawiczny start serwera oraz znacząco szybszy hot module replacement. Zarządzanie globalnym stanem aplikacji (sesja użytkownika, tokeny) realizuje </w:t>
      </w:r>
      <w:r>
        <w:rPr>
          <w:rFonts w:ascii="Verdana" w:hAnsi="Verdana" w:cs="Verdana"/>
          <w:b/>
          <w:i w:val="0"/>
          <w:sz w:val="20"/>
        </w:rPr>
        <w:t>Redux Toolkit</w:t>
      </w:r>
      <w:r>
        <w:rPr>
          <w:rFonts w:ascii="Verdana" w:hAnsi="Verdana" w:cs="Verdana"/>
          <w:b w:val="0"/>
          <w:i w:val="0"/>
          <w:sz w:val="20"/>
        </w:rPr>
        <w:t xml:space="preserve">, a routing i nawigacja oparte są na bibliotece </w:t>
      </w:r>
      <w:r>
        <w:rPr>
          <w:rFonts w:ascii="Verdana" w:hAnsi="Verdana" w:cs="Verdana"/>
          <w:b/>
          <w:i w:val="0"/>
          <w:sz w:val="20"/>
        </w:rPr>
        <w:t>React Router</w:t>
      </w:r>
      <w:r>
        <w:rPr>
          <w:rFonts w:ascii="Verdana" w:hAnsi="Verdana" w:cs="Verdana"/>
          <w:b w:val="0"/>
          <w:i w:val="0"/>
          <w:sz w:val="20"/>
        </w:rPr>
        <w:t xml:space="preserve"> w wariancie deklaratywnym z konfiguracją tras zagnieżdżonych. Komunikacja z REST API odbywa się przez klienta </w:t>
      </w:r>
      <w:r>
        <w:rPr>
          <w:rFonts w:ascii="Verdana" w:hAnsi="Verdana" w:cs="Verdana"/>
          <w:b/>
          <w:i w:val="0"/>
          <w:sz w:val="20"/>
        </w:rPr>
        <w:t>axios</w:t>
      </w:r>
      <w:r>
        <w:rPr>
          <w:rFonts w:ascii="Verdana" w:hAnsi="Verdana" w:cs="Verdana"/>
          <w:b w:val="0"/>
          <w:i w:val="0"/>
          <w:sz w:val="20"/>
        </w:rPr>
        <w:t xml:space="preserve"> z dedykowanymi interceptorami żądań i odpowiedzi, a stylowanie warstwy wizualnej zapewnia </w:t>
      </w:r>
      <w:r>
        <w:rPr>
          <w:rFonts w:ascii="Verdana" w:hAnsi="Verdana" w:cs="Verdana"/>
          <w:b/>
          <w:i w:val="0"/>
          <w:sz w:val="20"/>
        </w:rPr>
        <w:t>Tailwind CSS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Struktura katalogów odzwierciedla podział odpowiedzialności na warstwy. W katalogu </w:t>
      </w:r>
      <w:r>
        <w:rPr>
          <w:rFonts w:ascii="Consolas" w:hAnsi="Consolas" w:cs="Consolas"/>
          <w:b w:val="0"/>
          <w:i w:val="0"/>
          <w:sz w:val="20"/>
        </w:rPr>
        <w:t>pages/</w:t>
      </w:r>
      <w:r>
        <w:rPr>
          <w:rFonts w:ascii="Verdana" w:hAnsi="Verdana" w:cs="Verdana"/>
          <w:b w:val="0"/>
          <w:i w:val="0"/>
          <w:sz w:val="20"/>
        </w:rPr>
        <w:t xml:space="preserve"> znajdują się komponenty pełnoekranowe odpowiadające poszczególnym trasom (</w:t>
      </w:r>
      <w:r>
        <w:rPr>
          <w:rFonts w:ascii="Consolas" w:hAnsi="Consolas" w:cs="Consolas"/>
          <w:b w:val="0"/>
          <w:i w:val="0"/>
          <w:sz w:val="20"/>
        </w:rPr>
        <w:t>HomePage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TestsPage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ResultsPage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SettingsPage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LoginPage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RegisterPage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TakeAssessmentPage</w:t>
      </w:r>
      <w:r>
        <w:rPr>
          <w:rFonts w:ascii="Verdana" w:hAnsi="Verdana" w:cs="Verdana"/>
          <w:b w:val="0"/>
          <w:i w:val="0"/>
          <w:sz w:val="20"/>
        </w:rPr>
        <w:t xml:space="preserve">). Katalog </w:t>
      </w:r>
      <w:r>
        <w:rPr>
          <w:rFonts w:ascii="Consolas" w:hAnsi="Consolas" w:cs="Consolas"/>
          <w:b w:val="0"/>
          <w:i w:val="0"/>
          <w:sz w:val="20"/>
        </w:rPr>
        <w:t>components/</w:t>
      </w:r>
      <w:r>
        <w:rPr>
          <w:rFonts w:ascii="Verdana" w:hAnsi="Verdana" w:cs="Verdana"/>
          <w:b w:val="0"/>
          <w:i w:val="0"/>
          <w:sz w:val="20"/>
        </w:rPr>
        <w:t xml:space="preserve"> grupuje komponenty wielokrotnego użytku — układ aplikacji (</w:t>
      </w:r>
      <w:r>
        <w:rPr>
          <w:rFonts w:ascii="Consolas" w:hAnsi="Consolas" w:cs="Consolas"/>
          <w:b w:val="0"/>
          <w:i w:val="0"/>
          <w:sz w:val="20"/>
        </w:rPr>
        <w:t>AppLayout</w:t>
      </w:r>
      <w:r>
        <w:rPr>
          <w:rFonts w:ascii="Verdana" w:hAnsi="Verdana" w:cs="Verdana"/>
          <w:b w:val="0"/>
          <w:i w:val="0"/>
          <w:sz w:val="20"/>
        </w:rPr>
        <w:t>), strażnika tras (</w:t>
      </w:r>
      <w:r>
        <w:rPr>
          <w:rFonts w:ascii="Consolas" w:hAnsi="Consolas" w:cs="Consolas"/>
          <w:b w:val="0"/>
          <w:i w:val="0"/>
          <w:sz w:val="20"/>
        </w:rPr>
        <w:t>ProtectedRoute</w:t>
      </w:r>
      <w:r>
        <w:rPr>
          <w:rFonts w:ascii="Verdana" w:hAnsi="Verdana" w:cs="Verdana"/>
          <w:b w:val="0"/>
          <w:i w:val="0"/>
          <w:sz w:val="20"/>
        </w:rPr>
        <w:t>), banner aktualizacji wersji PWA (</w:t>
      </w:r>
      <w:r>
        <w:rPr>
          <w:rFonts w:ascii="Consolas" w:hAnsi="Consolas" w:cs="Consolas"/>
          <w:b w:val="0"/>
          <w:i w:val="0"/>
          <w:sz w:val="20"/>
        </w:rPr>
        <w:t>PwaUpdatePrompt</w:t>
      </w:r>
      <w:r>
        <w:rPr>
          <w:rFonts w:ascii="Verdana" w:hAnsi="Verdana" w:cs="Verdana"/>
          <w:b w:val="0"/>
          <w:i w:val="0"/>
          <w:sz w:val="20"/>
        </w:rPr>
        <w:t xml:space="preserve">) oraz mniejsze elementy interfejsu. W katalogu </w:t>
      </w:r>
      <w:r>
        <w:rPr>
          <w:rFonts w:ascii="Consolas" w:hAnsi="Consolas" w:cs="Consolas"/>
          <w:b w:val="0"/>
          <w:i w:val="0"/>
          <w:sz w:val="20"/>
        </w:rPr>
        <w:t>store/</w:t>
      </w:r>
      <w:r>
        <w:rPr>
          <w:rFonts w:ascii="Verdana" w:hAnsi="Verdana" w:cs="Verdana"/>
          <w:b w:val="0"/>
          <w:i w:val="0"/>
          <w:sz w:val="20"/>
        </w:rPr>
        <w:t xml:space="preserve"> znajduje się konfiguracja Redux Toolkit wraz z plasterkami stanu (ang. </w:t>
      </w:r>
      <w:r>
        <w:rPr>
          <w:rFonts w:ascii="Verdana" w:hAnsi="Verdana" w:cs="Verdana"/>
          <w:b w:val="0"/>
          <w:i/>
          <w:sz w:val="20"/>
        </w:rPr>
        <w:t>slices</w:t>
      </w:r>
      <w:r>
        <w:rPr>
          <w:rFonts w:ascii="Verdana" w:hAnsi="Verdana" w:cs="Verdana"/>
          <w:b w:val="0"/>
          <w:i w:val="0"/>
          <w:sz w:val="20"/>
        </w:rPr>
        <w:t xml:space="preserve">), w </w:t>
      </w:r>
      <w:r>
        <w:rPr>
          <w:rFonts w:ascii="Consolas" w:hAnsi="Consolas" w:cs="Consolas"/>
          <w:b w:val="0"/>
          <w:i w:val="0"/>
          <w:sz w:val="20"/>
        </w:rPr>
        <w:t>api/</w:t>
      </w:r>
      <w:r>
        <w:rPr>
          <w:rFonts w:ascii="Verdana" w:hAnsi="Verdana" w:cs="Verdana"/>
          <w:b w:val="0"/>
          <w:i w:val="0"/>
          <w:sz w:val="20"/>
        </w:rPr>
        <w:t xml:space="preserve"> — pojedynczy klient HTTP, w </w:t>
      </w:r>
      <w:r>
        <w:rPr>
          <w:rFonts w:ascii="Consolas" w:hAnsi="Consolas" w:cs="Consolas"/>
          <w:b w:val="0"/>
          <w:i w:val="0"/>
          <w:sz w:val="20"/>
        </w:rPr>
        <w:t>hooks/</w:t>
      </w:r>
      <w:r>
        <w:rPr>
          <w:rFonts w:ascii="Verdana" w:hAnsi="Verdana" w:cs="Verdana"/>
          <w:b w:val="0"/>
          <w:i w:val="0"/>
          <w:sz w:val="20"/>
        </w:rPr>
        <w:t xml:space="preserve"> — niestandardowe hooki Reacta, a w </w:t>
      </w:r>
      <w:r>
        <w:rPr>
          <w:rFonts w:ascii="Consolas" w:hAnsi="Consolas" w:cs="Consolas"/>
          <w:b w:val="0"/>
          <w:i w:val="0"/>
          <w:sz w:val="20"/>
        </w:rPr>
        <w:t>types/</w:t>
      </w:r>
      <w:r>
        <w:rPr>
          <w:rFonts w:ascii="Verdana" w:hAnsi="Verdana" w:cs="Verdana"/>
          <w:b w:val="0"/>
          <w:i w:val="0"/>
          <w:sz w:val="20"/>
        </w:rPr>
        <w:t xml:space="preserve"> — definicje typów współdzielone między warstwami. Taki układ jest płaski i przewidywalny, co ułatwia utrzymanie projektu w skali pracy inżynierskiej.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Routing i ochrona tras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Konfiguracja routingu została zrealizowana deklaratywnie w komponencie </w:t>
      </w:r>
      <w:r>
        <w:rPr>
          <w:rFonts w:ascii="Consolas" w:hAnsi="Consolas" w:cs="Consolas"/>
          <w:b w:val="0"/>
          <w:i w:val="0"/>
          <w:sz w:val="20"/>
        </w:rPr>
        <w:t>App</w:t>
      </w:r>
      <w:r>
        <w:rPr>
          <w:rFonts w:ascii="Verdana" w:hAnsi="Verdana" w:cs="Verdana"/>
          <w:b w:val="0"/>
          <w:i w:val="0"/>
          <w:sz w:val="20"/>
        </w:rPr>
        <w:t>. Trasy publiczne (</w:t>
      </w:r>
      <w:r>
        <w:rPr>
          <w:rFonts w:ascii="Consolas" w:hAnsi="Consolas" w:cs="Consolas"/>
          <w:b w:val="0"/>
          <w:i w:val="0"/>
          <w:sz w:val="20"/>
        </w:rPr>
        <w:t>/login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Consolas" w:hAnsi="Consolas" w:cs="Consolas"/>
          <w:b w:val="0"/>
          <w:i w:val="0"/>
          <w:sz w:val="20"/>
        </w:rPr>
        <w:t>/register</w:t>
      </w:r>
      <w:r>
        <w:rPr>
          <w:rFonts w:ascii="Verdana" w:hAnsi="Verdana" w:cs="Verdana"/>
          <w:b w:val="0"/>
          <w:i w:val="0"/>
          <w:sz w:val="20"/>
        </w:rPr>
        <w:t xml:space="preserve">) są dostępne bez logowania, natomiast wszystkie trasy aplikacyjne znajdują się pod prefiksem </w:t>
      </w:r>
      <w:r>
        <w:rPr>
          <w:rFonts w:ascii="Consolas" w:hAnsi="Consolas" w:cs="Consolas"/>
          <w:b w:val="0"/>
          <w:i w:val="0"/>
          <w:sz w:val="20"/>
        </w:rPr>
        <w:t>/app</w:t>
      </w:r>
      <w:r>
        <w:rPr>
          <w:rFonts w:ascii="Verdana" w:hAnsi="Verdana" w:cs="Verdana"/>
          <w:b w:val="0"/>
          <w:i w:val="0"/>
          <w:sz w:val="20"/>
        </w:rPr>
        <w:t xml:space="preserve"> i są opakowane komponentem </w:t>
      </w:r>
      <w:r>
        <w:rPr>
          <w:rFonts w:ascii="Consolas" w:hAnsi="Consolas" w:cs="Consolas"/>
          <w:b w:val="0"/>
          <w:i w:val="0"/>
          <w:sz w:val="20"/>
        </w:rPr>
        <w:t>ProtectedRoute</w:t>
      </w:r>
      <w:r>
        <w:rPr>
          <w:rFonts w:ascii="Verdana" w:hAnsi="Verdana" w:cs="Verdana"/>
          <w:b w:val="0"/>
          <w:i w:val="0"/>
          <w:sz w:val="20"/>
        </w:rPr>
        <w:t xml:space="preserve">, który blokuje dostęp niezalogowanym użytkownikom. W ramach prefiksu </w:t>
      </w:r>
      <w:r>
        <w:rPr>
          <w:rFonts w:ascii="Consolas" w:hAnsi="Consolas" w:cs="Consolas"/>
          <w:b w:val="0"/>
          <w:i w:val="0"/>
          <w:sz w:val="20"/>
        </w:rPr>
        <w:t>/app</w:t>
      </w:r>
      <w:r>
        <w:rPr>
          <w:rFonts w:ascii="Verdana" w:hAnsi="Verdana" w:cs="Verdana"/>
          <w:b w:val="0"/>
          <w:i w:val="0"/>
          <w:sz w:val="20"/>
        </w:rPr>
        <w:t xml:space="preserve"> zastosowano </w:t>
      </w:r>
      <w:r>
        <w:rPr>
          <w:rFonts w:ascii="Verdana" w:hAnsi="Verdana" w:cs="Verdana"/>
          <w:b/>
          <w:i w:val="0"/>
          <w:sz w:val="20"/>
        </w:rPr>
        <w:t>zagnieżdżone trasy</w:t>
      </w:r>
      <w:r>
        <w:rPr>
          <w:rFonts w:ascii="Verdana" w:hAnsi="Verdana" w:cs="Verdana"/>
          <w:b w:val="0"/>
          <w:i w:val="0"/>
          <w:sz w:val="20"/>
        </w:rPr>
        <w:t xml:space="preserve"> z wspólnym układem </w:t>
      </w:r>
      <w:r>
        <w:rPr>
          <w:rFonts w:ascii="Consolas" w:hAnsi="Consolas" w:cs="Consolas"/>
          <w:b w:val="0"/>
          <w:i w:val="0"/>
          <w:sz w:val="20"/>
        </w:rPr>
        <w:t>AppLayout</w:t>
      </w:r>
      <w:r>
        <w:rPr>
          <w:rFonts w:ascii="Verdana" w:hAnsi="Verdana" w:cs="Verdana"/>
          <w:b w:val="0"/>
          <w:i w:val="0"/>
          <w:sz w:val="20"/>
        </w:rPr>
        <w:t xml:space="preserve"> (boczny pasek nawigacji w wariancie desktopowym oraz dolna nawigacja w wariancie mobilnym), do którego React Router wstrzykuje aktywną podstronę. Wyjątkiem jest trasa </w:t>
      </w:r>
      <w:r>
        <w:rPr>
          <w:rFonts w:ascii="Consolas" w:hAnsi="Consolas" w:cs="Consolas"/>
          <w:b w:val="0"/>
          <w:i w:val="0"/>
          <w:sz w:val="20"/>
        </w:rPr>
        <w:t>/app/take/:id</w:t>
      </w:r>
      <w:r>
        <w:rPr>
          <w:rFonts w:ascii="Verdana" w:hAnsi="Verdana" w:cs="Verdana"/>
          <w:b w:val="0"/>
          <w:i w:val="0"/>
          <w:sz w:val="20"/>
        </w:rPr>
        <w:t xml:space="preserve"> realizująca pełnoekranowe wypełnianie testu — celowo umieszczona poza wspólnym layoutem, aby zminimalizować rozproszenie uwagi pracownika podczas udzielania odpowiedzi. Stare ścieżki (</w:t>
      </w:r>
      <w:r>
        <w:rPr>
          <w:rFonts w:ascii="Consolas" w:hAnsi="Consolas" w:cs="Consolas"/>
          <w:b w:val="0"/>
          <w:i w:val="0"/>
          <w:sz w:val="20"/>
        </w:rPr>
        <w:t>/dashboard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/assessments</w:t>
      </w:r>
      <w:r>
        <w:rPr>
          <w:rFonts w:ascii="Verdana" w:hAnsi="Verdana" w:cs="Verdana"/>
          <w:b w:val="0"/>
          <w:i w:val="0"/>
          <w:sz w:val="20"/>
        </w:rPr>
        <w:t>) zostały zachowane w postaci przekierowań, co zapobiega błędom 404 w przypadku odwołań z wcześniejszych wersji aplikacji.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4.18 ]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client-frontend/src/App.tsx</w:t>
      </w:r>
      <w:r>
        <w:rPr>
          <w:rFonts w:ascii="Verdana" w:hAnsi="Verdana" w:cs="Verdana"/>
          <w:b w:val="0"/>
          <w:i w:val="0"/>
          <w:sz w:val="20"/>
        </w:rPr>
        <w:t xml:space="preserve">   Linie: 15–62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4.18. Konfiguracja routingu aplikacji pracownika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4.18 prezentuje główny komponent aplikacji. Provider biblioteki Redux dostarcza store wszystkim komponentom potomnym, BrowserRouter definiuje routing po stronie klienta, a ProtectedRoute opakowuje gałąź /app/* odpowiedzialną za widoki dla zalogowanego pracownika. Komponent PwaUpdatePrompt jest renderowany na poziomie aplikacji, dzięki czemu jest widoczny niezależnie od bieżącej trasy.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Strażnik tras </w:t>
      </w:r>
      <w:r>
        <w:rPr>
          <w:rFonts w:ascii="Consolas" w:hAnsi="Consolas" w:cs="Consolas"/>
          <w:b w:val="0"/>
          <w:i w:val="0"/>
          <w:sz w:val="20"/>
        </w:rPr>
        <w:t>ProtectedRoute</w:t>
      </w:r>
      <w:r>
        <w:rPr>
          <w:rFonts w:ascii="Verdana" w:hAnsi="Verdana" w:cs="Verdana"/>
          <w:b w:val="0"/>
          <w:i w:val="0"/>
          <w:sz w:val="20"/>
        </w:rPr>
        <w:t xml:space="preserve"> realizuje pojedynczą, ściśle określoną odpowiedzialność — sprawdza, czy w stanie globalnym aplikacji znajduje się ważny token dostępu. Jeśli tak, wyświetla zagnieżdżone komponenty potomne; jeśli nie, wykonuje przekierowanie na stronę logowania. Logika sprawdzenia została wydzielona do hooka </w:t>
      </w:r>
      <w:r>
        <w:rPr>
          <w:rFonts w:ascii="Consolas" w:hAnsi="Consolas" w:cs="Consolas"/>
          <w:b w:val="0"/>
          <w:i w:val="0"/>
          <w:sz w:val="20"/>
        </w:rPr>
        <w:t>useAuth</w:t>
      </w:r>
      <w:r>
        <w:rPr>
          <w:rFonts w:ascii="Verdana" w:hAnsi="Verdana" w:cs="Verdana"/>
          <w:b w:val="0"/>
          <w:i w:val="0"/>
          <w:sz w:val="20"/>
        </w:rPr>
        <w:t>, co eliminuje duplikację kodu w innych miejscach, w których aplikacja musi wiedzieć, czy użytkownik jest uwierzytelniony.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4.19 ]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client-frontend/src/components/ProtectedRoute.tsx</w:t>
      </w:r>
      <w:r>
        <w:rPr>
          <w:rFonts w:ascii="Verdana" w:hAnsi="Verdana" w:cs="Verdana"/>
          <w:b w:val="0"/>
          <w:i w:val="0"/>
          <w:sz w:val="20"/>
        </w:rPr>
        <w:t xml:space="preserve">   Linie: 1–12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4.19. Strażnik tras chroniący widoki przed nieautoryzowanym dostępem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4.19 pokazuje implementację ProtectedRoute. Komponent jest celowo minimalny — pełni rolę bramki autoryzacyjnej w warstwie routingu. Należy podkreślić, że ten mechanizm chroni jedynie widoczność interfejsu po stronie klienta; właściwa kontrola dostępu do danych odbywa się na backendzie poprzez weryfikację tokena JWT i strażników NestJS. Frontend nie może być traktowany jako warstwa bezpieczeństwa.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Zarządzanie stanem — Redux Toolkit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Aplikacja przechowuje globalny stan związany z sesją użytkownika w pojedynczym sklepie Redux skonfigurowanym przy pomocy </w:t>
      </w:r>
      <w:r>
        <w:rPr>
          <w:rFonts w:ascii="Verdana" w:hAnsi="Verdana" w:cs="Verdana"/>
          <w:b/>
          <w:i w:val="0"/>
          <w:sz w:val="20"/>
        </w:rPr>
        <w:t>Redux Toolkit</w:t>
      </w:r>
      <w:r>
        <w:rPr>
          <w:rFonts w:ascii="Verdana" w:hAnsi="Verdana" w:cs="Verdana"/>
          <w:b w:val="0"/>
          <w:i w:val="0"/>
          <w:sz w:val="20"/>
        </w:rPr>
        <w:t xml:space="preserve"> — oficjalnego, opiniotwórczego rozwiązania rekomendowanego przez zespół Redux. Toolkit znacząco redukuje ilość kodu boilerplate (znanego z klasycznego Reduksa) dzięki funkcji </w:t>
      </w:r>
      <w:r>
        <w:rPr>
          <w:rFonts w:ascii="Consolas" w:hAnsi="Consolas" w:cs="Consolas"/>
          <w:b w:val="0"/>
          <w:i w:val="0"/>
          <w:sz w:val="20"/>
        </w:rPr>
        <w:t>createSlice</w:t>
      </w:r>
      <w:r>
        <w:rPr>
          <w:rFonts w:ascii="Verdana" w:hAnsi="Verdana" w:cs="Verdana"/>
          <w:b w:val="0"/>
          <w:i w:val="0"/>
          <w:sz w:val="20"/>
        </w:rPr>
        <w:t xml:space="preserve"> generującej automatycznie akcje i reducery oraz </w:t>
      </w:r>
      <w:r>
        <w:rPr>
          <w:rFonts w:ascii="Consolas" w:hAnsi="Consolas" w:cs="Consolas"/>
          <w:b w:val="0"/>
          <w:i w:val="0"/>
          <w:sz w:val="20"/>
        </w:rPr>
        <w:t>createAsyncThunk</w:t>
      </w:r>
      <w:r>
        <w:rPr>
          <w:rFonts w:ascii="Verdana" w:hAnsi="Verdana" w:cs="Verdana"/>
          <w:b w:val="0"/>
          <w:i w:val="0"/>
          <w:sz w:val="20"/>
        </w:rPr>
        <w:t xml:space="preserve"> opakowującemu asynchroniczne operacje w cykl </w:t>
      </w:r>
      <w:r>
        <w:rPr>
          <w:rFonts w:ascii="Verdana" w:hAnsi="Verdana" w:cs="Verdana"/>
          <w:b w:val="0"/>
          <w:i/>
          <w:sz w:val="20"/>
        </w:rPr>
        <w:t>pending → fulfilled → rejected</w:t>
      </w:r>
      <w:r>
        <w:rPr>
          <w:rFonts w:ascii="Verdana" w:hAnsi="Verdana" w:cs="Verdana"/>
          <w:b w:val="0"/>
          <w:i w:val="0"/>
          <w:sz w:val="20"/>
        </w:rPr>
        <w:t xml:space="preserve">. Sklep zawiera obecnie jedynie plasterek </w:t>
      </w:r>
      <w:r>
        <w:rPr>
          <w:rFonts w:ascii="Consolas" w:hAnsi="Consolas" w:cs="Consolas"/>
          <w:b w:val="0"/>
          <w:i w:val="0"/>
          <w:sz w:val="20"/>
        </w:rPr>
        <w:t>auth</w:t>
      </w:r>
      <w:r>
        <w:rPr>
          <w:rFonts w:ascii="Verdana" w:hAnsi="Verdana" w:cs="Verdana"/>
          <w:b w:val="0"/>
          <w:i w:val="0"/>
          <w:sz w:val="20"/>
        </w:rPr>
        <w:t xml:space="preserve"> — pozostałe dane domenowe (lista przypisanych testów, historia wyników) są pobierane lokalnie w komponentach ekranowych za pomocą hooków </w:t>
      </w:r>
      <w:r>
        <w:rPr>
          <w:rFonts w:ascii="Consolas" w:hAnsi="Consolas" w:cs="Consolas"/>
          <w:b w:val="0"/>
          <w:i w:val="0"/>
          <w:sz w:val="20"/>
        </w:rPr>
        <w:t>useEffect</w:t>
      </w:r>
      <w:r>
        <w:rPr>
          <w:rFonts w:ascii="Verdana" w:hAnsi="Verdana" w:cs="Verdana"/>
          <w:b w:val="0"/>
          <w:i w:val="0"/>
          <w:sz w:val="20"/>
        </w:rPr>
        <w:t xml:space="preserve"> i </w:t>
      </w:r>
      <w:r>
        <w:rPr>
          <w:rFonts w:ascii="Consolas" w:hAnsi="Consolas" w:cs="Consolas"/>
          <w:b w:val="0"/>
          <w:i w:val="0"/>
          <w:sz w:val="20"/>
        </w:rPr>
        <w:t>useState</w:t>
      </w:r>
      <w:r>
        <w:rPr>
          <w:rFonts w:ascii="Verdana" w:hAnsi="Verdana" w:cs="Verdana"/>
          <w:b w:val="0"/>
          <w:i w:val="0"/>
          <w:sz w:val="20"/>
        </w:rPr>
        <w:t>. Świadomie zrezygnowano z umieszczania danych domenowych w globalnym stanie, ponieważ są one specyficzne dla pojedynczego widoku i nie wymagają udostępniania między ekranami — wprowadzanie ich do Redux byłoby formą over-engineeringu nieprzystającą do skali aplikacji.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Plasterek </w:t>
      </w:r>
      <w:r>
        <w:rPr>
          <w:rFonts w:ascii="Consolas" w:hAnsi="Consolas" w:cs="Consolas"/>
          <w:b w:val="0"/>
          <w:i w:val="0"/>
          <w:sz w:val="20"/>
        </w:rPr>
        <w:t>authSlice</w:t>
      </w:r>
      <w:r>
        <w:rPr>
          <w:rFonts w:ascii="Verdana" w:hAnsi="Verdana" w:cs="Verdana"/>
          <w:b w:val="0"/>
          <w:i w:val="0"/>
          <w:sz w:val="20"/>
        </w:rPr>
        <w:t xml:space="preserve"> zawiera cztery operacje asynchroniczne: </w:t>
      </w:r>
      <w:r>
        <w:rPr>
          <w:rFonts w:ascii="Verdana" w:hAnsi="Verdana" w:cs="Verdana"/>
          <w:b/>
          <w:i w:val="0"/>
          <w:sz w:val="20"/>
        </w:rPr>
        <w:t>login</w:t>
      </w:r>
      <w:r>
        <w:rPr>
          <w:rFonts w:ascii="Verdana" w:hAnsi="Verdana" w:cs="Verdana"/>
          <w:b w:val="0"/>
          <w:i w:val="0"/>
          <w:sz w:val="20"/>
        </w:rPr>
        <w:t xml:space="preserve"> (uwierzytelnianie użytkownika i odebranie pary tokenów), </w:t>
      </w:r>
      <w:r>
        <w:rPr>
          <w:rFonts w:ascii="Verdana" w:hAnsi="Verdana" w:cs="Verdana"/>
          <w:b/>
          <w:i w:val="0"/>
          <w:sz w:val="20"/>
        </w:rPr>
        <w:t>register</w:t>
      </w:r>
      <w:r>
        <w:rPr>
          <w:rFonts w:ascii="Verdana" w:hAnsi="Verdana" w:cs="Verdana"/>
          <w:b w:val="0"/>
          <w:i w:val="0"/>
          <w:sz w:val="20"/>
        </w:rPr>
        <w:t xml:space="preserve"> (rejestracja pracownika z kodem zaproszenia firmy), </w:t>
      </w:r>
      <w:r>
        <w:rPr>
          <w:rFonts w:ascii="Verdana" w:hAnsi="Verdana" w:cs="Verdana"/>
          <w:b/>
          <w:i w:val="0"/>
          <w:sz w:val="20"/>
        </w:rPr>
        <w:t>logoutThunk</w:t>
      </w:r>
      <w:r>
        <w:rPr>
          <w:rFonts w:ascii="Verdana" w:hAnsi="Verdana" w:cs="Verdana"/>
          <w:b w:val="0"/>
          <w:i w:val="0"/>
          <w:sz w:val="20"/>
        </w:rPr>
        <w:t xml:space="preserve"> (wylogowanie z unieważnieniem sesji po stronie serwera) oraz </w:t>
      </w:r>
      <w:r>
        <w:rPr>
          <w:rFonts w:ascii="Verdana" w:hAnsi="Verdana" w:cs="Verdana"/>
          <w:b/>
          <w:i w:val="0"/>
          <w:sz w:val="20"/>
        </w:rPr>
        <w:t>fetchMe</w:t>
      </w:r>
      <w:r>
        <w:rPr>
          <w:rFonts w:ascii="Verdana" w:hAnsi="Verdana" w:cs="Verdana"/>
          <w:b w:val="0"/>
          <w:i w:val="0"/>
          <w:sz w:val="20"/>
        </w:rPr>
        <w:t xml:space="preserve"> (pobranie profilu zalogowanego użytkownika). Każda z tych operacji obsługuje błąd HTTP poprzez </w:t>
      </w:r>
      <w:r>
        <w:rPr>
          <w:rFonts w:ascii="Consolas" w:hAnsi="Consolas" w:cs="Consolas"/>
          <w:b w:val="0"/>
          <w:i w:val="0"/>
          <w:sz w:val="20"/>
        </w:rPr>
        <w:t>rejectWithValue</w:t>
      </w:r>
      <w:r>
        <w:rPr>
          <w:rFonts w:ascii="Verdana" w:hAnsi="Verdana" w:cs="Verdana"/>
          <w:b w:val="0"/>
          <w:i w:val="0"/>
          <w:sz w:val="20"/>
        </w:rPr>
        <w:t xml:space="preserve"> i propaguje czytelny komunikat do warstwy interfejsu. Akcja synchroniczna </w:t>
      </w:r>
      <w:r>
        <w:rPr>
          <w:rFonts w:ascii="Consolas" w:hAnsi="Consolas" w:cs="Consolas"/>
          <w:b w:val="0"/>
          <w:i w:val="0"/>
          <w:sz w:val="20"/>
        </w:rPr>
        <w:t>logout</w:t>
      </w:r>
      <w:r>
        <w:rPr>
          <w:rFonts w:ascii="Verdana" w:hAnsi="Verdana" w:cs="Verdana"/>
          <w:b w:val="0"/>
          <w:i w:val="0"/>
          <w:sz w:val="20"/>
        </w:rPr>
        <w:t xml:space="preserve"> wykonuje natomiast czyszczenie pamięci </w:t>
      </w:r>
      <w:r>
        <w:rPr>
          <w:rFonts w:ascii="Consolas" w:hAnsi="Consolas" w:cs="Consolas"/>
          <w:b w:val="0"/>
          <w:i w:val="0"/>
          <w:sz w:val="20"/>
        </w:rPr>
        <w:t>localStorage</w:t>
      </w:r>
      <w:r>
        <w:rPr>
          <w:rFonts w:ascii="Verdana" w:hAnsi="Verdana" w:cs="Verdana"/>
          <w:b w:val="0"/>
          <w:i w:val="0"/>
          <w:sz w:val="20"/>
        </w:rPr>
        <w:t xml:space="preserve"> — gdyby ją pominąć, tokeny pozostałyby w przeglądarce po wylogowaniu, co stanowiłoby naruszenie zasady minimalizacji danych wrażliwych.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4.20 ]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client-frontend/src/store/slices/authSlice.ts</w:t>
      </w:r>
      <w:r>
        <w:rPr>
          <w:rFonts w:ascii="Verdana" w:hAnsi="Verdana" w:cs="Verdana"/>
          <w:b w:val="0"/>
          <w:i w:val="0"/>
          <w:sz w:val="20"/>
        </w:rPr>
        <w:t xml:space="preserve">   Linie: 14–119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4.20. Plasterek auth — async thunki i reducery sesji użytkownika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4.20 pokazuje fragment authSlice obejmujący cztery operacje asynchroniczne oraz reducery synchroniczne. Po pomyślnym logowaniu tokeny zapisywane są zarówno w stanie Redux, jak i w pamięci localStorage przeglądarki — dzięki temu użytkownik pozostaje zalogowany po odświeżeniu strony. Reducer fetchMe.rejected obsługuje sytuację, w której zapisany token wygasł lub został unieważniony — czyści wówczas sesję i zmusza użytkownika do ponownego logowania.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Komunikacja z API i automatyczne odświeżanie tokenów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Wszystkie żądania HTTP w aplikacji przechodzą przez pojedynczego klienta </w:t>
      </w:r>
      <w:r>
        <w:rPr>
          <w:rFonts w:ascii="Consolas" w:hAnsi="Consolas" w:cs="Consolas"/>
          <w:b w:val="0"/>
          <w:i w:val="0"/>
          <w:sz w:val="20"/>
        </w:rPr>
        <w:t>axiosClient</w:t>
      </w:r>
      <w:r>
        <w:rPr>
          <w:rFonts w:ascii="Verdana" w:hAnsi="Verdana" w:cs="Verdana"/>
          <w:b w:val="0"/>
          <w:i w:val="0"/>
          <w:sz w:val="20"/>
        </w:rPr>
        <w:t xml:space="preserve">, który centralizuje konfigurację adresu API, nagłówków, ciasteczek oraz logiki obsługi błędów uwierzytelniania. Adres bazowy jest pobierany ze zmiennej środowiskowej </w:t>
      </w:r>
      <w:r>
        <w:rPr>
          <w:rFonts w:ascii="Consolas" w:hAnsi="Consolas" w:cs="Consolas"/>
          <w:b w:val="0"/>
          <w:i w:val="0"/>
          <w:sz w:val="20"/>
        </w:rPr>
        <w:t>VITE_API_URL</w:t>
      </w:r>
      <w:r>
        <w:rPr>
          <w:rFonts w:ascii="Verdana" w:hAnsi="Verdana" w:cs="Verdana"/>
          <w:b w:val="0"/>
          <w:i w:val="0"/>
          <w:sz w:val="20"/>
        </w:rPr>
        <w:t xml:space="preserve">, a w razie jej braku stosowany jest adres produkcyjny na platformie Railway. Opcja </w:t>
      </w:r>
      <w:r>
        <w:rPr>
          <w:rFonts w:ascii="Consolas" w:hAnsi="Consolas" w:cs="Consolas"/>
          <w:b w:val="0"/>
          <w:i w:val="0"/>
          <w:sz w:val="20"/>
        </w:rPr>
        <w:t>withCredentials: true</w:t>
      </w:r>
      <w:r>
        <w:rPr>
          <w:rFonts w:ascii="Verdana" w:hAnsi="Verdana" w:cs="Verdana"/>
          <w:b w:val="0"/>
          <w:i w:val="0"/>
          <w:sz w:val="20"/>
        </w:rPr>
        <w:t xml:space="preserve"> jest niezbędna, ponieważ backend wykorzystuje uwierzytelnianie oparte o ciasteczka HTTP-only (zabezpieczone przed odczytem ze skryptu i przed atakami typu XSS), a przeglądarka domyślnie nie wysyła ciasteczek do żądań cross-origin.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Najistotniejszym elementem klienta jest </w:t>
      </w:r>
      <w:r>
        <w:rPr>
          <w:rFonts w:ascii="Verdana" w:hAnsi="Verdana" w:cs="Verdana"/>
          <w:b/>
          <w:i w:val="0"/>
          <w:sz w:val="20"/>
        </w:rPr>
        <w:t>interceptor odpowiedzi</w:t>
      </w:r>
      <w:r>
        <w:rPr>
          <w:rFonts w:ascii="Verdana" w:hAnsi="Verdana" w:cs="Verdana"/>
          <w:b w:val="0"/>
          <w:i w:val="0"/>
          <w:sz w:val="20"/>
        </w:rPr>
        <w:t xml:space="preserve"> realizujący automatyczne odświeżanie wygasłego tokena dostępu. Gdy serwer zwróci błąd </w:t>
      </w:r>
      <w:r>
        <w:rPr>
          <w:rFonts w:ascii="Consolas" w:hAnsi="Consolas" w:cs="Consolas"/>
          <w:b w:val="0"/>
          <w:i w:val="0"/>
          <w:sz w:val="20"/>
        </w:rPr>
        <w:t>401 Unauthorized</w:t>
      </w:r>
      <w:r>
        <w:rPr>
          <w:rFonts w:ascii="Verdana" w:hAnsi="Verdana" w:cs="Verdana"/>
          <w:b w:val="0"/>
          <w:i w:val="0"/>
          <w:sz w:val="20"/>
        </w:rPr>
        <w:t xml:space="preserve"> dla żądania, które nie dotyczy samego endpointu uwierzytelniania, klient próbuje uzyskać nową parę tokenów na podstawie zapisanego refresh tokena, a następnie ponawia oryginalne żądanie. Aby uniknąć równoległego wywoływania endpointu </w:t>
      </w:r>
      <w:r>
        <w:rPr>
          <w:rFonts w:ascii="Consolas" w:hAnsi="Consolas" w:cs="Consolas"/>
          <w:b w:val="0"/>
          <w:i w:val="0"/>
          <w:sz w:val="20"/>
        </w:rPr>
        <w:t>/auth/refresh</w:t>
      </w:r>
      <w:r>
        <w:rPr>
          <w:rFonts w:ascii="Verdana" w:hAnsi="Verdana" w:cs="Verdana"/>
          <w:b w:val="0"/>
          <w:i w:val="0"/>
          <w:sz w:val="20"/>
        </w:rPr>
        <w:t xml:space="preserve"> przez wiele żądań, które wygasły w tym samym momencie, zastosowano </w:t>
      </w:r>
      <w:r>
        <w:rPr>
          <w:rFonts w:ascii="Verdana" w:hAnsi="Verdana" w:cs="Verdana"/>
          <w:b/>
          <w:i w:val="0"/>
          <w:sz w:val="20"/>
        </w:rPr>
        <w:t>kolejkę oczekujących żądań</w:t>
      </w:r>
      <w:r>
        <w:rPr>
          <w:rFonts w:ascii="Verdana" w:hAnsi="Verdana" w:cs="Verdana"/>
          <w:b w:val="0"/>
          <w:i w:val="0"/>
          <w:sz w:val="20"/>
        </w:rPr>
        <w:t xml:space="preserve"> (</w:t>
      </w:r>
      <w:r>
        <w:rPr>
          <w:rFonts w:ascii="Consolas" w:hAnsi="Consolas" w:cs="Consolas"/>
          <w:b w:val="0"/>
          <w:i w:val="0"/>
          <w:sz w:val="20"/>
        </w:rPr>
        <w:t>pendingQueue</w:t>
      </w:r>
      <w:r>
        <w:rPr>
          <w:rFonts w:ascii="Verdana" w:hAnsi="Verdana" w:cs="Verdana"/>
          <w:b w:val="0"/>
          <w:i w:val="0"/>
          <w:sz w:val="20"/>
        </w:rPr>
        <w:t xml:space="preserve">). Pierwsze żądanie wykonuje odświeżenie, a pozostałe czekają na rozstrzygnięcie i zostają wznowione w jednym przebiegu. Jeśli odświeżenie się nie powiedzie (refresh token wygasł lub został odwołany), klient czyści </w:t>
      </w:r>
      <w:r>
        <w:rPr>
          <w:rFonts w:ascii="Consolas" w:hAnsi="Consolas" w:cs="Consolas"/>
          <w:b w:val="0"/>
          <w:i w:val="0"/>
          <w:sz w:val="20"/>
        </w:rPr>
        <w:t>localStorage</w:t>
      </w:r>
      <w:r>
        <w:rPr>
          <w:rFonts w:ascii="Verdana" w:hAnsi="Verdana" w:cs="Verdana"/>
          <w:b w:val="0"/>
          <w:i w:val="0"/>
          <w:sz w:val="20"/>
        </w:rPr>
        <w:t xml:space="preserve"> i przekierowuje użytkownika na stronę logowania.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4.21 ]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client-frontend/src/api/axiosClient.ts</w:t>
      </w:r>
      <w:r>
        <w:rPr>
          <w:rFonts w:ascii="Verdana" w:hAnsi="Verdana" w:cs="Verdana"/>
          <w:b w:val="0"/>
          <w:i w:val="0"/>
          <w:sz w:val="20"/>
        </w:rPr>
        <w:t xml:space="preserve">   Linie: 1–65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4.21. Klient HTTP z interceptorem automatycznego odświeżania tokena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4.21 prezentuje klienta axios wraz z dwoma interceptorami. Interceptor żądania dokleja nagłówek Authorization, a interceptor odpowiedzi obsługuje błąd 401 i odświeża token. Mechanizm flagi _retry zapobiega nieskończonej pętli — po nieudanej ponownej próbie żądanie nie zostanie wywołane ponownie. Wykluczenie ścieżek /auth/ z mechanizmu zapobiega rekurencyjnemu odświeżaniu w sytuacji, gdy sam endpoint refresh zwróci 401.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Niestandardowy hook useAuth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Aby ujednolicić sposób korzystania ze stanu sesji w komponentach aplikacji, wprowadzono niestandardowy hook </w:t>
      </w:r>
      <w:r>
        <w:rPr>
          <w:rFonts w:ascii="Consolas" w:hAnsi="Consolas" w:cs="Consolas"/>
          <w:b w:val="0"/>
          <w:i w:val="0"/>
          <w:sz w:val="20"/>
        </w:rPr>
        <w:t>useAuth</w:t>
      </w:r>
      <w:r>
        <w:rPr>
          <w:rFonts w:ascii="Verdana" w:hAnsi="Verdana" w:cs="Verdana"/>
          <w:b w:val="0"/>
          <w:i w:val="0"/>
          <w:sz w:val="20"/>
        </w:rPr>
        <w:t>. Ukrywa on bezpośrednie odwołania do selektorów Reduksa i udostępnia gotowy zestaw pól (</w:t>
      </w:r>
      <w:r>
        <w:rPr>
          <w:rFonts w:ascii="Consolas" w:hAnsi="Consolas" w:cs="Consolas"/>
          <w:b w:val="0"/>
          <w:i w:val="0"/>
          <w:sz w:val="20"/>
        </w:rPr>
        <w:t>user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accessToken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isLoading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error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isAuthenticated</w:t>
      </w:r>
      <w:r>
        <w:rPr>
          <w:rFonts w:ascii="Verdana" w:hAnsi="Verdana" w:cs="Verdana"/>
          <w:b w:val="0"/>
          <w:i w:val="0"/>
          <w:sz w:val="20"/>
        </w:rPr>
        <w:t xml:space="preserve">) oraz akcję </w:t>
      </w:r>
      <w:r>
        <w:rPr>
          <w:rFonts w:ascii="Consolas" w:hAnsi="Consolas" w:cs="Consolas"/>
          <w:b w:val="0"/>
          <w:i w:val="0"/>
          <w:sz w:val="20"/>
        </w:rPr>
        <w:t>handleLogout</w:t>
      </w:r>
      <w:r>
        <w:rPr>
          <w:rFonts w:ascii="Verdana" w:hAnsi="Verdana" w:cs="Verdana"/>
          <w:b w:val="0"/>
          <w:i w:val="0"/>
          <w:sz w:val="20"/>
        </w:rPr>
        <w:t xml:space="preserve">. Dzięki temu komponenty nie muszą wiedzieć, jak zorganizowany jest store — wszelka zmiana wewnętrznej struktury slice’a wymaga modyfikacji wyłącznie hooka, a nie wszystkich konsumentów. Jest to praktyczne zastosowanie zasady </w:t>
      </w:r>
      <w:r>
        <w:rPr>
          <w:rFonts w:ascii="Verdana" w:hAnsi="Verdana" w:cs="Verdana"/>
          <w:b w:val="0"/>
          <w:i/>
          <w:sz w:val="20"/>
        </w:rPr>
        <w:t>separation of concerns</w:t>
      </w:r>
      <w:r>
        <w:rPr>
          <w:rFonts w:ascii="Verdana" w:hAnsi="Verdana" w:cs="Verdana"/>
          <w:b w:val="0"/>
          <w:i w:val="0"/>
          <w:sz w:val="20"/>
        </w:rPr>
        <w:t>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4.22 ]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client-frontend/src/hooks/useAuth.ts</w:t>
      </w:r>
      <w:r>
        <w:rPr>
          <w:rFonts w:ascii="Verdana" w:hAnsi="Verdana" w:cs="Verdana"/>
          <w:b w:val="0"/>
          <w:i w:val="0"/>
          <w:sz w:val="20"/>
        </w:rPr>
        <w:t xml:space="preserve">   Linie: 1–17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4.22. Hook useAuth jako abstrakcja nad stanem sesji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4.22 pokazuje implementację hooka useAuth. Pojedyncze pole isAuthenticated jest wyliczane na podstawie obecności accessToken — komponenty w całej aplikacji (np. ProtectedRoute, LogoutButton) odwołują się wyłącznie do tego prostego boola, nie znając wewnętrznej reprezentacji stanu autoryzacji.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Progressive Web App — instalowalność i tryb offline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Aplikacja pracownika została zaimplementowana jako </w:t>
      </w:r>
      <w:r>
        <w:rPr>
          <w:rFonts w:ascii="Verdana" w:hAnsi="Verdana" w:cs="Verdana"/>
          <w:b/>
          <w:i w:val="0"/>
          <w:sz w:val="20"/>
        </w:rPr>
        <w:t>Progressive Web App</w:t>
      </w:r>
      <w:r>
        <w:rPr>
          <w:rFonts w:ascii="Verdana" w:hAnsi="Verdana" w:cs="Verdana"/>
          <w:b w:val="0"/>
          <w:i w:val="0"/>
          <w:sz w:val="20"/>
        </w:rPr>
        <w:t xml:space="preserve"> (PWA), co oznacza, że może zostać zainstalowana na urządzeniu mobilnym jak natywna aplikacja, działa w trybie pełnoekranowym (bez paska adresu przeglądarki) i posiada ograniczoną funkcjonalność offline. Decyzja o wdrożeniu PWA wynika z profilu użytkownika końcowego — pracownik najczęściej korzysta z aplikacji z telefonu, a oczekuje doświadczenia zbliżonego do aplikacji natywnej, bez konieczności publikacji w sklepach App Store i Google Play. Implementacja opiera się na pluginie </w:t>
      </w:r>
      <w:r>
        <w:rPr>
          <w:rFonts w:ascii="Consolas" w:hAnsi="Consolas" w:cs="Consolas"/>
          <w:b w:val="0"/>
          <w:i w:val="0"/>
          <w:sz w:val="20"/>
        </w:rPr>
        <w:t>vite-plugin-pwa</w:t>
      </w:r>
      <w:r>
        <w:rPr>
          <w:rFonts w:ascii="Verdana" w:hAnsi="Verdana" w:cs="Verdana"/>
          <w:b w:val="0"/>
          <w:i w:val="0"/>
          <w:sz w:val="20"/>
        </w:rPr>
        <w:t xml:space="preserve">, który integruje bibliotekę </w:t>
      </w:r>
      <w:r>
        <w:rPr>
          <w:rFonts w:ascii="Verdana" w:hAnsi="Verdana" w:cs="Verdana"/>
          <w:b/>
          <w:i w:val="0"/>
          <w:sz w:val="20"/>
        </w:rPr>
        <w:t>Workbox</w:t>
      </w:r>
      <w:r>
        <w:rPr>
          <w:rFonts w:ascii="Verdana" w:hAnsi="Verdana" w:cs="Verdana"/>
          <w:b w:val="0"/>
          <w:i w:val="0"/>
          <w:sz w:val="20"/>
        </w:rPr>
        <w:t xml:space="preserve"> z procesem budowania Vite i automatycznie generuje plik manifestu oraz Service Workera.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Manifest aplikacji definiuje nazwę, opis, kolor motywu, orientację portretową, tryb wyświetlania </w:t>
      </w:r>
      <w:r>
        <w:rPr>
          <w:rFonts w:ascii="Consolas" w:hAnsi="Consolas" w:cs="Consolas"/>
          <w:b w:val="0"/>
          <w:i w:val="0"/>
          <w:sz w:val="20"/>
        </w:rPr>
        <w:t>standalone</w:t>
      </w:r>
      <w:r>
        <w:rPr>
          <w:rFonts w:ascii="Verdana" w:hAnsi="Verdana" w:cs="Verdana"/>
          <w:b w:val="0"/>
          <w:i w:val="0"/>
          <w:sz w:val="20"/>
        </w:rPr>
        <w:t xml:space="preserve"> oraz zestaw ikon w wariantach 192 i 512 pikseli, w tym wariant </w:t>
      </w:r>
      <w:r>
        <w:rPr>
          <w:rFonts w:ascii="Consolas" w:hAnsi="Consolas" w:cs="Consolas"/>
          <w:b w:val="0"/>
          <w:i w:val="0"/>
          <w:sz w:val="20"/>
        </w:rPr>
        <w:t>maskable</w:t>
      </w:r>
      <w:r>
        <w:rPr>
          <w:rFonts w:ascii="Verdana" w:hAnsi="Verdana" w:cs="Verdana"/>
          <w:b w:val="0"/>
          <w:i w:val="0"/>
          <w:sz w:val="20"/>
        </w:rPr>
        <w:t xml:space="preserve"> adaptujący się do różnych kształtów ikon na różnych systemach Android. Strategia rejestracji Service Workera została ustawiona na </w:t>
      </w:r>
      <w:r>
        <w:rPr>
          <w:rFonts w:ascii="Consolas" w:hAnsi="Consolas" w:cs="Consolas"/>
          <w:b w:val="0"/>
          <w:i w:val="0"/>
          <w:sz w:val="20"/>
        </w:rPr>
        <w:t>prompt</w:t>
      </w:r>
      <w:r>
        <w:rPr>
          <w:rFonts w:ascii="Verdana" w:hAnsi="Verdana" w:cs="Verdana"/>
          <w:b w:val="0"/>
          <w:i w:val="0"/>
          <w:sz w:val="20"/>
        </w:rPr>
        <w:t xml:space="preserve">, co oznacza, że nowa wersja aplikacji nie jest aktywowana automatycznie — użytkownik otrzymuje banner z propozycją odświeżenia. Wybór tego trybu zamiast </w:t>
      </w:r>
      <w:r>
        <w:rPr>
          <w:rFonts w:ascii="Consolas" w:hAnsi="Consolas" w:cs="Consolas"/>
          <w:b w:val="0"/>
          <w:i w:val="0"/>
          <w:sz w:val="20"/>
        </w:rPr>
        <w:t>autoUpdate</w:t>
      </w:r>
      <w:r>
        <w:rPr>
          <w:rFonts w:ascii="Verdana" w:hAnsi="Verdana" w:cs="Verdana"/>
          <w:b w:val="0"/>
          <w:i w:val="0"/>
          <w:sz w:val="20"/>
        </w:rPr>
        <w:t xml:space="preserve"> zapobiega utracie danych formularza w sytuacji, gdy nowa wersja zostałaby pobrana w trakcie wypełniania testu. Strategia cache została starannie dobrana: dane wrażliwe i sesyjne (</w:t>
      </w:r>
      <w:r>
        <w:rPr>
          <w:rFonts w:ascii="Consolas" w:hAnsi="Consolas" w:cs="Consolas"/>
          <w:b w:val="0"/>
          <w:i w:val="0"/>
          <w:sz w:val="20"/>
        </w:rPr>
        <w:t>/auth/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/users/me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/results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/admin</w:t>
      </w:r>
      <w:r>
        <w:rPr>
          <w:rFonts w:ascii="Verdana" w:hAnsi="Verdana" w:cs="Verdana"/>
          <w:b w:val="0"/>
          <w:i w:val="0"/>
          <w:sz w:val="20"/>
        </w:rPr>
        <w:t xml:space="preserve">, </w:t>
      </w:r>
      <w:r>
        <w:rPr>
          <w:rFonts w:ascii="Consolas" w:hAnsi="Consolas" w:cs="Consolas"/>
          <w:b w:val="0"/>
          <w:i w:val="0"/>
          <w:sz w:val="20"/>
        </w:rPr>
        <w:t>/analytics</w:t>
      </w:r>
      <w:r>
        <w:rPr>
          <w:rFonts w:ascii="Verdana" w:hAnsi="Verdana" w:cs="Verdana"/>
          <w:b w:val="0"/>
          <w:i w:val="0"/>
          <w:sz w:val="20"/>
        </w:rPr>
        <w:t>) są wykluczone z cache (</w:t>
      </w:r>
      <w:r>
        <w:rPr>
          <w:rFonts w:ascii="Consolas" w:hAnsi="Consolas" w:cs="Consolas"/>
          <w:b w:val="0"/>
          <w:i w:val="0"/>
          <w:sz w:val="20"/>
        </w:rPr>
        <w:t>NetworkOnly</w:t>
      </w:r>
      <w:r>
        <w:rPr>
          <w:rFonts w:ascii="Verdana" w:hAnsi="Verdana" w:cs="Verdana"/>
          <w:b w:val="0"/>
          <w:i w:val="0"/>
          <w:sz w:val="20"/>
        </w:rPr>
        <w:t xml:space="preserve">), co eliminuje ryzyko podejrzenia danych poprzedniego użytkownika po wylogowaniu lub przełączeniu konta. Pozostałe zasoby API są obsługiwane strategią </w:t>
      </w:r>
      <w:r>
        <w:rPr>
          <w:rFonts w:ascii="Consolas" w:hAnsi="Consolas" w:cs="Consolas"/>
          <w:b w:val="0"/>
          <w:i w:val="0"/>
          <w:sz w:val="20"/>
        </w:rPr>
        <w:t>NetworkFirst</w:t>
      </w:r>
      <w:r>
        <w:rPr>
          <w:rFonts w:ascii="Verdana" w:hAnsi="Verdana" w:cs="Verdana"/>
          <w:b w:val="0"/>
          <w:i w:val="0"/>
          <w:sz w:val="20"/>
        </w:rPr>
        <w:t xml:space="preserve"> z timeoutem 5 sekund — w warunkach dobrego połączenia wracają świeże dane z serwera, a w razie problemów sieciowych aplikacja korzysta z poprzedniej kopii.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4.23 ]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client-frontend/vite.config.ts</w:t>
      </w:r>
      <w:r>
        <w:rPr>
          <w:rFonts w:ascii="Verdana" w:hAnsi="Verdana" w:cs="Verdana"/>
          <w:b w:val="0"/>
          <w:i w:val="0"/>
          <w:sz w:val="20"/>
        </w:rPr>
        <w:t xml:space="preserve">   Linie: 1–63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4.23. Konfiguracja Vite z pluginem PWA i strategiami cache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4.23 prezentuje pełną konfigurację Vite. Sekcja manifest opisuje aplikację z perspektywy systemu operacyjnego, a sekcja workbox definiuje zachowanie Service Workera. Wykluczenie endpointów wrażliwych z cache jest świadomą decyzją bezpieczeństwa — w środowisku wielu użytkowników korzystających z tego samego urządzenia (np. tablet wspólny dla zespołu) cache mógłby ujawnić dane innej osoby.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Główny przepływ domenowy — wypełnianie testu psychologicznego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Najistotniejszym scenariuszem aplikacji pracownika jest wypełnienie testu psychologicznego (np. PHQ-9, GAD-7, WHO-5, PSS-10) i otrzymanie wyniku wraz z interpretacją. Realizacją tego scenariusza jest komponent </w:t>
      </w:r>
      <w:r>
        <w:rPr>
          <w:rFonts w:ascii="Consolas" w:hAnsi="Consolas" w:cs="Consolas"/>
          <w:b w:val="0"/>
          <w:i w:val="0"/>
          <w:sz w:val="20"/>
        </w:rPr>
        <w:t>TakeAssessmentPage</w:t>
      </w:r>
      <w:r>
        <w:rPr>
          <w:rFonts w:ascii="Verdana" w:hAnsi="Verdana" w:cs="Verdana"/>
          <w:b w:val="0"/>
          <w:i w:val="0"/>
          <w:sz w:val="20"/>
        </w:rPr>
        <w:t xml:space="preserve">, osadzony pod trasą </w:t>
      </w:r>
      <w:r>
        <w:rPr>
          <w:rFonts w:ascii="Consolas" w:hAnsi="Consolas" w:cs="Consolas"/>
          <w:b w:val="0"/>
          <w:i w:val="0"/>
          <w:sz w:val="20"/>
        </w:rPr>
        <w:t>/app/take/:id</w:t>
      </w:r>
      <w:r>
        <w:rPr>
          <w:rFonts w:ascii="Verdana" w:hAnsi="Verdana" w:cs="Verdana"/>
          <w:b w:val="0"/>
          <w:i w:val="0"/>
          <w:sz w:val="20"/>
        </w:rPr>
        <w:t xml:space="preserve"> z parametrem zapytania </w:t>
      </w:r>
      <w:r>
        <w:rPr>
          <w:rFonts w:ascii="Consolas" w:hAnsi="Consolas" w:cs="Consolas"/>
          <w:b w:val="0"/>
          <w:i w:val="0"/>
          <w:sz w:val="20"/>
        </w:rPr>
        <w:t>assignmentId</w:t>
      </w:r>
      <w:r>
        <w:rPr>
          <w:rFonts w:ascii="Verdana" w:hAnsi="Verdana" w:cs="Verdana"/>
          <w:b w:val="0"/>
          <w:i w:val="0"/>
          <w:sz w:val="20"/>
        </w:rPr>
        <w:t xml:space="preserve"> identyfikującym konkretne przypisanie testu do pracownika. Komponent jest celowo umieszczony poza wspólnym </w:t>
      </w:r>
      <w:r>
        <w:rPr>
          <w:rFonts w:ascii="Consolas" w:hAnsi="Consolas" w:cs="Consolas"/>
          <w:b w:val="0"/>
          <w:i w:val="0"/>
          <w:sz w:val="20"/>
        </w:rPr>
        <w:t>AppLayout</w:t>
      </w:r>
      <w:r>
        <w:rPr>
          <w:rFonts w:ascii="Verdana" w:hAnsi="Verdana" w:cs="Verdana"/>
          <w:b w:val="0"/>
          <w:i w:val="0"/>
          <w:sz w:val="20"/>
        </w:rPr>
        <w:t>, dzięki czemu użytkownik nie widzi nawigacji bocznej ani dolnego paska — uwaga jest skupiona wyłącznie na pytaniach.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Po zamontowaniu komponentu wykonywane jest pojedyncze żądanie </w:t>
      </w:r>
      <w:r>
        <w:rPr>
          <w:rFonts w:ascii="Consolas" w:hAnsi="Consolas" w:cs="Consolas"/>
          <w:b w:val="0"/>
          <w:i w:val="0"/>
          <w:sz w:val="20"/>
        </w:rPr>
        <w:t>GET /assessments/:id</w:t>
      </w:r>
      <w:r>
        <w:rPr>
          <w:rFonts w:ascii="Verdana" w:hAnsi="Verdana" w:cs="Verdana"/>
          <w:b w:val="0"/>
          <w:i w:val="0"/>
          <w:sz w:val="20"/>
        </w:rPr>
        <w:t xml:space="preserve"> pobierające definicję testu (treść pytań, dostępne opcje odpowiedzi). Odpowiedzi użytkownika są przechowywane lokalnie w stanie komponentu jako mapa </w:t>
      </w:r>
      <w:r>
        <w:rPr>
          <w:rFonts w:ascii="Consolas" w:hAnsi="Consolas" w:cs="Consolas"/>
          <w:b w:val="0"/>
          <w:i w:val="0"/>
          <w:sz w:val="20"/>
        </w:rPr>
        <w:t>{ questionId → value }</w:t>
      </w:r>
      <w:r>
        <w:rPr>
          <w:rFonts w:ascii="Verdana" w:hAnsi="Verdana" w:cs="Verdana"/>
          <w:b w:val="0"/>
          <w:i w:val="0"/>
          <w:sz w:val="20"/>
        </w:rPr>
        <w:t xml:space="preserve">, co umożliwia płynną zmianę odpowiedzi przed wysłaniem oraz prostą walidację kompletności (każde pytanie musi mieć przypisaną odpowiedź). Po kliknięciu przycisku zatwierdzającego dane są transformowane do formatu oczekiwanego przez backend i wysyłane jako </w:t>
      </w:r>
      <w:r>
        <w:rPr>
          <w:rFonts w:ascii="Consolas" w:hAnsi="Consolas" w:cs="Consolas"/>
          <w:b w:val="0"/>
          <w:i w:val="0"/>
          <w:sz w:val="20"/>
        </w:rPr>
        <w:t>POST /responses</w:t>
      </w:r>
      <w:r>
        <w:rPr>
          <w:rFonts w:ascii="Verdana" w:hAnsi="Verdana" w:cs="Verdana"/>
          <w:b w:val="0"/>
          <w:i w:val="0"/>
          <w:sz w:val="20"/>
        </w:rPr>
        <w:t xml:space="preserve"> wraz z identyfikatorem przypisania. Backend wykonuje obliczenia psychometryczne — wyliczenie surowego wyniku, normalizację, klasyfikację stopnia nasilenia (severity) oraz wykrycie czerwonych flag (np. flagi ryzyka samookaleczenia w teście PHQ-9). Frontend nie powtarza tej logiki, ponieważ obliczanie wyników musi pozostać po stronie serwera ze względów bezpieczeństwa i spójności (zasada szczegółowo omówiona w rozdziale dotyczącym backendu).</w:t>
      </w:r>
    </w:p>
    <w:p>
      <w:pPr>
        <w:spacing w:line="276" w:lineRule="auto" w:before="160" w:after="40"/>
        <w:jc w:val="center"/>
      </w:pPr>
      <w:r>
        <w:rPr>
          <w:rFonts w:ascii="Verdana" w:hAnsi="Verdana" w:cs="Verdana"/>
          <w:b/>
          <w:i/>
          <w:sz w:val="20"/>
        </w:rPr>
        <w:t>[ TUTAJ WSTAW ZRZUT EKRANU KODU — Listing 4.24 ]</w:t>
      </w:r>
    </w:p>
    <w:p>
      <w:pPr>
        <w:spacing w:line="276" w:lineRule="auto" w:before="0" w:after="40"/>
        <w:jc w:val="center"/>
      </w:pPr>
      <w:r>
        <w:rPr>
          <w:rFonts w:ascii="Verdana" w:hAnsi="Verdana" w:cs="Verdana"/>
          <w:b w:val="0"/>
          <w:i w:val="0"/>
          <w:sz w:val="20"/>
        </w:rPr>
        <w:t xml:space="preserve">Plik: </w:t>
      </w:r>
      <w:r>
        <w:rPr>
          <w:rFonts w:ascii="Consolas" w:hAnsi="Consolas" w:cs="Consolas"/>
          <w:b w:val="0"/>
          <w:i w:val="0"/>
          <w:sz w:val="20"/>
        </w:rPr>
        <w:t>client-frontend/src/pages/TakeAssessmentPage.tsx</w:t>
      </w:r>
      <w:r>
        <w:rPr>
          <w:rFonts w:ascii="Verdana" w:hAnsi="Verdana" w:cs="Verdana"/>
          <w:b w:val="0"/>
          <w:i w:val="0"/>
          <w:sz w:val="20"/>
        </w:rPr>
        <w:t xml:space="preserve">   Linie: 18–53</w:t>
      </w:r>
    </w:p>
    <w:p>
      <w:pPr>
        <w:spacing w:line="276" w:lineRule="auto" w:before="40" w:after="160"/>
        <w:jc w:val="center"/>
      </w:pPr>
      <w:r>
        <w:rPr>
          <w:rFonts w:ascii="Verdana" w:hAnsi="Verdana" w:cs="Verdana"/>
          <w:b w:val="0"/>
          <w:i/>
          <w:sz w:val="20"/>
        </w:rPr>
        <w:t>Listing 4.24. Pobranie definicji testu i wysłanie odpowiedzi do backendu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>Listing 4.24 przedstawia rdzeń komponentu odpowiedzialnego za wypełnianie testu. Hook useEffect pobiera definicję testu po zamontowaniu komponentu i przekierowuje na listę testów w razie błędu. Funkcja handleSubmit waliduje kompletność odpowiedzi i wysyła je do backendu, który zwraca wynik wraz z interpretacją. Wszelkie obliczenia psychometryczne pozostają po stronie serwera — frontend pełni wyłącznie rolę warstwy prezentacji i zbierania danych.</w:t>
      </w:r>
    </w:p>
    <w:p>
      <w:pPr>
        <w:spacing w:line="276" w:lineRule="auto" w:before="120" w:after="80"/>
      </w:pPr>
      <w:r>
        <w:rPr>
          <w:rFonts w:ascii="Verdana" w:hAnsi="Verdana" w:cs="Verdana"/>
          <w:b/>
          <w:i w:val="0"/>
          <w:sz w:val="22"/>
        </w:rPr>
        <w:t>Podsumowanie warstwy frontendowej pracownika</w:t>
      </w:r>
    </w:p>
    <w:p>
      <w:pPr>
        <w:spacing w:line="276" w:lineRule="auto" w:before="0" w:after="160"/>
        <w:ind w:firstLine="340"/>
        <w:jc w:val="both"/>
      </w:pPr>
      <w:r>
        <w:rPr>
          <w:rFonts w:ascii="Verdana" w:hAnsi="Verdana" w:cs="Verdana"/>
          <w:b w:val="0"/>
          <w:i w:val="0"/>
          <w:sz w:val="20"/>
        </w:rPr>
        <w:t xml:space="preserve">Aplikacja pracownika łączy nowoczesny stos technologiczny (React, TypeScript, Vite, Redux Toolkit, Tailwind CSS) z prostym i przewidywalnym podziałem odpowiedzialności. Routing jest deklaratywny i chroniony pojedynczym strażnikiem </w:t>
      </w:r>
      <w:r>
        <w:rPr>
          <w:rFonts w:ascii="Consolas" w:hAnsi="Consolas" w:cs="Consolas"/>
          <w:b w:val="0"/>
          <w:i w:val="0"/>
          <w:sz w:val="20"/>
        </w:rPr>
        <w:t>ProtectedRoute</w:t>
      </w:r>
      <w:r>
        <w:rPr>
          <w:rFonts w:ascii="Verdana" w:hAnsi="Verdana" w:cs="Verdana"/>
          <w:b w:val="0"/>
          <w:i w:val="0"/>
          <w:sz w:val="20"/>
        </w:rPr>
        <w:t xml:space="preserve">, stan globalny ograniczony jest do sesji użytkownika, komunikacja z API skoncentrowana w jednym kliencie z automatycznym odświeżaniem tokenów, a niestandardowy hook </w:t>
      </w:r>
      <w:r>
        <w:rPr>
          <w:rFonts w:ascii="Consolas" w:hAnsi="Consolas" w:cs="Consolas"/>
          <w:b w:val="0"/>
          <w:i w:val="0"/>
          <w:sz w:val="20"/>
        </w:rPr>
        <w:t>useAuth</w:t>
      </w:r>
      <w:r>
        <w:rPr>
          <w:rFonts w:ascii="Verdana" w:hAnsi="Verdana" w:cs="Verdana"/>
          <w:b w:val="0"/>
          <w:i w:val="0"/>
          <w:sz w:val="20"/>
        </w:rPr>
        <w:t xml:space="preserve"> ujednolica dostęp do stanu autoryzacji. Wdrożenie jako Progressive Web App umożliwia instalację na urządzeniach mobilnych bez konieczności publikacji w sklepach z aplikacjami, a starannie dobrana strategia cache zachowuje równowagę między wydajnością a bezpieczeństwem danych wrażliwych. Krytyczna logika domenowa — w szczególności obliczanie wyników testów psychologicznych — pozostaje po stronie backendu, dzięki czemu frontend skupia się na prezentacji i zbieraniu danych, co odpowiada zasadzie separacji warstw przyjętej w całej architekturze MoodFlow.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