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4.7. Moduły testów psychologicznych — implementacja kwestionariuszy walidowanych klinicznie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Sercem platformy MoodFlow jest moduł testów psychologicznych, w którym zaimplementowano sześć kwestionariuszy do oceny dobrostanu pracowników. Cztery z nich to </w:t>
      </w:r>
      <w:r>
        <w:rPr>
          <w:rFonts w:ascii="Verdana" w:hAnsi="Verdana" w:cs="Verdana"/>
          <w:b/>
          <w:i w:val="0"/>
          <w:sz w:val="20"/>
        </w:rPr>
        <w:t>walidowane narzędzia kliniczne</w:t>
      </w:r>
      <w:r>
        <w:rPr>
          <w:rFonts w:ascii="Verdana" w:hAnsi="Verdana" w:cs="Verdana"/>
          <w:b w:val="0"/>
          <w:i w:val="0"/>
          <w:sz w:val="20"/>
        </w:rPr>
        <w:t xml:space="preserve"> o ugruntowanej pozycji w psychologii i psychiatrii: </w:t>
      </w:r>
      <w:r>
        <w:rPr>
          <w:rFonts w:ascii="Verdana" w:hAnsi="Verdana" w:cs="Verdana"/>
          <w:b/>
          <w:i w:val="0"/>
          <w:sz w:val="20"/>
        </w:rPr>
        <w:t>PHQ-9</w:t>
      </w:r>
      <w:r>
        <w:rPr>
          <w:rFonts w:ascii="Verdana" w:hAnsi="Verdana" w:cs="Verdana"/>
          <w:b w:val="0"/>
          <w:i w:val="0"/>
          <w:sz w:val="20"/>
        </w:rPr>
        <w:t xml:space="preserve"> (Patient Health Questionnaire — przesiewowa ocena nasilenia objawów depresyjnych), </w:t>
      </w:r>
      <w:r>
        <w:rPr>
          <w:rFonts w:ascii="Verdana" w:hAnsi="Verdana" w:cs="Verdana"/>
          <w:b/>
          <w:i w:val="0"/>
          <w:sz w:val="20"/>
        </w:rPr>
        <w:t>GAD-7</w:t>
      </w:r>
      <w:r>
        <w:rPr>
          <w:rFonts w:ascii="Verdana" w:hAnsi="Verdana" w:cs="Verdana"/>
          <w:b w:val="0"/>
          <w:i w:val="0"/>
          <w:sz w:val="20"/>
        </w:rPr>
        <w:t xml:space="preserve"> (Generalized Anxiety Disorder — przesiewowa ocena lęku uogólnionego), </w:t>
      </w:r>
      <w:r>
        <w:rPr>
          <w:rFonts w:ascii="Verdana" w:hAnsi="Verdana" w:cs="Verdana"/>
          <w:b/>
          <w:i w:val="0"/>
          <w:sz w:val="20"/>
        </w:rPr>
        <w:t>PSS-10</w:t>
      </w:r>
      <w:r>
        <w:rPr>
          <w:rFonts w:ascii="Verdana" w:hAnsi="Verdana" w:cs="Verdana"/>
          <w:b w:val="0"/>
          <w:i w:val="0"/>
          <w:sz w:val="20"/>
        </w:rPr>
        <w:t xml:space="preserve"> (Perceived Stress Scale — postrzegany poziom stresu), </w:t>
      </w:r>
      <w:r>
        <w:rPr>
          <w:rFonts w:ascii="Verdana" w:hAnsi="Verdana" w:cs="Verdana"/>
          <w:b/>
          <w:i w:val="0"/>
          <w:sz w:val="20"/>
        </w:rPr>
        <w:t>WHO-5</w:t>
      </w:r>
      <w:r>
        <w:rPr>
          <w:rFonts w:ascii="Verdana" w:hAnsi="Verdana" w:cs="Verdana"/>
          <w:b w:val="0"/>
          <w:i w:val="0"/>
          <w:sz w:val="20"/>
        </w:rPr>
        <w:t xml:space="preserve"> (WHO Wellbeing Index — wskaźnik subiektywnego dobrostanu psychicznego). Pozostałe dwa kwestionariusze — </w:t>
      </w:r>
      <w:r>
        <w:rPr>
          <w:rFonts w:ascii="Verdana" w:hAnsi="Verdana" w:cs="Verdana"/>
          <w:b w:val="0"/>
          <w:i/>
          <w:sz w:val="20"/>
        </w:rPr>
        <w:t>MOOD10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Verdana" w:hAnsi="Verdana" w:cs="Verdana"/>
          <w:b w:val="0"/>
          <w:i/>
          <w:sz w:val="20"/>
        </w:rPr>
        <w:t>DAILY_MOOD</w:t>
      </w:r>
      <w:r>
        <w:rPr>
          <w:rFonts w:ascii="Verdana" w:hAnsi="Verdana" w:cs="Verdana"/>
          <w:b w:val="0"/>
          <w:i w:val="0"/>
          <w:sz w:val="20"/>
        </w:rPr>
        <w:t xml:space="preserve"> — zostały opracowane na potrzeby projektu jako narzędzia uzupełniające: pierwszy do tygodniowej oceny ogólnego nastroju, drugi do codziennego, jednopytaniowego sprawdzenia samopoczucia.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Wybór tych konkretnych narzędzi nie jest przypadkowy. PHQ-9 i GAD-7 są najczęściej cytowanymi w literaturze przesiewowymi kwestionariuszami w obszarze zdrowia psychicznego, dostępnymi na licencji wolnego użytku i powszechnie stosowanymi w badaniach populacyjnych. PSS-10 dostarcza kontekstu stresu zawodowego, a WHO-5 — pozytywnej miary dobrostanu, równoważącej diagnostyczny charakter pozostałych testów. Należy podkreślić — i jest to wymóg etyczny zapisany w regule 34 dokumentu projektowego — że MoodFlow </w:t>
      </w:r>
      <w:r>
        <w:rPr>
          <w:rFonts w:ascii="Verdana" w:hAnsi="Verdana" w:cs="Verdana"/>
          <w:b/>
          <w:i w:val="0"/>
          <w:sz w:val="20"/>
        </w:rPr>
        <w:t>nie pełni roli narzędzia diagnostycznego</w:t>
      </w:r>
      <w:r>
        <w:rPr>
          <w:rFonts w:ascii="Verdana" w:hAnsi="Verdana" w:cs="Verdana"/>
          <w:b w:val="0"/>
          <w:i w:val="0"/>
          <w:sz w:val="20"/>
        </w:rPr>
        <w:t>, a jedynie narzędzia monitorującego i przesiewowego. Wynik kwestionariusza nie zastępuje konsultacji ze specjalistą i jest prezentowany pracownikowi wraz z odpowiednim zastrzeżeniem.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Model danych testu psychologicznego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Każdy test psychologiczny w bazie danych jest reprezentowany przez trzy powiązane encje: </w:t>
      </w:r>
      <w:r>
        <w:rPr>
          <w:rFonts w:ascii="Consolas" w:hAnsi="Consolas" w:cs="Consolas"/>
          <w:b w:val="0"/>
          <w:i w:val="0"/>
          <w:sz w:val="20"/>
        </w:rPr>
        <w:t>Assessment</w:t>
      </w:r>
      <w:r>
        <w:rPr>
          <w:rFonts w:ascii="Verdana" w:hAnsi="Verdana" w:cs="Verdana"/>
          <w:b w:val="0"/>
          <w:i w:val="0"/>
          <w:sz w:val="20"/>
        </w:rPr>
        <w:t xml:space="preserve"> (definicja testu jako całości), </w:t>
      </w:r>
      <w:r>
        <w:rPr>
          <w:rFonts w:ascii="Consolas" w:hAnsi="Consolas" w:cs="Consolas"/>
          <w:b w:val="0"/>
          <w:i w:val="0"/>
          <w:sz w:val="20"/>
        </w:rPr>
        <w:t>Question</w:t>
      </w:r>
      <w:r>
        <w:rPr>
          <w:rFonts w:ascii="Verdana" w:hAnsi="Verdana" w:cs="Verdana"/>
          <w:b w:val="0"/>
          <w:i w:val="0"/>
          <w:sz w:val="20"/>
        </w:rPr>
        <w:t xml:space="preserve"> (pojedyncze pytanie wchodzące w skład testu) oraz </w:t>
      </w:r>
      <w:r>
        <w:rPr>
          <w:rFonts w:ascii="Consolas" w:hAnsi="Consolas" w:cs="Consolas"/>
          <w:b w:val="0"/>
          <w:i w:val="0"/>
          <w:sz w:val="20"/>
        </w:rPr>
        <w:t>AnswerOption</w:t>
      </w:r>
      <w:r>
        <w:rPr>
          <w:rFonts w:ascii="Verdana" w:hAnsi="Verdana" w:cs="Verdana"/>
          <w:b w:val="0"/>
          <w:i w:val="0"/>
          <w:sz w:val="20"/>
        </w:rPr>
        <w:t xml:space="preserve"> (możliwa odpowiedź na pytanie z przypisaną wartością liczbową). Encja </w:t>
      </w:r>
      <w:r>
        <w:rPr>
          <w:rFonts w:ascii="Consolas" w:hAnsi="Consolas" w:cs="Consolas"/>
          <w:b w:val="0"/>
          <w:i w:val="0"/>
          <w:sz w:val="20"/>
        </w:rPr>
        <w:t>Assessment</w:t>
      </w:r>
      <w:r>
        <w:rPr>
          <w:rFonts w:ascii="Verdana" w:hAnsi="Verdana" w:cs="Verdana"/>
          <w:b w:val="0"/>
          <w:i w:val="0"/>
          <w:sz w:val="20"/>
        </w:rPr>
        <w:t xml:space="preserve"> przechowuje metadane kwestionariusza: unikalny kod (np. </w:t>
      </w:r>
      <w:r>
        <w:rPr>
          <w:rFonts w:ascii="Consolas" w:hAnsi="Consolas" w:cs="Consolas"/>
          <w:b w:val="0"/>
          <w:i w:val="0"/>
          <w:sz w:val="20"/>
        </w:rPr>
        <w:t>PHQ9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GAD7</w:t>
      </w:r>
      <w:r>
        <w:rPr>
          <w:rFonts w:ascii="Verdana" w:hAnsi="Verdana" w:cs="Verdana"/>
          <w:b w:val="0"/>
          <w:i w:val="0"/>
          <w:sz w:val="20"/>
        </w:rPr>
        <w:t xml:space="preserve">), nazwę wyświetlaną, opis, ramy czasowe pytań (np. „Ostatnie 2 tygodnie"), liczbę pytań, wersję, status aktywności, flagę anonimizacji wyników dla działu HR oraz flagę wymagania kompletu odpowiedzi. Dwa ostatnie pola są kluczowe: </w:t>
      </w:r>
      <w:r>
        <w:rPr>
          <w:rFonts w:ascii="Consolas" w:hAnsi="Consolas" w:cs="Consolas"/>
          <w:b w:val="0"/>
          <w:i w:val="0"/>
          <w:sz w:val="20"/>
        </w:rPr>
        <w:t>isAnonymousForHR</w:t>
      </w:r>
      <w:r>
        <w:rPr>
          <w:rFonts w:ascii="Verdana" w:hAnsi="Verdana" w:cs="Verdana"/>
          <w:b w:val="0"/>
          <w:i w:val="0"/>
          <w:sz w:val="20"/>
        </w:rPr>
        <w:t xml:space="preserve"> decyduje, czy wyniki tego testu są dostępne dla HR wyłącznie w postaci zagregowanej, a </w:t>
      </w:r>
      <w:r>
        <w:rPr>
          <w:rFonts w:ascii="Consolas" w:hAnsi="Consolas" w:cs="Consolas"/>
          <w:b w:val="0"/>
          <w:i w:val="0"/>
          <w:sz w:val="20"/>
        </w:rPr>
        <w:t>requiresAllAnswers</w:t>
      </w:r>
      <w:r>
        <w:rPr>
          <w:rFonts w:ascii="Verdana" w:hAnsi="Verdana" w:cs="Verdana"/>
          <w:b w:val="0"/>
          <w:i w:val="0"/>
          <w:sz w:val="20"/>
        </w:rPr>
        <w:t xml:space="preserve"> wymusza walidację kompletności podczas obliczania wyniku.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4.32 ]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backend-api/src/modules/assessments/entities/assessment.entity.ts</w:t>
      </w:r>
      <w:r>
        <w:rPr>
          <w:rFonts w:ascii="Verdana" w:hAnsi="Verdana" w:cs="Verdana"/>
          <w:b w:val="0"/>
          <w:i w:val="0"/>
          <w:sz w:val="20"/>
        </w:rPr>
        <w:t xml:space="preserve">   Linie: 1–51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4.32. Encja Assessment — definicja kwestionariusza psychologicznego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4.32 prezentuje encję Assessment. Relacje OneToMany do encji Question i AnswerOption z opcją cascade umożliwiają zapisanie kompletnego testu wraz z pytaniami i opcjami w pojedynczej transakcji. Pole code jest unikalne, ponieważ stanowi klucz wykorzystywany przez serwis obliczający wyniki do wyboru odpowiedniego algorytmu scoring.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Definicje testów — mechanizm seed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Treść wszystkich kwestionariuszy jest umieszczona w pliku </w:t>
      </w:r>
      <w:r>
        <w:rPr>
          <w:rFonts w:ascii="Consolas" w:hAnsi="Consolas" w:cs="Consolas"/>
          <w:b w:val="0"/>
          <w:i w:val="0"/>
          <w:sz w:val="20"/>
        </w:rPr>
        <w:t>seed/assessments.seed.ts</w:t>
      </w:r>
      <w:r>
        <w:rPr>
          <w:rFonts w:ascii="Verdana" w:hAnsi="Verdana" w:cs="Verdana"/>
          <w:b w:val="0"/>
          <w:i w:val="0"/>
          <w:sz w:val="20"/>
        </w:rPr>
        <w:t xml:space="preserve">, który podczas pierwszego uruchomienia aplikacji ładuje definicje do bazy danych. Każda definicja zawiera kod testu, nazwę, opis, ramy czasowe, listę pytań (wraz z porządkiem, tematem domenowym i ewentualną flagą </w:t>
      </w:r>
      <w:r>
        <w:rPr>
          <w:rFonts w:ascii="Consolas" w:hAnsi="Consolas" w:cs="Consolas"/>
          <w:b w:val="0"/>
          <w:i w:val="0"/>
          <w:sz w:val="20"/>
        </w:rPr>
        <w:t>reverseScored</w:t>
      </w:r>
      <w:r>
        <w:rPr>
          <w:rFonts w:ascii="Verdana" w:hAnsi="Verdana" w:cs="Verdana"/>
          <w:b w:val="0"/>
          <w:i w:val="0"/>
          <w:sz w:val="20"/>
        </w:rPr>
        <w:t xml:space="preserve"> dla pytań odwróconych) oraz listę opcji odpowiedzi z przypisanymi wartościami liczbowymi. Ulokowanie definicji w kodzie źródłowym, a nie w panelu administracyjnym, jest świadomą decyzją projektową: treść standardowych testów psychologicznych jest ustabilizowana przez literaturę i nie powinna podlegać dowolnej modyfikacji przez administratora firmy. Każda zmiana w treści wymaga przejścia przez proces przeglądu kodu i merytorycznej oceny, co zapobiega przypadkowemu naruszeniu właściwości psychometrycznych narzędzia.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4.33 ]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backend-api/src/seed/assessments.seed.ts</w:t>
      </w:r>
      <w:r>
        <w:rPr>
          <w:rFonts w:ascii="Verdana" w:hAnsi="Verdana" w:cs="Verdana"/>
          <w:b w:val="0"/>
          <w:i w:val="0"/>
          <w:sz w:val="20"/>
        </w:rPr>
        <w:t xml:space="preserve">   Linie: 6–31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4.33. Definicja kwestionariusza PHQ-9 w pliku seed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4.33 pokazuje pełną definicję testu PHQ-9. Dziewięć pytań odpowiada dziewięciu kryteriom diagnostycznym dużego epizodu depresji wg DSM-5. Cztery opcje odpowiedzi z wartościami 0–3 odpowiadają częstotliwości występowania objawu w ostatnich dwóch tygodniach. Pytanie dziewiąte jest oznaczone tematem „Myśli samouszkadzające" i pełni rolę krytyczną — niezerowa odpowiedź aktywuje flagę ryzyka samookaleczenia, omówioną w dalszej części rozdziału.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Przyjmowanie odpowiedzi i walidacja przed obliczeniem wyniku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Przesłanie odpowiedzi przez pracownika obsługuje endpoint </w:t>
      </w:r>
      <w:r>
        <w:rPr>
          <w:rFonts w:ascii="Consolas" w:hAnsi="Consolas" w:cs="Consolas"/>
          <w:b w:val="0"/>
          <w:i w:val="0"/>
          <w:sz w:val="20"/>
        </w:rPr>
        <w:t>POST /responses</w:t>
      </w:r>
      <w:r>
        <w:rPr>
          <w:rFonts w:ascii="Verdana" w:hAnsi="Verdana" w:cs="Verdana"/>
          <w:b w:val="0"/>
          <w:i w:val="0"/>
          <w:sz w:val="20"/>
        </w:rPr>
        <w:t xml:space="preserve"> przyjmujący obiekt </w:t>
      </w:r>
      <w:r>
        <w:rPr>
          <w:rFonts w:ascii="Consolas" w:hAnsi="Consolas" w:cs="Consolas"/>
          <w:b w:val="0"/>
          <w:i w:val="0"/>
          <w:sz w:val="20"/>
        </w:rPr>
        <w:t>SubmitResponsesDto</w:t>
      </w:r>
      <w:r>
        <w:rPr>
          <w:rFonts w:ascii="Verdana" w:hAnsi="Verdana" w:cs="Verdana"/>
          <w:b w:val="0"/>
          <w:i w:val="0"/>
          <w:sz w:val="20"/>
        </w:rPr>
        <w:t xml:space="preserve"> zawierający identyfikator testu, identyfikator przypisania oraz tablicę odpowiedzi (par </w:t>
      </w:r>
      <w:r>
        <w:rPr>
          <w:rFonts w:ascii="Consolas" w:hAnsi="Consolas" w:cs="Consolas"/>
          <w:b w:val="0"/>
          <w:i w:val="0"/>
          <w:sz w:val="20"/>
        </w:rPr>
        <w:t>questionId → value</w:t>
      </w:r>
      <w:r>
        <w:rPr>
          <w:rFonts w:ascii="Verdana" w:hAnsi="Verdana" w:cs="Verdana"/>
          <w:b w:val="0"/>
          <w:i w:val="0"/>
          <w:sz w:val="20"/>
        </w:rPr>
        <w:t xml:space="preserve">). Logikę realizuje metoda </w:t>
      </w:r>
      <w:r>
        <w:rPr>
          <w:rFonts w:ascii="Consolas" w:hAnsi="Consolas" w:cs="Consolas"/>
          <w:b w:val="0"/>
          <w:i w:val="0"/>
          <w:sz w:val="20"/>
        </w:rPr>
        <w:t>submit</w:t>
      </w:r>
      <w:r>
        <w:rPr>
          <w:rFonts w:ascii="Verdana" w:hAnsi="Verdana" w:cs="Verdana"/>
          <w:b w:val="0"/>
          <w:i w:val="0"/>
          <w:sz w:val="20"/>
        </w:rPr>
        <w:t xml:space="preserve"> w klasie </w:t>
      </w:r>
      <w:r>
        <w:rPr>
          <w:rFonts w:ascii="Consolas" w:hAnsi="Consolas" w:cs="Consolas"/>
          <w:b w:val="0"/>
          <w:i w:val="0"/>
          <w:sz w:val="20"/>
        </w:rPr>
        <w:t>ResponsesService</w:t>
      </w:r>
      <w:r>
        <w:rPr>
          <w:rFonts w:ascii="Verdana" w:hAnsi="Verdana" w:cs="Verdana"/>
          <w:b w:val="0"/>
          <w:i w:val="0"/>
          <w:sz w:val="20"/>
        </w:rPr>
        <w:t xml:space="preserve">, która przed zapisaniem wyniku wykonuje </w:t>
      </w:r>
      <w:r>
        <w:rPr>
          <w:rFonts w:ascii="Verdana" w:hAnsi="Verdana" w:cs="Verdana"/>
          <w:b/>
          <w:i w:val="0"/>
          <w:sz w:val="20"/>
        </w:rPr>
        <w:t>osiem niezależnych etapów walidacji</w:t>
      </w:r>
      <w:r>
        <w:rPr>
          <w:rFonts w:ascii="Verdana" w:hAnsi="Verdana" w:cs="Verdana"/>
          <w:b w:val="0"/>
          <w:i w:val="0"/>
          <w:sz w:val="20"/>
        </w:rPr>
        <w:t>: sprawdzenie istnienia przypisania, zgodności identyfikatora testu z przypisaniem, otwarcia okna czasowego (</w:t>
      </w:r>
      <w:r>
        <w:rPr>
          <w:rFonts w:ascii="Consolas" w:hAnsi="Consolas" w:cs="Consolas"/>
          <w:b w:val="0"/>
          <w:i w:val="0"/>
          <w:sz w:val="20"/>
        </w:rPr>
        <w:t>availableFrom</w:t>
      </w:r>
      <w:r>
        <w:rPr>
          <w:rFonts w:ascii="Verdana" w:hAnsi="Verdana" w:cs="Verdana"/>
          <w:b w:val="0"/>
          <w:i w:val="0"/>
          <w:sz w:val="20"/>
        </w:rPr>
        <w:t xml:space="preserve"> ≤ teraz ≤ </w:t>
      </w:r>
      <w:r>
        <w:rPr>
          <w:rFonts w:ascii="Consolas" w:hAnsi="Consolas" w:cs="Consolas"/>
          <w:b w:val="0"/>
          <w:i w:val="0"/>
          <w:sz w:val="20"/>
        </w:rPr>
        <w:t>availableTo</w:t>
      </w:r>
      <w:r>
        <w:rPr>
          <w:rFonts w:ascii="Verdana" w:hAnsi="Verdana" w:cs="Verdana"/>
          <w:b w:val="0"/>
          <w:i w:val="0"/>
          <w:sz w:val="20"/>
        </w:rPr>
        <w:t xml:space="preserve">), izolacji organizacyjnej (test musi należeć do tej samej firmy co użytkownik), uprawnienia do tego konkretnego przypisania (typ docelowy </w:t>
      </w:r>
      <w:r>
        <w:rPr>
          <w:rFonts w:ascii="Verdana" w:hAnsi="Verdana" w:cs="Verdana"/>
          <w:b w:val="0"/>
          <w:i/>
          <w:sz w:val="20"/>
        </w:rPr>
        <w:t>ALL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USER</w:t>
      </w:r>
      <w:r>
        <w:rPr>
          <w:rFonts w:ascii="Verdana" w:hAnsi="Verdana" w:cs="Verdana"/>
          <w:b w:val="0"/>
          <w:i w:val="0"/>
          <w:sz w:val="20"/>
        </w:rPr>
        <w:t xml:space="preserve"> lub </w:t>
      </w:r>
      <w:r>
        <w:rPr>
          <w:rFonts w:ascii="Verdana" w:hAnsi="Verdana" w:cs="Verdana"/>
          <w:b w:val="0"/>
          <w:i/>
          <w:sz w:val="20"/>
        </w:rPr>
        <w:t>DEPARTMENT</w:t>
      </w:r>
      <w:r>
        <w:rPr>
          <w:rFonts w:ascii="Verdana" w:hAnsi="Verdana" w:cs="Verdana"/>
          <w:b w:val="0"/>
          <w:i w:val="0"/>
          <w:sz w:val="20"/>
        </w:rPr>
        <w:t xml:space="preserve"> z dopasowaniem do profilu użytkownika), braku wcześniejszego wypełnienia tego przypisania oraz załadowania definicji testu. Dopiero po pozytywnym przejściu wszystkich etapów następuje wywołanie serwisu obliczającego wynik i zapisanie rekordu w tabeli </w:t>
      </w:r>
      <w:r>
        <w:rPr>
          <w:rFonts w:ascii="Consolas" w:hAnsi="Consolas" w:cs="Consolas"/>
          <w:b w:val="0"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Każda z walidacji wymusza zwrócenie konkretnego wyjątku HTTP: </w:t>
      </w:r>
      <w:r>
        <w:rPr>
          <w:rFonts w:ascii="Consolas" w:hAnsi="Consolas" w:cs="Consolas"/>
          <w:b w:val="0"/>
          <w:i w:val="0"/>
          <w:sz w:val="20"/>
        </w:rPr>
        <w:t>NotFoundException</w:t>
      </w:r>
      <w:r>
        <w:rPr>
          <w:rFonts w:ascii="Verdana" w:hAnsi="Verdana" w:cs="Verdana"/>
          <w:b w:val="0"/>
          <w:i w:val="0"/>
          <w:sz w:val="20"/>
        </w:rPr>
        <w:t xml:space="preserve"> (404) gdy obiekt nie istnieje, </w:t>
      </w:r>
      <w:r>
        <w:rPr>
          <w:rFonts w:ascii="Consolas" w:hAnsi="Consolas" w:cs="Consolas"/>
          <w:b w:val="0"/>
          <w:i w:val="0"/>
          <w:sz w:val="20"/>
        </w:rPr>
        <w:t>BadRequestException</w:t>
      </w:r>
      <w:r>
        <w:rPr>
          <w:rFonts w:ascii="Verdana" w:hAnsi="Verdana" w:cs="Verdana"/>
          <w:b w:val="0"/>
          <w:i w:val="0"/>
          <w:sz w:val="20"/>
        </w:rPr>
        <w:t xml:space="preserve"> (400) przy błędnych danych wejściowych, </w:t>
      </w:r>
      <w:r>
        <w:rPr>
          <w:rFonts w:ascii="Consolas" w:hAnsi="Consolas" w:cs="Consolas"/>
          <w:b w:val="0"/>
          <w:i w:val="0"/>
          <w:sz w:val="20"/>
        </w:rPr>
        <w:t>ForbiddenException</w:t>
      </w:r>
      <w:r>
        <w:rPr>
          <w:rFonts w:ascii="Verdana" w:hAnsi="Verdana" w:cs="Verdana"/>
          <w:b w:val="0"/>
          <w:i w:val="0"/>
          <w:sz w:val="20"/>
        </w:rPr>
        <w:t xml:space="preserve"> (403) przy próbie naruszenia uprawnień. Komunikaty błędów są w języku polskim i bezpośrednio prezentowane w interfejsie pracownika, dzięki czemu nawet w przypadku awarii synchronizacji okna czasowego między urządzeniami użytkownik otrzymuje czytelne wyjaśnienie sytuacji.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4.34 ]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backend-api/src/modules/responses/responses.service.ts</w:t>
      </w:r>
      <w:r>
        <w:rPr>
          <w:rFonts w:ascii="Verdana" w:hAnsi="Verdana" w:cs="Verdana"/>
          <w:b w:val="0"/>
          <w:i w:val="0"/>
          <w:sz w:val="20"/>
        </w:rPr>
        <w:t xml:space="preserve">   Linie: 31–114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4.34. Pełna ścieżka walidacji i zapisu odpowiedzi w serwisie ResponsesService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4.34 prezentuje metodę submit. Numerowane komentarze w kodzie odpowiadają kolejnym etapom walidacji. Po wyliczeniu wyniku przez ScoringService tworzony jest rekord AssessmentResult oraz tablica obiektów UserResponse — po jednym rekordzie na odpowiedź. Pole answersSnapshot zachowuje pełen kontekst odpowiedzi (wartość, identyfikator pytania, temat domenowy) jako migawkę JSON, co umożliwia odtworzenie wyniku nawet jeśli definicja testu uległa zmianie w przyszłości.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Algorytm obliczania wyniku — strategia per kod testu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Centralnym elementem domeny psychometrycznej jest klasa </w:t>
      </w:r>
      <w:r>
        <w:rPr>
          <w:rFonts w:ascii="Consolas" w:hAnsi="Consolas" w:cs="Consolas"/>
          <w:b w:val="0"/>
          <w:i w:val="0"/>
          <w:sz w:val="20"/>
        </w:rPr>
        <w:t>ScoringService</w:t>
      </w:r>
      <w:r>
        <w:rPr>
          <w:rFonts w:ascii="Verdana" w:hAnsi="Verdana" w:cs="Verdana"/>
          <w:b w:val="0"/>
          <w:i w:val="0"/>
          <w:sz w:val="20"/>
        </w:rPr>
        <w:t xml:space="preserve"> z metodą </w:t>
      </w:r>
      <w:r>
        <w:rPr>
          <w:rFonts w:ascii="Consolas" w:hAnsi="Consolas" w:cs="Consolas"/>
          <w:b w:val="0"/>
          <w:i w:val="0"/>
          <w:sz w:val="20"/>
        </w:rPr>
        <w:t>compute</w:t>
      </w:r>
      <w:r>
        <w:rPr>
          <w:rFonts w:ascii="Verdana" w:hAnsi="Verdana" w:cs="Verdana"/>
          <w:b w:val="0"/>
          <w:i w:val="0"/>
          <w:sz w:val="20"/>
        </w:rPr>
        <w:t xml:space="preserve"> realizującą wzorzec </w:t>
      </w:r>
      <w:r>
        <w:rPr>
          <w:rFonts w:ascii="Verdana" w:hAnsi="Verdana" w:cs="Verdana"/>
          <w:b/>
          <w:i w:val="0"/>
          <w:sz w:val="20"/>
        </w:rPr>
        <w:t>strategii</w:t>
      </w:r>
      <w:r>
        <w:rPr>
          <w:rFonts w:ascii="Verdana" w:hAnsi="Verdana" w:cs="Verdana"/>
          <w:b w:val="0"/>
          <w:i w:val="0"/>
          <w:sz w:val="20"/>
        </w:rPr>
        <w:t xml:space="preserve"> wybieranej na podstawie kodu kwestionariusza. Wewnątrz metody znajduje się instrukcja </w:t>
      </w:r>
      <w:r>
        <w:rPr>
          <w:rFonts w:ascii="Consolas" w:hAnsi="Consolas" w:cs="Consolas"/>
          <w:b w:val="0"/>
          <w:i w:val="0"/>
          <w:sz w:val="20"/>
        </w:rPr>
        <w:t>switch</w:t>
      </w:r>
      <w:r>
        <w:rPr>
          <w:rFonts w:ascii="Verdana" w:hAnsi="Verdana" w:cs="Verdana"/>
          <w:b w:val="0"/>
          <w:i w:val="0"/>
          <w:sz w:val="20"/>
        </w:rPr>
        <w:t xml:space="preserve"> delegująca obliczenia do prywatnej metody specyficznej dla danego testu (</w:t>
      </w:r>
      <w:r>
        <w:rPr>
          <w:rFonts w:ascii="Consolas" w:hAnsi="Consolas" w:cs="Consolas"/>
          <w:b w:val="0"/>
          <w:i w:val="0"/>
          <w:sz w:val="20"/>
        </w:rPr>
        <w:t>scorePHQ9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scoreGAD7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scorePSS10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scoreWHO5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scoreMOOD10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scoreDailyMood</w:t>
      </w:r>
      <w:r>
        <w:rPr>
          <w:rFonts w:ascii="Verdana" w:hAnsi="Verdana" w:cs="Verdana"/>
          <w:b w:val="0"/>
          <w:i w:val="0"/>
          <w:sz w:val="20"/>
        </w:rPr>
        <w:t xml:space="preserve">). Każda metoda zwraca strukturę </w:t>
      </w:r>
      <w:r>
        <w:rPr>
          <w:rFonts w:ascii="Consolas" w:hAnsi="Consolas" w:cs="Consolas"/>
          <w:b w:val="0"/>
          <w:i w:val="0"/>
          <w:sz w:val="20"/>
        </w:rPr>
        <w:t>ScoringResult</w:t>
      </w:r>
      <w:r>
        <w:rPr>
          <w:rFonts w:ascii="Verdana" w:hAnsi="Verdana" w:cs="Verdana"/>
          <w:b w:val="0"/>
          <w:i w:val="0"/>
          <w:sz w:val="20"/>
        </w:rPr>
        <w:t xml:space="preserve"> zawierającą cztery pola: </w:t>
      </w:r>
      <w:r>
        <w:rPr>
          <w:rFonts w:ascii="Consolas" w:hAnsi="Consolas" w:cs="Consolas"/>
          <w:b w:val="0"/>
          <w:i w:val="0"/>
          <w:sz w:val="20"/>
        </w:rPr>
        <w:t>rawScore</w:t>
      </w:r>
      <w:r>
        <w:rPr>
          <w:rFonts w:ascii="Verdana" w:hAnsi="Verdana" w:cs="Verdana"/>
          <w:b w:val="0"/>
          <w:i w:val="0"/>
          <w:sz w:val="20"/>
        </w:rPr>
        <w:t xml:space="preserve"> (surowy wynik testu), </w:t>
      </w:r>
      <w:r>
        <w:rPr>
          <w:rFonts w:ascii="Consolas" w:hAnsi="Consolas" w:cs="Consolas"/>
          <w:b w:val="0"/>
          <w:i w:val="0"/>
          <w:sz w:val="20"/>
        </w:rPr>
        <w:t>normalizedScore</w:t>
      </w:r>
      <w:r>
        <w:rPr>
          <w:rFonts w:ascii="Verdana" w:hAnsi="Verdana" w:cs="Verdana"/>
          <w:b w:val="0"/>
          <w:i w:val="0"/>
          <w:sz w:val="20"/>
        </w:rPr>
        <w:t xml:space="preserve"> (wynik znormalizowany do skali 0–100, jeśli test tego wymaga), </w:t>
      </w:r>
      <w:r>
        <w:rPr>
          <w:rFonts w:ascii="Consolas" w:hAnsi="Consolas" w:cs="Consolas"/>
          <w:b w:val="0"/>
          <w:i w:val="0"/>
          <w:sz w:val="20"/>
        </w:rPr>
        <w:t>severity</w:t>
      </w:r>
      <w:r>
        <w:rPr>
          <w:rFonts w:ascii="Verdana" w:hAnsi="Verdana" w:cs="Verdana"/>
          <w:b w:val="0"/>
          <w:i w:val="0"/>
          <w:sz w:val="20"/>
        </w:rPr>
        <w:t xml:space="preserve"> (stopień nasilenia jako etykieta tekstowa) oraz </w:t>
      </w:r>
      <w:r>
        <w:rPr>
          <w:rFonts w:ascii="Consolas" w:hAnsi="Consolas" w:cs="Consolas"/>
          <w:b w:val="0"/>
          <w:i w:val="0"/>
          <w:sz w:val="20"/>
        </w:rPr>
        <w:t>riskFlags</w:t>
      </w:r>
      <w:r>
        <w:rPr>
          <w:rFonts w:ascii="Verdana" w:hAnsi="Verdana" w:cs="Verdana"/>
          <w:b w:val="0"/>
          <w:i w:val="0"/>
          <w:sz w:val="20"/>
        </w:rPr>
        <w:t xml:space="preserve"> (mapa flag ryzyka, wykrywanych podczas analizy odpowiedzi).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Najbardziej krytyczna jest metoda </w:t>
      </w:r>
      <w:r>
        <w:rPr>
          <w:rFonts w:ascii="Consolas" w:hAnsi="Consolas" w:cs="Consolas"/>
          <w:b w:val="0"/>
          <w:i w:val="0"/>
          <w:sz w:val="20"/>
        </w:rPr>
        <w:t>scorePHQ9</w:t>
      </w:r>
      <w:r>
        <w:rPr>
          <w:rFonts w:ascii="Verdana" w:hAnsi="Verdana" w:cs="Verdana"/>
          <w:b w:val="0"/>
          <w:i w:val="0"/>
          <w:sz w:val="20"/>
        </w:rPr>
        <w:t xml:space="preserve">. Po zsumowaniu odpowiedzi (zakres 0–27) wybierany jest stopień nasilenia depresji według progów uznanych w literaturze klinicznej: </w:t>
      </w:r>
      <w:r>
        <w:rPr>
          <w:rFonts w:ascii="Verdana" w:hAnsi="Verdana" w:cs="Verdana"/>
          <w:b w:val="0"/>
          <w:i/>
          <w:sz w:val="20"/>
        </w:rPr>
        <w:t>minimal</w:t>
      </w:r>
      <w:r>
        <w:rPr>
          <w:rFonts w:ascii="Verdana" w:hAnsi="Verdana" w:cs="Verdana"/>
          <w:b w:val="0"/>
          <w:i w:val="0"/>
          <w:sz w:val="20"/>
        </w:rPr>
        <w:t xml:space="preserve"> (0–4), </w:t>
      </w:r>
      <w:r>
        <w:rPr>
          <w:rFonts w:ascii="Verdana" w:hAnsi="Verdana" w:cs="Verdana"/>
          <w:b w:val="0"/>
          <w:i/>
          <w:sz w:val="20"/>
        </w:rPr>
        <w:t>mild</w:t>
      </w:r>
      <w:r>
        <w:rPr>
          <w:rFonts w:ascii="Verdana" w:hAnsi="Verdana" w:cs="Verdana"/>
          <w:b w:val="0"/>
          <w:i w:val="0"/>
          <w:sz w:val="20"/>
        </w:rPr>
        <w:t xml:space="preserve"> (5–9), </w:t>
      </w:r>
      <w:r>
        <w:rPr>
          <w:rFonts w:ascii="Verdana" w:hAnsi="Verdana" w:cs="Verdana"/>
          <w:b w:val="0"/>
          <w:i/>
          <w:sz w:val="20"/>
        </w:rPr>
        <w:t>moderate</w:t>
      </w:r>
      <w:r>
        <w:rPr>
          <w:rFonts w:ascii="Verdana" w:hAnsi="Verdana" w:cs="Verdana"/>
          <w:b w:val="0"/>
          <w:i w:val="0"/>
          <w:sz w:val="20"/>
        </w:rPr>
        <w:t xml:space="preserve"> (10–14), </w:t>
      </w:r>
      <w:r>
        <w:rPr>
          <w:rFonts w:ascii="Verdana" w:hAnsi="Verdana" w:cs="Verdana"/>
          <w:b w:val="0"/>
          <w:i/>
          <w:sz w:val="20"/>
        </w:rPr>
        <w:t>moderately_severe</w:t>
      </w:r>
      <w:r>
        <w:rPr>
          <w:rFonts w:ascii="Verdana" w:hAnsi="Verdana" w:cs="Verdana"/>
          <w:b w:val="0"/>
          <w:i w:val="0"/>
          <w:sz w:val="20"/>
        </w:rPr>
        <w:t xml:space="preserve"> (15–19), </w:t>
      </w:r>
      <w:r>
        <w:rPr>
          <w:rFonts w:ascii="Verdana" w:hAnsi="Verdana" w:cs="Verdana"/>
          <w:b w:val="0"/>
          <w:i/>
          <w:sz w:val="20"/>
        </w:rPr>
        <w:t>severe</w:t>
      </w:r>
      <w:r>
        <w:rPr>
          <w:rFonts w:ascii="Verdana" w:hAnsi="Verdana" w:cs="Verdana"/>
          <w:b w:val="0"/>
          <w:i w:val="0"/>
          <w:sz w:val="20"/>
        </w:rPr>
        <w:t xml:space="preserve"> (≥20). Niezależnie od ogólnego wyniku, niezerowa odpowiedź na pytanie dziewiąte (myśli samouszkadzające) ustawia flagę </w:t>
      </w:r>
      <w:r>
        <w:rPr>
          <w:rFonts w:ascii="Verdana" w:hAnsi="Verdana" w:cs="Verdana"/>
          <w:b/>
          <w:i w:val="0"/>
          <w:sz w:val="20"/>
        </w:rPr>
        <w:t>selfHarmRiskFlag</w:t>
      </w:r>
      <w:r>
        <w:rPr>
          <w:rFonts w:ascii="Verdana" w:hAnsi="Verdana" w:cs="Verdana"/>
          <w:b w:val="0"/>
          <w:i w:val="0"/>
          <w:sz w:val="20"/>
        </w:rPr>
        <w:t xml:space="preserve"> w polu </w:t>
      </w:r>
      <w:r>
        <w:rPr>
          <w:rFonts w:ascii="Consolas" w:hAnsi="Consolas" w:cs="Consolas"/>
          <w:b w:val="0"/>
          <w:i w:val="0"/>
          <w:sz w:val="20"/>
        </w:rPr>
        <w:t>riskFlags</w:t>
      </w:r>
      <w:r>
        <w:rPr>
          <w:rFonts w:ascii="Verdana" w:hAnsi="Verdana" w:cs="Verdana"/>
          <w:b w:val="0"/>
          <w:i w:val="0"/>
          <w:sz w:val="20"/>
        </w:rPr>
        <w:t>. Frontend pracownika reaguje na tę flagę wyświetleniem odrębnego komunikatu z numerami telefonów zaufania, a panel HR generuje cichy alert dla działu kadr — wszystko z zachowaniem zasady, że konkretna osoba nie zostaje zidentyfikowana w raporcie zbiorczym.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4.35 ]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backend-api/src/modules/results/scoring/scoring.service.ts</w:t>
      </w:r>
      <w:r>
        <w:rPr>
          <w:rFonts w:ascii="Verdana" w:hAnsi="Verdana" w:cs="Verdana"/>
          <w:b w:val="0"/>
          <w:i w:val="0"/>
          <w:sz w:val="20"/>
        </w:rPr>
        <w:t xml:space="preserve">   Linie: 14–52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4.35. Strategia obliczania wyniku w ScoringService z implementacją PHQ-9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4.35 zawiera metodę compute z dyspozytorem opartym na kodzie testu oraz pełną implementację scorePHQ9. Walidacja kompletu odpowiedzi (linie 17–21) jest wspólna dla wszystkich strategii. Wykrycie pytania dziewiątego po polu order — a nie po identyfikatorze — zapewnia poprawność nawet jeśli baza zostanie zaseedowana w innej kolejności, co stanowi przykład defensywnego programowania.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Pytania odwracane i normalizacja skali — PSS-10 oraz WHO-5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Dwa kwestionariusze wymagają nietrywialnej obróbki odpowiedzi. </w:t>
      </w:r>
      <w:r>
        <w:rPr>
          <w:rFonts w:ascii="Verdana" w:hAnsi="Verdana" w:cs="Verdana"/>
          <w:b/>
          <w:i w:val="0"/>
          <w:sz w:val="20"/>
        </w:rPr>
        <w:t>PSS-10</w:t>
      </w:r>
      <w:r>
        <w:rPr>
          <w:rFonts w:ascii="Verdana" w:hAnsi="Verdana" w:cs="Verdana"/>
          <w:b w:val="0"/>
          <w:i w:val="0"/>
          <w:sz w:val="20"/>
        </w:rPr>
        <w:t xml:space="preserve"> zawiera pytania odwracane (</w:t>
      </w:r>
      <w:r>
        <w:rPr>
          <w:rFonts w:ascii="Consolas" w:hAnsi="Consolas" w:cs="Consolas"/>
          <w:b w:val="0"/>
          <w:i w:val="0"/>
          <w:sz w:val="20"/>
        </w:rPr>
        <w:t>reverseScored</w:t>
      </w:r>
      <w:r>
        <w:rPr>
          <w:rFonts w:ascii="Verdana" w:hAnsi="Verdana" w:cs="Verdana"/>
          <w:b w:val="0"/>
          <w:i w:val="0"/>
          <w:sz w:val="20"/>
        </w:rPr>
        <w:t xml:space="preserve">): część pytań mierzy stres bezpośrednio (np. „jak często czułeś się zdenerwowany"), a część — przeciwnie, mierzy zasoby radzenia sobie ze stresem (np. „jak często czułeś, że panujesz nad sytuacją"). Aby uzyskać spójny wynik, w którym wyższa wartość zawsze oznacza wyższy stres, odpowiedzi na pytania odwracane są transformowane wzorem </w:t>
      </w:r>
      <w:r>
        <w:rPr>
          <w:rFonts w:ascii="Verdana" w:hAnsi="Verdana" w:cs="Verdana"/>
          <w:b/>
          <w:i w:val="0"/>
          <w:sz w:val="20"/>
        </w:rPr>
        <w:t>4 − wartość</w:t>
      </w:r>
      <w:r>
        <w:rPr>
          <w:rFonts w:ascii="Verdana" w:hAnsi="Verdana" w:cs="Verdana"/>
          <w:b w:val="0"/>
          <w:i w:val="0"/>
          <w:sz w:val="20"/>
        </w:rPr>
        <w:t xml:space="preserve"> przed sumowaniem (skala odpowiedzi w PSS-10 to 0–4). Algorytm jest zaimplementowany w metodzie </w:t>
      </w:r>
      <w:r>
        <w:rPr>
          <w:rFonts w:ascii="Consolas" w:hAnsi="Consolas" w:cs="Consolas"/>
          <w:b w:val="0"/>
          <w:i w:val="0"/>
          <w:sz w:val="20"/>
        </w:rPr>
        <w:t>scorePSS10</w:t>
      </w:r>
      <w:r>
        <w:rPr>
          <w:rFonts w:ascii="Verdana" w:hAnsi="Verdana" w:cs="Verdana"/>
          <w:b w:val="0"/>
          <w:i w:val="0"/>
          <w:sz w:val="20"/>
        </w:rPr>
        <w:t xml:space="preserve"> poprzez funkcję </w:t>
      </w:r>
      <w:r>
        <w:rPr>
          <w:rFonts w:ascii="Consolas" w:hAnsi="Consolas" w:cs="Consolas"/>
          <w:b w:val="0"/>
          <w:i w:val="0"/>
          <w:sz w:val="20"/>
        </w:rPr>
        <w:t>reduce</w:t>
      </w:r>
      <w:r>
        <w:rPr>
          <w:rFonts w:ascii="Verdana" w:hAnsi="Verdana" w:cs="Verdana"/>
          <w:b w:val="0"/>
          <w:i w:val="0"/>
          <w:sz w:val="20"/>
        </w:rPr>
        <w:t xml:space="preserve"> z warunkową transformacją per pytanie.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Z kolei </w:t>
      </w:r>
      <w:r>
        <w:rPr>
          <w:rFonts w:ascii="Verdana" w:hAnsi="Verdana" w:cs="Verdana"/>
          <w:b/>
          <w:i w:val="0"/>
          <w:sz w:val="20"/>
        </w:rPr>
        <w:t>WHO-5</w:t>
      </w:r>
      <w:r>
        <w:rPr>
          <w:rFonts w:ascii="Verdana" w:hAnsi="Verdana" w:cs="Verdana"/>
          <w:b w:val="0"/>
          <w:i w:val="0"/>
          <w:sz w:val="20"/>
        </w:rPr>
        <w:t xml:space="preserve"> wymaga </w:t>
      </w:r>
      <w:r>
        <w:rPr>
          <w:rFonts w:ascii="Verdana" w:hAnsi="Verdana" w:cs="Verdana"/>
          <w:b/>
          <w:i w:val="0"/>
          <w:sz w:val="20"/>
        </w:rPr>
        <w:t>normalizacji skali</w:t>
      </w:r>
      <w:r>
        <w:rPr>
          <w:rFonts w:ascii="Verdana" w:hAnsi="Verdana" w:cs="Verdana"/>
          <w:b w:val="0"/>
          <w:i w:val="0"/>
          <w:sz w:val="20"/>
        </w:rPr>
        <w:t xml:space="preserve"> — surowy wynik (zakres 0–25) jest mnożony przez cztery, aby uzyskać znormalizowany wskaźnik dobrostanu w skali 0–100, co jest kanonicznym sposobem prezentacji wyniku tego narzędzia. Wynik poniżej 50 oznacza obniżony dobrostan, wynik poniżej 13 punktów surowych dodatkowo aktywuje flagę </w:t>
      </w:r>
      <w:r>
        <w:rPr>
          <w:rFonts w:ascii="Consolas" w:hAnsi="Consolas" w:cs="Consolas"/>
          <w:b w:val="0"/>
          <w:i w:val="0"/>
          <w:sz w:val="20"/>
        </w:rPr>
        <w:t>poorWellbeingFlag</w:t>
      </w:r>
      <w:r>
        <w:rPr>
          <w:rFonts w:ascii="Verdana" w:hAnsi="Verdana" w:cs="Verdana"/>
          <w:b w:val="0"/>
          <w:i w:val="0"/>
          <w:sz w:val="20"/>
        </w:rPr>
        <w:t xml:space="preserve"> sugerującą wskazanie do konsultacji ze specjalistą. Identyczny mechanizm flag ostrzegawczych dotyczy GAD-7 (</w:t>
      </w:r>
      <w:r>
        <w:rPr>
          <w:rFonts w:ascii="Consolas" w:hAnsi="Consolas" w:cs="Consolas"/>
          <w:b w:val="0"/>
          <w:i w:val="0"/>
          <w:sz w:val="20"/>
        </w:rPr>
        <w:t>needsFurtherEvaluation</w:t>
      </w:r>
      <w:r>
        <w:rPr>
          <w:rFonts w:ascii="Verdana" w:hAnsi="Verdana" w:cs="Verdana"/>
          <w:b w:val="0"/>
          <w:i w:val="0"/>
          <w:sz w:val="20"/>
        </w:rPr>
        <w:t xml:space="preserve"> przy wyniku ≥10) — w obu przypadkach flaga jest interpretowana jedynie jako sygnał alarmowy, a nie diagnoza.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4.36 ]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backend-api/src/modules/results/scoring/scoring.service.ts</w:t>
      </w:r>
      <w:r>
        <w:rPr>
          <w:rFonts w:ascii="Verdana" w:hAnsi="Verdana" w:cs="Verdana"/>
          <w:b w:val="0"/>
          <w:i w:val="0"/>
          <w:sz w:val="20"/>
        </w:rPr>
        <w:t xml:space="preserve">   Linie: 66–87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4.36. Strategie scorePSS10 i scoreWHO5 — pytania odwracane i normalizacja skali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4.36 prezentuje dwie najistotniejsze metody pod względem algorytmicznym. scorePSS10 obsługuje pytania reverseScored jednolitym wzorem 4 − wartość, dzięki czemu skala wyniku pozostaje monotoniczna. scoreWHO5 przekształca surowy wynik 0–25 na znormalizowaną skalę 0–100 przez mnożenie przez 4 — standardowy zabieg dla tego narzędzia.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Trwałe zapisanie wyniku z migawką odpowiedzi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Wynik testu jest zapisywany w tabeli </w:t>
      </w:r>
      <w:r>
        <w:rPr>
          <w:rFonts w:ascii="Consolas" w:hAnsi="Consolas" w:cs="Consolas"/>
          <w:b w:val="0"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 xml:space="preserve"> w postaci pełnego rekordu wraz z migawką odpowiedzi. Encja </w:t>
      </w:r>
      <w:r>
        <w:rPr>
          <w:rFonts w:ascii="Consolas" w:hAnsi="Consolas" w:cs="Consolas"/>
          <w:b w:val="0"/>
          <w:i w:val="0"/>
          <w:sz w:val="20"/>
        </w:rPr>
        <w:t>AssessmentResult</w:t>
      </w:r>
      <w:r>
        <w:rPr>
          <w:rFonts w:ascii="Verdana" w:hAnsi="Verdana" w:cs="Verdana"/>
          <w:b w:val="0"/>
          <w:i w:val="0"/>
          <w:sz w:val="20"/>
        </w:rPr>
        <w:t xml:space="preserve"> zawiera identyfikator użytkownika, identyfikator przypisania (z ograniczeniem unikalności pary </w:t>
      </w:r>
      <w:r>
        <w:rPr>
          <w:rFonts w:ascii="Consolas" w:hAnsi="Consolas" w:cs="Consolas"/>
          <w:b w:val="0"/>
          <w:i w:val="0"/>
          <w:sz w:val="20"/>
        </w:rPr>
        <w:t>userId + assignmentId</w:t>
      </w:r>
      <w:r>
        <w:rPr>
          <w:rFonts w:ascii="Verdana" w:hAnsi="Verdana" w:cs="Verdana"/>
          <w:b w:val="0"/>
          <w:i w:val="0"/>
          <w:sz w:val="20"/>
        </w:rPr>
        <w:t xml:space="preserve"> uniemożliwiającym dwukrotne wypełnienie tego samego przypisania), identyfikator testu, surowy wynik, znormalizowany wynik, etykietę nasilenia, mapę flag ryzyka oraz </w:t>
      </w:r>
      <w:r>
        <w:rPr>
          <w:rFonts w:ascii="Verdana" w:hAnsi="Verdana" w:cs="Verdana"/>
          <w:b/>
          <w:i w:val="0"/>
          <w:sz w:val="20"/>
        </w:rPr>
        <w:t>migawkę odpowiedzi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answersSnapshot</w:t>
      </w:r>
      <w:r>
        <w:rPr>
          <w:rFonts w:ascii="Verdana" w:hAnsi="Verdana" w:cs="Verdana"/>
          <w:b w:val="0"/>
          <w:i w:val="0"/>
          <w:sz w:val="20"/>
        </w:rPr>
        <w:t xml:space="preserve">) w polu typu JSON. Migawka przechowuje wartości odpowiedzi wraz z tematami domenowymi pytań, dzięki czemu wynik historyczny może być poprawnie zinterpretowany nawet po zmianie definicji testu lub usunięciu pytania. Jest to praktyczna realizacja zasady </w:t>
      </w:r>
      <w:r>
        <w:rPr>
          <w:rFonts w:ascii="Verdana" w:hAnsi="Verdana" w:cs="Verdana"/>
          <w:b w:val="0"/>
          <w:i/>
          <w:sz w:val="20"/>
        </w:rPr>
        <w:t>immutable audit trail</w:t>
      </w:r>
      <w:r>
        <w:rPr>
          <w:rFonts w:ascii="Verdana" w:hAnsi="Verdana" w:cs="Verdana"/>
          <w:b w:val="0"/>
          <w:i w:val="0"/>
          <w:sz w:val="20"/>
        </w:rPr>
        <w:t xml:space="preserve"> — wynik raz zapisany nie jest zależny od stanu definicji w przyszłości.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4.37 ]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backend-api/src/modules/results/entities/assessment-result.entity.ts</w:t>
      </w:r>
      <w:r>
        <w:rPr>
          <w:rFonts w:ascii="Verdana" w:hAnsi="Verdana" w:cs="Verdana"/>
          <w:b w:val="0"/>
          <w:i w:val="0"/>
          <w:sz w:val="20"/>
        </w:rPr>
        <w:t xml:space="preserve">   Linie: 1–48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4.37. Encja AssessmentResult z migawką odpowiedzi i flagami ryzyka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4.37 pokazuje encję AssessmentResult. Ograniczenie Unique([userId, assignmentId]) wymusza na poziomie bazy danych unikalność wypełnienia pojedynczego przypisania przez użytkownika — stanowi to drugą linię obrony przed duplikatami, niezależną od kontroli aplikacyjnej. Pola riskFlags i answersSnapshot mają typ JSON, co umożliwia elastyczne przechowywanie danych o różnej strukturze dla różnych typów testów.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modułu psychometrycznego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Moduł testów psychologicznych w MoodFlow łączy klinicznie walidowane narzędzia (PHQ-9, GAD-7, PSS-10, WHO-5) z prostą, ale kompletną implementacją techniczną. Definicje testów są umieszczone w kodzie źródłowym w postaci pliku seed, co zabezpiecza ich integralność psychometryczną. Przyjmowanie odpowiedzi przechodzi przez ośmioetapową walidację obejmującą izolację multi-tenant, okno czasowe, uprawnienia per typ przypisania i zapobieganie duplikatom. Algorytm obliczania wyników wykorzystuje wzorzec strategii wybieranej po kodzie testu, a każda strategia hermetyzuje progi nasilenia, transformacje pytań odwracanych, normalizację skali oraz wykrywanie flag ryzyka. Najbardziej krytyczna z flag — </w:t>
      </w:r>
      <w:r>
        <w:rPr>
          <w:rFonts w:ascii="Consolas" w:hAnsi="Consolas" w:cs="Consolas"/>
          <w:b w:val="0"/>
          <w:i w:val="0"/>
          <w:sz w:val="20"/>
        </w:rPr>
        <w:t>selfHarmRiskFlag</w:t>
      </w:r>
      <w:r>
        <w:rPr>
          <w:rFonts w:ascii="Verdana" w:hAnsi="Verdana" w:cs="Verdana"/>
          <w:b w:val="0"/>
          <w:i w:val="0"/>
          <w:sz w:val="20"/>
        </w:rPr>
        <w:t xml:space="preserve"> aktywowana niezerową odpowiedzią na dziewiąte pytanie PHQ-9 — uruchamia odrębną ścieżkę reakcji w interfejsie pracownika oraz cichy alert w panelu HR, z zachowaniem anonimizacji identyfikatora osoby w widokach zbiorczych. Wynik testu jest zapisywany w postaci niezmiennej migawki, co umożliwia rzetelną interpretację historyczną nawet po zmianie definicji testu w przyszłości.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