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160" w:after="160"/>
      </w:pPr>
      <w:r>
        <w:rPr>
          <w:rFonts w:ascii="Verdana" w:hAnsi="Verdana" w:cs="Verdana"/>
          <w:b/>
          <w:i w:val="0"/>
          <w:sz w:val="24"/>
        </w:rPr>
        <w:t>4.8. Anonimizacja danych i raporty HR — agregacja i k-anonymity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System MoodFlow operuje na danych wrażliwych dotyczących dobrostanu psychicznego pracowników. Z tego powodu projekt od samego początku zakłada, że </w:t>
      </w:r>
      <w:r>
        <w:rPr>
          <w:rFonts w:ascii="Verdana" w:hAnsi="Verdana" w:cs="Verdana"/>
          <w:b/>
          <w:i w:val="0"/>
          <w:sz w:val="20"/>
        </w:rPr>
        <w:t>panel HR nigdy nie prezentuje wyników indywidualnych</w:t>
      </w:r>
      <w:r>
        <w:rPr>
          <w:rFonts w:ascii="Verdana" w:hAnsi="Verdana" w:cs="Verdana"/>
          <w:b w:val="0"/>
          <w:i w:val="0"/>
          <w:sz w:val="20"/>
        </w:rPr>
        <w:t xml:space="preserve"> — wszystkie dane analityczne dostępne dla działu kadr są agregowane i poddane mechanizmom anonimizacji uniemożliwiającym identyfikację konkretnej osoby. Założenie to wynika zarówno z dobrych praktyk inżynierii bezpieczeństwa danych, jak i z zasad zapisanych w wewnętrznym dokumencie projektowym </w:t>
      </w:r>
      <w:r>
        <w:rPr>
          <w:rFonts w:ascii="Consolas" w:hAnsi="Consolas" w:cs="Consolas"/>
          <w:b w:val="0"/>
          <w:i w:val="0"/>
          <w:sz w:val="20"/>
        </w:rPr>
        <w:t>RULES.md</w:t>
      </w:r>
      <w:r>
        <w:rPr>
          <w:rFonts w:ascii="Verdana" w:hAnsi="Verdana" w:cs="Verdana"/>
          <w:b w:val="0"/>
          <w:i w:val="0"/>
          <w:sz w:val="20"/>
        </w:rPr>
        <w:t xml:space="preserve"> (punkt 12: „dane HR muszą być zagregowane i anonimowe"). Naruszenie tej zasady oznaczałoby utratę zaufania pracowników do platformy oraz potencjalne ryzyko prawne związane z przetwarzaniem danych szczególnej kategorii w rozumieniu RODO.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Realizację warstwy anonimizacji oparto na trzech niezależnych filarach: </w:t>
      </w:r>
      <w:r>
        <w:rPr>
          <w:rFonts w:ascii="Verdana" w:hAnsi="Verdana" w:cs="Verdana"/>
          <w:b/>
          <w:i w:val="0"/>
          <w:sz w:val="20"/>
        </w:rPr>
        <w:t>kontroli dostępu</w:t>
      </w:r>
      <w:r>
        <w:rPr>
          <w:rFonts w:ascii="Verdana" w:hAnsi="Verdana" w:cs="Verdana"/>
          <w:b w:val="0"/>
          <w:i w:val="0"/>
          <w:sz w:val="20"/>
        </w:rPr>
        <w:t xml:space="preserve"> (uprawnienia per rola wymuszane na poziomie kontrolera HTTP), </w:t>
      </w:r>
      <w:r>
        <w:rPr>
          <w:rFonts w:ascii="Verdana" w:hAnsi="Verdana" w:cs="Verdana"/>
          <w:b/>
          <w:i w:val="0"/>
          <w:sz w:val="20"/>
        </w:rPr>
        <w:t>agregacji statystycznej</w:t>
      </w:r>
      <w:r>
        <w:rPr>
          <w:rFonts w:ascii="Verdana" w:hAnsi="Verdana" w:cs="Verdana"/>
          <w:b w:val="0"/>
          <w:i w:val="0"/>
          <w:sz w:val="20"/>
        </w:rPr>
        <w:t xml:space="preserve"> (każdy endpoint analityczny zwraca wyłącznie zbiorcze metryki, nigdy listy konkretnych pracowników wraz z wynikami) oraz </w:t>
      </w:r>
      <w:r>
        <w:rPr>
          <w:rFonts w:ascii="Verdana" w:hAnsi="Verdana" w:cs="Verdana"/>
          <w:b/>
          <w:i w:val="0"/>
          <w:sz w:val="20"/>
        </w:rPr>
        <w:t>k-anonymity</w:t>
      </w:r>
      <w:r>
        <w:rPr>
          <w:rFonts w:ascii="Verdana" w:hAnsi="Verdana" w:cs="Verdana"/>
          <w:b w:val="0"/>
          <w:i w:val="0"/>
          <w:sz w:val="20"/>
        </w:rPr>
        <w:t xml:space="preserve"> (maskowania wyników dla grup mniejszych niż próg minimalnej liczebności). Każdy z filarów działa niezależnie, ale dopiero ich łączna obecność realizuje pełen wymóg ochrony danych.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Filar pierwszy — kontrola dostępu rolami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Wszystkie endpointy analityczne są umieszczone pod prefiksem </w:t>
      </w:r>
      <w:r>
        <w:rPr>
          <w:rFonts w:ascii="Consolas" w:hAnsi="Consolas" w:cs="Consolas"/>
          <w:b w:val="0"/>
          <w:i w:val="0"/>
          <w:sz w:val="20"/>
        </w:rPr>
        <w:t>/analytics</w:t>
      </w:r>
      <w:r>
        <w:rPr>
          <w:rFonts w:ascii="Verdana" w:hAnsi="Verdana" w:cs="Verdana"/>
          <w:b w:val="0"/>
          <w:i w:val="0"/>
          <w:sz w:val="20"/>
        </w:rPr>
        <w:t xml:space="preserve"> i chronione dwoma strażnikami: </w:t>
      </w:r>
      <w:r>
        <w:rPr>
          <w:rFonts w:ascii="Consolas" w:hAnsi="Consolas" w:cs="Consolas"/>
          <w:b w:val="0"/>
          <w:i w:val="0"/>
          <w:sz w:val="20"/>
        </w:rPr>
        <w:t>JwtAuthGuard</w:t>
      </w:r>
      <w:r>
        <w:rPr>
          <w:rFonts w:ascii="Verdana" w:hAnsi="Verdana" w:cs="Verdana"/>
          <w:b w:val="0"/>
          <w:i w:val="0"/>
          <w:sz w:val="20"/>
        </w:rPr>
        <w:t xml:space="preserve"> (wymóg posiadania ważnego tokena dostępu) oraz </w:t>
      </w:r>
      <w:r>
        <w:rPr>
          <w:rFonts w:ascii="Consolas" w:hAnsi="Consolas" w:cs="Consolas"/>
          <w:b w:val="0"/>
          <w:i w:val="0"/>
          <w:sz w:val="20"/>
        </w:rPr>
        <w:t>RolesGuard</w:t>
      </w:r>
      <w:r>
        <w:rPr>
          <w:rFonts w:ascii="Verdana" w:hAnsi="Verdana" w:cs="Verdana"/>
          <w:b w:val="0"/>
          <w:i w:val="0"/>
          <w:sz w:val="20"/>
        </w:rPr>
        <w:t xml:space="preserve"> (wymóg posiadania konkretnej roli). Dekorator </w:t>
      </w:r>
      <w:r>
        <w:rPr>
          <w:rFonts w:ascii="Consolas" w:hAnsi="Consolas" w:cs="Consolas"/>
          <w:b w:val="0"/>
          <w:i w:val="0"/>
          <w:sz w:val="20"/>
        </w:rPr>
        <w:t>@Roles(Role.HR, Role.ADMIN)</w:t>
      </w:r>
      <w:r>
        <w:rPr>
          <w:rFonts w:ascii="Verdana" w:hAnsi="Verdana" w:cs="Verdana"/>
          <w:b w:val="0"/>
          <w:i w:val="0"/>
          <w:sz w:val="20"/>
        </w:rPr>
        <w:t xml:space="preserve"> ogranicza dostęp do dwóch ról: pracownika działu kadr oraz administratora firmy. Pracownik o roli </w:t>
      </w:r>
      <w:r>
        <w:rPr>
          <w:rFonts w:ascii="Verdana" w:hAnsi="Verdana" w:cs="Verdana"/>
          <w:b w:val="0"/>
          <w:i/>
          <w:sz w:val="20"/>
        </w:rPr>
        <w:t>EMPLOYEE</w:t>
      </w:r>
      <w:r>
        <w:rPr>
          <w:rFonts w:ascii="Verdana" w:hAnsi="Verdana" w:cs="Verdana"/>
          <w:b w:val="0"/>
          <w:i w:val="0"/>
          <w:sz w:val="20"/>
        </w:rPr>
        <w:t xml:space="preserve"> z ważnym tokenem otrzyma odpowiedź </w:t>
      </w:r>
      <w:r>
        <w:rPr>
          <w:rFonts w:ascii="Consolas" w:hAnsi="Consolas" w:cs="Consolas"/>
          <w:b w:val="0"/>
          <w:i w:val="0"/>
          <w:sz w:val="20"/>
        </w:rPr>
        <w:t>403 Forbidden</w:t>
      </w:r>
      <w:r>
        <w:rPr>
          <w:rFonts w:ascii="Verdana" w:hAnsi="Verdana" w:cs="Verdana"/>
          <w:b w:val="0"/>
          <w:i w:val="0"/>
          <w:sz w:val="20"/>
        </w:rPr>
        <w:t xml:space="preserve"> niezależnie od żądanej ścieżki w obrębie </w:t>
      </w:r>
      <w:r>
        <w:rPr>
          <w:rFonts w:ascii="Consolas" w:hAnsi="Consolas" w:cs="Consolas"/>
          <w:b w:val="0"/>
          <w:i w:val="0"/>
          <w:sz w:val="20"/>
        </w:rPr>
        <w:t>/analytics</w:t>
      </w:r>
      <w:r>
        <w:rPr>
          <w:rFonts w:ascii="Verdana" w:hAnsi="Verdana" w:cs="Verdana"/>
          <w:b w:val="0"/>
          <w:i w:val="0"/>
          <w:sz w:val="20"/>
        </w:rPr>
        <w:t>. Strażnicy są deklarowane na poziomie klasy kontrolera, dzięki czemu obowiązują automatycznie dla wszystkich jedenastu endpointów modułu — nie ma możliwości przypadkowego pominięcia kontroli dla nowo dodanego endpointu.</w:t>
      </w:r>
    </w:p>
    <w:p>
      <w:pPr>
        <w:spacing w:line="276" w:lineRule="auto" w:before="160" w:after="40"/>
        <w:jc w:val="center"/>
      </w:pPr>
      <w:r>
        <w:rPr>
          <w:rFonts w:ascii="Verdana" w:hAnsi="Verdana" w:cs="Verdana"/>
          <w:b/>
          <w:i/>
          <w:sz w:val="20"/>
        </w:rPr>
        <w:t>[ TUTAJ WSTAW ZRZUT EKRANU KODU — Listing 4.38 ]</w:t>
      </w:r>
    </w:p>
    <w:p>
      <w:pPr>
        <w:spacing w:line="276" w:lineRule="auto" w:before="0" w:after="40"/>
        <w:jc w:val="center"/>
      </w:pPr>
      <w:r>
        <w:rPr>
          <w:rFonts w:ascii="Verdana" w:hAnsi="Verdana" w:cs="Verdana"/>
          <w:b w:val="0"/>
          <w:i w:val="0"/>
          <w:sz w:val="20"/>
        </w:rPr>
        <w:t xml:space="preserve">Plik: </w:t>
      </w:r>
      <w:r>
        <w:rPr>
          <w:rFonts w:ascii="Consolas" w:hAnsi="Consolas" w:cs="Consolas"/>
          <w:b w:val="0"/>
          <w:i w:val="0"/>
          <w:sz w:val="20"/>
        </w:rPr>
        <w:t>backend-api/src/modules/analytics/analytics.controller.ts</w:t>
      </w:r>
      <w:r>
        <w:rPr>
          <w:rFonts w:ascii="Verdana" w:hAnsi="Verdana" w:cs="Verdana"/>
          <w:b w:val="0"/>
          <w:i w:val="0"/>
          <w:sz w:val="20"/>
        </w:rPr>
        <w:t xml:space="preserve">   Linie: 1–72</w:t>
      </w:r>
    </w:p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Listing 4.38. Kontroler analytics z deklaratywną kontrolą dostępu rolami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Listing 4.38 prezentuje pełen kontroler analytics. Każdy endpoint pobiera identyfikator organizacji z obiektu request.user (wstrzykniętego przez JwtAuthGuard z payload tokena JWT) i przekazuje go do serwisu jako pierwszy argument. Dzięki temu serwis nie ma dostępu do tożsamości wywołującego — operuje wyłącznie na identyfikatorze organizacji, którego dane może agregować. Wzorzec ten realizuje zasadę najmniejszych uprawnień na poziomie warstwy biznesowej.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Filar drugi — agregacje SQL i izolacja multi-tenant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Druga warstwa ochrony polega na tym, że żaden endpoint analityczny nie zwraca listy indywidualnych wyników — wszystkie zapytania używają funkcji agregujących SQL (</w:t>
      </w:r>
      <w:r>
        <w:rPr>
          <w:rFonts w:ascii="Consolas" w:hAnsi="Consolas" w:cs="Consolas"/>
          <w:b w:val="0"/>
          <w:i w:val="0"/>
          <w:sz w:val="20"/>
        </w:rPr>
        <w:t>AVG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COUNT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COUNT DISTINCT</w:t>
      </w:r>
      <w:r>
        <w:rPr>
          <w:rFonts w:ascii="Verdana" w:hAnsi="Verdana" w:cs="Verdana"/>
          <w:b w:val="0"/>
          <w:i w:val="0"/>
          <w:sz w:val="20"/>
        </w:rPr>
        <w:t xml:space="preserve">) z klauzulą </w:t>
      </w:r>
      <w:r>
        <w:rPr>
          <w:rFonts w:ascii="Consolas" w:hAnsi="Consolas" w:cs="Consolas"/>
          <w:b w:val="0"/>
          <w:i w:val="0"/>
          <w:sz w:val="20"/>
        </w:rPr>
        <w:t>GROUP BY</w:t>
      </w:r>
      <w:r>
        <w:rPr>
          <w:rFonts w:ascii="Verdana" w:hAnsi="Verdana" w:cs="Verdana"/>
          <w:b w:val="0"/>
          <w:i w:val="0"/>
          <w:sz w:val="20"/>
        </w:rPr>
        <w:t xml:space="preserve"> grupującą dane po działach lub okresach tygodniowych. Każde zapytanie obowiązkowo zawiera filtr </w:t>
      </w:r>
      <w:r>
        <w:rPr>
          <w:rFonts w:ascii="Consolas" w:hAnsi="Consolas" w:cs="Consolas"/>
          <w:b w:val="0"/>
          <w:i w:val="0"/>
          <w:sz w:val="20"/>
        </w:rPr>
        <w:t>WHERE u.organizationId = :organizationId</w:t>
      </w:r>
      <w:r>
        <w:rPr>
          <w:rFonts w:ascii="Verdana" w:hAnsi="Verdana" w:cs="Verdana"/>
          <w:b w:val="0"/>
          <w:i w:val="0"/>
          <w:sz w:val="20"/>
        </w:rPr>
        <w:t xml:space="preserve"> — dane są zawsze ograniczone do organizacji wywołującego, co realizuje izolację multi-tenant opisaną w rozdziale 4.4. Dodatkowo wszystkie agregacje są ograniczone do użytkowników o roli </w:t>
      </w:r>
      <w:r>
        <w:rPr>
          <w:rFonts w:ascii="Verdana" w:hAnsi="Verdana" w:cs="Verdana"/>
          <w:b w:val="0"/>
          <w:i/>
          <w:sz w:val="20"/>
        </w:rPr>
        <w:t>EMPLOYEE</w:t>
      </w:r>
      <w:r>
        <w:rPr>
          <w:rFonts w:ascii="Verdana" w:hAnsi="Verdana" w:cs="Verdana"/>
          <w:b w:val="0"/>
          <w:i w:val="0"/>
          <w:sz w:val="20"/>
        </w:rPr>
        <w:t xml:space="preserve"> i statusie </w:t>
      </w:r>
      <w:r>
        <w:rPr>
          <w:rFonts w:ascii="Verdana" w:hAnsi="Verdana" w:cs="Verdana"/>
          <w:b w:val="0"/>
          <w:i/>
          <w:sz w:val="20"/>
        </w:rPr>
        <w:t>ACTIVE</w:t>
      </w:r>
      <w:r>
        <w:rPr>
          <w:rFonts w:ascii="Verdana" w:hAnsi="Verdana" w:cs="Verdana"/>
          <w:b w:val="0"/>
          <w:i w:val="0"/>
          <w:sz w:val="20"/>
        </w:rPr>
        <w:t>, dzięki czemu konta administracyjne, oczekujące i zablokowane nie zniekształcają statystyk.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Reprezentatywnym przykładem są agregacje wykonywane przez metodę </w:t>
      </w:r>
      <w:r>
        <w:rPr>
          <w:rFonts w:ascii="Consolas" w:hAnsi="Consolas" w:cs="Consolas"/>
          <w:b w:val="0"/>
          <w:i w:val="0"/>
          <w:sz w:val="20"/>
        </w:rPr>
        <w:t>getDepartmentWellbeingLoad</w:t>
      </w:r>
      <w:r>
        <w:rPr>
          <w:rFonts w:ascii="Verdana" w:hAnsi="Verdana" w:cs="Verdana"/>
          <w:b w:val="0"/>
          <w:i w:val="0"/>
          <w:sz w:val="20"/>
        </w:rPr>
        <w:t xml:space="preserve"> obliczającą zbiorcze obciążenie psychiczne każdego działu. Zapytanie łączy tabelę wyników z tabelami testów i użytkowników, a następnie grupuje wyniki po dziale i kodzie testu, obliczając średni surowy wynik oraz liczbę unikalnych uczestników. Drugie, równoległe zapytanie wykonuje analogiczną agregację dla okresu poprzedniego (sprzed 14 dni) — pozwala to wyznaczyć trend (poprawa, pogorszenie, stabilny). Trzecie zapytanie zlicza całkowitą liczebność każdego działu, co jest niezbędne do późniejszego sprawdzenia progu k-anonymity.</w:t>
      </w:r>
    </w:p>
    <w:p>
      <w:pPr>
        <w:spacing w:line="276" w:lineRule="auto" w:before="160" w:after="40"/>
        <w:jc w:val="center"/>
      </w:pPr>
      <w:r>
        <w:rPr>
          <w:rFonts w:ascii="Verdana" w:hAnsi="Verdana" w:cs="Verdana"/>
          <w:b/>
          <w:i/>
          <w:sz w:val="20"/>
        </w:rPr>
        <w:t>[ TUTAJ WSTAW ZRZUT EKRANU KODU — Listing 4.39 ]</w:t>
      </w:r>
    </w:p>
    <w:p>
      <w:pPr>
        <w:spacing w:line="276" w:lineRule="auto" w:before="0" w:after="40"/>
        <w:jc w:val="center"/>
      </w:pPr>
      <w:r>
        <w:rPr>
          <w:rFonts w:ascii="Verdana" w:hAnsi="Verdana" w:cs="Verdana"/>
          <w:b w:val="0"/>
          <w:i w:val="0"/>
          <w:sz w:val="20"/>
        </w:rPr>
        <w:t xml:space="preserve">Plik: </w:t>
      </w:r>
      <w:r>
        <w:rPr>
          <w:rFonts w:ascii="Consolas" w:hAnsi="Consolas" w:cs="Consolas"/>
          <w:b w:val="0"/>
          <w:i w:val="0"/>
          <w:sz w:val="20"/>
        </w:rPr>
        <w:t>backend-api/src/modules/analytics/analytics.service.ts</w:t>
      </w:r>
      <w:r>
        <w:rPr>
          <w:rFonts w:ascii="Verdana" w:hAnsi="Verdana" w:cs="Verdana"/>
          <w:b w:val="0"/>
          <w:i w:val="0"/>
          <w:sz w:val="20"/>
        </w:rPr>
        <w:t xml:space="preserve">   Linie: 357–408</w:t>
      </w:r>
    </w:p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Listing 4.39. Agregacje SQL dla wskaźnika dobrostanu per dział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Listing 4.39 pokazuje trzy zapytania agregujące. Każde z nich jest filtrowane po organizationId, statusie ACTIVE i roli EMPLOYEE — bez tych warunków raport mógłby zawierać dane innych firm albo statystyki kont administracyjnych. Operator IN (...) ogranicza zapytanie do testów ujętych w konfiguracji wskaźnika dobrostanu (WHO5, PSS10, PHQ9, GAD7, MOOD10) — pozostałe testy nie wpływają na wskaźnik zbiorczy.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Filar trzeci — k-anonymity i próg minimalnej liczebności grupy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Najistotniejszym mechanizmem ochrony tożsamości jest </w:t>
      </w:r>
      <w:r>
        <w:rPr>
          <w:rFonts w:ascii="Verdana" w:hAnsi="Verdana" w:cs="Verdana"/>
          <w:b/>
          <w:i w:val="0"/>
          <w:sz w:val="20"/>
        </w:rPr>
        <w:t>k-anonymity</w:t>
      </w:r>
      <w:r>
        <w:rPr>
          <w:rFonts w:ascii="Verdana" w:hAnsi="Verdana" w:cs="Verdana"/>
          <w:b w:val="0"/>
          <w:i w:val="0"/>
          <w:sz w:val="20"/>
        </w:rPr>
        <w:t xml:space="preserve"> — koncepcja z dziedziny prywatności danych, zgodnie z którą każdy rekord w zbiorze publikowanym musi być nieodróżnialny od co najmniej </w:t>
      </w:r>
      <w:r>
        <w:rPr>
          <w:rFonts w:ascii="Verdana" w:hAnsi="Verdana" w:cs="Verdana"/>
          <w:b w:val="0"/>
          <w:i/>
          <w:sz w:val="20"/>
        </w:rPr>
        <w:t>k − 1</w:t>
      </w:r>
      <w:r>
        <w:rPr>
          <w:rFonts w:ascii="Verdana" w:hAnsi="Verdana" w:cs="Verdana"/>
          <w:b w:val="0"/>
          <w:i w:val="0"/>
          <w:sz w:val="20"/>
        </w:rPr>
        <w:t xml:space="preserve"> innych rekordów. W kontekście MoodFlow oznacza to, że jeśli dział liczy mniej niż </w:t>
      </w:r>
      <w:r>
        <w:rPr>
          <w:rFonts w:ascii="Consolas" w:hAnsi="Consolas" w:cs="Consolas"/>
          <w:b w:val="0"/>
          <w:i w:val="0"/>
          <w:sz w:val="20"/>
        </w:rPr>
        <w:t>MIN_GROUP_SIZE</w:t>
      </w:r>
      <w:r>
        <w:rPr>
          <w:rFonts w:ascii="Verdana" w:hAnsi="Verdana" w:cs="Verdana"/>
          <w:b w:val="0"/>
          <w:i w:val="0"/>
          <w:sz w:val="20"/>
        </w:rPr>
        <w:t xml:space="preserve"> aktywnych pracowników (próg ustawiony na </w:t>
      </w:r>
      <w:r>
        <w:rPr>
          <w:rFonts w:ascii="Verdana" w:hAnsi="Verdana" w:cs="Verdana"/>
          <w:b/>
          <w:i w:val="0"/>
          <w:sz w:val="20"/>
        </w:rPr>
        <w:t>5</w:t>
      </w:r>
      <w:r>
        <w:rPr>
          <w:rFonts w:ascii="Verdana" w:hAnsi="Verdana" w:cs="Verdana"/>
          <w:b w:val="0"/>
          <w:i w:val="0"/>
          <w:sz w:val="20"/>
        </w:rPr>
        <w:t>), wyniki zbiorcze tego działu nie są ujawniane — niezależnie od liczby uczestników, którzy faktycznie wypełnili test. Wartość 5 jest powszechnie stosowanym minimum w praktyce ochrony danych medycznych i wystarcza, by uniemożliwić identyfikację konkretnej osoby na podstawie pojedynczego wyniku zagregowanego (np. „średni wynik PHQ-9 w dziale liczącym 2 osoby" jest praktycznie tożsamy z indywidualnym wynikiem każdej z nich).</w:t>
      </w:r>
    </w:p>
    <w:p>
      <w:pPr>
        <w:spacing w:line="276" w:lineRule="auto" w:before="160" w:after="40"/>
        <w:jc w:val="center"/>
      </w:pPr>
      <w:r>
        <w:rPr>
          <w:rFonts w:ascii="Verdana" w:hAnsi="Verdana" w:cs="Verdana"/>
          <w:b/>
          <w:i/>
          <w:sz w:val="20"/>
        </w:rPr>
        <w:t>[ TUTAJ WSTAW ZRZUT EKRANU KODU — Listing 4.40 ]</w:t>
      </w:r>
    </w:p>
    <w:p>
      <w:pPr>
        <w:spacing w:line="276" w:lineRule="auto" w:before="0" w:after="40"/>
        <w:jc w:val="center"/>
      </w:pPr>
      <w:r>
        <w:rPr>
          <w:rFonts w:ascii="Verdana" w:hAnsi="Verdana" w:cs="Verdana"/>
          <w:b w:val="0"/>
          <w:i w:val="0"/>
          <w:sz w:val="20"/>
        </w:rPr>
        <w:t xml:space="preserve">Plik: </w:t>
      </w:r>
      <w:r>
        <w:rPr>
          <w:rFonts w:ascii="Consolas" w:hAnsi="Consolas" w:cs="Consolas"/>
          <w:b w:val="0"/>
          <w:i w:val="0"/>
          <w:sz w:val="20"/>
        </w:rPr>
        <w:t>backend-api/src/modules/analytics/analytics.service.ts</w:t>
      </w:r>
      <w:r>
        <w:rPr>
          <w:rFonts w:ascii="Verdana" w:hAnsi="Verdana" w:cs="Verdana"/>
          <w:b w:val="0"/>
          <w:i w:val="0"/>
          <w:sz w:val="20"/>
        </w:rPr>
        <w:t xml:space="preserve">   Linie: 10–25</w:t>
      </w:r>
    </w:p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Listing 4.40. Próg k-anonymity oraz konfiguracja indeksu dobrostanu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Listing 4.40 prezentuje stałą MIN_GROUP_SIZE wraz z funkcją meetsThreshold oraz konfigurację wag indeksu dobrostanu (WB_CONFIG). Komentarz w kodzie jawnie wskazuje powiązanie z punktem 12 dokumentu RULES.md, co stanowi praktykę zalecaną w pracy inżynierskiej — decyzje projektowe są jawnie dokumentowane w miejscu ich realizacji, a nie ukryte w intuicji autora.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Maskowanie wyników odbywa się w warstwie aplikacyjnej, </w:t>
      </w:r>
      <w:r>
        <w:rPr>
          <w:rFonts w:ascii="Verdana" w:hAnsi="Verdana" w:cs="Verdana"/>
          <w:b w:val="0"/>
          <w:i/>
          <w:sz w:val="20"/>
        </w:rPr>
        <w:t>po</w:t>
      </w:r>
      <w:r>
        <w:rPr>
          <w:rFonts w:ascii="Verdana" w:hAnsi="Verdana" w:cs="Verdana"/>
          <w:b w:val="0"/>
          <w:i w:val="0"/>
          <w:sz w:val="20"/>
        </w:rPr>
        <w:t xml:space="preserve"> wykonaniu zapytania SQL. Serwis </w:t>
      </w:r>
      <w:r>
        <w:rPr>
          <w:rFonts w:ascii="Consolas" w:hAnsi="Consolas" w:cs="Consolas"/>
          <w:b w:val="0"/>
          <w:i w:val="0"/>
          <w:sz w:val="20"/>
        </w:rPr>
        <w:t>AnalyticsService</w:t>
      </w:r>
      <w:r>
        <w:rPr>
          <w:rFonts w:ascii="Verdana" w:hAnsi="Verdana" w:cs="Verdana"/>
          <w:b w:val="0"/>
          <w:i w:val="0"/>
          <w:sz w:val="20"/>
        </w:rPr>
        <w:t xml:space="preserve"> przechodzi po każdym wierszu wyniku zbiorczego, sprawdza liczbę uczestników i jeśli próg nie został spełniony — ustawia konkretne wartości liczbowe na </w:t>
      </w:r>
      <w:r>
        <w:rPr>
          <w:rFonts w:ascii="Consolas" w:hAnsi="Consolas" w:cs="Consolas"/>
          <w:b w:val="0"/>
          <w:i w:val="0"/>
          <w:sz w:val="20"/>
        </w:rPr>
        <w:t>null</w:t>
      </w:r>
      <w:r>
        <w:rPr>
          <w:rFonts w:ascii="Verdana" w:hAnsi="Verdana" w:cs="Verdana"/>
          <w:b w:val="0"/>
          <w:i w:val="0"/>
          <w:sz w:val="20"/>
        </w:rPr>
        <w:t xml:space="preserve"> oraz dołącza flagę </w:t>
      </w:r>
      <w:r>
        <w:rPr>
          <w:rFonts w:ascii="Consolas" w:hAnsi="Consolas" w:cs="Consolas"/>
          <w:b w:val="0"/>
          <w:i w:val="0"/>
          <w:sz w:val="20"/>
        </w:rPr>
        <w:t>anonymized: true</w:t>
      </w:r>
      <w:r>
        <w:rPr>
          <w:rFonts w:ascii="Verdana" w:hAnsi="Verdana" w:cs="Verdana"/>
          <w:b w:val="0"/>
          <w:i w:val="0"/>
          <w:sz w:val="20"/>
        </w:rPr>
        <w:t xml:space="preserve">. Frontend wykrywa flagę i prezentuje użytkownikowi komunikat o niewystarczającej liczebności próby zamiast konkretnych liczb. Dzięki temu HR widzi, że dział istnieje i ile osób się znajduje w grupie (sama liczebność nie jest wrażliwa), ale nie poznaje konkretnych wyników. W panelu HR pole </w:t>
      </w:r>
      <w:r>
        <w:rPr>
          <w:rFonts w:ascii="Consolas" w:hAnsi="Consolas" w:cs="Consolas"/>
          <w:b w:val="0"/>
          <w:i w:val="0"/>
          <w:sz w:val="20"/>
        </w:rPr>
        <w:t>minGroupSize</w:t>
      </w:r>
      <w:r>
        <w:rPr>
          <w:rFonts w:ascii="Verdana" w:hAnsi="Verdana" w:cs="Verdana"/>
          <w:b w:val="0"/>
          <w:i w:val="0"/>
          <w:sz w:val="20"/>
        </w:rPr>
        <w:t xml:space="preserve"> jest dodatkowo eksponowane w komunikacie wyjaśniającym mechanizm — dzięki temu użytkownik nie czuje się zaskoczony ani oszukany przez „brakujące dane".</w:t>
      </w:r>
    </w:p>
    <w:p>
      <w:pPr>
        <w:spacing w:line="276" w:lineRule="auto" w:before="160" w:after="40"/>
        <w:jc w:val="center"/>
      </w:pPr>
      <w:r>
        <w:rPr>
          <w:rFonts w:ascii="Verdana" w:hAnsi="Verdana" w:cs="Verdana"/>
          <w:b/>
          <w:i/>
          <w:sz w:val="20"/>
        </w:rPr>
        <w:t>[ TUTAJ WSTAW ZRZUT EKRANU KODU — Listing 4.41 ]</w:t>
      </w:r>
    </w:p>
    <w:p>
      <w:pPr>
        <w:spacing w:line="276" w:lineRule="auto" w:before="0" w:after="40"/>
        <w:jc w:val="center"/>
      </w:pPr>
      <w:r>
        <w:rPr>
          <w:rFonts w:ascii="Verdana" w:hAnsi="Verdana" w:cs="Verdana"/>
          <w:b w:val="0"/>
          <w:i w:val="0"/>
          <w:sz w:val="20"/>
        </w:rPr>
        <w:t xml:space="preserve">Plik: </w:t>
      </w:r>
      <w:r>
        <w:rPr>
          <w:rFonts w:ascii="Consolas" w:hAnsi="Consolas" w:cs="Consolas"/>
          <w:b w:val="0"/>
          <w:i w:val="0"/>
          <w:sz w:val="20"/>
        </w:rPr>
        <w:t>backend-api/src/modules/analytics/analytics.service.ts</w:t>
      </w:r>
      <w:r>
        <w:rPr>
          <w:rFonts w:ascii="Verdana" w:hAnsi="Verdana" w:cs="Verdana"/>
          <w:b w:val="0"/>
          <w:i w:val="0"/>
          <w:sz w:val="20"/>
        </w:rPr>
        <w:t xml:space="preserve">   Linie: 209–245</w:t>
      </w:r>
    </w:p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Listing 4.41. Maskowanie wyników w getDepartmentStats z flagą anonymized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Listing 4.41 prezentuje pełną metodę getDepartmentStats. Po wykonaniu zapytania SQL agregującego wyniki per dział następuje iteracja, w której funkcja meetsThreshold decyduje o ujawnieniu średniej. W przypadku grup poniżej progu pole avgScore jest wyzerowane, a flaga anonymized ustawiona na true. Liczba uczestników (participantCount) jest zwracana zawsze — sama liczność nie jest danym wrażliwym i jest potrzebna HR, by rozumieć kontekst maskowania.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Identyczny mechanizm jest stosowany w metodzie </w:t>
      </w:r>
      <w:r>
        <w:rPr>
          <w:rFonts w:ascii="Consolas" w:hAnsi="Consolas" w:cs="Consolas"/>
          <w:b w:val="0"/>
          <w:i w:val="0"/>
          <w:sz w:val="20"/>
        </w:rPr>
        <w:t>getDepartmentWellbeingLoad</w:t>
      </w:r>
      <w:r>
        <w:rPr>
          <w:rFonts w:ascii="Verdana" w:hAnsi="Verdana" w:cs="Verdana"/>
          <w:b w:val="0"/>
          <w:i w:val="0"/>
          <w:sz w:val="20"/>
        </w:rPr>
        <w:t xml:space="preserve"> obliczającej wskaźnik dobrostanu per dział. Po zbudowaniu map agregowanych wyników z dwóch okresów następuje finalna obróbka, w której każdy dział jest przekształcany w obiekt wynikowy. Sprawdzenie liczebności poprzedza wywołanie funkcji </w:t>
      </w:r>
      <w:r>
        <w:rPr>
          <w:rFonts w:ascii="Consolas" w:hAnsi="Consolas" w:cs="Consolas"/>
          <w:b w:val="0"/>
          <w:i w:val="0"/>
          <w:sz w:val="20"/>
        </w:rPr>
        <w:t>calcWellbeingIndex</w:t>
      </w:r>
      <w:r>
        <w:rPr>
          <w:rFonts w:ascii="Verdana" w:hAnsi="Verdana" w:cs="Verdana"/>
          <w:b w:val="0"/>
          <w:i w:val="0"/>
          <w:sz w:val="20"/>
        </w:rPr>
        <w:t xml:space="preserve"> — w przypadku grup poniżej progu indeks pozostaje </w:t>
      </w:r>
      <w:r>
        <w:rPr>
          <w:rFonts w:ascii="Consolas" w:hAnsi="Consolas" w:cs="Consolas"/>
          <w:b w:val="0"/>
          <w:i w:val="0"/>
          <w:sz w:val="20"/>
        </w:rPr>
        <w:t>null</w:t>
      </w:r>
      <w:r>
        <w:rPr>
          <w:rFonts w:ascii="Verdana" w:hAnsi="Verdana" w:cs="Verdana"/>
          <w:b w:val="0"/>
          <w:i w:val="0"/>
          <w:sz w:val="20"/>
        </w:rPr>
        <w:t xml:space="preserve">, a trend ustawiany jest na </w:t>
      </w:r>
      <w:r>
        <w:rPr>
          <w:rFonts w:ascii="Verdana" w:hAnsi="Verdana" w:cs="Verdana"/>
          <w:b w:val="0"/>
          <w:i/>
          <w:sz w:val="20"/>
        </w:rPr>
        <w:t>no_data</w:t>
      </w:r>
      <w:r>
        <w:rPr>
          <w:rFonts w:ascii="Verdana" w:hAnsi="Verdana" w:cs="Verdana"/>
          <w:b w:val="0"/>
          <w:i w:val="0"/>
          <w:sz w:val="20"/>
        </w:rPr>
        <w:t xml:space="preserve"> (zamiast wartości liczbowej, która mogłaby ujawnić dane). Identyczny próg jest stosowany konsekwentnie w obu metodach analitycznych ujawniających dane per dział.</w:t>
      </w:r>
    </w:p>
    <w:p>
      <w:pPr>
        <w:spacing w:line="276" w:lineRule="auto" w:before="160" w:after="40"/>
        <w:jc w:val="center"/>
      </w:pPr>
      <w:r>
        <w:rPr>
          <w:rFonts w:ascii="Verdana" w:hAnsi="Verdana" w:cs="Verdana"/>
          <w:b/>
          <w:i/>
          <w:sz w:val="20"/>
        </w:rPr>
        <w:t>[ TUTAJ WSTAW ZRZUT EKRANU KODU — Listing 4.42 ]</w:t>
      </w:r>
    </w:p>
    <w:p>
      <w:pPr>
        <w:spacing w:line="276" w:lineRule="auto" w:before="0" w:after="40"/>
        <w:jc w:val="center"/>
      </w:pPr>
      <w:r>
        <w:rPr>
          <w:rFonts w:ascii="Verdana" w:hAnsi="Verdana" w:cs="Verdana"/>
          <w:b w:val="0"/>
          <w:i w:val="0"/>
          <w:sz w:val="20"/>
        </w:rPr>
        <w:t xml:space="preserve">Plik: </w:t>
      </w:r>
      <w:r>
        <w:rPr>
          <w:rFonts w:ascii="Consolas" w:hAnsi="Consolas" w:cs="Consolas"/>
          <w:b w:val="0"/>
          <w:i w:val="0"/>
          <w:sz w:val="20"/>
        </w:rPr>
        <w:t>backend-api/src/modules/analytics/analytics.service.ts</w:t>
      </w:r>
      <w:r>
        <w:rPr>
          <w:rFonts w:ascii="Verdana" w:hAnsi="Verdana" w:cs="Verdana"/>
          <w:b w:val="0"/>
          <w:i w:val="0"/>
          <w:sz w:val="20"/>
        </w:rPr>
        <w:t xml:space="preserve">   Linie: 438–462</w:t>
      </w:r>
    </w:p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Listing 4.42. Anonimizacja wskaźnika dobrostanu i klasyfikacja trendu per dział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Listing 4.42 pokazuje finalną obróbkę danych w metodzie getDepartmentWellbeingLoad. Funkcja meetsThreshold jest wywoływana przed obliczeniem indeksu dobrostanu, dzięki czemu nawet liczby pośrednie (norm, contribution) nigdy nie są wyliczane dla grup poniżej progu. Klasyfikacja trendu używa progu ±5 punktów wskaźnika — drobne wahania w przedziale ±5 są klasyfikowane jako stabilne, co eliminuje fałszywe alarmy wynikające z naturalnej wariancji wyników.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Wskaźnik dobrostanu jako wskaźnik zbiorczy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Centralnym wskaźnikiem prezentowanym na dashboardzie HR jest </w:t>
      </w:r>
      <w:r>
        <w:rPr>
          <w:rFonts w:ascii="Verdana" w:hAnsi="Verdana" w:cs="Verdana"/>
          <w:b/>
          <w:i w:val="0"/>
          <w:sz w:val="20"/>
        </w:rPr>
        <w:t>wskaźnik dobrostanu</w:t>
      </w:r>
      <w:r>
        <w:rPr>
          <w:rFonts w:ascii="Verdana" w:hAnsi="Verdana" w:cs="Verdana"/>
          <w:b w:val="0"/>
          <w:i w:val="0"/>
          <w:sz w:val="20"/>
        </w:rPr>
        <w:t xml:space="preserve"> (</w:t>
      </w:r>
      <w:r>
        <w:rPr>
          <w:rFonts w:ascii="Consolas" w:hAnsi="Consolas" w:cs="Consolas"/>
          <w:b w:val="0"/>
          <w:i w:val="0"/>
          <w:sz w:val="20"/>
        </w:rPr>
        <w:t>wellbeingIndex</w:t>
      </w:r>
      <w:r>
        <w:rPr>
          <w:rFonts w:ascii="Verdana" w:hAnsi="Verdana" w:cs="Verdana"/>
          <w:b w:val="0"/>
          <w:i w:val="0"/>
          <w:sz w:val="20"/>
        </w:rPr>
        <w:t xml:space="preserve">) — pojedyncza liczba w skali 0–100 podsumowująca pięć kluczowych testów psychometrycznych z odpowiednimi wagami: WHO-5 (30 %, kierunek pozytywny), PSS-10 (20 %, kierunek odwrócony), PHQ-9 (20 %, odwrócony), GAD-7 (15 %, odwrócony) oraz MOOD10 (15 %, pozytywny). Konfiguracja wag jest umieszczona w stałej </w:t>
      </w:r>
      <w:r>
        <w:rPr>
          <w:rFonts w:ascii="Consolas" w:hAnsi="Consolas" w:cs="Consolas"/>
          <w:b w:val="0"/>
          <w:i w:val="0"/>
          <w:sz w:val="20"/>
        </w:rPr>
        <w:t>WB_CONFIG</w:t>
      </w:r>
      <w:r>
        <w:rPr>
          <w:rFonts w:ascii="Verdana" w:hAnsi="Verdana" w:cs="Verdana"/>
          <w:b w:val="0"/>
          <w:i w:val="0"/>
          <w:sz w:val="20"/>
        </w:rPr>
        <w:t xml:space="preserve"> wspólnej dla całego serwisu i identycznej z konfiguracją w </w:t>
      </w:r>
      <w:r>
        <w:rPr>
          <w:rFonts w:ascii="Consolas" w:hAnsi="Consolas" w:cs="Consolas"/>
          <w:b w:val="0"/>
          <w:i w:val="0"/>
          <w:sz w:val="20"/>
        </w:rPr>
        <w:t>ResultsService</w:t>
      </w:r>
      <w:r>
        <w:rPr>
          <w:rFonts w:ascii="Verdana" w:hAnsi="Verdana" w:cs="Verdana"/>
          <w:b w:val="0"/>
          <w:i w:val="0"/>
          <w:sz w:val="20"/>
        </w:rPr>
        <w:t xml:space="preserve"> — dzięki temu wskaźnik osobisty pracownika i wskaźnik zbiorczy działu są wyliczane tym samym algorytmem, co zapewnia spójność interpretacyjną. Funkcja </w:t>
      </w:r>
      <w:r>
        <w:rPr>
          <w:rFonts w:ascii="Consolas" w:hAnsi="Consolas" w:cs="Consolas"/>
          <w:b w:val="0"/>
          <w:i w:val="0"/>
          <w:sz w:val="20"/>
        </w:rPr>
        <w:t>calcWellbeingIndex</w:t>
      </w:r>
      <w:r>
        <w:rPr>
          <w:rFonts w:ascii="Verdana" w:hAnsi="Verdana" w:cs="Verdana"/>
          <w:b w:val="0"/>
          <w:i w:val="0"/>
          <w:sz w:val="20"/>
        </w:rPr>
        <w:t xml:space="preserve"> normalizuje surowe wyniki każdego testu do skali 0–100, odwraca te o kierunku negatywnym i wylicza średnią ważoną. Wskaźnik nie jest wyliczany, jeśli dział nie spełnia progu k-anonymity — w takim przypadku zwracany jest </w:t>
      </w:r>
      <w:r>
        <w:rPr>
          <w:rFonts w:ascii="Consolas" w:hAnsi="Consolas" w:cs="Consolas"/>
          <w:b w:val="0"/>
          <w:i w:val="0"/>
          <w:sz w:val="20"/>
        </w:rPr>
        <w:t>null</w:t>
      </w:r>
      <w:r>
        <w:rPr>
          <w:rFonts w:ascii="Verdana" w:hAnsi="Verdana" w:cs="Verdana"/>
          <w:b w:val="0"/>
          <w:i w:val="0"/>
          <w:sz w:val="20"/>
        </w:rPr>
        <w:t xml:space="preserve"> i flaga </w:t>
      </w:r>
      <w:r>
        <w:rPr>
          <w:rFonts w:ascii="Consolas" w:hAnsi="Consolas" w:cs="Consolas"/>
          <w:b w:val="0"/>
          <w:i w:val="0"/>
          <w:sz w:val="20"/>
        </w:rPr>
        <w:t>anonymized</w:t>
      </w:r>
      <w:r>
        <w:rPr>
          <w:rFonts w:ascii="Verdana" w:hAnsi="Verdana" w:cs="Verdana"/>
          <w:b w:val="0"/>
          <w:i w:val="0"/>
          <w:sz w:val="20"/>
        </w:rPr>
        <w:t>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Świadome ograniczenia i kierunki dalszego rozwoju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Architektura modułu raportowego została celowo zachowana w prostocie odpowiadającej skali projektu inżynierskiego. Świadomie nie wprowadzono kilku elementów, które byłyby wskazane w środowisku produkcyjnym o większej skali: </w:t>
      </w:r>
      <w:r>
        <w:rPr>
          <w:rFonts w:ascii="Verdana" w:hAnsi="Verdana" w:cs="Verdana"/>
          <w:b/>
          <w:i w:val="0"/>
          <w:sz w:val="20"/>
        </w:rPr>
        <w:t>automatycznych alertów</w:t>
      </w:r>
      <w:r>
        <w:rPr>
          <w:rFonts w:ascii="Verdana" w:hAnsi="Verdana" w:cs="Verdana"/>
          <w:b w:val="0"/>
          <w:i w:val="0"/>
          <w:sz w:val="20"/>
        </w:rPr>
        <w:t xml:space="preserve"> wysyłanych do działu HR przy nagłym wzroście udziału wyników o nasileniu ciężkim, </w:t>
      </w:r>
      <w:r>
        <w:rPr>
          <w:rFonts w:ascii="Verdana" w:hAnsi="Verdana" w:cs="Verdana"/>
          <w:b/>
          <w:i w:val="0"/>
          <w:sz w:val="20"/>
        </w:rPr>
        <w:t>audytu dostępu do raportów</w:t>
      </w:r>
      <w:r>
        <w:rPr>
          <w:rFonts w:ascii="Verdana" w:hAnsi="Verdana" w:cs="Verdana"/>
          <w:b w:val="0"/>
          <w:i w:val="0"/>
          <w:sz w:val="20"/>
        </w:rPr>
        <w:t xml:space="preserve"> (każde wywołanie endpointu analitycznego logowane do tabeli </w:t>
      </w:r>
      <w:r>
        <w:rPr>
          <w:rFonts w:ascii="Consolas" w:hAnsi="Consolas" w:cs="Consolas"/>
          <w:b w:val="0"/>
          <w:i w:val="0"/>
          <w:sz w:val="20"/>
        </w:rPr>
        <w:t>audit_logs</w:t>
      </w:r>
      <w:r>
        <w:rPr>
          <w:rFonts w:ascii="Verdana" w:hAnsi="Verdana" w:cs="Verdana"/>
          <w:b w:val="0"/>
          <w:i w:val="0"/>
          <w:sz w:val="20"/>
        </w:rPr>
        <w:t xml:space="preserve">), oraz </w:t>
      </w:r>
      <w:r>
        <w:rPr>
          <w:rFonts w:ascii="Verdana" w:hAnsi="Verdana" w:cs="Verdana"/>
          <w:b/>
          <w:i w:val="0"/>
          <w:sz w:val="20"/>
        </w:rPr>
        <w:t>różnicowej prywatności</w:t>
      </w:r>
      <w:r>
        <w:rPr>
          <w:rFonts w:ascii="Verdana" w:hAnsi="Verdana" w:cs="Verdana"/>
          <w:b w:val="0"/>
          <w:i w:val="0"/>
          <w:sz w:val="20"/>
        </w:rPr>
        <w:t xml:space="preserve"> (ang. </w:t>
      </w:r>
      <w:r>
        <w:rPr>
          <w:rFonts w:ascii="Verdana" w:hAnsi="Verdana" w:cs="Verdana"/>
          <w:b w:val="0"/>
          <w:i/>
          <w:sz w:val="20"/>
        </w:rPr>
        <w:t>differential privacy</w:t>
      </w:r>
      <w:r>
        <w:rPr>
          <w:rFonts w:ascii="Verdana" w:hAnsi="Verdana" w:cs="Verdana"/>
          <w:b w:val="0"/>
          <w:i w:val="0"/>
          <w:sz w:val="20"/>
        </w:rPr>
        <w:t>) — bardziej zaawansowanego mechanizmu dodawania kontrolowanego szumu do statystyk zbiorczych w celu uniemożliwienia ataków wnioskowania. Wszystkie te elementy są wymienione w sekcji „dalszego rozwoju systemu" jako naturalne kierunki rozszerzenia w przyszłości — w obecnym zakresie pracy inżynierskiej trzy zaimplementowane filary (kontrola dostępu, agregacja, k-anonymity) wystarczają do realizacji założeń projektowych.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Podsumowanie warstwy anonimizacji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Anonimizacja danych w panelu HR systemu MoodFlow jest realizowana w trzech komplementarnych warstwach: deklaratywną kontrolą dostępu rolami na poziomie kontrolera HTTP, agregacją SQL z obowiązkową izolacją multi-tenant w każdym zapytaniu oraz mechanizmem k-anonymity z progiem </w:t>
      </w:r>
      <w:r>
        <w:rPr>
          <w:rFonts w:ascii="Consolas" w:hAnsi="Consolas" w:cs="Consolas"/>
          <w:b w:val="0"/>
          <w:i w:val="0"/>
          <w:sz w:val="20"/>
        </w:rPr>
        <w:t>MIN_GROUP_SIZE = 5</w:t>
      </w:r>
      <w:r>
        <w:rPr>
          <w:rFonts w:ascii="Verdana" w:hAnsi="Verdana" w:cs="Verdana"/>
          <w:b w:val="0"/>
          <w:i w:val="0"/>
          <w:sz w:val="20"/>
        </w:rPr>
        <w:t xml:space="preserve"> maskującym wyniki dla grup poniżej minimalnej liczebności. Stała progu jest umieszczona w jednym, jawnie udokumentowanym miejscu w kodzie, dzięki czemu przyszła zmiana wartości (np. podniesienie do 10 dla większych organizacji) wymaga modyfikacji wyłącznie pojedynczej linii. Funkcja maskowania zwraca jawną flagę </w:t>
      </w:r>
      <w:r>
        <w:rPr>
          <w:rFonts w:ascii="Consolas" w:hAnsi="Consolas" w:cs="Consolas"/>
          <w:b w:val="0"/>
          <w:i w:val="0"/>
          <w:sz w:val="20"/>
        </w:rPr>
        <w:t>anonymized: true</w:t>
      </w:r>
      <w:r>
        <w:rPr>
          <w:rFonts w:ascii="Verdana" w:hAnsi="Verdana" w:cs="Verdana"/>
          <w:b w:val="0"/>
          <w:i w:val="0"/>
          <w:sz w:val="20"/>
        </w:rPr>
        <w:t xml:space="preserve"> wraz z polem </w:t>
      </w:r>
      <w:r>
        <w:rPr>
          <w:rFonts w:ascii="Consolas" w:hAnsi="Consolas" w:cs="Consolas"/>
          <w:b w:val="0"/>
          <w:i w:val="0"/>
          <w:sz w:val="20"/>
        </w:rPr>
        <w:t>minGroupSize</w:t>
      </w:r>
      <w:r>
        <w:rPr>
          <w:rFonts w:ascii="Verdana" w:hAnsi="Verdana" w:cs="Verdana"/>
          <w:b w:val="0"/>
          <w:i w:val="0"/>
          <w:sz w:val="20"/>
        </w:rPr>
        <w:t>, co umożliwia frontendowi pokazanie czytelnego komunikatu zamiast brakujących danych. W ten sposób MoodFlow realizuje kluczową zasadę projektową — dane indywidualnych pracowników nie są nigdy ujawniane działowi HR, niezależnie od tego, w jaki sposób użytkownik wykorzysta interfejs analityczny.</w:t>
      </w:r>
    </w:p>
    <w:sectPr w:rsidR="00FC693F" w:rsidRPr="0006063C" w:rsidSect="00034616">
      <w:pgSz w:w="11906" w:h="16838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