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5.3. Archiwizacja danych — przechowywanie, kopie zapasowe i zgodność z RODO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Archiwizacja danych w systemie operującym na informacjach o dobrostanie psychicznym pracowników jest zagadnieniem szczególnie wrażliwym. Przepisy ogólnego rozporządzenia o ochronie danych osobowych (RODO) klasyfikują dane dotyczące zdrowia jako </w:t>
      </w:r>
      <w:r>
        <w:rPr>
          <w:rFonts w:ascii="Verdana" w:hAnsi="Verdana" w:cs="Verdana"/>
          <w:b/>
          <w:i w:val="0"/>
          <w:sz w:val="20"/>
        </w:rPr>
        <w:t>dane szczególnej kategorii</w:t>
      </w:r>
      <w:r>
        <w:rPr>
          <w:rFonts w:ascii="Verdana" w:hAnsi="Verdana" w:cs="Verdana"/>
          <w:b w:val="0"/>
          <w:i w:val="0"/>
          <w:sz w:val="20"/>
        </w:rPr>
        <w:t xml:space="preserve"> (art. 9), wobec których stosuje się zaostrzone wymogi: minimalizacji, ograniczenia celu, ograniczenia przechowywania oraz integralności i poufności. W projekcie inżynierskim MoodFlow zagadnienie archiwizacji obejmuje cztery komplementarne obszary: </w:t>
      </w:r>
      <w:r>
        <w:rPr>
          <w:rFonts w:ascii="Verdana" w:hAnsi="Verdana" w:cs="Verdana"/>
          <w:b/>
          <w:i w:val="0"/>
          <w:sz w:val="20"/>
        </w:rPr>
        <w:t>miejsce przechowywania danych</w:t>
      </w:r>
      <w:r>
        <w:rPr>
          <w:rFonts w:ascii="Verdana" w:hAnsi="Verdana" w:cs="Verdana"/>
          <w:b w:val="0"/>
          <w:i w:val="0"/>
          <w:sz w:val="20"/>
        </w:rPr>
        <w:t xml:space="preserve"> (relacyjna baza PostgreSQL), </w:t>
      </w:r>
      <w:r>
        <w:rPr>
          <w:rFonts w:ascii="Verdana" w:hAnsi="Verdana" w:cs="Verdana"/>
          <w:b/>
          <w:i w:val="0"/>
          <w:sz w:val="20"/>
        </w:rPr>
        <w:t>mechanizm tworzenia kopii zapasowych</w:t>
      </w:r>
      <w:r>
        <w:rPr>
          <w:rFonts w:ascii="Verdana" w:hAnsi="Verdana" w:cs="Verdana"/>
          <w:b w:val="0"/>
          <w:i w:val="0"/>
          <w:sz w:val="20"/>
        </w:rPr>
        <w:t xml:space="preserve"> (snapshoty platformy Railway uzupełnione procedurą ręczną), </w:t>
      </w:r>
      <w:r>
        <w:rPr>
          <w:rFonts w:ascii="Verdana" w:hAnsi="Verdana" w:cs="Verdana"/>
          <w:b/>
          <w:i w:val="0"/>
          <w:sz w:val="20"/>
        </w:rPr>
        <w:t>politykę usuwania danych</w:t>
      </w:r>
      <w:r>
        <w:rPr>
          <w:rFonts w:ascii="Verdana" w:hAnsi="Verdana" w:cs="Verdana"/>
          <w:b w:val="0"/>
          <w:i w:val="0"/>
          <w:sz w:val="20"/>
        </w:rPr>
        <w:t xml:space="preserve"> (twarde usuwanie z propagacją kaskadową) oraz </w:t>
      </w:r>
      <w:r>
        <w:rPr>
          <w:rFonts w:ascii="Verdana" w:hAnsi="Verdana" w:cs="Verdana"/>
          <w:b/>
          <w:i w:val="0"/>
          <w:sz w:val="20"/>
        </w:rPr>
        <w:t>realizację praw osób, których dane dotyczą</w:t>
      </w:r>
      <w:r>
        <w:rPr>
          <w:rFonts w:ascii="Verdana" w:hAnsi="Verdana" w:cs="Verdana"/>
          <w:b w:val="0"/>
          <w:i w:val="0"/>
          <w:sz w:val="20"/>
        </w:rPr>
        <w:t xml:space="preserve"> (w szczególności prawa do bycia zapomnianym z art. 17 RODO).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Klasyfikacja danych w systemie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Dane przechowywane w bazie systemu można podzielić na trzy zasadnicze kategorie pod względem strategii archiwizacji. </w:t>
      </w:r>
      <w:r>
        <w:rPr>
          <w:rFonts w:ascii="Verdana" w:hAnsi="Verdana" w:cs="Verdana"/>
          <w:b/>
          <w:i w:val="0"/>
          <w:sz w:val="20"/>
        </w:rPr>
        <w:t>Dane identyfikujące</w:t>
      </w:r>
      <w:r>
        <w:rPr>
          <w:rFonts w:ascii="Verdana" w:hAnsi="Verdana" w:cs="Verdana"/>
          <w:b w:val="0"/>
          <w:i w:val="0"/>
          <w:sz w:val="20"/>
        </w:rPr>
        <w:t xml:space="preserve"> (tabele </w:t>
      </w:r>
      <w:r>
        <w:rPr>
          <w:rFonts w:ascii="Consolas" w:hAnsi="Consolas" w:cs="Consolas"/>
          <w:b w:val="0"/>
          <w:i w:val="0"/>
          <w:sz w:val="20"/>
        </w:rPr>
        <w:t>users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organizations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departments</w:t>
      </w:r>
      <w:r>
        <w:rPr>
          <w:rFonts w:ascii="Verdana" w:hAnsi="Verdana" w:cs="Verdana"/>
          <w:b w:val="0"/>
          <w:i w:val="0"/>
          <w:sz w:val="20"/>
        </w:rPr>
        <w:t xml:space="preserve">) zawierają informacje umożliwiające identyfikację osoby fizycznej lub prawnej i są usuwane na żądanie pracownika lub administratora. </w:t>
      </w:r>
      <w:r>
        <w:rPr>
          <w:rFonts w:ascii="Verdana" w:hAnsi="Verdana" w:cs="Verdana"/>
          <w:b/>
          <w:i w:val="0"/>
          <w:sz w:val="20"/>
        </w:rPr>
        <w:t>Dane wynikowe</w:t>
      </w:r>
      <w:r>
        <w:rPr>
          <w:rFonts w:ascii="Verdana" w:hAnsi="Verdana" w:cs="Verdana"/>
          <w:b w:val="0"/>
          <w:i w:val="0"/>
          <w:sz w:val="20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assessment_results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user_responses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mood_checks</w:t>
      </w:r>
      <w:r>
        <w:rPr>
          <w:rFonts w:ascii="Verdana" w:hAnsi="Verdana" w:cs="Verdana"/>
          <w:b w:val="0"/>
          <w:i w:val="0"/>
          <w:sz w:val="20"/>
        </w:rPr>
        <w:t xml:space="preserve">) powstają z odpowiedzi pracownika na kwestionariusze psychometryczne; są ściśle związane z konkretnym kontem i podlegają usunięciu razem z nim. </w:t>
      </w:r>
      <w:r>
        <w:rPr>
          <w:rFonts w:ascii="Verdana" w:hAnsi="Verdana" w:cs="Verdana"/>
          <w:b/>
          <w:i w:val="0"/>
          <w:sz w:val="20"/>
        </w:rPr>
        <w:t>Dane audytowe</w:t>
      </w:r>
      <w:r>
        <w:rPr>
          <w:rFonts w:ascii="Verdana" w:hAnsi="Verdana" w:cs="Verdana"/>
          <w:b w:val="0"/>
          <w:i w:val="0"/>
          <w:sz w:val="20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audit_logs</w:t>
      </w:r>
      <w:r>
        <w:rPr>
          <w:rFonts w:ascii="Verdana" w:hAnsi="Verdana" w:cs="Verdana"/>
          <w:b w:val="0"/>
          <w:i w:val="0"/>
          <w:sz w:val="20"/>
        </w:rPr>
        <w:t>) rejestrują działania administracyjne (zatwierdzenia kont, zmiany ról, usunięcia) i są celowo odporne na usunięcie konta — ich obecność stanowi niezbędny ślad odpowiedzialności prawnej i operacyjnej.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Twarde usuwanie konta z propagacją kaskadową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Pracownik może w dowolnym momencie zażądać usunięcia swojego konta. Operację realizuje metoda </w:t>
      </w:r>
      <w:r>
        <w:rPr>
          <w:rFonts w:ascii="Consolas" w:hAnsi="Consolas" w:cs="Consolas"/>
          <w:b w:val="0"/>
          <w:i w:val="0"/>
          <w:sz w:val="20"/>
        </w:rPr>
        <w:t>deleteAccount</w:t>
      </w:r>
      <w:r>
        <w:rPr>
          <w:rFonts w:ascii="Verdana" w:hAnsi="Verdana" w:cs="Verdana"/>
          <w:b w:val="0"/>
          <w:i w:val="0"/>
          <w:sz w:val="20"/>
        </w:rPr>
        <w:t xml:space="preserve"> w klasie </w:t>
      </w:r>
      <w:r>
        <w:rPr>
          <w:rFonts w:ascii="Consolas" w:hAnsi="Consolas" w:cs="Consolas"/>
          <w:b w:val="0"/>
          <w:i w:val="0"/>
          <w:sz w:val="20"/>
        </w:rPr>
        <w:t>UsersService</w:t>
      </w:r>
      <w:r>
        <w:rPr>
          <w:rFonts w:ascii="Verdana" w:hAnsi="Verdana" w:cs="Verdana"/>
          <w:b w:val="0"/>
          <w:i w:val="0"/>
          <w:sz w:val="20"/>
        </w:rPr>
        <w:t xml:space="preserve">. Wykonuje ona dwa kroki: </w:t>
      </w:r>
      <w:r>
        <w:rPr>
          <w:rFonts w:ascii="Verdana" w:hAnsi="Verdana" w:cs="Verdana"/>
          <w:b/>
          <w:i w:val="0"/>
          <w:sz w:val="20"/>
        </w:rPr>
        <w:t>twarde usunięcie</w:t>
      </w:r>
      <w:r>
        <w:rPr>
          <w:rFonts w:ascii="Verdana" w:hAnsi="Verdana" w:cs="Verdana"/>
          <w:b w:val="0"/>
          <w:i w:val="0"/>
          <w:sz w:val="20"/>
        </w:rPr>
        <w:t xml:space="preserve"> rekordu z tabeli </w:t>
      </w:r>
      <w:r>
        <w:rPr>
          <w:rFonts w:ascii="Consolas" w:hAnsi="Consolas" w:cs="Consolas"/>
          <w:b w:val="0"/>
          <w:i w:val="0"/>
          <w:sz w:val="20"/>
        </w:rPr>
        <w:t>users</w:t>
      </w:r>
      <w:r>
        <w:rPr>
          <w:rFonts w:ascii="Verdana" w:hAnsi="Verdana" w:cs="Verdana"/>
          <w:b w:val="0"/>
          <w:i w:val="0"/>
          <w:sz w:val="20"/>
        </w:rPr>
        <w:t xml:space="preserve"> (</w:t>
      </w:r>
      <w:r>
        <w:rPr>
          <w:rFonts w:ascii="Verdana" w:hAnsi="Verdana" w:cs="Verdana"/>
          <w:b w:val="0"/>
          <w:i/>
          <w:sz w:val="20"/>
        </w:rPr>
        <w:t>hard delete</w:t>
      </w:r>
      <w:r>
        <w:rPr>
          <w:rFonts w:ascii="Verdana" w:hAnsi="Verdana" w:cs="Verdana"/>
          <w:b w:val="0"/>
          <w:i w:val="0"/>
          <w:sz w:val="20"/>
        </w:rPr>
        <w:t xml:space="preserve">, a nie </w:t>
      </w:r>
      <w:r>
        <w:rPr>
          <w:rFonts w:ascii="Verdana" w:hAnsi="Verdana" w:cs="Verdana"/>
          <w:b w:val="0"/>
          <w:i/>
          <w:sz w:val="20"/>
        </w:rPr>
        <w:t>soft delete</w:t>
      </w:r>
      <w:r>
        <w:rPr>
          <w:rFonts w:ascii="Verdana" w:hAnsi="Verdana" w:cs="Verdana"/>
          <w:b w:val="0"/>
          <w:i w:val="0"/>
          <w:sz w:val="20"/>
        </w:rPr>
        <w:t xml:space="preserve"> z flagą deletedAt) oraz zapisanie wpisu w dzienniku audytu o akcji </w:t>
      </w:r>
      <w:r>
        <w:rPr>
          <w:rFonts w:ascii="Consolas" w:hAnsi="Consolas" w:cs="Consolas"/>
          <w:b w:val="0"/>
          <w:i w:val="0"/>
          <w:sz w:val="20"/>
        </w:rPr>
        <w:t>ACCOUNT_DELETED</w:t>
      </w:r>
      <w:r>
        <w:rPr>
          <w:rFonts w:ascii="Verdana" w:hAnsi="Verdana" w:cs="Verdana"/>
          <w:b w:val="0"/>
          <w:i w:val="0"/>
          <w:sz w:val="20"/>
        </w:rPr>
        <w:t xml:space="preserve"> wraz z metadanymi (e-mail i rola usuwanego konta). Wybór twardego usuwania zamiast oznaczania rekordu jako usuniętego wynika bezpośrednio z wymogów RODO — </w:t>
      </w:r>
      <w:r>
        <w:rPr>
          <w:rFonts w:ascii="Verdana" w:hAnsi="Verdana" w:cs="Verdana"/>
          <w:b/>
          <w:i w:val="0"/>
          <w:sz w:val="20"/>
        </w:rPr>
        <w:t>prawo do bycia zapomnianym</w:t>
      </w:r>
      <w:r>
        <w:rPr>
          <w:rFonts w:ascii="Verdana" w:hAnsi="Verdana" w:cs="Verdana"/>
          <w:b w:val="0"/>
          <w:i w:val="0"/>
          <w:sz w:val="20"/>
        </w:rPr>
        <w:t xml:space="preserve"> (art. 17) oczekuje fizycznego wymazania danych, a nie jedynie ich ukrycia z poziomu interfejsu użytkownika.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5.1 ]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backend-api/src/modules/users/users.service.ts</w:t>
      </w:r>
      <w:r>
        <w:rPr>
          <w:rFonts w:ascii="Verdana" w:hAnsi="Verdana" w:cs="Verdana"/>
          <w:b w:val="0"/>
          <w:i w:val="0"/>
          <w:sz w:val="20"/>
        </w:rPr>
        <w:t xml:space="preserve">   Linie: 196–209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5.1. Metoda deleteAccount realizująca prawo do bycia zapomnianym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5.1 prezentuje metodę deleteAccount. Operacja na bazie jest wykonywana jako fizyczny DELETE — TypeORM nie wykorzystuje soft delete, ponieważ żadna encja nie posiada pola @DeleteDateColumn. Po skutecznym usunięciu rekordu serwis audytu zapisuje wpis ACCOUNT_DELETED z metadanymi pierwotnego konta. Sam zapis audytu pozostaje w bazie nawet po usunięciu konta, ponieważ tabela audit_logs nie jest powiązana relacją z kaskadowym usuwaniem.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Wraz z usunięciem rekordu z tabeli </w:t>
      </w:r>
      <w:r>
        <w:rPr>
          <w:rFonts w:ascii="Consolas" w:hAnsi="Consolas" w:cs="Consolas"/>
          <w:b w:val="0"/>
          <w:i w:val="0"/>
          <w:sz w:val="20"/>
        </w:rPr>
        <w:t>users</w:t>
      </w:r>
      <w:r>
        <w:rPr>
          <w:rFonts w:ascii="Verdana" w:hAnsi="Verdana" w:cs="Verdana"/>
          <w:b w:val="0"/>
          <w:i w:val="0"/>
          <w:sz w:val="20"/>
        </w:rPr>
        <w:t xml:space="preserve"> baza danych automatycznie usuwa wszystkie powiązane rekordy z tabel zależnych. Zapewnia to mechanizm </w:t>
      </w:r>
      <w:r>
        <w:rPr>
          <w:rFonts w:ascii="Verdana" w:hAnsi="Verdana" w:cs="Verdana"/>
          <w:b/>
          <w:i w:val="0"/>
          <w:sz w:val="20"/>
        </w:rPr>
        <w:t>ON DELETE CASCADE</w:t>
      </w:r>
      <w:r>
        <w:rPr>
          <w:rFonts w:ascii="Verdana" w:hAnsi="Verdana" w:cs="Verdana"/>
          <w:b w:val="0"/>
          <w:i w:val="0"/>
          <w:sz w:val="20"/>
        </w:rPr>
        <w:t xml:space="preserve"> zdefiniowany w relacjach TypeORM. Encja </w:t>
      </w:r>
      <w:r>
        <w:rPr>
          <w:rFonts w:ascii="Consolas" w:hAnsi="Consolas" w:cs="Consolas"/>
          <w:b w:val="0"/>
          <w:i w:val="0"/>
          <w:sz w:val="20"/>
        </w:rPr>
        <w:t>AssessmentResult</w:t>
      </w:r>
      <w:r>
        <w:rPr>
          <w:rFonts w:ascii="Verdana" w:hAnsi="Verdana" w:cs="Verdana"/>
          <w:b w:val="0"/>
          <w:i w:val="0"/>
          <w:sz w:val="20"/>
        </w:rPr>
        <w:t xml:space="preserve"> deklaruje relację </w:t>
      </w:r>
      <w:r>
        <w:rPr>
          <w:rFonts w:ascii="Consolas" w:hAnsi="Consolas" w:cs="Consolas"/>
          <w:b w:val="0"/>
          <w:i w:val="0"/>
          <w:sz w:val="20"/>
        </w:rPr>
        <w:t>@ManyToOne(() =&gt; User, { onDelete: 'CASCADE' })</w:t>
      </w:r>
      <w:r>
        <w:rPr>
          <w:rFonts w:ascii="Verdana" w:hAnsi="Verdana" w:cs="Verdana"/>
          <w:b w:val="0"/>
          <w:i w:val="0"/>
          <w:sz w:val="20"/>
        </w:rPr>
        <w:t xml:space="preserve"> — w konsekwencji usunięcie pracownika powoduje fizyczne wymazanie wszystkich jego wyników testów. Analogiczna kaskada obowiązuje dla </w:t>
      </w:r>
      <w:r>
        <w:rPr>
          <w:rFonts w:ascii="Consolas" w:hAnsi="Consolas" w:cs="Consolas"/>
          <w:b w:val="0"/>
          <w:i w:val="0"/>
          <w:sz w:val="20"/>
        </w:rPr>
        <w:t>user_responses</w:t>
      </w:r>
      <w:r>
        <w:rPr>
          <w:rFonts w:ascii="Verdana" w:hAnsi="Verdana" w:cs="Verdana"/>
          <w:b w:val="0"/>
          <w:i w:val="0"/>
          <w:sz w:val="20"/>
        </w:rPr>
        <w:t xml:space="preserve"> (przez relację z </w:t>
      </w:r>
      <w:r>
        <w:rPr>
          <w:rFonts w:ascii="Consolas" w:hAnsi="Consolas" w:cs="Consolas"/>
          <w:b w:val="0"/>
          <w:i w:val="0"/>
          <w:sz w:val="20"/>
        </w:rPr>
        <w:t>AssessmentResult</w:t>
      </w:r>
      <w:r>
        <w:rPr>
          <w:rFonts w:ascii="Verdana" w:hAnsi="Verdana" w:cs="Verdana"/>
          <w:b w:val="0"/>
          <w:i w:val="0"/>
          <w:sz w:val="20"/>
        </w:rPr>
        <w:t xml:space="preserve">) oraz </w:t>
      </w:r>
      <w:r>
        <w:rPr>
          <w:rFonts w:ascii="Consolas" w:hAnsi="Consolas" w:cs="Consolas"/>
          <w:b w:val="0"/>
          <w:i w:val="0"/>
          <w:sz w:val="20"/>
        </w:rPr>
        <w:t>mood_checks</w:t>
      </w:r>
      <w:r>
        <w:rPr>
          <w:rFonts w:ascii="Verdana" w:hAnsi="Verdana" w:cs="Verdana"/>
          <w:b w:val="0"/>
          <w:i w:val="0"/>
          <w:sz w:val="20"/>
        </w:rPr>
        <w:t>. Dzięki temu pojedyncza operacja DELETE wykonana na koncie pracownika usuwa kompletny zestaw jego danych psychometrycznych z bazy w jednej transakcji.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Dziennik audytu jako trwały ślad odpowiedzialności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Tabela </w:t>
      </w:r>
      <w:r>
        <w:rPr>
          <w:rFonts w:ascii="Consolas" w:hAnsi="Consolas" w:cs="Consolas"/>
          <w:b w:val="0"/>
          <w:i w:val="0"/>
          <w:sz w:val="20"/>
        </w:rPr>
        <w:t>audit_logs</w:t>
      </w:r>
      <w:r>
        <w:rPr>
          <w:rFonts w:ascii="Verdana" w:hAnsi="Verdana" w:cs="Verdana"/>
          <w:b w:val="0"/>
          <w:i w:val="0"/>
          <w:sz w:val="20"/>
        </w:rPr>
        <w:t xml:space="preserve"> jest projektowo wyłączona z mechanizmu kaskadowego usuwania. Pole </w:t>
      </w:r>
      <w:r>
        <w:rPr>
          <w:rFonts w:ascii="Consolas" w:hAnsi="Consolas" w:cs="Consolas"/>
          <w:b w:val="0"/>
          <w:i w:val="0"/>
          <w:sz w:val="20"/>
        </w:rPr>
        <w:t>actorUserId</w:t>
      </w:r>
      <w:r>
        <w:rPr>
          <w:rFonts w:ascii="Verdana" w:hAnsi="Verdana" w:cs="Verdana"/>
          <w:b w:val="0"/>
          <w:i w:val="0"/>
          <w:sz w:val="20"/>
        </w:rPr>
        <w:t xml:space="preserve"> zostało zadeklarowane jako zwykła kolumna </w:t>
      </w:r>
      <w:r>
        <w:rPr>
          <w:rFonts w:ascii="Consolas" w:hAnsi="Consolas" w:cs="Consolas"/>
          <w:b w:val="0"/>
          <w:i w:val="0"/>
          <w:sz w:val="20"/>
        </w:rPr>
        <w:t>int</w:t>
      </w:r>
      <w:r>
        <w:rPr>
          <w:rFonts w:ascii="Verdana" w:hAnsi="Verdana" w:cs="Verdana"/>
          <w:b w:val="0"/>
          <w:i w:val="0"/>
          <w:sz w:val="20"/>
        </w:rPr>
        <w:t xml:space="preserve"> — nie istnieje relacja </w:t>
      </w:r>
      <w:r>
        <w:rPr>
          <w:rFonts w:ascii="Consolas" w:hAnsi="Consolas" w:cs="Consolas"/>
          <w:b w:val="0"/>
          <w:i w:val="0"/>
          <w:sz w:val="20"/>
        </w:rPr>
        <w:t>@ManyToOne</w:t>
      </w:r>
      <w:r>
        <w:rPr>
          <w:rFonts w:ascii="Verdana" w:hAnsi="Verdana" w:cs="Verdana"/>
          <w:b w:val="0"/>
          <w:i w:val="0"/>
          <w:sz w:val="20"/>
        </w:rPr>
        <w:t xml:space="preserve"> do encji </w:t>
      </w:r>
      <w:r>
        <w:rPr>
          <w:rFonts w:ascii="Consolas" w:hAnsi="Consolas" w:cs="Consolas"/>
          <w:b w:val="0"/>
          <w:i w:val="0"/>
          <w:sz w:val="20"/>
        </w:rPr>
        <w:t>User</w:t>
      </w:r>
      <w:r>
        <w:rPr>
          <w:rFonts w:ascii="Verdana" w:hAnsi="Verdana" w:cs="Verdana"/>
          <w:b w:val="0"/>
          <w:i w:val="0"/>
          <w:sz w:val="20"/>
        </w:rPr>
        <w:t>, co oznacza, że usunięcie konta pracownika nie powoduje usunięcia wpisów audytowych dotyczących jego działań. Decyzja ta jest świadoma i zgodna z dobrymi praktykami: dziennik audytu pełni funkcję dowodową i nie powinien zniknąć wraz z osobą, która wykonała daną operację. W razie późniejszej kontroli możliwe jest odtworzenie historii działań administracyjnych nawet po usunięciu odpowiednich kont.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5.2 ]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backend-api/src/modules/audit/entities/audit-log.entity.ts</w:t>
      </w:r>
      <w:r>
        <w:rPr>
          <w:rFonts w:ascii="Verdana" w:hAnsi="Verdana" w:cs="Verdana"/>
          <w:b w:val="0"/>
          <w:i w:val="0"/>
          <w:sz w:val="20"/>
        </w:rPr>
        <w:t xml:space="preserve">   Linie: 1–52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5.2. Encja AuditLog z polem actorUserId bez relacji kaskadowej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5.2 prezentuje encję AuditLog. Pola actorUserId, organizationId, entityId są kolumnami typu int o opcji nullable. Brak deklaracji @ManyToOne wobec User i Organization jest celowy — chroni dziennik audytu przed zniknięciem w wyniku kaskadowego usunięcia. Indeksy na (actorUserId, createdAt), (organizationId, createdAt) i (entityType, entityId) optymalizują najczęstsze zapytania filtrujące dziennik po kryteriach śledczych.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Kopie zapasowe bazy danych — Railway i procedura ręczna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System produkcyjny korzysta z bazy PostgreSQL hostowanej na platformie </w:t>
      </w:r>
      <w:r>
        <w:rPr>
          <w:rFonts w:ascii="Verdana" w:hAnsi="Verdana" w:cs="Verdana"/>
          <w:b/>
          <w:i w:val="0"/>
          <w:sz w:val="20"/>
        </w:rPr>
        <w:t>Railway</w:t>
      </w:r>
      <w:r>
        <w:rPr>
          <w:rFonts w:ascii="Verdana" w:hAnsi="Verdana" w:cs="Verdana"/>
          <w:b w:val="0"/>
          <w:i w:val="0"/>
          <w:sz w:val="20"/>
        </w:rPr>
        <w:t xml:space="preserve">, która domyślnie wykonuje </w:t>
      </w:r>
      <w:r>
        <w:rPr>
          <w:rFonts w:ascii="Verdana" w:hAnsi="Verdana" w:cs="Verdana"/>
          <w:b/>
          <w:i w:val="0"/>
          <w:sz w:val="20"/>
        </w:rPr>
        <w:t>automatyczne dzienne snapshoty</w:t>
      </w:r>
      <w:r>
        <w:rPr>
          <w:rFonts w:ascii="Verdana" w:hAnsi="Verdana" w:cs="Verdana"/>
          <w:b w:val="0"/>
          <w:i w:val="0"/>
          <w:sz w:val="20"/>
        </w:rPr>
        <w:t xml:space="preserve"> całej bazy. Snapshoty są przechowywane przez okres ustawiony w panelu Railway (domyślnie 7 dni) i można z nich odtworzyć stan bazy do dowolnego momentu w obrębie okna retencji. Decyzja o powierzeniu kopii zapasowych platformie chmurowej — zamiast budowania własnego systemu kopii — wynika ze skali projektu inżynierskiego: własna infrastruktura backupu (np. </w:t>
      </w:r>
      <w:r>
        <w:rPr>
          <w:rFonts w:ascii="Consolas" w:hAnsi="Consolas" w:cs="Consolas"/>
          <w:b w:val="0"/>
          <w:i w:val="0"/>
          <w:sz w:val="20"/>
        </w:rPr>
        <w:t>pgBackRest</w:t>
      </w:r>
      <w:r>
        <w:rPr>
          <w:rFonts w:ascii="Verdana" w:hAnsi="Verdana" w:cs="Verdana"/>
          <w:b w:val="0"/>
          <w:i w:val="0"/>
          <w:sz w:val="20"/>
        </w:rPr>
        <w:t xml:space="preserve">, skrypty cron z rotacją do S3) wymagałaby istotnego nakładu konfiguracyjnego nieprzystającego do zakresu pracy. Dla wdrożeń lokalnych (Docker Compose) udokumentowano procedurę ręcznego wykonania kopii za pomocą narzędzia </w:t>
      </w:r>
      <w:r>
        <w:rPr>
          <w:rFonts w:ascii="Consolas" w:hAnsi="Consolas" w:cs="Consolas"/>
          <w:b w:val="0"/>
          <w:i w:val="0"/>
          <w:sz w:val="20"/>
        </w:rPr>
        <w:t>pg_dump</w:t>
      </w:r>
      <w:r>
        <w:rPr>
          <w:rFonts w:ascii="Verdana" w:hAnsi="Verdana" w:cs="Verdana"/>
          <w:b w:val="0"/>
          <w:i w:val="0"/>
          <w:sz w:val="20"/>
        </w:rPr>
        <w:t xml:space="preserve"> z poziomu kontenera, z możliwością harmonogramowania przez </w:t>
      </w:r>
      <w:r>
        <w:rPr>
          <w:rFonts w:ascii="Consolas" w:hAnsi="Consolas" w:cs="Consolas"/>
          <w:b w:val="0"/>
          <w:i w:val="0"/>
          <w:sz w:val="20"/>
        </w:rPr>
        <w:t>cron</w:t>
      </w:r>
      <w:r>
        <w:rPr>
          <w:rFonts w:ascii="Verdana" w:hAnsi="Verdana" w:cs="Verdana"/>
          <w:b w:val="0"/>
          <w:i w:val="0"/>
          <w:sz w:val="20"/>
        </w:rPr>
        <w:t>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5.3 ]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docs/deployment.md</w:t>
      </w:r>
      <w:r>
        <w:rPr>
          <w:rFonts w:ascii="Verdana" w:hAnsi="Verdana" w:cs="Verdana"/>
          <w:b w:val="0"/>
          <w:i w:val="0"/>
          <w:sz w:val="20"/>
        </w:rPr>
        <w:t xml:space="preserve">   Linie: 106–115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5.3. Procedura ręcznej kopii zapasowej w wdrożeniu kontenerowym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5.3 prezentuje fragment dokumentacji wdrożeniowej. Polecenie pg_dump jest wykonywane z poziomu kontenera bazy danych z parametrami pobranymi ze zmiennych środowiskowych. Format nazwy pliku zawiera datę w postaci YYYYMMDD, co ułatwia wersjonowanie i automatyczne czyszczenie starszych kopii. Plik wynikowy ma format SQL — można go przywrócić poleceniem psql lub pg_restore w razie potrzeby.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Wersjonowanie schematu bazy — migracje TypeORM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Schemat bazy danych jest wersjonowany za pomocą mechanizmu migracji TypeORM. Każda zmiana struktury (utworzenie tabeli, dodanie kolumny, modyfikacja indeksu) jest zapisywana jako pojedynczy plik migracyjny w katalogu </w:t>
      </w:r>
      <w:r>
        <w:rPr>
          <w:rFonts w:ascii="Consolas" w:hAnsi="Consolas" w:cs="Consolas"/>
          <w:b w:val="0"/>
          <w:i w:val="0"/>
          <w:sz w:val="20"/>
        </w:rPr>
        <w:t>backend-api/src/migrations/</w:t>
      </w:r>
      <w:r>
        <w:rPr>
          <w:rFonts w:ascii="Verdana" w:hAnsi="Verdana" w:cs="Verdana"/>
          <w:b w:val="0"/>
          <w:i w:val="0"/>
          <w:sz w:val="20"/>
        </w:rPr>
        <w:t xml:space="preserve"> i wykonywana sekwencyjnie. Konfiguracja udostępnia pięć skryptów npm: </w:t>
      </w:r>
      <w:r>
        <w:rPr>
          <w:rFonts w:ascii="Consolas" w:hAnsi="Consolas" w:cs="Consolas"/>
          <w:b w:val="0"/>
          <w:i w:val="0"/>
          <w:sz w:val="20"/>
        </w:rPr>
        <w:t>migration:generate</w:t>
      </w:r>
      <w:r>
        <w:rPr>
          <w:rFonts w:ascii="Verdana" w:hAnsi="Verdana" w:cs="Verdana"/>
          <w:b w:val="0"/>
          <w:i w:val="0"/>
          <w:sz w:val="20"/>
        </w:rPr>
        <w:t xml:space="preserve"> (automatyczne wygenerowanie migracji na podstawie różnic między encjami a stanem bazy), </w:t>
      </w:r>
      <w:r>
        <w:rPr>
          <w:rFonts w:ascii="Consolas" w:hAnsi="Consolas" w:cs="Consolas"/>
          <w:b w:val="0"/>
          <w:i w:val="0"/>
          <w:sz w:val="20"/>
        </w:rPr>
        <w:t>migration:create</w:t>
      </w:r>
      <w:r>
        <w:rPr>
          <w:rFonts w:ascii="Verdana" w:hAnsi="Verdana" w:cs="Verdana"/>
          <w:b w:val="0"/>
          <w:i w:val="0"/>
          <w:sz w:val="20"/>
        </w:rPr>
        <w:t xml:space="preserve"> (utworzenie pustego pliku do ręcznej edycji), </w:t>
      </w:r>
      <w:r>
        <w:rPr>
          <w:rFonts w:ascii="Consolas" w:hAnsi="Consolas" w:cs="Consolas"/>
          <w:b w:val="0"/>
          <w:i w:val="0"/>
          <w:sz w:val="20"/>
        </w:rPr>
        <w:t>migration:run</w:t>
      </w:r>
      <w:r>
        <w:rPr>
          <w:rFonts w:ascii="Verdana" w:hAnsi="Verdana" w:cs="Verdana"/>
          <w:b w:val="0"/>
          <w:i w:val="0"/>
          <w:sz w:val="20"/>
        </w:rPr>
        <w:t xml:space="preserve"> (zastosowanie nieaktywowanych migracji), </w:t>
      </w:r>
      <w:r>
        <w:rPr>
          <w:rFonts w:ascii="Consolas" w:hAnsi="Consolas" w:cs="Consolas"/>
          <w:b w:val="0"/>
          <w:i w:val="0"/>
          <w:sz w:val="20"/>
        </w:rPr>
        <w:t>migration:revert</w:t>
      </w:r>
      <w:r>
        <w:rPr>
          <w:rFonts w:ascii="Verdana" w:hAnsi="Verdana" w:cs="Verdana"/>
          <w:b w:val="0"/>
          <w:i w:val="0"/>
          <w:sz w:val="20"/>
        </w:rPr>
        <w:t xml:space="preserve"> (cofnięcie ostatniej migracji) oraz </w:t>
      </w:r>
      <w:r>
        <w:rPr>
          <w:rFonts w:ascii="Consolas" w:hAnsi="Consolas" w:cs="Consolas"/>
          <w:b w:val="0"/>
          <w:i w:val="0"/>
          <w:sz w:val="20"/>
        </w:rPr>
        <w:t>migration:show</w:t>
      </w:r>
      <w:r>
        <w:rPr>
          <w:rFonts w:ascii="Verdana" w:hAnsi="Verdana" w:cs="Verdana"/>
          <w:b w:val="0"/>
          <w:i w:val="0"/>
          <w:sz w:val="20"/>
        </w:rPr>
        <w:t xml:space="preserve"> (lista migracji z ich statusem). Mechanizm ten zapewnia powtarzalność wdrożeń i możliwość odtworzenia struktury bazy w dowolnym środowisku.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Realizacja praw osób, których dane dotyczą — RODO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System adresuje cztery kluczowe prawa wynikające z RODO, w stopniu adekwatnym do skali pracy inżynierskiej. Zestawienie obecnego stanu implementacji oraz planowanych rozszerzeń przedstawia tabela 5.12.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5.12. Realizacja praw osób, których dane dotyczą, w systemie MoodFlow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4252"/>
      </w:tblGrid>
      <w:tr>
        <w:tc>
          <w:tcPr>
            <w:tcW w:type="dxa" w:w="3118"/>
            <w:shd w:val="clear" w:color="auto" w:fill="D9D9D9"/>
          </w:tcPr>
          <w:p>
            <w:pPr>
              <w:spacing w:line="276" w:lineRule="auto"/>
            </w:pPr>
            <w:r>
              <w:rPr>
                <w:rFonts w:ascii="Verdana" w:hAnsi="Verdana" w:cs="Verdana"/>
                <w:b/>
                <w:i w:val="0"/>
                <w:sz w:val="20"/>
              </w:rPr>
              <w:t>Prawo (RODO)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76" w:lineRule="auto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Stan obecny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line="276" w:lineRule="auto"/>
            </w:pPr>
            <w:r>
              <w:rPr>
                <w:rFonts w:ascii="Verdana" w:hAnsi="Verdana" w:cs="Verdana"/>
                <w:b/>
                <w:i w:val="0"/>
                <w:sz w:val="20"/>
              </w:rPr>
              <w:t>Mechanizm w systemie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Art. 15 — prawo dostępu do danych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Częściowo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Profil użytkownika /users/me, historia wyników /results, mood checks /mood-checks/me/history. Dane dostępne w odrębnych endpointach.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Art. 17 — prawo do bycia zapomnianym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Tak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Endpoint DELETE konta wywołuje deleteAccount; CASCADE usuwa odpowiedzi, wyniki, mood checks. Dziennik audytu zachowuje sam fakt usunięcia.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Art. 20 — prawo do przenoszenia danych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Planowane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Brak dedykowanego endpointu eksportu — w przyszłości GET /users/me/export zwracający komplet danych w formacie JSON.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Art. 30 — rejestr czynności przetwarzania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Tak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Tabela audit_logs zawiera wpisy o wszystkich operacjach administracyjnych (zatwierdzenia, zmiany ról, usunięcia kont).</w:t>
            </w:r>
          </w:p>
        </w:tc>
      </w:tr>
    </w:tbl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Najpełniej zaimplementowane jest prawo do bycia zapomnianym — pojedynczy endpoint usuwa konto wraz z całą zawartością psychometryczną w jednej transakcji bazodanowej, a fakt usunięcia pozostaje w dzienniku audytu jako jednowierszowy ślad bez identyfikatora osoby (sam </w:t>
      </w:r>
      <w:r>
        <w:rPr>
          <w:rFonts w:ascii="Consolas" w:hAnsi="Consolas" w:cs="Consolas"/>
          <w:b w:val="0"/>
          <w:i w:val="0"/>
          <w:sz w:val="20"/>
        </w:rPr>
        <w:t>actorUserId</w:t>
      </w:r>
      <w:r>
        <w:rPr>
          <w:rFonts w:ascii="Verdana" w:hAnsi="Verdana" w:cs="Verdana"/>
          <w:b w:val="0"/>
          <w:i w:val="0"/>
          <w:sz w:val="20"/>
        </w:rPr>
        <w:t xml:space="preserve"> wskazujący usunięty rekord nie jest już rozwiązywalny do tożsamości). Prawo dostępu do danych z art. 15 jest realizowane częściowo — użytkownik może obejrzeć swoje dane przez interfejs aplikacji, ale brakuje skonsolidowanego eksportu w jednym pakiecie. Prawo do przenoszenia danych z art. 20 nie jest obecnie obsługiwane i znajduje się w sekcji „dalszego rozwoju systemu" jako endpoint </w:t>
      </w:r>
      <w:r>
        <w:rPr>
          <w:rFonts w:ascii="Consolas" w:hAnsi="Consolas" w:cs="Consolas"/>
          <w:b w:val="0"/>
          <w:i w:val="0"/>
          <w:sz w:val="20"/>
        </w:rPr>
        <w:t>GET /users/me/export</w:t>
      </w:r>
      <w:r>
        <w:rPr>
          <w:rFonts w:ascii="Verdana" w:hAnsi="Verdana" w:cs="Verdana"/>
          <w:b w:val="0"/>
          <w:i w:val="0"/>
          <w:sz w:val="20"/>
        </w:rPr>
        <w:t xml:space="preserve"> generujący archiwum JSON.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Świadome ograniczenia i kierunki dalszego rozwoju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Architektura archiwizacji w obecnym kształcie ma trzy świadomie zaakceptowane ograniczenia. </w:t>
      </w:r>
      <w:r>
        <w:rPr>
          <w:rFonts w:ascii="Verdana" w:hAnsi="Verdana" w:cs="Verdana"/>
          <w:b/>
          <w:i w:val="0"/>
          <w:sz w:val="20"/>
        </w:rPr>
        <w:t>Brak retencji dziennika audytu</w:t>
      </w:r>
      <w:r>
        <w:rPr>
          <w:rFonts w:ascii="Verdana" w:hAnsi="Verdana" w:cs="Verdana"/>
          <w:b w:val="0"/>
          <w:i w:val="0"/>
          <w:sz w:val="20"/>
        </w:rPr>
        <w:t xml:space="preserve"> — tabela </w:t>
      </w:r>
      <w:r>
        <w:rPr>
          <w:rFonts w:ascii="Consolas" w:hAnsi="Consolas" w:cs="Consolas"/>
          <w:b w:val="0"/>
          <w:i w:val="0"/>
          <w:sz w:val="20"/>
        </w:rPr>
        <w:t>audit_logs</w:t>
      </w:r>
      <w:r>
        <w:rPr>
          <w:rFonts w:ascii="Verdana" w:hAnsi="Verdana" w:cs="Verdana"/>
          <w:b w:val="0"/>
          <w:i w:val="0"/>
          <w:sz w:val="20"/>
        </w:rPr>
        <w:t xml:space="preserve"> rośnie liniowo wraz z liczbą operacji administracyjnych i nie posiada zaplanowanego zadania czyszczącego. Dla skali projektu inżynierskiego (pojedyncze firmy testowe, nieliczne operacje) jest to akceptowalne, ale w środowisku produkcyjnym z wieloma organizacjami i wysoką częstotliwością operacji konieczne byłoby wprowadzenie polityki retencji (np. anonimizacja wpisów starszych niż 365 dni). </w:t>
      </w:r>
      <w:r>
        <w:rPr>
          <w:rFonts w:ascii="Verdana" w:hAnsi="Verdana" w:cs="Verdana"/>
          <w:b/>
          <w:i w:val="0"/>
          <w:sz w:val="20"/>
        </w:rPr>
        <w:t>Brak soft delete</w:t>
      </w:r>
      <w:r>
        <w:rPr>
          <w:rFonts w:ascii="Verdana" w:hAnsi="Verdana" w:cs="Verdana"/>
          <w:b w:val="0"/>
          <w:i w:val="0"/>
          <w:sz w:val="20"/>
        </w:rPr>
        <w:t xml:space="preserve"> — konsekwentnie stosowane twarde usuwanie eliminuje możliwość przywrócenia konta po pomyłkowym żądaniu usunięcia; w środowisku produkcyjnym warto rozważyć krótki okres karencji (np. 30 dni) z możliwością cofnięcia decyzji przez użytkownika. </w:t>
      </w:r>
      <w:r>
        <w:rPr>
          <w:rFonts w:ascii="Verdana" w:hAnsi="Verdana" w:cs="Verdana"/>
          <w:b/>
          <w:i w:val="0"/>
          <w:sz w:val="20"/>
        </w:rPr>
        <w:t>Brak dedykowanego endpointu eksportu</w:t>
      </w:r>
      <w:r>
        <w:rPr>
          <w:rFonts w:ascii="Verdana" w:hAnsi="Verdana" w:cs="Verdana"/>
          <w:b w:val="0"/>
          <w:i w:val="0"/>
          <w:sz w:val="20"/>
        </w:rPr>
        <w:t xml:space="preserve"> — realizacja prawa do przenoszenia danych (art. 20 RODO) wymaga obecnie korzystania z wielu endpointów, podczas gdy dobrą praktyką jest udostępnienie pojedynczego pliku archiwum (najczęściej JSON lub ZIP zawierający JSON i CSV). Wszystkie te ograniczenia są opisane w sekcji „dalszego rozwoju systemu" jako naturalne kierunki rozszerzenia.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Podsumowanie warstwy archiwizacji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Archiwizacja danych w MoodFlow opiera się na czterech filarach: relacyjnej bazie PostgreSQL z wersjonowanym schematem (migracje TypeORM), automatycznych snapshotach platformy Railway uzupełnionych procedurą ręcznego </w:t>
      </w:r>
      <w:r>
        <w:rPr>
          <w:rFonts w:ascii="Consolas" w:hAnsi="Consolas" w:cs="Consolas"/>
          <w:b w:val="0"/>
          <w:i w:val="0"/>
          <w:sz w:val="20"/>
        </w:rPr>
        <w:t>pg_dump</w:t>
      </w:r>
      <w:r>
        <w:rPr>
          <w:rFonts w:ascii="Verdana" w:hAnsi="Verdana" w:cs="Verdana"/>
          <w:b w:val="0"/>
          <w:i w:val="0"/>
          <w:sz w:val="20"/>
        </w:rPr>
        <w:t>, twardym usuwaniu konta z propagacją kaskadową realizującym prawo do bycia zapomnianym oraz dzienniku audytu odpornym na kaskadowe usuwanie zapewniającym ślad odpowiedzialności prawnej. Mechanizm ten spełnia minimalne wymogi zgodności z RODO dla systemu inżynierskiego operującego na danych szczególnej kategorii. Trzy świadomie zaakceptowane ograniczenia — brak retencji audytu, brak soft delete oraz brak skonsolidowanego eksportu — zostały opisane jako kierunki dalszego rozwoju i nie wpływają na funkcjonalność systemu w obecnym zakresie pracy inżynierskiej.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