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5.4. Bezpieczeństwo eksploatacyjne — warstwa transportowa, walidacja i ochrona przed nadużyciami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Rozdział 4.3 omawiał podstawowy mechanizm uwierzytelniania (JSON Web Tokens) oraz autoryzacji opartej na rolach (RBAC). Niniejszy podrozdział uzupełnia te informacje o mechanizmy bezpieczeństwa działające w warstwie eksploatacyjnej — od momentu, gdy żądanie HTTP trafi do aplikacji, aż do zwrócenia odpowiedzi. Składają się na nie: </w:t>
      </w:r>
      <w:r>
        <w:rPr>
          <w:rFonts w:ascii="Verdana" w:hAnsi="Verdana" w:cs="Verdana"/>
          <w:b/>
          <w:i w:val="0"/>
          <w:sz w:val="20"/>
        </w:rPr>
        <w:t>walidacja konfiguracji</w:t>
      </w:r>
      <w:r>
        <w:rPr>
          <w:rFonts w:ascii="Verdana" w:hAnsi="Verdana" w:cs="Verdana"/>
          <w:b w:val="0"/>
          <w:i w:val="0"/>
          <w:sz w:val="20"/>
        </w:rPr>
        <w:t xml:space="preserve"> przy starcie procesu, </w:t>
      </w:r>
      <w:r>
        <w:rPr>
          <w:rFonts w:ascii="Verdana" w:hAnsi="Verdana" w:cs="Verdana"/>
          <w:b/>
          <w:i w:val="0"/>
          <w:sz w:val="20"/>
        </w:rPr>
        <w:t>nagłówki bezpieczeństwa</w:t>
      </w:r>
      <w:r>
        <w:rPr>
          <w:rFonts w:ascii="Verdana" w:hAnsi="Verdana" w:cs="Verdana"/>
          <w:b w:val="0"/>
          <w:i w:val="0"/>
          <w:sz w:val="20"/>
        </w:rPr>
        <w:t xml:space="preserve"> (Helmet), </w:t>
      </w:r>
      <w:r>
        <w:rPr>
          <w:rFonts w:ascii="Verdana" w:hAnsi="Verdana" w:cs="Verdana"/>
          <w:b/>
          <w:i w:val="0"/>
          <w:sz w:val="20"/>
        </w:rPr>
        <w:t>polityka CORS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/>
          <w:i w:val="0"/>
          <w:sz w:val="20"/>
        </w:rPr>
        <w:t>walidacja danych wejściowych</w:t>
      </w:r>
      <w:r>
        <w:rPr>
          <w:rFonts w:ascii="Verdana" w:hAnsi="Verdana" w:cs="Verdana"/>
          <w:b w:val="0"/>
          <w:i w:val="0"/>
          <w:sz w:val="20"/>
        </w:rPr>
        <w:t xml:space="preserve"> (class-validator), </w:t>
      </w:r>
      <w:r>
        <w:rPr>
          <w:rFonts w:ascii="Verdana" w:hAnsi="Verdana" w:cs="Verdana"/>
          <w:b/>
          <w:i w:val="0"/>
          <w:sz w:val="20"/>
        </w:rPr>
        <w:t>ograniczenie częstotliwości żądań</w:t>
      </w:r>
      <w:r>
        <w:rPr>
          <w:rFonts w:ascii="Verdana" w:hAnsi="Verdana" w:cs="Verdana"/>
          <w:b w:val="0"/>
          <w:i w:val="0"/>
          <w:sz w:val="20"/>
        </w:rPr>
        <w:t xml:space="preserve"> (rate limiting), </w:t>
      </w:r>
      <w:r>
        <w:rPr>
          <w:rFonts w:ascii="Verdana" w:hAnsi="Verdana" w:cs="Verdana"/>
          <w:b/>
          <w:i w:val="0"/>
          <w:sz w:val="20"/>
        </w:rPr>
        <w:t>bezpieczna obsługa ciasteczek sesji</w:t>
      </w:r>
      <w:r>
        <w:rPr>
          <w:rFonts w:ascii="Verdana" w:hAnsi="Verdana" w:cs="Verdana"/>
          <w:b w:val="0"/>
          <w:i w:val="0"/>
          <w:sz w:val="20"/>
        </w:rPr>
        <w:t xml:space="preserve">, mocne </w:t>
      </w:r>
      <w:r>
        <w:rPr>
          <w:rFonts w:ascii="Verdana" w:hAnsi="Verdana" w:cs="Verdana"/>
          <w:b/>
          <w:i w:val="0"/>
          <w:sz w:val="20"/>
        </w:rPr>
        <w:t>hashowanie haseł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  <w:r>
        <w:rPr>
          <w:rFonts w:ascii="Verdana" w:hAnsi="Verdana" w:cs="Verdana"/>
          <w:b/>
          <w:i w:val="0"/>
          <w:sz w:val="20"/>
        </w:rPr>
        <w:t>ochrona przed wstrzyknięciem SQL</w:t>
      </w:r>
      <w:r>
        <w:rPr>
          <w:rFonts w:ascii="Verdana" w:hAnsi="Verdana" w:cs="Verdana"/>
          <w:b w:val="0"/>
          <w:i w:val="0"/>
          <w:sz w:val="20"/>
        </w:rPr>
        <w:t>. Każda z tych warstw została wdrożona deklaratywnie, dzięki czemu zabezpieczenia obowiązują dla całej aplikacji bez konieczności ręcznego włączania ich w poszczególnych endpointach.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Walidacja środowiska — zasada fail-fast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Pierwszą linię obrony stanowi </w:t>
      </w:r>
      <w:r>
        <w:rPr>
          <w:rFonts w:ascii="Verdana" w:hAnsi="Verdana" w:cs="Verdana"/>
          <w:b/>
          <w:i w:val="0"/>
          <w:sz w:val="20"/>
        </w:rPr>
        <w:t>walidacja zmiennych środowiskowych</w:t>
      </w:r>
      <w:r>
        <w:rPr>
          <w:rFonts w:ascii="Verdana" w:hAnsi="Verdana" w:cs="Verdana"/>
          <w:b w:val="0"/>
          <w:i w:val="0"/>
          <w:sz w:val="20"/>
        </w:rPr>
        <w:t xml:space="preserve"> wykonywana przed inicjalizacją modułu Nest. Funkcja </w:t>
      </w:r>
      <w:r>
        <w:rPr>
          <w:rFonts w:ascii="Consolas" w:hAnsi="Consolas" w:cs="Consolas"/>
          <w:b w:val="0"/>
          <w:i w:val="0"/>
          <w:sz w:val="20"/>
        </w:rPr>
        <w:t>validateEnv</w:t>
      </w:r>
      <w:r>
        <w:rPr>
          <w:rFonts w:ascii="Verdana" w:hAnsi="Verdana" w:cs="Verdana"/>
          <w:b w:val="0"/>
          <w:i w:val="0"/>
          <w:sz w:val="20"/>
        </w:rPr>
        <w:t xml:space="preserve"> sprawdza obecność wszystkich wymaganych zmiennych (</w:t>
      </w:r>
      <w:r>
        <w:rPr>
          <w:rFonts w:ascii="Consolas" w:hAnsi="Consolas" w:cs="Consolas"/>
          <w:b w:val="0"/>
          <w:i w:val="0"/>
          <w:sz w:val="20"/>
        </w:rPr>
        <w:t>DB_HOST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DB_PORT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DB_USER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DB_PASSWORD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DB_NAME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JWT_SECRET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JWT_REFRESH_SECRET</w:t>
      </w:r>
      <w:r>
        <w:rPr>
          <w:rFonts w:ascii="Verdana" w:hAnsi="Verdana" w:cs="Verdana"/>
          <w:b w:val="0"/>
          <w:i w:val="0"/>
          <w:sz w:val="20"/>
        </w:rPr>
        <w:t xml:space="preserve">) i przerywa start, jeśli którakolwiek z nich jest pusta. Dodatkowo wykonywane są dwie aktywne kontrole sekretów JWT: każdy musi mieć </w:t>
      </w:r>
      <w:r>
        <w:rPr>
          <w:rFonts w:ascii="Verdana" w:hAnsi="Verdana" w:cs="Verdana"/>
          <w:b/>
          <w:i w:val="0"/>
          <w:sz w:val="20"/>
        </w:rPr>
        <w:t>co najmniej 32 znaki</w:t>
      </w:r>
      <w:r>
        <w:rPr>
          <w:rFonts w:ascii="Verdana" w:hAnsi="Verdana" w:cs="Verdana"/>
          <w:b w:val="0"/>
          <w:i w:val="0"/>
          <w:sz w:val="20"/>
        </w:rPr>
        <w:t xml:space="preserve"> i nie może zawierać typowych słów-pułapek (</w:t>
      </w:r>
      <w:r>
        <w:rPr>
          <w:rFonts w:ascii="Verdana" w:hAnsi="Verdana" w:cs="Verdana"/>
          <w:b w:val="0"/>
          <w:i/>
          <w:sz w:val="20"/>
        </w:rPr>
        <w:t>change_me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secret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password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moodflow_secret</w:t>
      </w:r>
      <w:r>
        <w:rPr>
          <w:rFonts w:ascii="Verdana" w:hAnsi="Verdana" w:cs="Verdana"/>
          <w:b w:val="0"/>
          <w:i w:val="0"/>
          <w:sz w:val="20"/>
        </w:rPr>
        <w:t>). Wreszcie sekrety dla tokena dostępu i odświeżania muszą być różne — w przeciwnym razie kompromitacja jednego umożliwiłaby falsyfikację drugiego. Mechanizm fail-fast eliminuje sytuację, w której aplikacja działa z nieświadomie pozostawioną domyślną wartością sekretu.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5.4 ]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backend-api/src/main.ts</w:t>
      </w:r>
      <w:r>
        <w:rPr>
          <w:rFonts w:ascii="Verdana" w:hAnsi="Verdana" w:cs="Verdana"/>
          <w:b w:val="0"/>
          <w:i w:val="0"/>
          <w:sz w:val="20"/>
        </w:rPr>
        <w:t xml:space="preserve">   Linie: 10–30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5.4. Walidacja zmiennych środowiskowych przy starcie aplikacji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5.4 prezentuje funkcję validateEnv. Sprawdzenia są celowo restrykcyjne — jakikolwiek brak lub słabość konfiguracji powoduje natychmiastowe zatrzymanie procesu, co ujawnia problem na etapie wdrożenia, zamiast tworzyć niewidoczną podatność w środowisku produkcyjnym. Identyfikacja typowych słów-pułapek eliminuje typowy błąd polegający na pozostawieniu w pliku .env wartości skopiowanej z .env.example.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Helmet, CORS i parsowanie ciasteczek — middleware HTTP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pomyślnej walidacji środowiska aplikacja rejestruje trzy globalne komponenty middleware. </w:t>
      </w:r>
      <w:r>
        <w:rPr>
          <w:rFonts w:ascii="Verdana" w:hAnsi="Verdana" w:cs="Verdana"/>
          <w:b/>
          <w:i w:val="0"/>
          <w:sz w:val="20"/>
        </w:rPr>
        <w:t>Helmet</w:t>
      </w:r>
      <w:r>
        <w:rPr>
          <w:rFonts w:ascii="Verdana" w:hAnsi="Verdana" w:cs="Verdana"/>
          <w:b w:val="0"/>
          <w:i w:val="0"/>
          <w:sz w:val="20"/>
        </w:rPr>
        <w:t xml:space="preserve"> (popularny pakiet ekosystemu Express) ustawia zestaw nagłówków bezpieczeństwa: </w:t>
      </w:r>
      <w:r>
        <w:rPr>
          <w:rFonts w:ascii="Consolas" w:hAnsi="Consolas" w:cs="Consolas"/>
          <w:b w:val="0"/>
          <w:i w:val="0"/>
          <w:sz w:val="20"/>
        </w:rPr>
        <w:t>X-Content-Type-Options: nosniff</w:t>
      </w:r>
      <w:r>
        <w:rPr>
          <w:rFonts w:ascii="Verdana" w:hAnsi="Verdana" w:cs="Verdana"/>
          <w:b w:val="0"/>
          <w:i w:val="0"/>
          <w:sz w:val="20"/>
        </w:rPr>
        <w:t xml:space="preserve"> (blokada MIME-sniffing), </w:t>
      </w:r>
      <w:r>
        <w:rPr>
          <w:rFonts w:ascii="Consolas" w:hAnsi="Consolas" w:cs="Consolas"/>
          <w:b w:val="0"/>
          <w:i w:val="0"/>
          <w:sz w:val="20"/>
        </w:rPr>
        <w:t>X-Frame-Options: SAMEORIGIN</w:t>
      </w:r>
      <w:r>
        <w:rPr>
          <w:rFonts w:ascii="Verdana" w:hAnsi="Verdana" w:cs="Verdana"/>
          <w:b w:val="0"/>
          <w:i w:val="0"/>
          <w:sz w:val="20"/>
        </w:rPr>
        <w:t xml:space="preserve"> (ochrona przed clickjacking), </w:t>
      </w:r>
      <w:r>
        <w:rPr>
          <w:rFonts w:ascii="Consolas" w:hAnsi="Consolas" w:cs="Consolas"/>
          <w:b w:val="0"/>
          <w:i w:val="0"/>
          <w:sz w:val="20"/>
        </w:rPr>
        <w:t>Strict-Transport-Security</w:t>
      </w:r>
      <w:r>
        <w:rPr>
          <w:rFonts w:ascii="Verdana" w:hAnsi="Verdana" w:cs="Verdana"/>
          <w:b w:val="0"/>
          <w:i w:val="0"/>
          <w:sz w:val="20"/>
        </w:rPr>
        <w:t xml:space="preserve"> (wymuszenie HTTPS na poziomie przeglądarki), a także konfigurację Cross-Origin Resource Policy oraz Cross-Origin Embedder Policy. Polityka </w:t>
      </w:r>
      <w:r>
        <w:rPr>
          <w:rFonts w:ascii="Consolas" w:hAnsi="Consolas" w:cs="Consolas"/>
          <w:b w:val="0"/>
          <w:i w:val="0"/>
          <w:sz w:val="20"/>
        </w:rPr>
        <w:t>Content-Security-Policy</w:t>
      </w:r>
      <w:r>
        <w:rPr>
          <w:rFonts w:ascii="Verdana" w:hAnsi="Verdana" w:cs="Verdana"/>
          <w:b w:val="0"/>
          <w:i w:val="0"/>
          <w:sz w:val="20"/>
        </w:rPr>
        <w:t xml:space="preserve"> została jawnie wyłączona, ponieważ jej domyślna wartość blokowałaby zasoby pobierane z domeny frontendu — pełna konfiguracja CSP przewidziana jest jako element przyszłego rozwoju.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Polityka </w:t>
      </w:r>
      <w:r>
        <w:rPr>
          <w:rFonts w:ascii="Verdana" w:hAnsi="Verdana" w:cs="Verdana"/>
          <w:b/>
          <w:i w:val="0"/>
          <w:sz w:val="20"/>
        </w:rPr>
        <w:t>CORS</w:t>
      </w:r>
      <w:r>
        <w:rPr>
          <w:rFonts w:ascii="Verdana" w:hAnsi="Verdana" w:cs="Verdana"/>
          <w:b w:val="0"/>
          <w:i w:val="0"/>
          <w:sz w:val="20"/>
        </w:rPr>
        <w:t xml:space="preserve"> (Cross-Origin Resource Sharing) jest oparta na liście dozwolonych originów pobranej ze zmiennej środowiskowej </w:t>
      </w:r>
      <w:r>
        <w:rPr>
          <w:rFonts w:ascii="Consolas" w:hAnsi="Consolas" w:cs="Consolas"/>
          <w:b w:val="0"/>
          <w:i w:val="0"/>
          <w:sz w:val="20"/>
        </w:rPr>
        <w:t>CORS_ORIGIN</w:t>
      </w:r>
      <w:r>
        <w:rPr>
          <w:rFonts w:ascii="Verdana" w:hAnsi="Verdana" w:cs="Verdana"/>
          <w:b w:val="0"/>
          <w:i w:val="0"/>
          <w:sz w:val="20"/>
        </w:rPr>
        <w:t xml:space="preserve">. Lista ma postać wartości oddzielonych przecinkami; w środowisku lokalnym zwykle zawiera </w:t>
      </w:r>
      <w:r>
        <w:rPr>
          <w:rFonts w:ascii="Consolas" w:hAnsi="Consolas" w:cs="Consolas"/>
          <w:b w:val="0"/>
          <w:i w:val="0"/>
          <w:sz w:val="20"/>
        </w:rPr>
        <w:t>http://localhost:3000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http://localhost:3001</w:t>
      </w:r>
      <w:r>
        <w:rPr>
          <w:rFonts w:ascii="Verdana" w:hAnsi="Verdana" w:cs="Verdana"/>
          <w:b w:val="0"/>
          <w:i w:val="0"/>
          <w:sz w:val="20"/>
        </w:rPr>
        <w:t xml:space="preserve">, a w produkcji — domeny obu frontendów na Railway. Opcja </w:t>
      </w:r>
      <w:r>
        <w:rPr>
          <w:rFonts w:ascii="Consolas" w:hAnsi="Consolas" w:cs="Consolas"/>
          <w:b w:val="0"/>
          <w:i w:val="0"/>
          <w:sz w:val="20"/>
        </w:rPr>
        <w:t>credentials: true</w:t>
      </w:r>
      <w:r>
        <w:rPr>
          <w:rFonts w:ascii="Verdana" w:hAnsi="Verdana" w:cs="Verdana"/>
          <w:b w:val="0"/>
          <w:i w:val="0"/>
          <w:sz w:val="20"/>
        </w:rPr>
        <w:t xml:space="preserve"> zezwala przeglądarce na wysyłanie ciasteczek przy żądaniach cross-origin, co jest niezbędne do działania mechanizmu ciasteczek HTTP-only. Trzeci komponent — </w:t>
      </w:r>
      <w:r>
        <w:rPr>
          <w:rFonts w:ascii="Verdana" w:hAnsi="Verdana" w:cs="Verdana"/>
          <w:b/>
          <w:i w:val="0"/>
          <w:sz w:val="20"/>
        </w:rPr>
        <w:t>cookie-parser</w:t>
      </w:r>
      <w:r>
        <w:rPr>
          <w:rFonts w:ascii="Verdana" w:hAnsi="Verdana" w:cs="Verdana"/>
          <w:b w:val="0"/>
          <w:i w:val="0"/>
          <w:sz w:val="20"/>
        </w:rPr>
        <w:t xml:space="preserve"> — przetwarza nagłówek </w:t>
      </w:r>
      <w:r>
        <w:rPr>
          <w:rFonts w:ascii="Consolas" w:hAnsi="Consolas" w:cs="Consolas"/>
          <w:b w:val="0"/>
          <w:i w:val="0"/>
          <w:sz w:val="20"/>
        </w:rPr>
        <w:t>Cookie</w:t>
      </w:r>
      <w:r>
        <w:rPr>
          <w:rFonts w:ascii="Verdana" w:hAnsi="Verdana" w:cs="Verdana"/>
          <w:b w:val="0"/>
          <w:i w:val="0"/>
          <w:sz w:val="20"/>
        </w:rPr>
        <w:t xml:space="preserve"> przychodzących żądań i udostępnia jego zawartość pod </w:t>
      </w:r>
      <w:r>
        <w:rPr>
          <w:rFonts w:ascii="Consolas" w:hAnsi="Consolas" w:cs="Consolas"/>
          <w:b w:val="0"/>
          <w:i w:val="0"/>
          <w:sz w:val="20"/>
        </w:rPr>
        <w:t>req.cookies</w:t>
      </w:r>
      <w:r>
        <w:rPr>
          <w:rFonts w:ascii="Verdana" w:hAnsi="Verdana" w:cs="Verdana"/>
          <w:b w:val="0"/>
          <w:i w:val="0"/>
          <w:sz w:val="20"/>
        </w:rPr>
        <w:t>, umożliwiając strażnikowi JWT odczyt tokena z bezpiecznego ciasteczka.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5.5 ]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backend-api/src/main.ts</w:t>
      </w:r>
      <w:r>
        <w:rPr>
          <w:rFonts w:ascii="Verdana" w:hAnsi="Verdana" w:cs="Verdana"/>
          <w:b w:val="0"/>
          <w:i w:val="0"/>
          <w:sz w:val="20"/>
        </w:rPr>
        <w:t xml:space="preserve">   Linie: 35–61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5.5. Konfiguracja Helmet, CORS, cookie-parser i ValidationPipe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5.5 prezentuje konfigurację globalnych komponentów. Kolejność rejestracji ma znaczenie: Helmet i cookie-parser muszą być włączone przed enableCors, aby nagłówki bezpieczeństwa były dodawane także do odpowiedzi preflight. ValidationPipe rejestrowany globalnie obejmuje wszystkie endpointy — żaden kontroler nie musi go ponownie deklarować.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Walidacja danych wejściowych — class-validator i ValidationPipe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Każde żądanie modyfikujące dane przekazuje payload w formacie JSON, który musi zostać zweryfikowany przed dotarciem do warstwy biznesowej. Realizację zapewnia kombinacja biblioteki </w:t>
      </w:r>
      <w:r>
        <w:rPr>
          <w:rFonts w:ascii="Verdana" w:hAnsi="Verdana" w:cs="Verdana"/>
          <w:b/>
          <w:i w:val="0"/>
          <w:sz w:val="20"/>
        </w:rPr>
        <w:t>class-validator</w:t>
      </w:r>
      <w:r>
        <w:rPr>
          <w:rFonts w:ascii="Verdana" w:hAnsi="Verdana" w:cs="Verdana"/>
          <w:b w:val="0"/>
          <w:i w:val="0"/>
          <w:sz w:val="20"/>
        </w:rPr>
        <w:t xml:space="preserve"> (definiowanie reguł walidacji w postaci dekoratorów na polach klasy DTO) oraz globalnego </w:t>
      </w:r>
      <w:r>
        <w:rPr>
          <w:rFonts w:ascii="Verdana" w:hAnsi="Verdana" w:cs="Verdana"/>
          <w:b/>
          <w:i w:val="0"/>
          <w:sz w:val="20"/>
        </w:rPr>
        <w:t>ValidationPipe</w:t>
      </w:r>
      <w:r>
        <w:rPr>
          <w:rFonts w:ascii="Verdana" w:hAnsi="Verdana" w:cs="Verdana"/>
          <w:b w:val="0"/>
          <w:i w:val="0"/>
          <w:sz w:val="20"/>
        </w:rPr>
        <w:t xml:space="preserve"> (automatyczne stosowanie reguł i odrzucanie nieprawidłowych żądań ze statusem 400). Trzy opcje konfiguracyjne ValidationPipe są kluczowe dla bezpieczeństwa: </w:t>
      </w:r>
      <w:r>
        <w:rPr>
          <w:rFonts w:ascii="Consolas" w:hAnsi="Consolas" w:cs="Consolas"/>
          <w:b w:val="0"/>
          <w:i w:val="0"/>
          <w:sz w:val="20"/>
        </w:rPr>
        <w:t>whitelist: true</w:t>
      </w:r>
      <w:r>
        <w:rPr>
          <w:rFonts w:ascii="Verdana" w:hAnsi="Verdana" w:cs="Verdana"/>
          <w:b w:val="0"/>
          <w:i w:val="0"/>
          <w:sz w:val="20"/>
        </w:rPr>
        <w:t xml:space="preserve"> usuwa z payloadu pola, które nie są zdefiniowane w DTO; </w:t>
      </w:r>
      <w:r>
        <w:rPr>
          <w:rFonts w:ascii="Consolas" w:hAnsi="Consolas" w:cs="Consolas"/>
          <w:b w:val="0"/>
          <w:i w:val="0"/>
          <w:sz w:val="20"/>
        </w:rPr>
        <w:t>forbidNonWhitelisted: true</w:t>
      </w:r>
      <w:r>
        <w:rPr>
          <w:rFonts w:ascii="Verdana" w:hAnsi="Verdana" w:cs="Verdana"/>
          <w:b w:val="0"/>
          <w:i w:val="0"/>
          <w:sz w:val="20"/>
        </w:rPr>
        <w:t xml:space="preserve"> powoduje, że ich obecność nie tylko jest ignorowana, ale wręcz zwraca błąd — dzięki temu klient nie może podsunąć dodatkowych pól w nadziei, że trafi na nieautoryzowaną właściwość encji (atak typu mass-assignment); </w:t>
      </w:r>
      <w:r>
        <w:rPr>
          <w:rFonts w:ascii="Consolas" w:hAnsi="Consolas" w:cs="Consolas"/>
          <w:b w:val="0"/>
          <w:i w:val="0"/>
          <w:sz w:val="20"/>
        </w:rPr>
        <w:t>transform: true</w:t>
      </w:r>
      <w:r>
        <w:rPr>
          <w:rFonts w:ascii="Verdana" w:hAnsi="Verdana" w:cs="Verdana"/>
          <w:b w:val="0"/>
          <w:i w:val="0"/>
          <w:sz w:val="20"/>
        </w:rPr>
        <w:t xml:space="preserve"> automatycznie przekształca surowy JSON w instancje klas DTO z poprawnymi typami (np. string z </w:t>
      </w:r>
      <w:r>
        <w:rPr>
          <w:rFonts w:ascii="Consolas" w:hAnsi="Consolas" w:cs="Consolas"/>
          <w:b w:val="0"/>
          <w:i w:val="0"/>
          <w:sz w:val="20"/>
        </w:rPr>
        <w:t>"123"</w:t>
      </w:r>
      <w:r>
        <w:rPr>
          <w:rFonts w:ascii="Verdana" w:hAnsi="Verdana" w:cs="Verdana"/>
          <w:b w:val="0"/>
          <w:i w:val="0"/>
          <w:sz w:val="20"/>
        </w:rPr>
        <w:t xml:space="preserve"> staje się liczbą, jeśli pole jest oznaczone </w:t>
      </w:r>
      <w:r>
        <w:rPr>
          <w:rFonts w:ascii="Consolas" w:hAnsi="Consolas" w:cs="Consolas"/>
          <w:b w:val="0"/>
          <w:i w:val="0"/>
          <w:sz w:val="20"/>
        </w:rPr>
        <w:t>@IsNumber</w:t>
      </w:r>
      <w:r>
        <w:rPr>
          <w:rFonts w:ascii="Verdana" w:hAnsi="Verdana" w:cs="Verdana"/>
          <w:b w:val="0"/>
          <w:i w:val="0"/>
          <w:sz w:val="20"/>
        </w:rPr>
        <w:t>).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5.6 ]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backend-api/src/modules/auth/dto/register.dto.ts</w:t>
      </w:r>
      <w:r>
        <w:rPr>
          <w:rFonts w:ascii="Verdana" w:hAnsi="Verdana" w:cs="Verdana"/>
          <w:b w:val="0"/>
          <w:i w:val="0"/>
          <w:sz w:val="20"/>
        </w:rPr>
        <w:t xml:space="preserve">   Linie: 1–24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5.6. Przykładowy DTO rejestracji z dekoratorami walidacji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5.6 prezentuje DTO rejestracji. Dekoratory @IsEmail, @MinLength(8), @IsNotEmpty są deklaratywne — komunikują czytelnikowi intencje walidacyjne bez konieczności analizowania kodu walidującego. ValidationPipe wykonuje wszystkie reguły jednocześnie i zwraca komplet błędów w jednej odpowiedzi 400, co jest istotne dla ergonomii formularzy w panelu rejestracji.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Rate limiting — ochrona endpointów uwierzytelniania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Endpointy operacji wrażliwych — rejestracji i logowania — są szczególnie podatne na ataki polegające na automatycznym wysyłaniu wielu żądań w celu zgadnięcia hasła (brute-force) lub zalewania systemu fałszywymi rejestracjami. Ochronę realizuje pakiet </w:t>
      </w:r>
      <w:r>
        <w:rPr>
          <w:rFonts w:ascii="Verdana" w:hAnsi="Verdana" w:cs="Verdana"/>
          <w:b/>
          <w:i w:val="0"/>
          <w:sz w:val="20"/>
        </w:rPr>
        <w:t>@nestjs/throttler</w:t>
      </w:r>
      <w:r>
        <w:rPr>
          <w:rFonts w:ascii="Verdana" w:hAnsi="Verdana" w:cs="Verdana"/>
          <w:b w:val="0"/>
          <w:i w:val="0"/>
          <w:sz w:val="20"/>
        </w:rPr>
        <w:t xml:space="preserve">. Globalna konfiguracja modułu w </w:t>
      </w:r>
      <w:r>
        <w:rPr>
          <w:rFonts w:ascii="Consolas" w:hAnsi="Consolas" w:cs="Consolas"/>
          <w:b w:val="0"/>
          <w:i w:val="0"/>
          <w:sz w:val="20"/>
        </w:rPr>
        <w:t>AppModule</w:t>
      </w:r>
      <w:r>
        <w:rPr>
          <w:rFonts w:ascii="Verdana" w:hAnsi="Verdana" w:cs="Verdana"/>
          <w:b w:val="0"/>
          <w:i w:val="0"/>
          <w:sz w:val="20"/>
        </w:rPr>
        <w:t xml:space="preserve"> definiuje domyślny limit (10 żądań na 15 minut z jednego adresu IP), a poszczególne endpointy autoryzacyjne są dodatkowo opatrzone dekoratorem </w:t>
      </w:r>
      <w:r>
        <w:rPr>
          <w:rFonts w:ascii="Consolas" w:hAnsi="Consolas" w:cs="Consolas"/>
          <w:b w:val="0"/>
          <w:i w:val="0"/>
          <w:sz w:val="20"/>
        </w:rPr>
        <w:t>@Throttle</w:t>
      </w:r>
      <w:r>
        <w:rPr>
          <w:rFonts w:ascii="Verdana" w:hAnsi="Verdana" w:cs="Verdana"/>
          <w:b w:val="0"/>
          <w:i w:val="0"/>
          <w:sz w:val="20"/>
        </w:rPr>
        <w:t xml:space="preserve"> z bardziej restrykcyjnymi parametrami: rejestracja firmy (najbardziej kosztowna operacja) — </w:t>
      </w:r>
      <w:r>
        <w:rPr>
          <w:rFonts w:ascii="Verdana" w:hAnsi="Verdana" w:cs="Verdana"/>
          <w:b/>
          <w:i w:val="0"/>
          <w:sz w:val="20"/>
        </w:rPr>
        <w:t>5 żądań na 60 minut</w:t>
      </w:r>
      <w:r>
        <w:rPr>
          <w:rFonts w:ascii="Verdana" w:hAnsi="Verdana" w:cs="Verdana"/>
          <w:b w:val="0"/>
          <w:i w:val="0"/>
          <w:sz w:val="20"/>
        </w:rPr>
        <w:t xml:space="preserve">, rejestracja pracownika i ogólna rejestracja — </w:t>
      </w:r>
      <w:r>
        <w:rPr>
          <w:rFonts w:ascii="Verdana" w:hAnsi="Verdana" w:cs="Verdana"/>
          <w:b/>
          <w:i w:val="0"/>
          <w:sz w:val="20"/>
        </w:rPr>
        <w:t>5 żądań na 15 minut</w:t>
      </w:r>
      <w:r>
        <w:rPr>
          <w:rFonts w:ascii="Verdana" w:hAnsi="Verdana" w:cs="Verdana"/>
          <w:b w:val="0"/>
          <w:i w:val="0"/>
          <w:sz w:val="20"/>
        </w:rPr>
        <w:t xml:space="preserve">, logowanie — </w:t>
      </w:r>
      <w:r>
        <w:rPr>
          <w:rFonts w:ascii="Verdana" w:hAnsi="Verdana" w:cs="Verdana"/>
          <w:b/>
          <w:i w:val="0"/>
          <w:sz w:val="20"/>
        </w:rPr>
        <w:t>10 żądań na 15 minut</w:t>
      </w:r>
      <w:r>
        <w:rPr>
          <w:rFonts w:ascii="Verdana" w:hAnsi="Verdana" w:cs="Verdana"/>
          <w:b w:val="0"/>
          <w:i w:val="0"/>
          <w:sz w:val="20"/>
        </w:rPr>
        <w:t xml:space="preserve">. Po przekroczeniu limitu serwer zwraca status </w:t>
      </w:r>
      <w:r>
        <w:rPr>
          <w:rFonts w:ascii="Consolas" w:hAnsi="Consolas" w:cs="Consolas"/>
          <w:b w:val="0"/>
          <w:i w:val="0"/>
          <w:sz w:val="20"/>
        </w:rPr>
        <w:t>429 Too Many Requests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Bezpieczna obsługa ciasteczek sesyjnych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udanym logowaniu serwer wystawia parę tokenów (dostępu i odświeżania) i zapisuje je w ciasteczkach przeglądarki. Każde z ciasteczek ma trzy krytyczne flagi bezpieczeństwa: </w:t>
      </w:r>
      <w:r>
        <w:rPr>
          <w:rFonts w:ascii="Verdana" w:hAnsi="Verdana" w:cs="Verdana"/>
          <w:b/>
          <w:i w:val="0"/>
          <w:sz w:val="20"/>
        </w:rPr>
        <w:t>httpOnly: true</w:t>
      </w:r>
      <w:r>
        <w:rPr>
          <w:rFonts w:ascii="Verdana" w:hAnsi="Verdana" w:cs="Verdana"/>
          <w:b w:val="0"/>
          <w:i w:val="0"/>
          <w:sz w:val="20"/>
        </w:rPr>
        <w:t xml:space="preserve"> (uniemożliwia odczyt z JavaScriptu, co eliminuje wektor ataku XSS na kradzież tokena), </w:t>
      </w:r>
      <w:r>
        <w:rPr>
          <w:rFonts w:ascii="Verdana" w:hAnsi="Verdana" w:cs="Verdana"/>
          <w:b/>
          <w:i w:val="0"/>
          <w:sz w:val="20"/>
        </w:rPr>
        <w:t>secure: true</w:t>
      </w:r>
      <w:r>
        <w:rPr>
          <w:rFonts w:ascii="Verdana" w:hAnsi="Verdana" w:cs="Verdana"/>
          <w:b w:val="0"/>
          <w:i w:val="0"/>
          <w:sz w:val="20"/>
        </w:rPr>
        <w:t xml:space="preserve"> w środowisku produkcyjnym (ciasteczko jest przesyłane tylko po HTTPS) oraz </w:t>
      </w:r>
      <w:r>
        <w:rPr>
          <w:rFonts w:ascii="Verdana" w:hAnsi="Verdana" w:cs="Verdana"/>
          <w:b/>
          <w:i w:val="0"/>
          <w:sz w:val="20"/>
        </w:rPr>
        <w:t>sameSite: 'strict'</w:t>
      </w:r>
      <w:r>
        <w:rPr>
          <w:rFonts w:ascii="Verdana" w:hAnsi="Verdana" w:cs="Verdana"/>
          <w:b w:val="0"/>
          <w:i w:val="0"/>
          <w:sz w:val="20"/>
        </w:rPr>
        <w:t xml:space="preserve"> w produkcji (przeglądarka nie wysyła ciasteczek przy żądaniach inicjowanych z innych witryn — ochrona przed CSRF). W środowisku lokalnym, gdzie rozwój odbywa się na HTTP, flagi </w:t>
      </w:r>
      <w:r>
        <w:rPr>
          <w:rFonts w:ascii="Consolas" w:hAnsi="Consolas" w:cs="Consolas"/>
          <w:b w:val="0"/>
          <w:i w:val="0"/>
          <w:sz w:val="20"/>
        </w:rPr>
        <w:t>secure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sameSite</w:t>
      </w:r>
      <w:r>
        <w:rPr>
          <w:rFonts w:ascii="Verdana" w:hAnsi="Verdana" w:cs="Verdana"/>
          <w:b w:val="0"/>
          <w:i w:val="0"/>
          <w:sz w:val="20"/>
        </w:rPr>
        <w:t xml:space="preserve"> są łagodniejsze (</w:t>
      </w:r>
      <w:r>
        <w:rPr>
          <w:rFonts w:ascii="Consolas" w:hAnsi="Consolas" w:cs="Consolas"/>
          <w:b w:val="0"/>
          <w:i w:val="0"/>
          <w:sz w:val="20"/>
        </w:rPr>
        <w:t>false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lax</w:t>
      </w:r>
      <w:r>
        <w:rPr>
          <w:rFonts w:ascii="Verdana" w:hAnsi="Verdana" w:cs="Verdana"/>
          <w:b w:val="0"/>
          <w:i w:val="0"/>
          <w:sz w:val="20"/>
        </w:rPr>
        <w:t>), ponieważ inaczej ciasteczka nie działałyby w trybie deweloperskim. Czas życia ciasteczka dostępu wynosi 15 minut, a odświeżania — 7 dni; po wygaśnięciu obu konieczne jest ponowne logowanie.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5.7 ]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backend-api/src/modules/auth/auth.controller.ts</w:t>
      </w:r>
      <w:r>
        <w:rPr>
          <w:rFonts w:ascii="Verdana" w:hAnsi="Verdana" w:cs="Verdana"/>
          <w:b w:val="0"/>
          <w:i w:val="0"/>
          <w:sz w:val="20"/>
        </w:rPr>
        <w:t xml:space="preserve">   Linie: 19–74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5.7. Konfiguracja ciasteczek sesyjnych z rate limitingiem na endpointach auth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5.7 łączy dwa zagadnienia: setAuthCookies pokazuje pełną konfigurację flag bezpieczeństwa (httpOnly, secure, sameSite, path, maxAge), a dekoratory @Throttle nad endpointami register i login ilustrują dobranie limitów per typ operacji. Funkcja clearAuthCookies stosowana w endpoincie wylogowania używa identycznych opcji bazowych — przeglądarka usunie ciasteczko tylko, jeśli atrybuty pasują do tych użytych przy jego utworzeniu.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Hashowanie haseł — bcrypt z parametrem 12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Hasła użytkowników nigdy nie są przechowywane w postaci jawnej — przed zapisem do bazy podlegają funkcji skrótu </w:t>
      </w:r>
      <w:r>
        <w:rPr>
          <w:rFonts w:ascii="Verdana" w:hAnsi="Verdana" w:cs="Verdana"/>
          <w:b/>
          <w:i w:val="0"/>
          <w:sz w:val="20"/>
        </w:rPr>
        <w:t>bcrypt</w:t>
      </w:r>
      <w:r>
        <w:rPr>
          <w:rFonts w:ascii="Verdana" w:hAnsi="Verdana" w:cs="Verdana"/>
          <w:b w:val="0"/>
          <w:i w:val="0"/>
          <w:sz w:val="20"/>
        </w:rPr>
        <w:t xml:space="preserve"> z parametrem </w:t>
      </w:r>
      <w:r>
        <w:rPr>
          <w:rFonts w:ascii="Verdana" w:hAnsi="Verdana" w:cs="Verdana"/>
          <w:b/>
          <w:i w:val="0"/>
          <w:sz w:val="20"/>
        </w:rPr>
        <w:t>cost factor = 12</w:t>
      </w:r>
      <w:r>
        <w:rPr>
          <w:rFonts w:ascii="Verdana" w:hAnsi="Verdana" w:cs="Verdana"/>
          <w:b w:val="0"/>
          <w:i w:val="0"/>
          <w:sz w:val="20"/>
        </w:rPr>
        <w:t xml:space="preserve">. Bcrypt jest funkcją skrótu zaprojektowaną z myślą o haszowaniu haseł — jest celowo </w:t>
      </w:r>
      <w:r>
        <w:rPr>
          <w:rFonts w:ascii="Verdana" w:hAnsi="Verdana" w:cs="Verdana"/>
          <w:b w:val="0"/>
          <w:i/>
          <w:sz w:val="20"/>
        </w:rPr>
        <w:t>powolna</w:t>
      </w:r>
      <w:r>
        <w:rPr>
          <w:rFonts w:ascii="Verdana" w:hAnsi="Verdana" w:cs="Verdana"/>
          <w:b w:val="0"/>
          <w:i w:val="0"/>
          <w:sz w:val="20"/>
        </w:rPr>
        <w:t>, dzięki czemu atak słownikowy lub brute-force wymaga znacznych zasobów obliczeniowych. Parametr cost factor określa liczbę iteracji wewnętrznej funkcji (</w:t>
      </w:r>
      <w:r>
        <w:rPr>
          <w:rFonts w:ascii="Consolas" w:hAnsi="Consolas" w:cs="Consolas"/>
          <w:b w:val="0"/>
          <w:i w:val="0"/>
          <w:sz w:val="20"/>
        </w:rPr>
        <w:t>2¹²</w:t>
      </w:r>
      <w:r>
        <w:rPr>
          <w:rFonts w:ascii="Verdana" w:hAnsi="Verdana" w:cs="Verdana"/>
          <w:b w:val="0"/>
          <w:i w:val="0"/>
          <w:sz w:val="20"/>
        </w:rPr>
        <w:t xml:space="preserve"> = 4096 iteracji); wybrana wartość 12 jest powszechnie rekomendowana w 2026 roku jako balans między bezpieczeństwem (kosztowne łamanie offline) a użytecznością (czas hashowania ok. 250 ms na typowym serwerze, niezauważalny dla użytkownika). Każdy hash zawiera również losową </w:t>
      </w:r>
      <w:r>
        <w:rPr>
          <w:rFonts w:ascii="Verdana" w:hAnsi="Verdana" w:cs="Verdana"/>
          <w:b w:val="0"/>
          <w:i/>
          <w:sz w:val="20"/>
        </w:rPr>
        <w:t>sól</w:t>
      </w:r>
      <w:r>
        <w:rPr>
          <w:rFonts w:ascii="Verdana" w:hAnsi="Verdana" w:cs="Verdana"/>
          <w:b w:val="0"/>
          <w:i w:val="0"/>
          <w:sz w:val="20"/>
        </w:rPr>
        <w:t xml:space="preserve"> generowaną automatycznie przez bibliotekę, co eliminuje atak rainbow table. Weryfikacja hasła odbywa się przez funkcję </w:t>
      </w:r>
      <w:r>
        <w:rPr>
          <w:rFonts w:ascii="Consolas" w:hAnsi="Consolas" w:cs="Consolas"/>
          <w:b w:val="0"/>
          <w:i w:val="0"/>
          <w:sz w:val="20"/>
        </w:rPr>
        <w:t>bcrypt.compare</w:t>
      </w:r>
      <w:r>
        <w:rPr>
          <w:rFonts w:ascii="Verdana" w:hAnsi="Verdana" w:cs="Verdana"/>
          <w:b w:val="0"/>
          <w:i w:val="0"/>
          <w:sz w:val="20"/>
        </w:rPr>
        <w:t xml:space="preserve"> wykonywaną w stałym czasie (ochrona przed timing attacks).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Ochrona przed wstrzyknięciem SQL — TypeORM Query Builder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Wszystkie zapytania do bazy danych przechodzą przez warstwę abstrakcji </w:t>
      </w:r>
      <w:r>
        <w:rPr>
          <w:rFonts w:ascii="Verdana" w:hAnsi="Verdana" w:cs="Verdana"/>
          <w:b/>
          <w:i w:val="0"/>
          <w:sz w:val="20"/>
        </w:rPr>
        <w:t>TypeORM</w:t>
      </w:r>
      <w:r>
        <w:rPr>
          <w:rFonts w:ascii="Verdana" w:hAnsi="Verdana" w:cs="Verdana"/>
          <w:b w:val="0"/>
          <w:i w:val="0"/>
          <w:sz w:val="20"/>
        </w:rPr>
        <w:t xml:space="preserve"> — zarówno w wariancie repozytoryjnym (</w:t>
      </w:r>
      <w:r>
        <w:rPr>
          <w:rFonts w:ascii="Consolas" w:hAnsi="Consolas" w:cs="Consolas"/>
          <w:b w:val="0"/>
          <w:i w:val="0"/>
          <w:sz w:val="20"/>
        </w:rPr>
        <w:t>repo.find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repo.save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repo.delete</w:t>
      </w:r>
      <w:r>
        <w:rPr>
          <w:rFonts w:ascii="Verdana" w:hAnsi="Verdana" w:cs="Verdana"/>
          <w:b w:val="0"/>
          <w:i w:val="0"/>
          <w:sz w:val="20"/>
        </w:rPr>
        <w:t xml:space="preserve">), jak i w wariancie </w:t>
      </w:r>
      <w:r>
        <w:rPr>
          <w:rFonts w:ascii="Verdana" w:hAnsi="Verdana" w:cs="Verdana"/>
          <w:b/>
          <w:i w:val="0"/>
          <w:sz w:val="20"/>
        </w:rPr>
        <w:t>Query Builder</w:t>
      </w:r>
      <w:r>
        <w:rPr>
          <w:rFonts w:ascii="Verdana" w:hAnsi="Verdana" w:cs="Verdana"/>
          <w:b w:val="0"/>
          <w:i w:val="0"/>
          <w:sz w:val="20"/>
        </w:rPr>
        <w:t xml:space="preserve"> używanym w bardziej złożonych agregacjach analitycznych. W obu przypadkach wartości pochodzące z żądania są przekazywane jako </w:t>
      </w:r>
      <w:r>
        <w:rPr>
          <w:rFonts w:ascii="Verdana" w:hAnsi="Verdana" w:cs="Verdana"/>
          <w:b/>
          <w:i w:val="0"/>
          <w:sz w:val="20"/>
        </w:rPr>
        <w:t>parametry pozycyjne</w:t>
      </w:r>
      <w:r>
        <w:rPr>
          <w:rFonts w:ascii="Verdana" w:hAnsi="Verdana" w:cs="Verdana"/>
          <w:b w:val="0"/>
          <w:i w:val="0"/>
          <w:sz w:val="20"/>
        </w:rPr>
        <w:t xml:space="preserve"> lub </w:t>
      </w:r>
      <w:r>
        <w:rPr>
          <w:rFonts w:ascii="Verdana" w:hAnsi="Verdana" w:cs="Verdana"/>
          <w:b/>
          <w:i w:val="0"/>
          <w:sz w:val="20"/>
        </w:rPr>
        <w:t>parametry nazwane</w:t>
      </w:r>
      <w:r>
        <w:rPr>
          <w:rFonts w:ascii="Verdana" w:hAnsi="Verdana" w:cs="Verdana"/>
          <w:b w:val="0"/>
          <w:i w:val="0"/>
          <w:sz w:val="20"/>
        </w:rPr>
        <w:t xml:space="preserve"> (np. </w:t>
      </w:r>
      <w:r>
        <w:rPr>
          <w:rFonts w:ascii="Consolas" w:hAnsi="Consolas" w:cs="Consolas"/>
          <w:b w:val="0"/>
          <w:i w:val="0"/>
          <w:sz w:val="20"/>
        </w:rPr>
        <w:t>:organizationId</w:t>
      </w:r>
      <w:r>
        <w:rPr>
          <w:rFonts w:ascii="Verdana" w:hAnsi="Verdana" w:cs="Verdana"/>
          <w:b w:val="0"/>
          <w:i w:val="0"/>
          <w:sz w:val="20"/>
        </w:rPr>
        <w:t>), a nie konkatenowane bezpośrednio do tekstu zapytania SQL. Sterownik bazodanowy zapewnia poprawne escapowanie wartości, dzięki czemu wstrzyknięcie złośliwego SQL przez parametr żądania jest niemożliwe. W całym kodzie aplikacji nie występuje żadne miejsce, w którym wartość użytkownika byłaby wpisywana wprost do łańcucha SQL.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5.8 ]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backend-api/src/modules/analytics/analytics.service.ts</w:t>
      </w:r>
      <w:r>
        <w:rPr>
          <w:rFonts w:ascii="Verdana" w:hAnsi="Verdana" w:cs="Verdana"/>
          <w:b w:val="0"/>
          <w:i w:val="0"/>
          <w:sz w:val="20"/>
        </w:rPr>
        <w:t xml:space="preserve">   Linie: 363–379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5.8. Parametryzowane zapytanie TypeORM Query Builder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5.8 prezentuje fragment metody getDepartmentWellbeingLoad. Wartości organizationId, status, role oraz lista codes są przekazywane jako parametry nazwane (drugi argument metod where i andWhere). TypeORM przekształca je w prepared statement na poziomie sterownika PostgreSQL, eliminując ryzyko wstrzyknięcia SQL niezależnie od zawartości tych zmiennych.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Świadome ograniczenia i kierunki dalszego rozwoju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Warstwa bezpieczeństwa eksploatacyjnego w obecnej formie ma trzy świadomie zaakceptowane ograniczenia. </w:t>
      </w:r>
      <w:r>
        <w:rPr>
          <w:rFonts w:ascii="Verdana" w:hAnsi="Verdana" w:cs="Verdana"/>
          <w:b/>
          <w:i w:val="0"/>
          <w:sz w:val="20"/>
        </w:rPr>
        <w:t>Brak jawnej konfiguracji trust proxy</w:t>
      </w:r>
      <w:r>
        <w:rPr>
          <w:rFonts w:ascii="Verdana" w:hAnsi="Verdana" w:cs="Verdana"/>
          <w:b w:val="0"/>
          <w:i w:val="0"/>
          <w:sz w:val="20"/>
        </w:rPr>
        <w:t xml:space="preserve"> — w środowisku Railway żądania trafiają do aplikacji przez warstwę reverse proxy, dzięki czemu wartość </w:t>
      </w:r>
      <w:r>
        <w:rPr>
          <w:rFonts w:ascii="Consolas" w:hAnsi="Consolas" w:cs="Consolas"/>
          <w:b w:val="0"/>
          <w:i w:val="0"/>
          <w:sz w:val="20"/>
        </w:rPr>
        <w:t>request.ip</w:t>
      </w:r>
      <w:r>
        <w:rPr>
          <w:rFonts w:ascii="Verdana" w:hAnsi="Verdana" w:cs="Verdana"/>
          <w:b w:val="0"/>
          <w:i w:val="0"/>
          <w:sz w:val="20"/>
        </w:rPr>
        <w:t xml:space="preserve"> obserwowana w aplikacji odpowiada adresowi proxy, a nie rzeczywistego klienta. Wpływa to na precyzję rate limitingu — limit jest stosowany dla całego ruchu z jednego węzła Railway. Naprawą byłoby dodanie </w:t>
      </w:r>
      <w:r>
        <w:rPr>
          <w:rFonts w:ascii="Consolas" w:hAnsi="Consolas" w:cs="Consolas"/>
          <w:b w:val="0"/>
          <w:i w:val="0"/>
          <w:sz w:val="20"/>
        </w:rPr>
        <w:t>app.set('trust proxy', 1)</w:t>
      </w:r>
      <w:r>
        <w:rPr>
          <w:rFonts w:ascii="Verdana" w:hAnsi="Verdana" w:cs="Verdana"/>
          <w:b w:val="0"/>
          <w:i w:val="0"/>
          <w:sz w:val="20"/>
        </w:rPr>
        <w:t xml:space="preserve"> i odczyt nagłówka </w:t>
      </w:r>
      <w:r>
        <w:rPr>
          <w:rFonts w:ascii="Consolas" w:hAnsi="Consolas" w:cs="Consolas"/>
          <w:b w:val="0"/>
          <w:i w:val="0"/>
          <w:sz w:val="20"/>
        </w:rPr>
        <w:t>X-Forwarded-For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/>
          <w:i w:val="0"/>
          <w:sz w:val="20"/>
        </w:rPr>
        <w:t>Wyłączona Content-Security-Policy</w:t>
      </w:r>
      <w:r>
        <w:rPr>
          <w:rFonts w:ascii="Verdana" w:hAnsi="Verdana" w:cs="Verdana"/>
          <w:b w:val="0"/>
          <w:i w:val="0"/>
          <w:sz w:val="20"/>
        </w:rPr>
        <w:t xml:space="preserve"> — domyślna konfiguracja Helmet blokowałaby zasoby z domeny frontendu, więc jest tymczasowo wyłączona. Pełna konfiguracja CSP z whitelistą domen frontendu jest planowana jako rozszerzenie. </w:t>
      </w:r>
      <w:r>
        <w:rPr>
          <w:rFonts w:ascii="Verdana" w:hAnsi="Verdana" w:cs="Verdana"/>
          <w:b/>
          <w:i w:val="0"/>
          <w:sz w:val="20"/>
        </w:rPr>
        <w:t>Brak globalnego mechanizmu Web Application Firewall</w:t>
      </w:r>
      <w:r>
        <w:rPr>
          <w:rFonts w:ascii="Verdana" w:hAnsi="Verdana" w:cs="Verdana"/>
          <w:b w:val="0"/>
          <w:i w:val="0"/>
          <w:sz w:val="20"/>
        </w:rPr>
        <w:t xml:space="preserve"> — w środowisku produkcyjnym o większej skali warto rozważyć wdrożenie WAF na poziomie usługi chmurowej (np. Cloudflare) jako dodatkowej warstwy obrony przed atakami warstwy aplikacyjnej.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warstwy bezpieczeństwa eksploatacyjnego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Bezpieczeństwo eksploatacyjne MoodFlow opiera się na siedmiu komplementarnych mechanizmach: walidacji konfiguracji środowiska z zasadą fail-fast, nagłówkach bezpieczeństwa generowanych przez Helmet, polityce CORS opartej na whiteliście originów, deklaratywnej walidacji danych wejściowych z opcją </w:t>
      </w:r>
      <w:r>
        <w:rPr>
          <w:rFonts w:ascii="Consolas" w:hAnsi="Consolas" w:cs="Consolas"/>
          <w:b w:val="0"/>
          <w:i w:val="0"/>
          <w:sz w:val="20"/>
        </w:rPr>
        <w:t>forbidNonWhitelisted</w:t>
      </w:r>
      <w:r>
        <w:rPr>
          <w:rFonts w:ascii="Verdana" w:hAnsi="Verdana" w:cs="Verdana"/>
          <w:b w:val="0"/>
          <w:i w:val="0"/>
          <w:sz w:val="20"/>
        </w:rPr>
        <w:t xml:space="preserve"> eliminującą atak mass-assignment, ograniczeniu częstotliwości żądań na endpointach uwierzytelniania (5 prób rejestracji firmy na godzinę, 10 prób logowania na 15 minut), bezpiecznej obsłudze ciasteczek sesyjnych z flagami </w:t>
      </w:r>
      <w:r>
        <w:rPr>
          <w:rFonts w:ascii="Consolas" w:hAnsi="Consolas" w:cs="Consolas"/>
          <w:b w:val="0"/>
          <w:i w:val="0"/>
          <w:sz w:val="20"/>
        </w:rPr>
        <w:t>httpOnly</w:t>
      </w:r>
      <w:r>
        <w:rPr>
          <w:rFonts w:ascii="Verdana" w:hAnsi="Verdana" w:cs="Verdana"/>
          <w:b w:val="0"/>
          <w:i w:val="0"/>
          <w:sz w:val="20"/>
        </w:rPr>
        <w:t xml:space="preserve"> + </w:t>
      </w:r>
      <w:r>
        <w:rPr>
          <w:rFonts w:ascii="Consolas" w:hAnsi="Consolas" w:cs="Consolas"/>
          <w:b w:val="0"/>
          <w:i w:val="0"/>
          <w:sz w:val="20"/>
        </w:rPr>
        <w:t>secure</w:t>
      </w:r>
      <w:r>
        <w:rPr>
          <w:rFonts w:ascii="Verdana" w:hAnsi="Verdana" w:cs="Verdana"/>
          <w:b w:val="0"/>
          <w:i w:val="0"/>
          <w:sz w:val="20"/>
        </w:rPr>
        <w:t xml:space="preserve"> + </w:t>
      </w:r>
      <w:r>
        <w:rPr>
          <w:rFonts w:ascii="Consolas" w:hAnsi="Consolas" w:cs="Consolas"/>
          <w:b w:val="0"/>
          <w:i w:val="0"/>
          <w:sz w:val="20"/>
        </w:rPr>
        <w:t>sameSite</w:t>
      </w:r>
      <w:r>
        <w:rPr>
          <w:rFonts w:ascii="Verdana" w:hAnsi="Verdana" w:cs="Verdana"/>
          <w:b w:val="0"/>
          <w:i w:val="0"/>
          <w:sz w:val="20"/>
        </w:rPr>
        <w:t>, haszowaniu haseł funkcją bcrypt z parametrem cost factor 12 oraz parametryzowanych zapytaniach SQL przez warstwę TypeORM. Każdy z mechanizmów został wdrożony deklaratywnie — obowiązuje w całej aplikacji bez konieczności ręcznego włączania w poszczególnych endpointach. Trzy świadomie zaakceptowane ograniczenia (brak trust proxy, wyłączona CSP, brak WAF) zostały opisane jako kierunki dalszego rozwoju i wynikają ze skali projektu inżynierskiego.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