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160" w:after="160"/>
      </w:pPr>
      <w:r>
        <w:rPr>
          <w:rFonts w:ascii="Verdana" w:hAnsi="Verdana" w:cs="Verdana"/>
          <w:b/>
          <w:i w:val="0"/>
          <w:sz w:val="24"/>
        </w:rPr>
        <w:t>6.1. Instalacja lokalna w środowisku Docker Compose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System MoodFlow uruchamia się lokalnie pojedynczym poleceniem </w:t>
      </w:r>
      <w:r>
        <w:rPr>
          <w:rFonts w:ascii="Consolas" w:hAnsi="Consolas" w:cs="Consolas"/>
          <w:b w:val="0"/>
          <w:i w:val="0"/>
          <w:sz w:val="20"/>
        </w:rPr>
        <w:t>docker compose up</w:t>
      </w:r>
      <w:r>
        <w:rPr>
          <w:rFonts w:ascii="Verdana" w:hAnsi="Verdana" w:cs="Verdana"/>
          <w:b w:val="0"/>
          <w:i w:val="0"/>
          <w:sz w:val="20"/>
        </w:rPr>
        <w:t>. Konteneryzacja pełnego stosu (aplikacja pracownika, panel administracyjny, backend NestJS, baza PostgreSQL, narzędzie Adminer do podglądu bazy) eliminuje typowe problemy konfiguracyjne wynikające z różnic między systemami operacyjnymi deweloperów. Procedura uruchomienia jest deterministyczna i powtarzalna na macOS, Linuksie oraz Windowsie z WSL2.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Wymagania wstępne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Niezbędny jest </w:t>
      </w:r>
      <w:r>
        <w:rPr>
          <w:rFonts w:ascii="Verdana" w:hAnsi="Verdana" w:cs="Verdana"/>
          <w:b/>
          <w:i w:val="0"/>
          <w:sz w:val="20"/>
        </w:rPr>
        <w:t>Docker Engine 24+</w:t>
      </w:r>
      <w:r>
        <w:rPr>
          <w:rFonts w:ascii="Verdana" w:hAnsi="Verdana" w:cs="Verdana"/>
          <w:b w:val="0"/>
          <w:i w:val="0"/>
          <w:sz w:val="20"/>
        </w:rPr>
        <w:t xml:space="preserve"> wraz z Docker Compose v2 (zintegrowany z Dockerem od wersji 20.10) oraz klient </w:t>
      </w:r>
      <w:r>
        <w:rPr>
          <w:rFonts w:ascii="Consolas" w:hAnsi="Consolas" w:cs="Consolas"/>
          <w:b w:val="0"/>
          <w:i w:val="0"/>
          <w:sz w:val="20"/>
        </w:rPr>
        <w:t>git</w:t>
      </w:r>
      <w:r>
        <w:rPr>
          <w:rFonts w:ascii="Verdana" w:hAnsi="Verdana" w:cs="Verdana"/>
          <w:b w:val="0"/>
          <w:i w:val="0"/>
          <w:sz w:val="20"/>
        </w:rPr>
        <w:t xml:space="preserve"> do pobrania repozytorium. Wymagane są wolne porty: </w:t>
      </w:r>
      <w:r>
        <w:rPr>
          <w:rFonts w:ascii="Consolas" w:hAnsi="Consolas" w:cs="Consolas"/>
          <w:b w:val="0"/>
          <w:i w:val="0"/>
          <w:sz w:val="20"/>
        </w:rPr>
        <w:t>3000</w:t>
      </w:r>
      <w:r>
        <w:rPr>
          <w:rFonts w:ascii="Verdana" w:hAnsi="Verdana" w:cs="Verdana"/>
          <w:b w:val="0"/>
          <w:i w:val="0"/>
          <w:sz w:val="20"/>
        </w:rPr>
        <w:t xml:space="preserve"> (aplikacja pracownika), </w:t>
      </w:r>
      <w:r>
        <w:rPr>
          <w:rFonts w:ascii="Consolas" w:hAnsi="Consolas" w:cs="Consolas"/>
          <w:b w:val="0"/>
          <w:i w:val="0"/>
          <w:sz w:val="20"/>
        </w:rPr>
        <w:t>3001</w:t>
      </w:r>
      <w:r>
        <w:rPr>
          <w:rFonts w:ascii="Verdana" w:hAnsi="Verdana" w:cs="Verdana"/>
          <w:b w:val="0"/>
          <w:i w:val="0"/>
          <w:sz w:val="20"/>
        </w:rPr>
        <w:t xml:space="preserve"> (panel administracyjny), </w:t>
      </w:r>
      <w:r>
        <w:rPr>
          <w:rFonts w:ascii="Consolas" w:hAnsi="Consolas" w:cs="Consolas"/>
          <w:b w:val="0"/>
          <w:i w:val="0"/>
          <w:sz w:val="20"/>
        </w:rPr>
        <w:t>4000</w:t>
      </w:r>
      <w:r>
        <w:rPr>
          <w:rFonts w:ascii="Verdana" w:hAnsi="Verdana" w:cs="Verdana"/>
          <w:b w:val="0"/>
          <w:i w:val="0"/>
          <w:sz w:val="20"/>
        </w:rPr>
        <w:t xml:space="preserve"> (backend), </w:t>
      </w:r>
      <w:r>
        <w:rPr>
          <w:rFonts w:ascii="Consolas" w:hAnsi="Consolas" w:cs="Consolas"/>
          <w:b w:val="0"/>
          <w:i w:val="0"/>
          <w:sz w:val="20"/>
        </w:rPr>
        <w:t>5050</w:t>
      </w:r>
      <w:r>
        <w:rPr>
          <w:rFonts w:ascii="Verdana" w:hAnsi="Verdana" w:cs="Verdana"/>
          <w:b w:val="0"/>
          <w:i w:val="0"/>
          <w:sz w:val="20"/>
        </w:rPr>
        <w:t xml:space="preserve"> (Adminer), </w:t>
      </w:r>
      <w:r>
        <w:rPr>
          <w:rFonts w:ascii="Consolas" w:hAnsi="Consolas" w:cs="Consolas"/>
          <w:b w:val="0"/>
          <w:i w:val="0"/>
          <w:sz w:val="20"/>
        </w:rPr>
        <w:t>5432</w:t>
      </w:r>
      <w:r>
        <w:rPr>
          <w:rFonts w:ascii="Verdana" w:hAnsi="Verdana" w:cs="Verdana"/>
          <w:b w:val="0"/>
          <w:i w:val="0"/>
          <w:sz w:val="20"/>
        </w:rPr>
        <w:t xml:space="preserve"> (PostgreSQL). Do wygenerowania bezpiecznych sekretów JWT pomocny jest </w:t>
      </w:r>
      <w:r>
        <w:rPr>
          <w:rFonts w:ascii="Consolas" w:hAnsi="Consolas" w:cs="Consolas"/>
          <w:b w:val="0"/>
          <w:i w:val="0"/>
          <w:sz w:val="20"/>
        </w:rPr>
        <w:t>Node.js 20+</w:t>
      </w:r>
      <w:r>
        <w:rPr>
          <w:rFonts w:ascii="Verdana" w:hAnsi="Verdana" w:cs="Verdana"/>
          <w:b w:val="0"/>
          <w:i w:val="0"/>
          <w:sz w:val="20"/>
        </w:rPr>
        <w:t xml:space="preserve"> zainstalowany na hoście.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Procedura uruchomienia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Procedura składa się z czterech kroków. </w:t>
      </w:r>
      <w:r>
        <w:rPr>
          <w:rFonts w:ascii="Verdana" w:hAnsi="Verdana" w:cs="Verdana"/>
          <w:b/>
          <w:i w:val="0"/>
          <w:sz w:val="20"/>
        </w:rPr>
        <w:t>Krok pierwszy</w:t>
      </w:r>
      <w:r>
        <w:rPr>
          <w:rFonts w:ascii="Verdana" w:hAnsi="Verdana" w:cs="Verdana"/>
          <w:b w:val="0"/>
          <w:i w:val="0"/>
          <w:sz w:val="20"/>
        </w:rPr>
        <w:t xml:space="preserve"> — sklonowanie repozytorium projektu i przejście do katalogu głównego:</w:t>
      </w:r>
    </w:p>
    <w:p>
      <w:pPr>
        <w:spacing w:line="276" w:lineRule="auto" w:before="40" w:after="120"/>
        <w:ind w:left="340"/>
        <w:jc w:val="left"/>
      </w:pPr>
      <w:r>
        <w:rPr>
          <w:rFonts w:ascii="Consolas" w:hAnsi="Consolas" w:cs="Consolas"/>
          <w:b w:val="0"/>
          <w:i w:val="0"/>
          <w:sz w:val="18"/>
        </w:rPr>
        <w:t>git clone &lt;adres-repozytorium-MoodFlow&gt;.git &amp;&amp; cd MoodFlow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/>
          <w:i w:val="0"/>
          <w:sz w:val="20"/>
        </w:rPr>
        <w:t>Krok drugi</w:t>
      </w:r>
      <w:r>
        <w:rPr>
          <w:rFonts w:ascii="Verdana" w:hAnsi="Verdana" w:cs="Verdana"/>
          <w:b w:val="0"/>
          <w:i w:val="0"/>
          <w:sz w:val="20"/>
        </w:rPr>
        <w:t xml:space="preserve"> — utworzenie pliku konfiguracyjnego z dostarczonego szablonu i wygenerowanie silnych sekretów JWT (oba muszą być różne, mieć min. 32 znaki i nie zawierać typowych słów-pułapek — backend ma wbudowaną walidację fail-fast):</w:t>
      </w:r>
    </w:p>
    <w:p>
      <w:pPr>
        <w:spacing w:line="276" w:lineRule="auto" w:before="40" w:after="120"/>
        <w:ind w:left="340"/>
        <w:jc w:val="left"/>
      </w:pPr>
      <w:r>
        <w:rPr>
          <w:rFonts w:ascii="Consolas" w:hAnsi="Consolas" w:cs="Consolas"/>
          <w:b w:val="0"/>
          <w:i w:val="0"/>
          <w:sz w:val="18"/>
        </w:rPr>
        <w:t>cp .env.example .env</w:t>
        <w:br/>
        <w:t>node -e "console.log(require('crypto').randomBytes(48).toString('base64'))"</w:t>
        <w:br/>
        <w:t># Wklej wynik dwukrotnie do .env jako JWT_SECRET i JWT_REFRESH_SECRET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/>
          <w:i w:val="0"/>
          <w:sz w:val="20"/>
        </w:rPr>
        <w:t>Krok trzeci</w:t>
      </w:r>
      <w:r>
        <w:rPr>
          <w:rFonts w:ascii="Verdana" w:hAnsi="Verdana" w:cs="Verdana"/>
          <w:b w:val="0"/>
          <w:i w:val="0"/>
          <w:sz w:val="20"/>
        </w:rPr>
        <w:t xml:space="preserve"> — uruchomienie wszystkich kontenerów w tle z automatycznym zbudowaniem obrazów. Pierwsze uruchomienie trwa kilka minut (pobieranie obrazów bazowych Docker, kompilacja TypeScript, instalacja zależności):</w:t>
      </w:r>
    </w:p>
    <w:p>
      <w:pPr>
        <w:spacing w:line="276" w:lineRule="auto" w:before="40" w:after="120"/>
        <w:ind w:left="340"/>
        <w:jc w:val="left"/>
      </w:pPr>
      <w:r>
        <w:rPr>
          <w:rFonts w:ascii="Consolas" w:hAnsi="Consolas" w:cs="Consolas"/>
          <w:b w:val="0"/>
          <w:i w:val="0"/>
          <w:sz w:val="18"/>
        </w:rPr>
        <w:t>docker compose up -d --build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/>
          <w:i w:val="0"/>
          <w:sz w:val="20"/>
        </w:rPr>
        <w:t>Krok czwarty</w:t>
      </w:r>
      <w:r>
        <w:rPr>
          <w:rFonts w:ascii="Verdana" w:hAnsi="Verdana" w:cs="Verdana"/>
          <w:b w:val="0"/>
          <w:i w:val="0"/>
          <w:sz w:val="20"/>
        </w:rPr>
        <w:t xml:space="preserve"> — weryfikacja poprawnego startu poprzez śledzenie logów backendu (oczekiwany komunikat „Backend API działa na porcie 4000"):</w:t>
      </w:r>
    </w:p>
    <w:p>
      <w:pPr>
        <w:spacing w:line="276" w:lineRule="auto" w:before="40" w:after="120"/>
        <w:ind w:left="340"/>
        <w:jc w:val="left"/>
      </w:pPr>
      <w:r>
        <w:rPr>
          <w:rFonts w:ascii="Consolas" w:hAnsi="Consolas" w:cs="Consolas"/>
          <w:b w:val="0"/>
          <w:i w:val="0"/>
          <w:sz w:val="18"/>
        </w:rPr>
        <w:t>docker compose logs -f backend-api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Weryfikacja działania i pierwsze logowanie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Po pomyślnym uruchomieniu dostępne są: aplikacja pracownika pod adresem </w:t>
      </w:r>
      <w:r>
        <w:rPr>
          <w:rFonts w:ascii="Consolas" w:hAnsi="Consolas" w:cs="Consolas"/>
          <w:b w:val="0"/>
          <w:i w:val="0"/>
          <w:sz w:val="20"/>
        </w:rPr>
        <w:t>http://localhost:3000</w:t>
      </w:r>
      <w:r>
        <w:rPr>
          <w:rFonts w:ascii="Verdana" w:hAnsi="Verdana" w:cs="Verdana"/>
          <w:b w:val="0"/>
          <w:i w:val="0"/>
          <w:sz w:val="20"/>
        </w:rPr>
        <w:t xml:space="preserve">, panel administracyjny pod </w:t>
      </w:r>
      <w:r>
        <w:rPr>
          <w:rFonts w:ascii="Consolas" w:hAnsi="Consolas" w:cs="Consolas"/>
          <w:b w:val="0"/>
          <w:i w:val="0"/>
          <w:sz w:val="20"/>
        </w:rPr>
        <w:t>http://localhost:3001</w:t>
      </w:r>
      <w:r>
        <w:rPr>
          <w:rFonts w:ascii="Verdana" w:hAnsi="Verdana" w:cs="Verdana"/>
          <w:b w:val="0"/>
          <w:i w:val="0"/>
          <w:sz w:val="20"/>
        </w:rPr>
        <w:t xml:space="preserve">, a endpoint zdrowia backendu — </w:t>
      </w:r>
      <w:r>
        <w:rPr>
          <w:rFonts w:ascii="Consolas" w:hAnsi="Consolas" w:cs="Consolas"/>
          <w:b w:val="0"/>
          <w:i w:val="0"/>
          <w:sz w:val="20"/>
        </w:rPr>
        <w:t>http://localhost:4000/health</w:t>
      </w:r>
      <w:r>
        <w:rPr>
          <w:rFonts w:ascii="Verdana" w:hAnsi="Verdana" w:cs="Verdana"/>
          <w:b w:val="0"/>
          <w:i w:val="0"/>
          <w:sz w:val="20"/>
        </w:rPr>
        <w:t xml:space="preserve"> — zwraca strukturę JSON ze statusem aplikacji i wynikiem testu połączenia z bazą. Backend automatycznie wykonuje seed danych testowych: tworzy konto super-administratora (</w:t>
      </w:r>
      <w:r>
        <w:rPr>
          <w:rFonts w:ascii="Consolas" w:hAnsi="Consolas" w:cs="Consolas"/>
          <w:b w:val="0"/>
          <w:i w:val="0"/>
          <w:sz w:val="20"/>
        </w:rPr>
        <w:t>owner@moodflow.pl</w:t>
      </w:r>
      <w:r>
        <w:rPr>
          <w:rFonts w:ascii="Verdana" w:hAnsi="Verdana" w:cs="Verdana"/>
          <w:b w:val="0"/>
          <w:i w:val="0"/>
          <w:sz w:val="20"/>
        </w:rPr>
        <w:t xml:space="preserve"> z hasłem </w:t>
      </w:r>
      <w:r>
        <w:rPr>
          <w:rFonts w:ascii="Consolas" w:hAnsi="Consolas" w:cs="Consolas"/>
          <w:b w:val="0"/>
          <w:i w:val="0"/>
          <w:sz w:val="20"/>
        </w:rPr>
        <w:t>SuperAdmin1!</w:t>
      </w:r>
      <w:r>
        <w:rPr>
          <w:rFonts w:ascii="Verdana" w:hAnsi="Verdana" w:cs="Verdana"/>
          <w:b w:val="0"/>
          <w:i w:val="0"/>
          <w:sz w:val="20"/>
        </w:rPr>
        <w:t xml:space="preserve">, które należy zmienić bezzwłocznie po pierwszym logowaniu) oraz ładuje definicje sześciu kwestionariuszy psychometrycznych (PHQ-9, GAD-7, PSS-10, WHO-5, MOOD10, DAILY_MOOD). Pierwsze logowanie odbywa się w panelu administracyjnym pod adresem </w:t>
      </w:r>
      <w:r>
        <w:rPr>
          <w:rFonts w:ascii="Consolas" w:hAnsi="Consolas" w:cs="Consolas"/>
          <w:b w:val="0"/>
          <w:i w:val="0"/>
          <w:sz w:val="20"/>
        </w:rPr>
        <w:t>http://localhost:3001/super-admin/login</w:t>
      </w:r>
      <w:r>
        <w:rPr>
          <w:rFonts w:ascii="Verdana" w:hAnsi="Verdana" w:cs="Verdana"/>
          <w:b w:val="0"/>
          <w:i w:val="0"/>
          <w:sz w:val="20"/>
        </w:rPr>
        <w:t xml:space="preserve">. Pełen reset środowiska wraz z usunięciem wolumenów bazy wykonuje polecenie </w:t>
      </w:r>
      <w:r>
        <w:rPr>
          <w:rFonts w:ascii="Consolas" w:hAnsi="Consolas" w:cs="Consolas"/>
          <w:b w:val="0"/>
          <w:i w:val="0"/>
          <w:sz w:val="20"/>
        </w:rPr>
        <w:t>docker compose down -v</w:t>
      </w:r>
      <w:r>
        <w:rPr>
          <w:rFonts w:ascii="Verdana" w:hAnsi="Verdana" w:cs="Verdana"/>
          <w:b w:val="0"/>
          <w:i w:val="0"/>
          <w:sz w:val="20"/>
        </w:rPr>
        <w:t>.</w:t>
      </w:r>
    </w:p>
    <w:sectPr w:rsidR="00FC693F" w:rsidRPr="0006063C" w:rsidSect="00034616">
      <w:pgSz w:w="11906" w:h="16838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