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Verdana" w:hAnsi="Verdana" w:cs="Verdana"/>
          <w:b/>
          <w:i w:val="0"/>
          <w:color w:val="1D3E44"/>
          <w:sz w:val="44"/>
        </w:rPr>
        <w:t>Dokument projektowy</w:t>
      </w:r>
    </w:p>
    <w:p>
      <w:pPr>
        <w:spacing w:after="160"/>
        <w:jc w:val="center"/>
      </w:pPr>
      <w:r>
        <w:rPr>
          <w:rFonts w:ascii="Verdana" w:hAnsi="Verdana" w:cs="Verdana"/>
          <w:b w:val="0"/>
          <w:i/>
          <w:color w:val="5A5E2C"/>
          <w:sz w:val="24"/>
        </w:rPr>
        <w:t>MoodFlow — platforma monitorowania zdrowia psychicznego pracowników</w:t>
      </w:r>
    </w:p>
    <w:p>
      <w:pPr>
        <w:spacing w:after="800"/>
        <w:jc w:val="center"/>
      </w:pPr>
      <w:r>
        <w:rPr>
          <w:rFonts w:ascii="Verdana" w:hAnsi="Verdana" w:cs="Verdana"/>
          <w:b w:val="0"/>
          <w:i w:val="0"/>
          <w:sz w:val="22"/>
        </w:rPr>
        <w:t>Mateusz Matczuk    ·    Praca inżynierska CDV    ·    2026</w:t>
      </w:r>
    </w:p>
    <w:p>
      <w:pPr>
        <w:spacing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Niniejszy dokument zawiera komplet informacji projektowych dotyczących platformy MoodFlow. Obejmuje: przyjętą metodologię pracy, stack technologiczny rozwiązania, listę wykorzystywanych narzędzi developerskich i kolaboracyjnych, harmonogram pracy w postaci wykresu Gantta z klasyfikacją MoSCoW (wyraźnie wskazującą zakres MVP, funkcje rozszerzające oraz elementy nieobjęte zakresem pracy inżynierskiej), rejestr ryzyk projektowych wraz z planem mitygacji oraz plan monitorowania jakości obejmujący formatkę scenariusza testowego.</w:t>
      </w:r>
    </w:p>
    <w:p>
      <w:pPr>
        <w:spacing w:line="276" w:lineRule="auto" w:before="360" w:after="160"/>
      </w:pPr>
      <w:r>
        <w:rPr>
          <w:rFonts w:ascii="Verdana" w:hAnsi="Verdana" w:cs="Verdana"/>
          <w:b/>
          <w:i w:val="0"/>
          <w:color w:val="1D3E44"/>
          <w:sz w:val="26"/>
        </w:rPr>
        <w:t>Spis treści</w:t>
      </w:r>
    </w:p>
    <w:p>
      <w:pPr>
        <w:spacing w:line="276" w:lineRule="auto" w:after="40"/>
      </w:pPr>
      <w:r>
        <w:rPr>
          <w:rFonts w:ascii="Verdana" w:hAnsi="Verdana" w:cs="Verdana"/>
          <w:b w:val="0"/>
          <w:i w:val="0"/>
          <w:sz w:val="21"/>
        </w:rPr>
        <w:t>1.  Metodologia pracy</w:t>
      </w:r>
    </w:p>
    <w:p>
      <w:pPr>
        <w:spacing w:line="276" w:lineRule="auto" w:after="40"/>
      </w:pPr>
      <w:r>
        <w:rPr>
          <w:rFonts w:ascii="Verdana" w:hAnsi="Verdana" w:cs="Verdana"/>
          <w:b w:val="0"/>
          <w:i w:val="0"/>
          <w:sz w:val="21"/>
        </w:rPr>
        <w:t>2.  Stack technologiczny rozwiązania</w:t>
      </w:r>
    </w:p>
    <w:p>
      <w:pPr>
        <w:spacing w:line="276" w:lineRule="auto" w:after="40"/>
      </w:pPr>
      <w:r>
        <w:rPr>
          <w:rFonts w:ascii="Verdana" w:hAnsi="Verdana" w:cs="Verdana"/>
          <w:b w:val="0"/>
          <w:i w:val="0"/>
          <w:sz w:val="21"/>
        </w:rPr>
        <w:t>3.  Wykorzystywane narzędzia</w:t>
      </w:r>
    </w:p>
    <w:p>
      <w:pPr>
        <w:spacing w:line="276" w:lineRule="auto" w:after="40"/>
      </w:pPr>
      <w:r>
        <w:rPr>
          <w:rFonts w:ascii="Verdana" w:hAnsi="Verdana" w:cs="Verdana"/>
          <w:b w:val="0"/>
          <w:i w:val="0"/>
          <w:sz w:val="21"/>
        </w:rPr>
        <w:t>4.  Harmonogram pracy (wykres Gantta z MoSCoW)</w:t>
      </w:r>
    </w:p>
    <w:p>
      <w:pPr>
        <w:spacing w:line="276" w:lineRule="auto" w:after="40"/>
      </w:pPr>
      <w:r>
        <w:rPr>
          <w:rFonts w:ascii="Verdana" w:hAnsi="Verdana" w:cs="Verdana"/>
          <w:b w:val="0"/>
          <w:i w:val="0"/>
          <w:sz w:val="21"/>
        </w:rPr>
        <w:t>5.  Ryzyka projektowe i plan mitygacji</w:t>
      </w:r>
    </w:p>
    <w:p>
      <w:pPr>
        <w:spacing w:line="276" w:lineRule="auto" w:after="40"/>
      </w:pPr>
      <w:r>
        <w:rPr>
          <w:rFonts w:ascii="Verdana" w:hAnsi="Verdana" w:cs="Verdana"/>
          <w:b w:val="0"/>
          <w:i w:val="0"/>
          <w:sz w:val="21"/>
        </w:rPr>
        <w:t>6.  Plan monitorowania jakości i formatka scenariusza testowego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1.  Metodologia pracy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projekcie MoodFlow zastosowano </w:t>
      </w:r>
      <w:r>
        <w:rPr>
          <w:rFonts w:ascii="Verdana" w:hAnsi="Verdana" w:cs="Verdana"/>
          <w:b/>
          <w:i w:val="0"/>
          <w:sz w:val="20"/>
        </w:rPr>
        <w:t>metodykę zwinną opartą o hybrydę Scrum-lite oraz Kanban</w:t>
      </w:r>
      <w:r>
        <w:rPr>
          <w:rFonts w:ascii="Verdana" w:hAnsi="Verdana" w:cs="Verdana"/>
          <w:b w:val="0"/>
          <w:i w:val="0"/>
          <w:sz w:val="20"/>
        </w:rPr>
        <w:t>, dostosowaną do realiów dwuosobowego zespołu studenckiego pracującego nad pracą inżynierską. Wybór metodyki został podyktowany koniecznością łączenia pracy projektowej z innymi obowiązkami akademickimi i zawodowymi, a także potrzebą zachowania elastyczności w reagowaniu na zmiany wymagań formułowanych w trakcie konsultacji z promotorem.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1.1. Iteracje i rytm pracy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Pracę zorganizowano w </w:t>
      </w:r>
      <w:r>
        <w:rPr>
          <w:rFonts w:ascii="Verdana" w:hAnsi="Verdana" w:cs="Verdana"/>
          <w:b/>
          <w:i w:val="0"/>
          <w:sz w:val="20"/>
        </w:rPr>
        <w:t>dwutygodniowych iteracjach</w:t>
      </w:r>
      <w:r>
        <w:rPr>
          <w:rFonts w:ascii="Verdana" w:hAnsi="Verdana" w:cs="Verdana"/>
          <w:b w:val="0"/>
          <w:i w:val="0"/>
          <w:sz w:val="20"/>
        </w:rPr>
        <w:t xml:space="preserve"> (sprintach), w ramach których realizowano zamknięty zakres funkcjonalności. Każda iteracja rozpoczyna się od krótkiego planowania (lista zadań na sprint w kolumnie </w:t>
      </w:r>
      <w:r>
        <w:rPr>
          <w:rFonts w:ascii="Verdana" w:hAnsi="Verdana" w:cs="Verdana"/>
          <w:b w:val="0"/>
          <w:i/>
          <w:sz w:val="20"/>
        </w:rPr>
        <w:t>To do</w:t>
      </w:r>
      <w:r>
        <w:rPr>
          <w:rFonts w:ascii="Verdana" w:hAnsi="Verdana" w:cs="Verdana"/>
          <w:b w:val="0"/>
          <w:i w:val="0"/>
          <w:sz w:val="20"/>
        </w:rPr>
        <w:t xml:space="preserve"> w tablicy Kanban) i kończy się retrospektywą oraz przeglądem wykonanych zmian. Komunikacja w trakcie sprintu odbywa się asynchronicznie — codzienne aktualizacje statusu w postaci krótkich notatek tekstowych zastępują formalne stand-upy.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1.2. Tablica zadań i przepływ pracy</w:t>
      </w:r>
    </w:p>
    <w:p>
      <w:pPr>
        <w:spacing w:line="276" w:lineRule="auto" w:before="0" w:after="120"/>
        <w:jc w:val="both"/>
      </w:pPr>
      <w:r>
        <w:rPr>
          <w:rFonts w:ascii="Verdana" w:hAnsi="Verdana" w:cs="Verdana"/>
          <w:b w:val="0"/>
          <w:i w:val="0"/>
          <w:sz w:val="20"/>
        </w:rPr>
        <w:t>Zadania są reprezentowane w postaci kart na tablicy Kanban z czterema kolumnami: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Backlog</w:t>
      </w:r>
      <w:r>
        <w:rPr>
          <w:rFonts w:ascii="Verdana" w:hAnsi="Verdana" w:cs="Verdana"/>
          <w:b w:val="0"/>
          <w:i w:val="0"/>
          <w:sz w:val="20"/>
        </w:rPr>
        <w:t xml:space="preserve"> — pomysły i zadania bez przypisanej iteracji;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To do</w:t>
      </w:r>
      <w:r>
        <w:rPr>
          <w:rFonts w:ascii="Verdana" w:hAnsi="Verdana" w:cs="Verdana"/>
          <w:b w:val="0"/>
          <w:i w:val="0"/>
          <w:sz w:val="20"/>
        </w:rPr>
        <w:t xml:space="preserve"> — zadania zaplanowane na bieżący sprint;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In progress</w:t>
      </w:r>
      <w:r>
        <w:rPr>
          <w:rFonts w:ascii="Verdana" w:hAnsi="Verdana" w:cs="Verdana"/>
          <w:b w:val="0"/>
          <w:i w:val="0"/>
          <w:sz w:val="20"/>
        </w:rPr>
        <w:t xml:space="preserve"> — zadania w trakcie realizacji (limit WIP = 2 na osobę);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Done</w:t>
      </w:r>
      <w:r>
        <w:rPr>
          <w:rFonts w:ascii="Verdana" w:hAnsi="Verdana" w:cs="Verdana"/>
          <w:b w:val="0"/>
          <w:i w:val="0"/>
          <w:sz w:val="20"/>
        </w:rPr>
        <w:t xml:space="preserve"> — zadania zakończone, zatwierdzone do scalenia.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1.3. Priorytetyzacja MoSCoW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Zakres funkcjonalności zarządzany jest przy użyciu klasyfikacji </w:t>
      </w:r>
      <w:r>
        <w:rPr>
          <w:rFonts w:ascii="Verdana" w:hAnsi="Verdana" w:cs="Verdana"/>
          <w:b/>
          <w:i w:val="0"/>
          <w:sz w:val="20"/>
        </w:rPr>
        <w:t>MoSCoW (Must, Should, Could, Won't Have)</w:t>
      </w:r>
      <w:r>
        <w:rPr>
          <w:rFonts w:ascii="Verdana" w:hAnsi="Verdana" w:cs="Verdana"/>
          <w:b w:val="0"/>
          <w:i w:val="0"/>
          <w:sz w:val="20"/>
        </w:rPr>
        <w:t xml:space="preserve">. Każda funkcjonalność z PRD otrzymała jeden z czterech priorytetów. Klasyfikacja ta jest źródłem prawdy zarówno dla harmonogramu (kolory na wykresie Gantta w rozdziale 4.), jak i dla decyzji o zakresie MVP. Funkcje oznaczone jako </w:t>
      </w:r>
      <w:r>
        <w:rPr>
          <w:rFonts w:ascii="Verdana" w:hAnsi="Verdana" w:cs="Verdana"/>
          <w:b/>
          <w:i w:val="0"/>
          <w:sz w:val="20"/>
        </w:rPr>
        <w:t>Won't Have</w:t>
      </w:r>
      <w:r>
        <w:rPr>
          <w:rFonts w:ascii="Verdana" w:hAnsi="Verdana" w:cs="Verdana"/>
          <w:b w:val="0"/>
          <w:i w:val="0"/>
          <w:sz w:val="20"/>
        </w:rPr>
        <w:t xml:space="preserve"> są jawnie wykluczone z bieżącej iteracji projektu i opisane jako kierunki rozwoju po obronie.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1.4. Definition of Done</w:t>
      </w:r>
    </w:p>
    <w:p>
      <w:pPr>
        <w:spacing w:line="276" w:lineRule="auto" w:before="0" w:after="120"/>
        <w:jc w:val="both"/>
      </w:pPr>
      <w:r>
        <w:rPr>
          <w:rFonts w:ascii="Verdana" w:hAnsi="Verdana" w:cs="Verdana"/>
          <w:b w:val="0"/>
          <w:i w:val="0"/>
          <w:sz w:val="20"/>
        </w:rPr>
        <w:t>Zadanie uznaje się za zakończone, gdy spełnione są łącznie wszystkie poniższe warunki: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kod został przeglądnięty przez drugiego członka zespołu (Pull Request review);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linting (ESLint) i typecheck (TypeScript) nie zgłaszają błędów;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endpointy backendowe pokryte są testem klikalnym lub jednostkowym;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frontend jest manualnie przetestowany w obu aplikacjach (pracownik + admin);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 w:val="0"/>
          <w:i w:val="0"/>
          <w:sz w:val="20"/>
        </w:rPr>
        <w:t>zmiana została udokumentowana — w README, w komentarzu PR lub w rozdziale pracy.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1.5. Code review i kontrola wersji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Repozytorium prowadzone jest jako </w:t>
      </w:r>
      <w:r>
        <w:rPr>
          <w:rFonts w:ascii="Verdana" w:hAnsi="Verdana" w:cs="Verdana"/>
          <w:b/>
          <w:i w:val="0"/>
          <w:sz w:val="20"/>
        </w:rPr>
        <w:t>monorepozytorium Git</w:t>
      </w:r>
      <w:r>
        <w:rPr>
          <w:rFonts w:ascii="Verdana" w:hAnsi="Verdana" w:cs="Verdana"/>
          <w:b w:val="0"/>
          <w:i w:val="0"/>
          <w:sz w:val="20"/>
        </w:rPr>
        <w:t xml:space="preserve"> z trzema strefami: backend-api, client-frontend, admin-frontend. Każda zmiana wprowadzana jest poprzez gałąź funkcjonalną (</w:t>
      </w:r>
      <w:r>
        <w:rPr>
          <w:rFonts w:ascii="Verdana" w:hAnsi="Verdana" w:cs="Verdana"/>
          <w:b w:val="0"/>
          <w:i/>
          <w:sz w:val="20"/>
        </w:rPr>
        <w:t>feature branch</w:t>
      </w:r>
      <w:r>
        <w:rPr>
          <w:rFonts w:ascii="Verdana" w:hAnsi="Verdana" w:cs="Verdana"/>
          <w:b w:val="0"/>
          <w:i w:val="0"/>
          <w:sz w:val="20"/>
        </w:rPr>
        <w:t xml:space="preserve">) i scalanie do gałęzi głównej odbywa się wyłącznie przez Pull Request. Stosujemy konwencję </w:t>
      </w:r>
      <w:r>
        <w:rPr>
          <w:rFonts w:ascii="Verdana" w:hAnsi="Verdana" w:cs="Verdana"/>
          <w:b/>
          <w:i w:val="0"/>
          <w:sz w:val="20"/>
        </w:rPr>
        <w:t>Conventional Commits</w:t>
      </w:r>
      <w:r>
        <w:rPr>
          <w:rFonts w:ascii="Verdana" w:hAnsi="Verdana" w:cs="Verdana"/>
          <w:b w:val="0"/>
          <w:i w:val="0"/>
          <w:sz w:val="20"/>
        </w:rPr>
        <w:t xml:space="preserve"> w języku polskim (np. </w:t>
      </w:r>
      <w:r>
        <w:rPr>
          <w:rFonts w:ascii="Verdana" w:hAnsi="Verdana" w:cs="Verdana"/>
          <w:b w:val="0"/>
          <w:i/>
          <w:sz w:val="20"/>
        </w:rPr>
        <w:t>fix(client-frontend): wymuś jasne tokeny tekstu na ekranach auth</w:t>
      </w:r>
      <w:r>
        <w:rPr>
          <w:rFonts w:ascii="Verdana" w:hAnsi="Verdana" w:cs="Verdana"/>
          <w:b w:val="0"/>
          <w:i w:val="0"/>
          <w:sz w:val="20"/>
        </w:rPr>
        <w:t>), co ułatwia zarówno przeglądanie historii, jak i późniejsze opisanie zmian w pracy.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2.  Stack technologiczny rozwiązania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Rozwiązanie zostało zaimplementowane jako </w:t>
      </w:r>
      <w:r>
        <w:rPr>
          <w:rFonts w:ascii="Verdana" w:hAnsi="Verdana" w:cs="Verdana"/>
          <w:b/>
          <w:i w:val="0"/>
          <w:sz w:val="20"/>
        </w:rPr>
        <w:t>trójwarstwowa aplikacja webowa</w:t>
      </w:r>
      <w:r>
        <w:rPr>
          <w:rFonts w:ascii="Verdana" w:hAnsi="Verdana" w:cs="Verdana"/>
          <w:b w:val="0"/>
          <w:i w:val="0"/>
          <w:sz w:val="20"/>
        </w:rPr>
        <w:t xml:space="preserve"> z osobnymi aplikacjami frontendowymi dla pracownika oraz dla działu HR/administratora i centralnym API obsługującym logikę biznesową. Dobór technologii był uzasadniony przede wszystkim potrzebą bezpieczeństwa danych wrażliwych, czytelnej modularnej architektury oraz możliwością opisania decyzji projektowych w pracy inżynierskiej.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2.1. Warstwa serwerowa (backend-api)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Komponent</w:t>
            </w:r>
          </w:p>
        </w:tc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Technologia</w:t>
            </w:r>
          </w:p>
        </w:tc>
        <w:tc>
          <w:tcPr>
            <w:tcW w:type="dxa" w:w="5386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Uzasadnienie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Framework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NestJS 11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modularna architektura, podział na kontrolery / serwisy / moduły, wbudowane DI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Język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TypeScript 5.9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statyczne typowanie redukuje błędy w warstwie modeli i DTO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ORM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TypeORM 0.3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dojrzała integracja z NestJS, repozytoria + migracje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Baza danych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PostgreSQL 16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relacyjna baza odpowiednia do wielotabelowego modelu RBAC + ankiety + wyniki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Autentykacja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JWT + Passport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tokeny krótkożyciowe + refresh, oddzielenie ról pracownika/HR/admina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Hashowanie haseł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bcrypt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standard branżowy, odporność na ataki słownikowe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Walidacja DTO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class-validator + class-transformer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deklaratywne reguły walidacji na poziomie kontrolerów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Rate limiting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@nestjs/throttler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ochrona endpointu logowania przed atakami brute-force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Nagłówki HTTP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helmet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podstawowa ochrona przed atakami typu XSS / clickjacking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E-mail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Nodemailer + nestjs-mailer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powiadomienia o nowych testach i statusie zatwierdzenia konta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2.2. Frontend pracownika (client-frontend)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Komponent</w:t>
            </w:r>
          </w:p>
        </w:tc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Technologia</w:t>
            </w:r>
          </w:p>
        </w:tc>
        <w:tc>
          <w:tcPr>
            <w:tcW w:type="dxa" w:w="5386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Uzasadnienie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Framework UI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React 19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komponentowy model UI, ekosystem PWA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Build tool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Vite 8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szybki HMR i krótkie czasy buildu produkcyjnego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Język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TypeScript 5.9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spójność z backendem, typowanie DTO API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Style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Tailwind CSS 3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utility-first, łatwo egzekwowalny design system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State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Redux Toolkit 2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przewidywalny store na sesję i meta-dane użytkownika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Routing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React Router 7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deklaratywne ścieżki, ochrona widoków przez strażników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Animacje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Framer Motion 12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subtelne przejścia, większa płynność UX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Ikony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Lucide React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spójna paleta ikon w stylu line-art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PWA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vite-plugin-pwa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instalowalność, działanie offline po pierwszym wejściu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Powiadomienia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sonner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lekki toast manager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2.3. Frontend administracyjny / HR (admin-frontend)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Komponent</w:t>
            </w:r>
          </w:p>
        </w:tc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Technologia</w:t>
            </w:r>
          </w:p>
        </w:tc>
        <w:tc>
          <w:tcPr>
            <w:tcW w:type="dxa" w:w="5386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Uzasadnienie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Framework UI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Next.js 16 (App Router)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uporządkowana struktura panelu, SSR dla widoków raportowych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Język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TypeScript 5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spójność z backendem i client-frontend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Style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Tailwind CSS 4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ten sam system tokenów co frontend pracownika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Wykresy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Recharts 3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responsywne wykresy linowe i słupkowe do trendów HR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Eksport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jsPDF + html2canvas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eksport raportu HR do PDF po stronie klienta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Ciasteczka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js-cookie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zarządzanie sesją HTTP w panelu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Theming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next-themes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obsługa trybu jasnego/ciemnego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PWA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@ducanh2912/next-pwa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instalowalność panelu HR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2.4. Infrastruktura i wdrożenie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Komponent</w:t>
            </w:r>
          </w:p>
        </w:tc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Technologia</w:t>
            </w:r>
          </w:p>
        </w:tc>
        <w:tc>
          <w:tcPr>
            <w:tcW w:type="dxa" w:w="5386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Uzasadnienie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Konteneryzacja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Docker + Docker Compose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powtarzalne środowisko lokalne i produkcyjne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Środowisko prod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Railway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prosta orkiestracja kontenerów + zarządzana PostgreSQL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System kontroli wersji</w:t>
            </w:r>
          </w:p>
        </w:tc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Git + GitHub</w:t>
            </w:r>
          </w:p>
        </w:tc>
        <w:tc>
          <w:tcPr>
            <w:tcW w:type="dxa" w:w="5386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monorepozytorium, ochrona gałęzi, code review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CI (planowane)</w:t>
            </w:r>
          </w:p>
        </w:tc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GitHub Actions</w:t>
            </w:r>
          </w:p>
        </w:tc>
        <w:tc>
          <w:tcPr>
            <w:tcW w:type="dxa" w:w="5386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lint + typecheck + testy klikalne przy każdym PR</w:t>
            </w:r>
          </w:p>
        </w:tc>
      </w:tr>
    </w:tbl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3.  Wykorzystywane narzędzia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Zestaw narzędzi został dobrany tak, by zminimalizować tarcia pomiędzy pracą developerską a pracą dokumentacyjną. Większość narzędzi jest darmowa w wariancie studenckim lub posiada licencje open-source.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3.1. Narzędzia developerskie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Kategoria</w:t>
            </w:r>
          </w:p>
        </w:tc>
        <w:tc>
          <w:tcPr>
            <w:tcW w:type="dxa" w:w="2551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Narzędzie</w:t>
            </w:r>
          </w:p>
        </w:tc>
        <w:tc>
          <w:tcPr>
            <w:tcW w:type="dxa" w:w="4819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Zastosowanie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IDE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Visual Studio Code, Cursor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edycja kodu, integracja z AI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Kontener developerski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Docker Desktop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uruchomienie bazy i usług lokalnie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Klient bazy danych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TablePlus / pgAdmin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przeglądanie schematu, ad-hoc query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Klient HTTP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Postman, REST Client (VS Code)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testowanie endpointów API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Linter / formatter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ESLint, Prettier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wymuszanie konwencji kodu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Typecheck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TypeScript Compiler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weryfikacja typów w obu warstwach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Migracje DB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TypeORM CLI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kontrola wersji schematu bazy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Build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Vite, Next.js build, nest build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produkcyjne paczki aplikacji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Testy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Jest (backend), Vitest (front)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testy jednostkowe i integracyjne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3.2. Narzędzia współpracy i dokumentacji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Kategoria</w:t>
            </w:r>
          </w:p>
        </w:tc>
        <w:tc>
          <w:tcPr>
            <w:tcW w:type="dxa" w:w="2551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Narzędzie</w:t>
            </w:r>
          </w:p>
        </w:tc>
        <w:tc>
          <w:tcPr>
            <w:tcW w:type="dxa" w:w="4819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Zastosowanie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Kontrola wersji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GitHub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PR-y, code review, ochrona gałęzi master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Tablica zadań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GitHub Projects (Kanban)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śledzenie sprintów i statusu zadań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Komunikacja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Discord, Slack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krótkie ustalenia i wymiana plików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Spotkania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Google Meet, MS Teams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konsultacje z promotorem, sync zespołu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Diagramy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draw.io, Mermaid, PlantUML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diagramy ERD, przypadków użycia, sekwencji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Design UI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Figma, Pencil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makiety i prototypy, biblioteka komponentów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Pisanie pracy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Microsoft Word, python-docx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rozdziały pracy, generowanie tabel i listingów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Notatki / wiedza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Notion, Obsidian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notatki badawcze, decyzje architektoniczne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Wsparcie AI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Claude Code, ChatGPT</w:t>
            </w:r>
          </w:p>
        </w:tc>
        <w:tc>
          <w:tcPr>
            <w:tcW w:type="dxa" w:w="4819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review kodu, generowanie fragmentów dokumentacji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Zarządzanie hasłami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1Password</w:t>
            </w:r>
          </w:p>
        </w:tc>
        <w:tc>
          <w:tcPr>
            <w:tcW w:type="dxa" w:w="4819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bezpieczne przechowywanie sekretów rozwojowych</w:t>
            </w:r>
          </w:p>
        </w:tc>
      </w:tr>
    </w:tbl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4.  Harmonogram pracy (wykres Gantta z MoSCoW)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Poniżej przedstawiono harmonogram pracy w postaci wykresu Gantta z naniesioną klasyfikacją </w:t>
      </w:r>
      <w:r>
        <w:rPr>
          <w:rFonts w:ascii="Verdana" w:hAnsi="Verdana" w:cs="Verdana"/>
          <w:b/>
          <w:i w:val="0"/>
          <w:sz w:val="20"/>
        </w:rPr>
        <w:t>MoSCoW</w:t>
      </w:r>
      <w:r>
        <w:rPr>
          <w:rFonts w:ascii="Verdana" w:hAnsi="Verdana" w:cs="Verdana"/>
          <w:b w:val="0"/>
          <w:i w:val="0"/>
          <w:sz w:val="20"/>
        </w:rPr>
        <w:t xml:space="preserve">. Każde zadanie ma kolor odpowiadający przypisanemu priorytetowi: </w:t>
      </w:r>
      <w:r>
        <w:rPr>
          <w:rFonts w:ascii="Verdana" w:hAnsi="Verdana" w:cs="Verdana"/>
          <w:b/>
          <w:i w:val="0"/>
          <w:sz w:val="20"/>
        </w:rPr>
        <w:t>zielony</w:t>
      </w:r>
      <w:r>
        <w:rPr>
          <w:rFonts w:ascii="Verdana" w:hAnsi="Verdana" w:cs="Verdana"/>
          <w:b w:val="0"/>
          <w:i w:val="0"/>
          <w:sz w:val="20"/>
        </w:rPr>
        <w:t xml:space="preserve"> — Must Have, </w:t>
      </w:r>
      <w:r>
        <w:rPr>
          <w:rFonts w:ascii="Verdana" w:hAnsi="Verdana" w:cs="Verdana"/>
          <w:b/>
          <w:i w:val="0"/>
          <w:sz w:val="20"/>
        </w:rPr>
        <w:t>oliwkowy</w:t>
      </w:r>
      <w:r>
        <w:rPr>
          <w:rFonts w:ascii="Verdana" w:hAnsi="Verdana" w:cs="Verdana"/>
          <w:b w:val="0"/>
          <w:i w:val="0"/>
          <w:sz w:val="20"/>
        </w:rPr>
        <w:t xml:space="preserve"> — Should Have, </w:t>
      </w:r>
      <w:r>
        <w:rPr>
          <w:rFonts w:ascii="Verdana" w:hAnsi="Verdana" w:cs="Verdana"/>
          <w:b/>
          <w:i w:val="0"/>
          <w:sz w:val="20"/>
        </w:rPr>
        <w:t>musztardowy</w:t>
      </w:r>
      <w:r>
        <w:rPr>
          <w:rFonts w:ascii="Verdana" w:hAnsi="Verdana" w:cs="Verdana"/>
          <w:b w:val="0"/>
          <w:i w:val="0"/>
          <w:sz w:val="20"/>
        </w:rPr>
        <w:t xml:space="preserve"> — Could Have, </w:t>
      </w:r>
      <w:r>
        <w:rPr>
          <w:rFonts w:ascii="Verdana" w:hAnsi="Verdana" w:cs="Verdana"/>
          <w:b/>
          <w:i w:val="0"/>
          <w:sz w:val="20"/>
        </w:rPr>
        <w:t>karminowy z ukośnym wzorem</w:t>
      </w:r>
      <w:r>
        <w:rPr>
          <w:rFonts w:ascii="Verdana" w:hAnsi="Verdana" w:cs="Verdana"/>
          <w:b w:val="0"/>
          <w:i w:val="0"/>
          <w:sz w:val="20"/>
        </w:rPr>
        <w:t xml:space="preserve"> — Won't Have. Czerwona, przerywana linia pionowa oznacza datę dzisiejszą (2026-05-11). Kropkowana, granatowa linia oznacza umowny koniec semestru (czerwiec 2026) — okres obrony pracy inżynierskiej.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MoSC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Verdana" w:hAnsi="Verdana" w:cs="Verdana"/>
          <w:b w:val="0"/>
          <w:i/>
          <w:sz w:val="18"/>
        </w:rPr>
        <w:t>Rys. 1. Harmonogram pracy MoodFlow z klasyfikacją MoSCoW.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4.1. Funkcjonalności Won't Have — uzasadnienie wykluczenia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Cztery elementy z dolnej części wykresu (kolor karminowy z ukośnym wzorem) zostały świadomie wykluczone z zakresu pracy inżynierskiej. Ich realizacja wykraczałaby poza ramy czasowe semestru oraz poza zakres uzasadniony charakterem pracy akademickiej. Funkcje te zostały opisane jako rozszerzenia w sekcji „Kierunki dalszego rozwoju” pracy inżynierskiej: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Integracja z systemami HR (SAP, Workday)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wymaga zakupu licencji i dostępu do środowisk produkcyjnych klientów; brak wartości naukowej.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Certyfikacja systemu według ISO 27001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proces wielomiesięczny, wymaga audytu zewnętrznego; zakres pracy ogranicza się do zgodności z dobrymi praktykami.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Mobilna aplikacja natywna (iOS/Android)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PWA zapewnia większość korzyści mobilnych; aplikacje natywne wymagałyby drugiej linii kodu.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Integracje SSO (Okta, Azure AD)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wymaga dostępu do tenantów korporacyjnych; w MVP wystarczy autentykacja własna.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Moduł telemedyczny (rezerwacja sesji terapeutycznych)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wymaga partnerstw z platformami telemedycznymi i regulacji prawnych specyficznych dla medycyny.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5.  Ryzyka projektowe i plan mitygacji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Rejestr ryzyk powstał w fazie analizy projektu i jest okresowo aktualizowany. Każde ryzyko zostało ocenione w skali trzystopniowej (Niskie / Średnie / Wysokie) w wymiarach prawdopodobieństwa wystąpienia oraz wpływu na powodzenie projektu. Dla każdego ryzyka określono działania mitygujące oraz osobę odpowiedzialną.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Ryzyko</w:t>
            </w:r>
          </w:p>
        </w:tc>
        <w:tc>
          <w:tcPr>
            <w:tcW w:type="dxa" w:w="510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tcW w:type="dxa" w:w="510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W</w:t>
            </w:r>
          </w:p>
        </w:tc>
        <w:tc>
          <w:tcPr>
            <w:tcW w:type="dxa" w:w="5102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Mitygacja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R1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Brak czasu na implementację wszystkich modułów MVP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Twarda priorytetyzacja MoSCoW; skupienie na Must Have. Funkcje Could Have realizowane wyłącznie po zamknięciu MVP.</w:t>
            </w:r>
          </w:p>
        </w:tc>
      </w:tr>
      <w:tr>
        <w:tc>
          <w:tcPr>
            <w:tcW w:type="dxa" w:w="567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R2</w:t>
            </w:r>
          </w:p>
        </w:tc>
        <w:tc>
          <w:tcPr>
            <w:tcW w:type="dxa" w:w="311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Wyciek danych wrażliwych dotyczących zdrowia psychicznego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</w:t>
            </w:r>
          </w:p>
        </w:tc>
        <w:tc>
          <w:tcPr>
            <w:tcW w:type="dxa" w:w="51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Multi-tenant izolacja w warstwie ORM (tenant_id), audyt logów dostępu, k-anonymity, minimalizacja danych.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R3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Identyfikacja pojedynczego pracownika w raporcie HR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K-anonymity (k ≥ 5) wymuszone po stronie API; agregacja, brak ujawniania komentarzy w postaci wrażliwej.</w:t>
            </w:r>
          </w:p>
        </w:tc>
      </w:tr>
      <w:tr>
        <w:tc>
          <w:tcPr>
            <w:tcW w:type="dxa" w:w="567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R4</w:t>
            </w:r>
          </w:p>
        </w:tc>
        <w:tc>
          <w:tcPr>
            <w:tcW w:type="dxa" w:w="311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Niewystarczająca wydajność panelu HR przy dużej liczbie wyników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Indeksy w bazie, paginacja, lazy-loading komponentów wykresów, buforowanie agregatów (Could Have).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R5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Niezgodność z RODO w warstwie procesowej (klauzule, retencja)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Konsultacja z opiekunem ds. prywatności w organizacji pilotażowej; checklisty zgodne z UODO.</w:t>
            </w:r>
          </w:p>
        </w:tc>
      </w:tr>
      <w:tr>
        <w:tc>
          <w:tcPr>
            <w:tcW w:type="dxa" w:w="567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R6</w:t>
            </w:r>
          </w:p>
        </w:tc>
        <w:tc>
          <w:tcPr>
            <w:tcW w:type="dxa" w:w="311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Sygnał ryzyka samobójczego pominięty przez system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</w:t>
            </w:r>
          </w:p>
        </w:tc>
        <w:tc>
          <w:tcPr>
            <w:tcW w:type="dxa" w:w="51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Zawsze włączony tryb safety-net dla PHQ-9 pytanie 9 &gt; 0; dedykowany komunikat + telefony zaufania.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R7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Awaria środowiska produkcyjnego (Railway)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Konfiguracja zdublowana w docker-compose, prowadzenie kopii zapasowych bazy, dokumentacja kroków odtworzenia.</w:t>
            </w:r>
          </w:p>
        </w:tc>
      </w:tr>
      <w:tr>
        <w:tc>
          <w:tcPr>
            <w:tcW w:type="dxa" w:w="567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R8</w:t>
            </w:r>
          </w:p>
        </w:tc>
        <w:tc>
          <w:tcPr>
            <w:tcW w:type="dxa" w:w="311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Konflikt wersji zależności (NestJS 11, React 19, Next 16)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Zamrożone wersje w package-lock.json, sprawdzanie kompatybilności przy każdej aktualizacji.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R9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Utrata danych w trakcie developmentu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Migracje TypeORM przed każdą zmianą schematu, regularne commity, wolumeny Docker na dysku.</w:t>
            </w:r>
          </w:p>
        </w:tc>
      </w:tr>
      <w:tr>
        <w:tc>
          <w:tcPr>
            <w:tcW w:type="dxa" w:w="567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R10</w:t>
            </w:r>
          </w:p>
        </w:tc>
        <w:tc>
          <w:tcPr>
            <w:tcW w:type="dxa" w:w="311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Niedostępność członka zespołu (choroba, sesja egzaminacyjna)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</w:t>
            </w:r>
          </w:p>
        </w:tc>
        <w:tc>
          <w:tcPr>
            <w:tcW w:type="dxa" w:w="51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Praca w parze, dokumentacja decyzji w README, każdy moduł posiada drugiego „opiekuna”.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R11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Zmiana wymagań ze strony promotora w trakcie semestru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Cotygodniowe konsultacje, dokumentacja decyzji w pliku decisions.md, elastyczna architektura modularna.</w:t>
            </w:r>
          </w:p>
        </w:tc>
      </w:tr>
      <w:tr>
        <w:tc>
          <w:tcPr>
            <w:tcW w:type="dxa" w:w="567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R12</w:t>
            </w:r>
          </w:p>
        </w:tc>
        <w:tc>
          <w:tcPr>
            <w:tcW w:type="dxa" w:w="311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Brak walidowanych skal psychologicznych w domenie publicznej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</w:t>
            </w:r>
          </w:p>
        </w:tc>
        <w:tc>
          <w:tcPr>
            <w:tcW w:type="dxa" w:w="51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Dobór skal z domeny publicznej (PHQ-9, GAD-7, PSS-10, WHO-5), źródła zacytowane w pracy.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R13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Słaba użyteczność interfejsu pracownika (porzucanie ankiet)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Testy klikalne z 8–10 osobami, kwestionariusz SUS, iteracja UI przed wdrożeniem.</w:t>
            </w:r>
          </w:p>
        </w:tc>
      </w:tr>
      <w:tr>
        <w:tc>
          <w:tcPr>
            <w:tcW w:type="dxa" w:w="567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R14</w:t>
            </w:r>
          </w:p>
        </w:tc>
        <w:tc>
          <w:tcPr>
            <w:tcW w:type="dxa" w:w="311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Niespójność designu między aplikacjami pracownika i HR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</w:t>
            </w:r>
          </w:p>
        </w:tc>
        <w:tc>
          <w:tcPr>
            <w:tcW w:type="dxa" w:w="51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Wspólny token system Tailwind, biblioteka komponentów wzorowana na Figmie, audyt UI raz na sprint.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R15</w:t>
            </w:r>
          </w:p>
        </w:tc>
        <w:tc>
          <w:tcPr>
            <w:tcW w:type="dxa" w:w="311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Brak akceptacji konta firmy z powodu niejasnego procesu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</w:t>
            </w:r>
          </w:p>
        </w:tc>
        <w:tc>
          <w:tcPr>
            <w:tcW w:type="dxa" w:w="510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</w:t>
            </w:r>
          </w:p>
        </w:tc>
        <w:tc>
          <w:tcPr>
            <w:tcW w:type="dxa" w:w="51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Komunikaty statusu w panelu, e-mail powiadamiający o akceptacji, instrukcja w README.</w:t>
            </w:r>
          </w:p>
        </w:tc>
      </w:tr>
    </w:tbl>
    <w:p>
      <w:pPr>
        <w:spacing w:before="120"/>
      </w:pPr>
      <w:r>
        <w:rPr>
          <w:rFonts w:ascii="Verdana" w:hAnsi="Verdana" w:cs="Verdana"/>
          <w:b/>
          <w:i w:val="0"/>
          <w:sz w:val="18"/>
        </w:rPr>
        <w:t xml:space="preserve">Legenda: </w:t>
      </w:r>
      <w:r>
        <w:rPr>
          <w:rFonts w:ascii="Verdana" w:hAnsi="Verdana" w:cs="Verdana"/>
          <w:b w:val="0"/>
          <w:i/>
          <w:sz w:val="18"/>
        </w:rPr>
        <w:t>P = prawdopodobieństwo wystąpienia (N — niskie, Ś — średnie, W — wysokie).  W = wpływ na powodzenie projektu (N — niski, Ś — średni, W — wysoki, Kr — krytyczny).</w:t>
      </w:r>
    </w:p>
    <w:p>
      <w:r>
        <w:br w:type="page"/>
      </w:r>
    </w:p>
    <w:p>
      <w:pPr>
        <w:spacing w:line="276" w:lineRule="auto" w:before="0" w:after="160"/>
      </w:pPr>
      <w:r>
        <w:rPr>
          <w:rFonts w:ascii="Verdana" w:hAnsi="Verdana" w:cs="Verdana"/>
          <w:b/>
          <w:i w:val="0"/>
          <w:color w:val="1D3E44"/>
          <w:sz w:val="30"/>
        </w:rPr>
        <w:t>6.  Plan monitorowania jakości i formatka scenariusza testowego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6.1. Cele monitorowania jakości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Celem planu jakości w projekcie MoodFlow jest zapewnienie, że dostarczane funkcjonalności są: poprawne (zgodne ze specyfikacją), bezpieczne (chronią dane wrażliwe), użyteczne (umożliwiają pracownikowi szybkie wypełnienie ankiety) i wydajne (czas odpowiedzi API w rozsądnym przedziale). Monitorowanie jakości prowadzone jest w sposób ciągły — równolegle z developmentem — a nie jako wydzielony etap końcowy.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6.2. Typy testów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Testy jednostkowe (unit)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Pokrywają logikę domenową w izolacji od I/O. Realizowane głównie dla scoringu testów psychologicznych oraz funkcji anonimizacji. Framework: Jest (backend) i Vitest (front).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Testy integracyjne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Pokrywają warstwę kontrolerów + serwisów + ORM. Uruchamiane na lokalnej instancji PostgreSQL w kontenerze. Sprawdzają poprawność scenariuszy multi-tenant, autoryzacji i walidacji DTO.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Testy klikalne (E2E manualne)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Pełne ścieżki użytkownika przechodzone ręcznie według scenariuszy opisanych w dokumencie 5.1 (Testy klikalne). Każdy scenariusz zawiera prerequisites, kroki, oczekiwany wynik i kryterium akceptacji.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Testy bezpieczeństwa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Próby obejścia autoryzacji (token innej roli, manipulacja tenant_id), próby SQL-injection (zachowanie po stronie ORM), test rate-limitingu na endpoint logowania.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Testy wydajnościowe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Pomiar czasu odpowiedzi krytycznych endpointów (logowanie, zapis odpowiedzi, agregaty HR) narzędziem ApacheBench oraz audyt Lighthouse dla widoków frontowych.</w:t>
      </w:r>
    </w:p>
    <w:p>
      <w:pPr>
        <w:pStyle w:val="ListBullet"/>
        <w:spacing w:line="276" w:lineRule="auto" w:before="0" w:after="40"/>
        <w:jc w:val="both"/>
      </w:pPr>
      <w:r>
        <w:rPr>
          <w:rFonts w:ascii="Verdana" w:hAnsi="Verdana" w:cs="Verdana"/>
          <w:b/>
          <w:i w:val="0"/>
          <w:sz w:val="20"/>
        </w:rPr>
        <w:t>Testy użyteczności</w:t>
      </w:r>
      <w:r>
        <w:rPr>
          <w:rFonts w:ascii="Verdana" w:hAnsi="Verdana" w:cs="Verdana"/>
          <w:b w:val="0"/>
          <w:i w:val="0"/>
          <w:sz w:val="20"/>
        </w:rPr>
        <w:t xml:space="preserve"> — </w:t>
      </w:r>
      <w:r>
        <w:rPr>
          <w:rFonts w:ascii="Verdana" w:hAnsi="Verdana" w:cs="Verdana"/>
          <w:b w:val="0"/>
          <w:i w:val="0"/>
          <w:sz w:val="20"/>
        </w:rPr>
        <w:t>Sesje z 8–10 użytkownikami zewnętrznymi (znajomi, rodzina), obserwacja porzuceń, kwestionariusz SUS po sesji. Wyniki zostaną opisane w rozdziale „Testy i wyniki”.</w:t>
      </w:r>
    </w:p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6.3. Środowiska testowe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984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Środowisko</w:t>
            </w:r>
          </w:p>
        </w:tc>
        <w:tc>
          <w:tcPr>
            <w:tcW w:type="dxa" w:w="2835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Cel</w:t>
            </w:r>
          </w:p>
        </w:tc>
        <w:tc>
          <w:tcPr>
            <w:tcW w:type="dxa" w:w="2551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Baza danych</w:t>
            </w:r>
          </w:p>
        </w:tc>
        <w:tc>
          <w:tcPr>
            <w:tcW w:type="dxa" w:w="2268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Adres / dostęp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Lokalne (dev)</w:t>
            </w:r>
          </w:p>
        </w:tc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codzienna praca developerska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PostgreSQL w Dockerze (port 5432)</w:t>
            </w:r>
          </w:p>
        </w:tc>
        <w:tc>
          <w:tcPr>
            <w:tcW w:type="dxa" w:w="226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localhost:3000 / :3001 / :4000</w:t>
            </w:r>
          </w:p>
        </w:tc>
      </w:tr>
      <w:tr>
        <w:tc>
          <w:tcPr>
            <w:tcW w:type="dxa" w:w="1984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Stage (Railway)</w:t>
            </w:r>
          </w:p>
        </w:tc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demo dla promotora i obrona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PostgreSQL managed (Railway)</w:t>
            </w:r>
          </w:p>
        </w:tc>
        <w:tc>
          <w:tcPr>
            <w:tcW w:type="dxa" w:w="2268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domena Railway HTTPS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Testy klikalne</w:t>
            </w:r>
          </w:p>
        </w:tc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scenariusze E2E manualne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kopia stage z zsynchronizowanymi seedami</w:t>
            </w:r>
          </w:p>
        </w:tc>
        <w:tc>
          <w:tcPr>
            <w:tcW w:type="dxa" w:w="2268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domena Railway / dev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6.4. Kryteria akceptacji i metryki jakości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Metryka</w:t>
            </w:r>
          </w:p>
        </w:tc>
        <w:tc>
          <w:tcPr>
            <w:tcW w:type="dxa" w:w="2551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Cel</w:t>
            </w:r>
          </w:p>
        </w:tc>
        <w:tc>
          <w:tcPr>
            <w:tcW w:type="dxa" w:w="3685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Sposób pomiaru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Czas odpowiedzi API (P50)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≤ 300 ms dla zapytań standardowych</w:t>
            </w:r>
          </w:p>
        </w:tc>
        <w:tc>
          <w:tcPr>
            <w:tcW w:type="dxa" w:w="368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Logi NestJS + ApacheBench</w:t>
            </w:r>
          </w:p>
        </w:tc>
      </w:tr>
      <w:tr>
        <w:tc>
          <w:tcPr>
            <w:tcW w:type="dxa" w:w="34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Czas odpowiedzi API (P95)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≤ 1 s</w:t>
            </w:r>
          </w:p>
        </w:tc>
        <w:tc>
          <w:tcPr>
            <w:tcW w:type="dxa" w:w="368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ApacheBench (1000 req)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Lighthouse Performance (front)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≥ 90 (mobile)</w:t>
            </w:r>
          </w:p>
        </w:tc>
        <w:tc>
          <w:tcPr>
            <w:tcW w:type="dxa" w:w="368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Lighthouse w Chrome DevTools</w:t>
            </w:r>
          </w:p>
        </w:tc>
      </w:tr>
      <w:tr>
        <w:tc>
          <w:tcPr>
            <w:tcW w:type="dxa" w:w="34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Lighthouse Accessibility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≥ 95</w:t>
            </w:r>
          </w:p>
        </w:tc>
        <w:tc>
          <w:tcPr>
            <w:tcW w:type="dxa" w:w="368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Lighthouse w Chrome DevTools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Pokrycie scoringu testami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≥ 80%</w:t>
            </w:r>
          </w:p>
        </w:tc>
        <w:tc>
          <w:tcPr>
            <w:tcW w:type="dxa" w:w="368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Jest --coverage</w:t>
            </w:r>
          </w:p>
        </w:tc>
      </w:tr>
      <w:tr>
        <w:tc>
          <w:tcPr>
            <w:tcW w:type="dxa" w:w="34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Liczba błędów 5xx w trakcie testów klikalnych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0</w:t>
            </w:r>
          </w:p>
        </w:tc>
        <w:tc>
          <w:tcPr>
            <w:tcW w:type="dxa" w:w="368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Logi backendu + scenariusze E2E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Skuteczność blokady multi-tenant</w:t>
            </w:r>
          </w:p>
        </w:tc>
        <w:tc>
          <w:tcPr>
            <w:tcW w:type="dxa" w:w="2551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100%</w:t>
            </w:r>
          </w:p>
        </w:tc>
        <w:tc>
          <w:tcPr>
            <w:tcW w:type="dxa" w:w="368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Scenariusz bezpieczeństwa #SEC-01</w:t>
            </w:r>
          </w:p>
        </w:tc>
      </w:tr>
      <w:tr>
        <w:tc>
          <w:tcPr>
            <w:tcW w:type="dxa" w:w="3402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SUS — System Usability Scale</w:t>
            </w:r>
          </w:p>
        </w:tc>
        <w:tc>
          <w:tcPr>
            <w:tcW w:type="dxa" w:w="2551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≥ 70 (akceptowalne)</w:t>
            </w:r>
          </w:p>
        </w:tc>
        <w:tc>
          <w:tcPr>
            <w:tcW w:type="dxa" w:w="368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Kwestionariusz po sesji UX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6.5. Formatka scenariusza testowego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Każdy scenariusz testu klikalnego dokumentowany jest według poniższej formatki. Formatka ta jest spójna ze strukturą rozdziału 5.1. pracy inżynierskiej i pozwala jednoznacznie odtworzyć test, zweryfikować rezultat oraz przypisać go do wymagania funkcjonalnego.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Pole</w:t>
            </w:r>
          </w:p>
        </w:tc>
        <w:tc>
          <w:tcPr>
            <w:tcW w:type="dxa" w:w="6803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Opis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ID scenariusza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Unikalny identyfikator (np. TC-AUTH-001, TC-HR-014)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Tytuł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Krótki opis testowanej ścieżki użytkownika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Powiązane wymaganie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Numer wymagania z rozdziału 2.4 (np. WF-12)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Priorytet MoSCoW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Must / Should / Could / Won't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Aktor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Pracownik / HR / Administrator firmy / Administrator platformy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Środowisko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dev / stage / lokalne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Warunki wstępne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Stan systemu przed testem (np. konto zatwierdzone, kod firmy znany)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Dane testowe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Wartości używane podczas testu (loginy, hasła, kod firmy, odpowiedzi)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Kroki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Numerowana lista czynności wykonywanych przez testera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Oczekiwany wynik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Co system powinien wyświetlić / zapisać / wywołać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Kryterium akceptacji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Warunek konieczny do uznania scenariusza za zaliczony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Wynik faktyczny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Co zaobserwowano podczas wykonania testu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PASS / FAIL / BLOCKED / SKIPPED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Uwagi / błędy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Numer zgłoszenia, screen, dodatkowe obserwacje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Data wykonania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RRRR-MM-DD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Wykonujący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Imię i nazwisko testera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6.6. Przykład wypełnionej formatki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Poniżej przykład wypełnionej formatki dla scenariusza krytycznego z punktu widzenia bezpieczeństwa: weryfikacja, że konto HR firmy A nie ma dostępu do wyników firmy 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Pole</w:t>
            </w:r>
          </w:p>
        </w:tc>
        <w:tc>
          <w:tcPr>
            <w:tcW w:type="dxa" w:w="6803"/>
            <w:vAlign w:val="center"/>
            <w:shd w:val="clear" w:color="auto" w:fill="1D3E4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Wartość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ID scenariusza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TC-SEC-003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Tytuł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Brak dostępu HR firmy A do wyników firmy B (multi-tenant)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Powiązane wymaganie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WN-SEC-04 (izolacja danych pomiędzy tenantami)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Priorytet MoSCoW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Must Have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Aktor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HR firmy A (token JWT z tenant_id = A)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Środowisko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stage (Railway)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Warunki wstępne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 systemie istnieją dwie firmy A i B z różnymi tenant_id. Każda posiada minimum 5 zatwierdzonych pracowników z wynikami PHQ-9.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Dane testowe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Konto HR firmy A: hr@firmaA.test / hasło testowe; URL endpointu raportu firmy B: /api/v1/analytics/wellbeing-index?tenantId=B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Kroki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1. Zaloguj się jako HR firmy A.  2. Skopiuj token JWT z DevTools.  3. Wywołaj endpoint Postmanem z parametrem tenantId=B (firma obca).  4. Zaobserwuj odpowiedź API.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Oczekiwany wynik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API zwraca odpowiedź 403 Forbidden z komunikatem „Insufficient permissions” oraz nie zwraca jakichkolwiek danych firmy B w treści odpowiedzi.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Kryterium akceptacji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HTTP 403 + pusty body danych firmy B + wpis w audit_logs z akcją „forbidden_cross_tenant_read”.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Wynik faktyczny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API zwróciło 403 Forbidden, body nie zawiera danych firmy B, w audit_logs pojawił się wpis o próbie dostępu.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Uwagi / błędy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Data wykonania</w:t>
            </w:r>
          </w:p>
        </w:tc>
        <w:tc>
          <w:tcPr>
            <w:tcW w:type="dxa" w:w="6803"/>
            <w:vAlign w:val="center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2026-05-09</w:t>
            </w:r>
          </w:p>
        </w:tc>
      </w:tr>
      <w:tr>
        <w:tc>
          <w:tcPr>
            <w:tcW w:type="dxa" w:w="2835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Wykonujący</w:t>
            </w:r>
          </w:p>
        </w:tc>
        <w:tc>
          <w:tcPr>
            <w:tcW w:type="dxa" w:w="6803"/>
            <w:vAlign w:val="center"/>
            <w:shd w:val="clear" w:color="auto" w:fill="F4F1E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7"/>
              </w:rPr>
              <w:t>Mateusz Matczuk</w:t>
            </w:r>
          </w:p>
        </w:tc>
      </w:tr>
    </w:tbl>
    <w:p>
      <w:pPr>
        <w:spacing w:line="276" w:lineRule="auto" w:before="280" w:after="160"/>
      </w:pPr>
      <w:r>
        <w:rPr>
          <w:rFonts w:ascii="Verdana" w:hAnsi="Verdana" w:cs="Verdana"/>
          <w:b/>
          <w:i w:val="0"/>
          <w:color w:val="1D3E44"/>
          <w:sz w:val="22"/>
        </w:rPr>
        <w:t>6.7. Sposób raportowania wyników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Wyniki wszystkich scenariuszy zbierane są w jednym arkuszu zbiorczym, zawierającym kolumny: ID scenariusza, status (PASS/FAIL/BLOCKED/SKIPPED), datę wykonania, wykonującego oraz odniesienie do ewentualnego zgłoszenia. Po każdej iteracji sprintu generowany jest raport pokrycia testowego, który stanowi podstawę decyzji o gotowości iteracji do scalenia do gałęzi głównej i, w konsekwencji, do wdrożenia demonstracyjnego.</w:t>
      </w:r>
    </w:p>
    <w:p>
      <w:pPr>
        <w:spacing w:line="276" w:lineRule="auto" w:before="0" w:after="12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Scenariusze, które uzyskały status </w:t>
      </w:r>
      <w:r>
        <w:rPr>
          <w:rFonts w:ascii="Verdana" w:hAnsi="Verdana" w:cs="Verdana"/>
          <w:b/>
          <w:i w:val="0"/>
          <w:sz w:val="20"/>
        </w:rPr>
        <w:t>FAIL</w:t>
      </w:r>
      <w:r>
        <w:rPr>
          <w:rFonts w:ascii="Verdana" w:hAnsi="Verdana" w:cs="Verdana"/>
          <w:b w:val="0"/>
          <w:i w:val="0"/>
          <w:sz w:val="20"/>
        </w:rPr>
        <w:t xml:space="preserve">, są opisywane jako zgłoszenia w GitHub Issues z etykietą </w:t>
      </w:r>
      <w:r>
        <w:rPr>
          <w:rFonts w:ascii="Verdana" w:hAnsi="Verdana" w:cs="Verdana"/>
          <w:b w:val="0"/>
          <w:i/>
          <w:sz w:val="20"/>
        </w:rPr>
        <w:t>type:bug</w:t>
      </w:r>
      <w:r>
        <w:rPr>
          <w:rFonts w:ascii="Verdana" w:hAnsi="Verdana" w:cs="Verdana"/>
          <w:b w:val="0"/>
          <w:i w:val="0"/>
          <w:sz w:val="20"/>
        </w:rPr>
        <w:t xml:space="preserve"> i priorytetem zgodnym z klasyfikacją MoSCoW funkcji, której dotyczą. Naprawa zgłoszenia skutkuje ponownym wykonaniem scenariusza i aktualizacją statusu w arkuszu zbiorczym.</w:t>
      </w:r>
    </w:p>
    <w:sectPr w:rsidR="00FC693F" w:rsidRPr="0006063C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