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20"/>
      </w:pPr>
      <w:r>
        <w:rPr>
          <w:rFonts w:ascii="Verdana" w:hAnsi="Verdana" w:cs="Verdana"/>
          <w:sz w:val="32"/>
          <w:sz-cs w:val="32"/>
          <w:b/>
          <w:spacing w:val="0"/>
        </w:rPr>
        <w:t xml:space="preserve">3. Metodyka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 rozdziale przedstawiono metody zastosowane przy wytworzeniu platformy MoodFlow w oparciu o wymagania inżynierii oprogramowania oraz wybrane technologie informatyczne. Opisano metodyki projektowe, organizację pracy zespołu, wzorce architektoniczne, dobór technologii oraz narzędzia wspierające proces wytwarzania.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3.1. Metodyka pracy zespołowej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Wytwarzanie platformy oparto o iteracyjne podejście wywodzące się z filozofii Agile, ze szczególnym uwzględnieniem elementów metodyki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Scrum</w:t>
      </w:r>
      <w:r>
        <w:rPr>
          <w:rFonts w:ascii="Verdana" w:hAnsi="Verdana" w:cs="Verdana"/>
          <w:sz w:val="26"/>
          <w:sz-cs w:val="26"/>
          <w:spacing w:val="0"/>
        </w:rPr>
        <w:t xml:space="preserve"> oraz tablicy zadań w stylu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Kanban</w:t>
      </w:r>
      <w:r>
        <w:rPr>
          <w:rFonts w:ascii="Verdana" w:hAnsi="Verdana" w:cs="Verdana"/>
          <w:sz w:val="26"/>
          <w:sz-cs w:val="26"/>
          <w:spacing w:val="0"/>
        </w:rPr>
        <w:t xml:space="preserve">. Wybór metodyki zwinnej był podyktowany kilkoma czynnikami. Po pierwsze, na początku projektu nie wszystkie wymagania były znane w sposób precyzyjny i pojawiała się konieczność ich uściślania w trakcie realizacji. Po drugie, zespół składał się z osób o różnych specjalizacjach, co wymagało regularnej komunikacji i transparentności postępów. Po trzecie, krótkie iteracje pozwalały na bieżącą walidację rozwiązań w kontekście wymagań pracy inżynierskiej oraz konsultacji z promotorem.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Praca przebiegała w dwutygodniowych iteracjach. Na początku każdej iteracji ustalano zakres zadań do wykonania na podstawie listy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backlog</w:t>
      </w:r>
      <w:r>
        <w:rPr>
          <w:rFonts w:ascii="Verdana" w:hAnsi="Verdana" w:cs="Verdana"/>
          <w:sz w:val="26"/>
          <w:sz-cs w:val="26"/>
          <w:spacing w:val="0"/>
        </w:rPr>
        <w:t xml:space="preserve">, w trakcie iteracji prowadzono krótkie spotkania synchronizacyjne, a na zakończenie weryfikowano efekty. Tablica zadań w narzędziu do zarządzania projektami obrazowała aktualny stan każdego zadania w pięciu kolumnach: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Backlog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To Do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In Progress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Review</w:t>
      </w:r>
      <w:r>
        <w:rPr>
          <w:rFonts w:ascii="Verdana" w:hAnsi="Verdana" w:cs="Verdana"/>
          <w:sz w:val="26"/>
          <w:sz-cs w:val="26"/>
          <w:spacing w:val="0"/>
        </w:rPr>
        <w:t xml:space="preserve"> oraz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Done</w:t>
      </w:r>
      <w:r>
        <w:rPr>
          <w:rFonts w:ascii="Verdana" w:hAnsi="Verdana" w:cs="Verdana"/>
          <w:sz w:val="26"/>
          <w:sz-cs w:val="26"/>
          <w:spacing w:val="0"/>
        </w:rPr>
        <w:t xml:space="preserve">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Alternatywą rozważaną była metodyka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Waterfall</w:t>
      </w:r>
      <w:r>
        <w:rPr>
          <w:rFonts w:ascii="Verdana" w:hAnsi="Verdana" w:cs="Verdana"/>
          <w:sz w:val="26"/>
          <w:sz-cs w:val="26"/>
          <w:spacing w:val="0"/>
        </w:rPr>
        <w:t xml:space="preserve">, jednak została odrzucona ze względu na ograniczenia wynikające z liniowej kolejności faz oraz brak elastyczności w przypadku zmiany wymagań w trakcie projektu. Charakter pracy inżynierskiej, w której wymagania funkcjonalne dojrzewały równolegle z postępami implementacji, wymagał podejścia adaptacyjnego.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3.2. Metodyka inżynierii wymagań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Specyfikację wymagań przeprowadzono zgodnie z dobrymi praktykami opisanymi w przewodniku Babok Guide 3.0, według którego wymaganie funkcjonalne stanowi „użyteczną reprezentację potrzeby oraz skupia się na wartości, jaką można dostarczyć, gdy wymaganie zostanie spełnione". Wymagania zostały podzielone na cztery poziomy: biznesowe (cel projektu), interesariuszy (oczekiwania ról), systemowe (funkcjonalne i niefunkcjonalne) oraz przejściowe (związane z wdrożeniem).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Każde wymaganie spełniało zasadę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SMART</w:t>
      </w:r>
      <w:r>
        <w:rPr>
          <w:rFonts w:ascii="Verdana" w:hAnsi="Verdana" w:cs="Verdana"/>
          <w:sz w:val="26"/>
          <w:sz-cs w:val="26"/>
          <w:spacing w:val="0"/>
        </w:rPr>
        <w:t xml:space="preserve"> — było konkretne (Specific), mierzalne (Measurable), osiągalne (Achievable), istotne (Relevant) oraz określone w czasie (Time-bound). Wymagania funkcjonalne formułowano w postaci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user stories</w:t>
      </w:r>
      <w:r>
        <w:rPr>
          <w:rFonts w:ascii="Verdana" w:hAnsi="Verdana" w:cs="Verdana"/>
          <w:sz w:val="26"/>
          <w:sz-cs w:val="26"/>
          <w:spacing w:val="0"/>
        </w:rPr>
        <w:t xml:space="preserve"> według wzorca: „Jako [rola], chciałbym [czynność], aby [cel]", a następnie rozszerzano o opis, kryteria akceptacji oraz wykonawcę.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Do priorytetyzacji wymagań zastosowano metodę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MoSCoW</w:t>
      </w:r>
      <w:r>
        <w:rPr>
          <w:rFonts w:ascii="Verdana" w:hAnsi="Verdana" w:cs="Verdana"/>
          <w:sz w:val="26"/>
          <w:sz-cs w:val="26"/>
          <w:spacing w:val="0"/>
        </w:rPr>
        <w:t xml:space="preserve">, opisaną szczegółowo w rozdziale 2.1. Pozwoliła ona na jednoznaczne rozdzielenie funkcjonalności krytycznych (Must Have) od pomocniczych (Should Have, Could Have) oraz świadomie wykluczonych (Won’t Have).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Najbardziej krytyczne przepływy interakcji opisano w postaci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Use Case</w:t>
      </w:r>
      <w:r>
        <w:rPr>
          <w:rFonts w:ascii="Verdana" w:hAnsi="Verdana" w:cs="Verdana"/>
          <w:sz w:val="26"/>
          <w:sz-cs w:val="26"/>
          <w:spacing w:val="0"/>
        </w:rPr>
        <w:t xml:space="preserve"> w formie tabelarycznej, zawierającej pola: identyfikator i nazwę przypadku użycia, opis, aktorów, warunki początkowe (preconditions), wyzwalacz (trigger), główny przepływ zdarzeń (main flow), przepływy alternatywne (alternative flow), wyjątki (exceptions), warunki końcowe (postconditions) oraz powiązane wymagania.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3.3. Modelowanie systemu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Do modelowania systemu zastosowano notację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UML</w:t>
      </w:r>
      <w:r>
        <w:rPr>
          <w:rFonts w:ascii="Verdana" w:hAnsi="Verdana" w:cs="Verdana"/>
          <w:sz w:val="26"/>
          <w:sz-cs w:val="26"/>
          <w:spacing w:val="0"/>
        </w:rPr>
        <w:t xml:space="preserve"> (Unified Modeling Language) zgodnie z wymaganiami inżynierii oprogramowania. Diagramy przygotowano przy użyciu narzędzia Mermaid — języka opisu diagramów w formie tekstowej, dzięki czemu źródło każdego diagramu jest wersjonowane razem z kodem aplikacji w systemie kontroli wersji.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 projekcie sporządzono następujące diagramy: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przypadków użycia</w:t>
      </w:r>
      <w:r>
        <w:rPr>
          <w:rFonts w:ascii="Verdana" w:hAnsi="Verdana" w:cs="Verdana"/>
          <w:sz w:val="26"/>
          <w:sz-cs w:val="26"/>
          <w:spacing w:val="0"/>
        </w:rPr>
        <w:t xml:space="preserve"> — przegląd interakcji aktorów (pracownik, HR, administrator firmy, właściciel platformy, system mailowy) z funkcjami systemu;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klas</w:t>
      </w:r>
      <w:r>
        <w:rPr>
          <w:rFonts w:ascii="Verdana" w:hAnsi="Verdana" w:cs="Verdana"/>
          <w:sz w:val="26"/>
          <w:sz-cs w:val="26"/>
          <w:spacing w:val="0"/>
        </w:rPr>
        <w:t xml:space="preserve"> — struktura modułów backendu z ich zależnościami i relacjami wstrzykiwania;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ERD</w:t>
      </w:r>
      <w:r>
        <w:rPr>
          <w:rFonts w:ascii="Verdana" w:hAnsi="Verdana" w:cs="Verdana"/>
          <w:sz w:val="26"/>
          <w:sz-cs w:val="26"/>
          <w:spacing w:val="0"/>
        </w:rPr>
        <w:t xml:space="preserve"> — relacyjny model bazy danych z dziesięcioma encjami głównymi (organizations, users, departments, assessments, questions, answer_options, assessment_assignments, assessment_results, user_responses, audit_logs, notifications);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sekwencji</w:t>
      </w:r>
      <w:r>
        <w:rPr>
          <w:rFonts w:ascii="Verdana" w:hAnsi="Verdana" w:cs="Verdana"/>
          <w:sz w:val="26"/>
          <w:sz-cs w:val="26"/>
          <w:spacing w:val="0"/>
        </w:rPr>
        <w:t xml:space="preserve"> — przepływ danych przy wypełnianiu testu psychologicznego, od pobrania definicji testu po zapis wyniku;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maszyny stanów</w:t>
      </w:r>
      <w:r>
        <w:rPr>
          <w:rFonts w:ascii="Verdana" w:hAnsi="Verdana" w:cs="Verdana"/>
          <w:sz w:val="26"/>
          <w:sz-cs w:val="26"/>
          <w:spacing w:val="0"/>
        </w:rPr>
        <w:t xml:space="preserve"> — cykl życia konta użytkownika (PENDING, ACTIVE, REJECTED, SUSPENDED) oraz organizacji (PENDING, ACTIVE, BLOCKED, REJECTED);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komponentów</w:t>
      </w:r>
      <w:r>
        <w:rPr>
          <w:rFonts w:ascii="Verdana" w:hAnsi="Verdana" w:cs="Verdana"/>
          <w:sz w:val="26"/>
          <w:sz-cs w:val="26"/>
          <w:spacing w:val="0"/>
        </w:rPr>
        <w:t xml:space="preserve"> — relacje pomiędzy komponentami systemu (backend, dwa frontendy, baza danych, system mailowy) z zaznaczeniem protokołów komunikacji (HTTPS, REST, TCP, SMTP);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wdrożenia</w:t>
      </w:r>
      <w:r>
        <w:rPr>
          <w:rFonts w:ascii="Verdana" w:hAnsi="Verdana" w:cs="Verdana"/>
          <w:sz w:val="26"/>
          <w:sz-cs w:val="26"/>
          <w:spacing w:val="0"/>
        </w:rPr>
        <w:t xml:space="preserve"> — rozmieszczenie komponentów na platformie chmurowej z zaznaczeniem zależności pomiędzy węzłami;</w:t>
      </w:r>
    </w:p>
    <w:p>
      <w:pPr>
        <w:jc w:val="both"/>
        <w:ind w:left="720" w:first-line="-720"/>
        <w:spacing w:after="80"/>
      </w:pPr>
      <w:r>
        <w:rPr>
          <w:rFonts w:ascii="Verdana" w:hAnsi="Verdana" w:cs="Verdan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Verdana" w:hAnsi="Verdana" w:cs="Verdana"/>
          <w:sz w:val="26"/>
          <w:sz-cs w:val="26"/>
          <w:b/>
          <w:spacing w:val="0"/>
        </w:rPr>
        <w:t xml:space="preserve">Diagram BPMN</w:t>
      </w:r>
      <w:r>
        <w:rPr>
          <w:rFonts w:ascii="Verdana" w:hAnsi="Verdana" w:cs="Verdana"/>
          <w:sz w:val="26"/>
          <w:sz-cs w:val="26"/>
          <w:spacing w:val="0"/>
        </w:rPr>
        <w:t xml:space="preserve"> — pełen proces biznesowy od rejestracji firmy, przez zatwierdzenie, dodanie pracownika, aż po wypełnienie pierwszego testu i analizę wyniku w panelu HR.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3.4. Architektura systemu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Platformę zaprojektowano jako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monolit modularny</w:t>
      </w:r>
      <w:r>
        <w:rPr>
          <w:rFonts w:ascii="Verdana" w:hAnsi="Verdana" w:cs="Verdana"/>
          <w:sz w:val="26"/>
          <w:sz-cs w:val="26"/>
          <w:spacing w:val="0"/>
        </w:rPr>
        <w:t xml:space="preserve"> w warstwowej architekturze typu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layered architecture</w:t>
      </w:r>
      <w:r>
        <w:rPr>
          <w:rFonts w:ascii="Verdana" w:hAnsi="Verdana" w:cs="Verdana"/>
          <w:sz w:val="26"/>
          <w:sz-cs w:val="26"/>
          <w:spacing w:val="0"/>
        </w:rPr>
        <w:t xml:space="preserve">. Wybór tego wzorca uzasadniono trzema czynnikami: prostotą wdrożenia w porównaniu do mikrousług, dopasowaniem do skali projektu inżynierskiego oraz czytelnością kodu dla osób oceniających pracę.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Backend zorganizowano w niezależne moduły domenowe (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auth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users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organizations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departments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assessments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responses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results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analytics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admin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notifications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audit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health</w:t>
      </w:r>
      <w:r>
        <w:rPr>
          <w:rFonts w:ascii="Verdana" w:hAnsi="Verdana" w:cs="Verdana"/>
          <w:sz w:val="26"/>
          <w:sz-cs w:val="26"/>
          <w:spacing w:val="0"/>
        </w:rPr>
        <w:t xml:space="preserve">), z których każdy zawiera własny kontroler (warstwa prezentacji), serwis (warstwa logiki biznesowej), repozytoria (warstwa dostępu do danych) oraz definicje encji. Podejście to wynika z metodyki Domain-Driven Design w jej uproszczonej formie i pozwala na czytelne mapowanie kodu na obszary biznesowe.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Architektura systemu jest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wielodostępna (multi-tenant)</w:t>
      </w:r>
      <w:r>
        <w:rPr>
          <w:rFonts w:ascii="Verdana" w:hAnsi="Verdana" w:cs="Verdana"/>
          <w:sz w:val="26"/>
          <w:sz-cs w:val="26"/>
          <w:spacing w:val="0"/>
        </w:rPr>
        <w:t xml:space="preserve"> w modelu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row-level multi-tenancy</w:t>
      </w:r>
      <w:r>
        <w:rPr>
          <w:rFonts w:ascii="Verdana" w:hAnsi="Verdana" w:cs="Verdana"/>
          <w:sz w:val="26"/>
          <w:sz-cs w:val="26"/>
          <w:spacing w:val="0"/>
        </w:rPr>
        <w:t xml:space="preserve"> — wszystkie dane wszystkich firm znajdują się w jednej bazie danych, a izolacja realizowana jest przez filtrowanie zapytań po identyfikatorze organizacji pobieranym z tokenu uwierzytelniającego. Alternatywne modele (osobna baza per firma, osobny schemat) odrzucono jako zbyt kosztowne operacyjnie dla skali projektu.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Komunikacja między frontendami a backendem odbywa się przez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REST API</w:t>
      </w:r>
      <w:r>
        <w:rPr>
          <w:rFonts w:ascii="Verdana" w:hAnsi="Verdana" w:cs="Verdana"/>
          <w:sz w:val="26"/>
          <w:sz-cs w:val="26"/>
          <w:spacing w:val="0"/>
        </w:rPr>
        <w:t xml:space="preserve"> z formatem JSON, przy użyciu metod HTTP zgodnie z konwencją: GET (odczyt), POST (utworzenie), PATCH (modyfikacja), DELETE (usunięcie). Endpointy nazywane są zgodnie z konwencją zasobów w liczbie mnogiej, a zwracane odpowiedzi mają ujednoliconą strukturę.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 Wybrane technologie informatyczne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Każda technologia została dobrana w oparciu o wymagania projektu, dojrzałość ekosystemu oraz wartość edukacyjną dla pracy inżynierskiej.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3.5.1. Język programowania — TypeScript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Cały kod aplikacji został napisany w języku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TypeScript</w:t>
      </w:r>
      <w:r>
        <w:rPr>
          <w:rFonts w:ascii="Verdana" w:hAnsi="Verdana" w:cs="Verdana"/>
          <w:sz w:val="26"/>
          <w:sz-cs w:val="26"/>
          <w:spacing w:val="0"/>
        </w:rPr>
        <w:t xml:space="preserve"> — nadbudowie nad JavaScriptem dodającej system typów statycznych weryfikowanych podczas kompilacji. Wybór tego języka zapewnia wykrywanie znacznej części błędów na etapie kompilacji, spójność typów end-to-end pomiędzy backendem a frontendami oraz zgodność z aktualnym standardem branżowym w nowoczesnym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web developmencie</w:t>
      </w:r>
      <w:r>
        <w:rPr>
          <w:rFonts w:ascii="Verdana" w:hAnsi="Verdana" w:cs="Verdana"/>
          <w:sz w:val="26"/>
          <w:sz-cs w:val="26"/>
          <w:spacing w:val="0"/>
        </w:rPr>
        <w:t xml:space="preserve">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3.5.2. Backend — Node.js i NestJS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Warstwa serwerowa zbudowana została w środowisku Node.js w wersji 20 z użyciem frameworka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NestJS 11</w:t>
      </w:r>
      <w:r>
        <w:rPr>
          <w:rFonts w:ascii="Verdana" w:hAnsi="Verdana" w:cs="Verdana"/>
          <w:sz w:val="26"/>
          <w:sz-cs w:val="26"/>
          <w:spacing w:val="0"/>
        </w:rPr>
        <w:t xml:space="preserve">. NestJS wprowadza do ekosystemu JavaScript koncepcje znane z dojrzałych frameworków, takich jak modułowość, wstrzykiwanie zależności (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dependency injection</w:t>
      </w:r>
      <w:r>
        <w:rPr>
          <w:rFonts w:ascii="Verdana" w:hAnsi="Verdana" w:cs="Verdana"/>
          <w:sz w:val="26"/>
          <w:sz-cs w:val="26"/>
          <w:spacing w:val="0"/>
        </w:rPr>
        <w:t xml:space="preserve">), dekoratory oraz wyraźny podział na warstwy. Ekosystem oficjalnych modułów (</w:t>
      </w:r>
      <w:r>
        <w:rPr>
          <w:rFonts w:ascii="Menlo" w:hAnsi="Menlo" w:cs="Menlo"/>
          <w:sz w:val="26"/>
          <w:sz-cs w:val="26"/>
          <w:spacing w:val="0"/>
        </w:rPr>
        <w:t xml:space="preserve">@nestjs/jwt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@nestjs/passport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@nestjs/typeorm</w:t>
      </w:r>
      <w:r>
        <w:rPr>
          <w:rFonts w:ascii="Verdana" w:hAnsi="Verdana" w:cs="Verdana"/>
          <w:sz w:val="26"/>
          <w:sz-cs w:val="26"/>
          <w:spacing w:val="0"/>
        </w:rPr>
        <w:t xml:space="preserve">, </w:t>
      </w:r>
      <w:r>
        <w:rPr>
          <w:rFonts w:ascii="Menlo" w:hAnsi="Menlo" w:cs="Menlo"/>
          <w:sz w:val="26"/>
          <w:sz-cs w:val="26"/>
          <w:spacing w:val="0"/>
        </w:rPr>
        <w:t xml:space="preserve">@nestjs/throttler</w:t>
      </w:r>
      <w:r>
        <w:rPr>
          <w:rFonts w:ascii="Verdana" w:hAnsi="Verdana" w:cs="Verdana"/>
          <w:sz w:val="26"/>
          <w:sz-cs w:val="26"/>
          <w:spacing w:val="0"/>
        </w:rPr>
        <w:t xml:space="preserve">) pozwolił na szybkie wdrożenie kluczowych funkcji bez korzystania z niesprawdzonych bibliotek zewnętrznych.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3.5.3. Trwałość danych — PostgreSQL z TypeORM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Jako system zarządzania bazą danych zastosowano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PostgreSQL 16</w:t>
      </w:r>
      <w:r>
        <w:rPr>
          <w:rFonts w:ascii="Verdana" w:hAnsi="Verdana" w:cs="Verdana"/>
          <w:sz w:val="26"/>
          <w:sz-cs w:val="26"/>
          <w:spacing w:val="0"/>
        </w:rPr>
        <w:t xml:space="preserve">. Komunikacja z bazą realizowana jest poprzez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TypeORM</w:t>
      </w:r>
      <w:r>
        <w:rPr>
          <w:rFonts w:ascii="Verdana" w:hAnsi="Verdana" w:cs="Verdana"/>
          <w:sz w:val="26"/>
          <w:sz-cs w:val="26"/>
          <w:spacing w:val="0"/>
        </w:rPr>
        <w:t xml:space="preserve"> — bibliotekę typu Object-Relational Mapping zintegrowaną z NestJS. PostgreSQL wybrano ze względu na natywne wsparcie typu JSONB (wykorzystywanego dla tabel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audit_logs</w:t>
      </w:r>
      <w:r>
        <w:rPr>
          <w:rFonts w:ascii="Verdana" w:hAnsi="Verdana" w:cs="Verdana"/>
          <w:sz w:val="26"/>
          <w:sz-cs w:val="26"/>
          <w:spacing w:val="0"/>
        </w:rPr>
        <w:t xml:space="preserve"> i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assessment_results</w:t>
      </w:r>
      <w:r>
        <w:rPr>
          <w:rFonts w:ascii="Verdana" w:hAnsi="Verdana" w:cs="Verdana"/>
          <w:sz w:val="26"/>
          <w:sz-cs w:val="26"/>
          <w:spacing w:val="0"/>
        </w:rPr>
        <w:t xml:space="preserve">), pełniejszą zgodność ze standardem SQL niż MySQL oraz dojrzałość i stabilność rozwijanego od ponad trzydziestu lat projektu.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3.5.4. Frontend pracownika — React i Vite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Aplikacja przeznaczona dla pracownika została zrealizowana w bibliotece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React 18</w:t>
      </w:r>
      <w:r>
        <w:rPr>
          <w:rFonts w:ascii="Verdana" w:hAnsi="Verdana" w:cs="Verdana"/>
          <w:sz w:val="26"/>
          <w:sz-cs w:val="26"/>
          <w:spacing w:val="0"/>
        </w:rPr>
        <w:t xml:space="preserve"> z wykorzystaniem narzędzia budującego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Vite 8</w:t>
      </w:r>
      <w:r>
        <w:rPr>
          <w:rFonts w:ascii="Verdana" w:hAnsi="Verdana" w:cs="Verdana"/>
          <w:sz w:val="26"/>
          <w:sz-cs w:val="26"/>
          <w:spacing w:val="0"/>
        </w:rPr>
        <w:t xml:space="preserve">. Stan aplikacji zarządzany jest przez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Redux Toolkit</w:t>
      </w:r>
      <w:r>
        <w:rPr>
          <w:rFonts w:ascii="Verdana" w:hAnsi="Verdana" w:cs="Verdana"/>
          <w:sz w:val="26"/>
          <w:sz-cs w:val="26"/>
          <w:spacing w:val="0"/>
        </w:rPr>
        <w:t xml:space="preserve">, a routing realizuje biblioteka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React Router 6</w:t>
      </w:r>
      <w:r>
        <w:rPr>
          <w:rFonts w:ascii="Verdana" w:hAnsi="Verdana" w:cs="Verdana"/>
          <w:sz w:val="26"/>
          <w:sz-cs w:val="26"/>
          <w:spacing w:val="0"/>
        </w:rPr>
        <w:t xml:space="preserve">. Vite zapewnia czas startu serwera deweloperskiego poniżej sekundy oraz wsparcie dla budowania aplikacji jako Progressive Web App poprzez wtyczkę </w:t>
      </w:r>
      <w:r>
        <w:rPr>
          <w:rFonts w:ascii="Menlo" w:hAnsi="Menlo" w:cs="Menlo"/>
          <w:sz w:val="26"/>
          <w:sz-cs w:val="26"/>
          <w:spacing w:val="0"/>
        </w:rPr>
        <w:t xml:space="preserve">vite-plugin-pwa</w:t>
      </w:r>
      <w:r>
        <w:rPr>
          <w:rFonts w:ascii="Verdana" w:hAnsi="Verdana" w:cs="Verdana"/>
          <w:sz w:val="26"/>
          <w:sz-cs w:val="26"/>
          <w:spacing w:val="0"/>
        </w:rPr>
        <w:t xml:space="preserve">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3.5.5. Frontend administracyjny — Next.js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Panele administracyjne (administrator firmy, HR, właściciel platformy) zostały zbudowane przy użyciu frameworka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Next.js 16</w:t>
      </w:r>
      <w:r>
        <w:rPr>
          <w:rFonts w:ascii="Verdana" w:hAnsi="Verdana" w:cs="Verdana"/>
          <w:sz w:val="26"/>
          <w:sz-cs w:val="26"/>
          <w:spacing w:val="0"/>
        </w:rPr>
        <w:t xml:space="preserve"> — nadbudowy nad Reactem rozwijanej przez firmę Vercel. Next.js wprowadza renderowanie po stronie serwera, automatyczne dzielenie kodu, routing oparty o strukturę folderów oraz model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App Router</w:t>
      </w:r>
      <w:r>
        <w:rPr>
          <w:rFonts w:ascii="Verdana" w:hAnsi="Verdana" w:cs="Verdana"/>
          <w:sz w:val="26"/>
          <w:sz-cs w:val="26"/>
          <w:spacing w:val="0"/>
        </w:rPr>
        <w:t xml:space="preserve">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3.5.6. Stylowanie interfejsu — Tailwind CSS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Wszystkie warstwy prezentacji aplikacji wykorzystują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Tailwind CSS</w:t>
      </w:r>
      <w:r>
        <w:rPr>
          <w:rFonts w:ascii="Verdana" w:hAnsi="Verdana" w:cs="Verdana"/>
          <w:sz w:val="26"/>
          <w:sz-cs w:val="26"/>
          <w:spacing w:val="0"/>
        </w:rPr>
        <w:t xml:space="preserve"> w wersji 4 — framework typu 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utility-first</w:t>
      </w:r>
      <w:r>
        <w:rPr>
          <w:rFonts w:ascii="Verdana" w:hAnsi="Verdana" w:cs="Verdana"/>
          <w:sz w:val="26"/>
          <w:sz-cs w:val="26"/>
          <w:spacing w:val="0"/>
        </w:rPr>
        <w:t xml:space="preserve">, w którym style są aplikowane jako klasy bezpośrednio w kodzie. Predefiniowane skale kolorów, marginesów i typografii eliminują niespójności wynikające z ręcznego pisania CSS. System tokenów CSS pozwolił na zaimplementowanie trybu jasnego i ciemnego z minimalną ingerencją w komponenty.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3.5.7. Wizualizacja danych — Recharts oraz SVG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 panelu HR wykresy (rozkład nasilenia objawów, trendy w czasie, statystyki działowe) zaimplementowano przy użyciu biblioteki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Recharts</w:t>
      </w:r>
      <w:r>
        <w:rPr>
          <w:rFonts w:ascii="Verdana" w:hAnsi="Verdana" w:cs="Verdana"/>
          <w:sz w:val="26"/>
          <w:sz-cs w:val="26"/>
          <w:spacing w:val="0"/>
        </w:rPr>
        <w:t xml:space="preserve">. W aplikacji pracownika wykresy indeksu dobrostanu i historii wyników wykonano bezpośrednio w technologii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SVG</w:t>
      </w:r>
      <w:r>
        <w:rPr>
          <w:rFonts w:ascii="Verdana" w:hAnsi="Verdana" w:cs="Verdana"/>
          <w:sz w:val="26"/>
          <w:sz-cs w:val="26"/>
          <w:spacing w:val="0"/>
        </w:rPr>
        <w:t xml:space="preserve">, co umożliwia precyzyjną kontrolę nad wyglądem (krzywe Beziera dla wygładzonej linii, gradienty pod krzywą, animowane wartości).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3.5.8. Progressive Web App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Aplikacja pracownika została zaimplementowana jako Progressive Web App z wykorzystaniem wtyczki </w:t>
      </w:r>
      <w:r>
        <w:rPr>
          <w:rFonts w:ascii="Menlo" w:hAnsi="Menlo" w:cs="Menlo"/>
          <w:sz w:val="26"/>
          <w:sz-cs w:val="26"/>
          <w:spacing w:val="0"/>
        </w:rPr>
        <w:t xml:space="preserve">vite-plugin-pwa</w:t>
      </w:r>
      <w:r>
        <w:rPr>
          <w:rFonts w:ascii="Verdana" w:hAnsi="Verdana" w:cs="Verdana"/>
          <w:sz w:val="26"/>
          <w:sz-cs w:val="26"/>
          <w:spacing w:val="0"/>
        </w:rPr>
        <w:t xml:space="preserve"> opartej na bibliotece Workbox. Implementacja zawiera manifest aplikacji, ikony w formacie PNG (192×192, 512×512, 180×180 dla apple-touch-icon), Service Worker buforujący zasoby statyczne z polityką cache-first oraz mechanizm informowania użytkownika o dostępności nowej wersji.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3.5.9. Bezpieczeństwo aplikacji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 warstwie bezpieczeństwa wykorzystano zestaw sprawdzonych bibliotek branżowych: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bcrypt</w:t>
      </w:r>
      <w:r>
        <w:rPr>
          <w:rFonts w:ascii="Verdana" w:hAnsi="Verdana" w:cs="Verdana"/>
          <w:sz w:val="26"/>
          <w:sz-cs w:val="26"/>
          <w:spacing w:val="0"/>
        </w:rPr>
        <w:t xml:space="preserve"> z dwunastoma rundami soli do hashowania haseł,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JSON Web Tokens</w:t>
      </w:r>
      <w:r>
        <w:rPr>
          <w:rFonts w:ascii="Verdana" w:hAnsi="Verdana" w:cs="Verdana"/>
          <w:sz w:val="26"/>
          <w:sz-cs w:val="26"/>
          <w:spacing w:val="0"/>
        </w:rPr>
        <w:t xml:space="preserve"> z różnymi sekretami dla tokenów dostępu i odświeżania,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Helmet</w:t>
      </w:r>
      <w:r>
        <w:rPr>
          <w:rFonts w:ascii="Verdana" w:hAnsi="Verdana" w:cs="Verdana"/>
          <w:sz w:val="26"/>
          <w:sz-cs w:val="26"/>
          <w:spacing w:val="0"/>
        </w:rPr>
        <w:t xml:space="preserve"> dla nagłówków bezpieczeństwa HTTP,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cookie-parser</w:t>
      </w:r>
      <w:r>
        <w:rPr>
          <w:rFonts w:ascii="Verdana" w:hAnsi="Verdana" w:cs="Verdana"/>
          <w:sz w:val="26"/>
          <w:sz-cs w:val="26"/>
          <w:spacing w:val="0"/>
        </w:rPr>
        <w:t xml:space="preserve"> dla obsługi ciasteczek HttpOnly,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class-validator</w:t>
      </w:r>
      <w:r>
        <w:rPr>
          <w:rFonts w:ascii="Verdana" w:hAnsi="Verdana" w:cs="Verdana"/>
          <w:sz w:val="26"/>
          <w:sz-cs w:val="26"/>
          <w:spacing w:val="0"/>
        </w:rPr>
        <w:t xml:space="preserve"> dla walidacji danych wejściowych oraz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@nestjs/throttler</w:t>
      </w:r>
      <w:r>
        <w:rPr>
          <w:rFonts w:ascii="Verdana" w:hAnsi="Verdana" w:cs="Verdana"/>
          <w:sz w:val="26"/>
          <w:sz-cs w:val="26"/>
          <w:spacing w:val="0"/>
        </w:rPr>
        <w:t xml:space="preserve"> dla ograniczenia liczby prób logowania (10 prób na 15 minut) i rejestracji (5 prób na 15 minut).</w:t>
      </w:r>
    </w:p>
    <w:p>
      <w:pPr>
        <w:jc w:val="both"/>
        <w:spacing w:after="160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3.5.10. Konteneryzacja i wdrożenie — Docker i Railway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Wszystkie komponenty systemu działają w izolowanych kontenerach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Docker</w:t>
      </w:r>
      <w:r>
        <w:rPr>
          <w:rFonts w:ascii="Verdana" w:hAnsi="Verdana" w:cs="Verdana"/>
          <w:sz w:val="26"/>
          <w:sz-cs w:val="26"/>
          <w:spacing w:val="0"/>
        </w:rPr>
        <w:t xml:space="preserve">, a orkiestrację realizuje narzędzie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Docker Compose</w:t>
      </w:r>
      <w:r>
        <w:rPr>
          <w:rFonts w:ascii="Verdana" w:hAnsi="Verdana" w:cs="Verdana"/>
          <w:sz w:val="26"/>
          <w:sz-cs w:val="26"/>
          <w:spacing w:val="0"/>
        </w:rPr>
        <w:t xml:space="preserve"> w dwóch konfiguracjach — rozwojowej i produkcyjnej. Aplikacja produkcyjna została wdrożona na platformie chmurowej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Railway</w:t>
      </w:r>
      <w:r>
        <w:rPr>
          <w:rFonts w:ascii="Verdana" w:hAnsi="Verdana" w:cs="Verdana"/>
          <w:sz w:val="26"/>
          <w:sz-cs w:val="26"/>
          <w:spacing w:val="0"/>
        </w:rPr>
        <w:t xml:space="preserve">, która zapewnia automatyczne udostępnianie certyfikatów TLS Let’s Encrypt, managed PostgreSQL z dziennymi snapshotami oraz natywne wsparcie dla aplikacji w kontenerach Docker.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3.6. Narzędzia wspierające proces wytwarzania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Proces wytwarzania platformy wspierany był następującymi narzędziami:</w:t>
      </w:r>
    </w:p>
    <w:p>
      <w:pPr/>
      <w:r>
        <w:rPr>
          <w:rFonts w:ascii="Verdana" w:hAnsi="Verdana" w:cs="Verdana"/>
          <w:sz w:val="25"/>
          <w:sz-cs w:val="25"/>
          <w:b/>
          <w:spacing w:val="0"/>
        </w:rPr>
        <w:t xml:space="preserve">Tabela 3.1 Narzędzia wspierające proces wytwarzania (źródło: opracowanie własne)</w:t>
      </w:r>
    </w:p>
    <w:p>
      <w:pPr/>
      <w:r>
        <w:rPr>
          <w:rFonts w:ascii="Verdana" w:hAnsi="Verdana" w:cs="Verdana"/>
          <w:sz w:val="25"/>
          <w:sz-cs w:val="25"/>
          <w:b/>
          <w:spacing w:val="0"/>
        </w:rPr>
        <w:t xml:space="preserve">Kategoria</w:t>
      </w:r>
    </w:p>
    <w:p>
      <w:pPr/>
      <w:r>
        <w:rPr>
          <w:rFonts w:ascii="Verdana" w:hAnsi="Verdana" w:cs="Verdana"/>
          <w:sz w:val="25"/>
          <w:sz-cs w:val="25"/>
          <w:b/>
          <w:spacing w:val="0"/>
        </w:rPr>
        <w:t xml:space="preserve">Narzędzie</w:t>
      </w:r>
    </w:p>
    <w:p>
      <w:pPr/>
      <w:r>
        <w:rPr>
          <w:rFonts w:ascii="Verdana" w:hAnsi="Verdana" w:cs="Verdana"/>
          <w:sz w:val="25"/>
          <w:sz-cs w:val="25"/>
          <w:b/>
          <w:spacing w:val="0"/>
        </w:rPr>
        <w:t xml:space="preserve">Zastosowanie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Kontrola wersji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Git, GitHub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Wersjonowanie kodu, współpraca w zespole, przegląd zmian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Środowisko rozwojowe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Visual Studio Code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Edytor kodu z dodatkami ESLint, Prettier, Tailwind IntelliSense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Zarządzanie projektem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GitHub Projects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Tablica zadań, lista </w:t>
      </w:r>
      <w:r>
        <w:rPr>
          <w:rFonts w:ascii="Verdana" w:hAnsi="Verdana" w:cs="Verdana"/>
          <w:sz w:val="25"/>
          <w:sz-cs w:val="25"/>
          <w:i/>
          <w:spacing w:val="0"/>
        </w:rPr>
        <w:t xml:space="preserve">backlog</w:t>
      </w:r>
      <w:r>
        <w:rPr>
          <w:rFonts w:ascii="Verdana" w:hAnsi="Verdana" w:cs="Verdana"/>
          <w:sz w:val="25"/>
          <w:sz-cs w:val="25"/>
          <w:spacing w:val="0"/>
        </w:rPr>
        <w:t xml:space="preserve">, śledzenie postępów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Komunikacja zespołowa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Discord, Google Meet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Spotkania zespołowe, czat roboczy, rozmowy z promotorem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Diagramy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Mermaid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Tworzenie diagramów UML i BPMN w formacie tekstowym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Projektowanie UI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Pencil, Figma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Wstępne makiety interfejsu, system wizualny aplikacji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Testy ręczne API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Postman, Thunder Client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Weryfikacja endpointów REST w trakcie rozwoju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Środowisko pisania pracy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Microsoft Word, Google Docs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Redagowanie dokumentu pracy inżynierskiej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Konteneryzacja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Docker, Docker Compose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Izolowane środowisko uruchomieniowe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Hosting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Railway</w:t>
      </w:r>
    </w:p>
    <w:p>
      <w:pPr/>
      <w:r>
        <w:rPr>
          <w:rFonts w:ascii="Verdana" w:hAnsi="Verdana" w:cs="Verdana"/>
          <w:sz w:val="25"/>
          <w:sz-cs w:val="25"/>
          <w:spacing w:val="0"/>
        </w:rPr>
        <w:t xml:space="preserve">Wdrożenie produkcyjne, hosting bazy danych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3.7. Procedury testowania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W ramach pracy zaplanowano dwa rodzaje testów. </w:t>
      </w:r>
      <w:r>
        <w:rPr>
          <w:rFonts w:ascii="Verdana" w:hAnsi="Verdana" w:cs="Verdana"/>
          <w:sz w:val="26"/>
          <w:sz-cs w:val="26"/>
          <w:b/>
          <w:spacing w:val="0"/>
        </w:rPr>
        <w:t xml:space="preserve">Testy klikalne</w:t>
      </w:r>
      <w:r>
        <w:rPr>
          <w:rFonts w:ascii="Verdana" w:hAnsi="Verdana" w:cs="Verdana"/>
          <w:sz w:val="26"/>
          <w:sz-cs w:val="26"/>
          <w:spacing w:val="0"/>
        </w:rPr>
        <w:t xml:space="preserve"> (manualne) obejmowały weryfikację poprawności wprowadzania danych w formularzach (rejestracja, logowanie, zmiana hasła), kompletności wypełnienia testów psychologicznych, działania mechanizmu zatwierdzania kont, przypisywania testów oraz generowania raportów w panelu HR z uwzględnieniem progu anonimizacji k=5. Każdy z głównych przepływów aplikacji został przetestowany na trzech kontach o różnych rolach: pracownik, administrator firmy oraz właściciel platformy.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Testy nieklikalne</w:t>
      </w:r>
      <w:r>
        <w:rPr>
          <w:rFonts w:ascii="Verdana" w:hAnsi="Verdana" w:cs="Verdana"/>
          <w:sz w:val="26"/>
          <w:sz-cs w:val="26"/>
          <w:spacing w:val="0"/>
        </w:rPr>
        <w:t xml:space="preserve"> obejmowały weryfikację interfejsu użytkownika pod kątem responsywności na trzech klasach urządzeń (telefon, tablet, komputer), zgodności trybu jasnego i ciemnego, czytelności komunikatów błędów oraz zachowania przy braku połączenia z serwerem. Sprawdzano również odpowiedź backendu na dane wejściowe niespełniające reguł walidacji oraz reakcję na próbę dostępu do zasobów bez wymaganych uprawnień.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Procedury testowania prowadzono iteracyjnie w trakcie każdej dwutygodniowej iteracji, a wyniki testów stanowiły kryterium zamknięcia zadania.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3.8. Archiwizacja i bezpieczeństwo danych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Archiwizacja danych</w:t>
      </w:r>
      <w:r>
        <w:rPr>
          <w:rFonts w:ascii="Verdana" w:hAnsi="Verdana" w:cs="Verdana"/>
          <w:sz w:val="26"/>
          <w:sz-cs w:val="26"/>
          <w:spacing w:val="0"/>
        </w:rPr>
        <w:t xml:space="preserve"> realizowana jest przez managed PostgreSQL platformy Railway z mechanizmem automatycznych snapshotów wykonywanych raz na dobę. Snapshoty są przechowywane przez 30 dni, co umożliwia odtworzenie stanu bazy z dowolnego punktu w tym okresie. Wszystkie dane operacyjne (konta użytkowników, organizacje, wyniki testów, dziennik audytu, powiadomienia) przechowywane są w jednej bazie danych, w postaci znormalizowanej zgodnie z zasadami trzeciej postaci normalnej (3NF).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b/>
          <w:spacing w:val="0"/>
        </w:rPr>
        <w:t xml:space="preserve">Bezpieczeństwo danych</w:t>
      </w:r>
      <w:r>
        <w:rPr>
          <w:rFonts w:ascii="Verdana" w:hAnsi="Verdana" w:cs="Verdana"/>
          <w:sz w:val="26"/>
          <w:sz-cs w:val="26"/>
          <w:spacing w:val="0"/>
        </w:rPr>
        <w:t xml:space="preserve"> realizowane jest na kilku poziomach. Komunikacja sieciowa odbywa się wyłącznie przez szyfrowane połączenie HTTPS z certyfikatem TLS. Hasła użytkowników przechowywane są wyłącznie w postaci hashy bcrypt z dwunastoma rundami soli. Tokeny uwierzytelniające przekazywane są w ciasteczkach typu HttpOnly z atrybutami Secure i SameSite=Strict, co zabezpiecza przed atakami klasy XSS i CSRF. Dostęp do bazy danych jest możliwy wyłącznie z wewnętrznej sieci platformy chmurowej, bez publicznego adresu sieciowego. Dane wrażliwe dotyczące zdrowia psychicznego są dodatkowo anonimizowane na poziomie raportów według zasady k-anonymity z progiem k=5.</w:t>
      </w:r>
    </w:p>
    <w:p>
      <w:pPr>
        <w:jc w:val="both"/>
        <w:spacing w:after="213"/>
      </w:pPr>
      <w:r>
        <w:rPr>
          <w:rFonts w:ascii="Verdana" w:hAnsi="Verdana" w:cs="Verdana"/>
          <w:sz w:val="26"/>
          <w:sz-cs w:val="26"/>
          <w:spacing w:val="0"/>
        </w:rPr>
        <w:t xml:space="preserve">Każda akcja administracyjna (zatwierdzenie konta, blokada, zmiana roli, próba logowania) rejestrowana jest w dzienniku audytu (</w:t>
      </w:r>
      <w:r>
        <w:rPr>
          <w:rFonts w:ascii="Verdana" w:hAnsi="Verdana" w:cs="Verdana"/>
          <w:sz w:val="26"/>
          <w:sz-cs w:val="26"/>
          <w:i/>
          <w:spacing w:val="0"/>
        </w:rPr>
        <w:t xml:space="preserve">audit log</w:t>
      </w:r>
      <w:r>
        <w:rPr>
          <w:rFonts w:ascii="Verdana" w:hAnsi="Verdana" w:cs="Verdana"/>
          <w:sz w:val="26"/>
          <w:sz-cs w:val="26"/>
          <w:spacing w:val="0"/>
        </w:rPr>
        <w:t xml:space="preserve">), co realizuje wymóg rozliczalności wynikający z RODO oraz umożliwia rekonstrukcję incydentów bezpieczeństwa.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