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Verdana" w:hAnsi="Verdana" w:cs="Verdana"/>
          <w:b/>
          <w:i w:val="0"/>
          <w:color w:val="1D3E44"/>
          <w:sz w:val="40"/>
        </w:rPr>
        <w:t>Plan monitorowania jakości MoodFlow</w:t>
      </w:r>
    </w:p>
    <w:p>
      <w:pPr>
        <w:spacing w:after="160"/>
        <w:jc w:val="center"/>
      </w:pPr>
      <w:r>
        <w:rPr>
          <w:rFonts w:ascii="Verdana" w:hAnsi="Verdana" w:cs="Verdana"/>
          <w:b w:val="0"/>
          <w:i/>
          <w:color w:val="5A5E2C"/>
          <w:sz w:val="24"/>
        </w:rPr>
        <w:t>Strategia testów, metryki jakości oraz formatka scenariusza testowego</w:t>
      </w:r>
    </w:p>
    <w:p>
      <w:pPr>
        <w:spacing w:after="600"/>
        <w:jc w:val="center"/>
      </w:pPr>
      <w:r>
        <w:rPr>
          <w:rFonts w:ascii="Verdana" w:hAnsi="Verdana" w:cs="Verdana"/>
          <w:b w:val="0"/>
          <w:i w:val="0"/>
          <w:sz w:val="22"/>
        </w:rPr>
        <w:t>Mateusz Matczuk    ·    Praca inżynierska CDV    ·    2026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Niniejszy dokument opisuje zasady monitorowania jakości aplikacji MoodFlow w trakcie </w:t>
      </w:r>
      <w:r>
        <w:rPr>
          <w:rFonts w:ascii="Verdana" w:hAnsi="Verdana" w:cs="Verdana"/>
          <w:b w:val="0"/>
          <w:i w:val="0"/>
          <w:sz w:val="20"/>
        </w:rPr>
        <w:t xml:space="preserve">całego cyklu wytwórczego — od testów jednostkowych w warstwie scoringu, przez testy </w:t>
      </w:r>
      <w:r>
        <w:rPr>
          <w:rFonts w:ascii="Verdana" w:hAnsi="Verdana" w:cs="Verdana"/>
          <w:b w:val="0"/>
          <w:i w:val="0"/>
          <w:sz w:val="20"/>
        </w:rPr>
        <w:t xml:space="preserve">integracyjne i bezpieczeństwa, aż po testy użyteczności prowadzone z udziałem </w:t>
      </w:r>
      <w:r>
        <w:rPr>
          <w:rFonts w:ascii="Verdana" w:hAnsi="Verdana" w:cs="Verdana"/>
          <w:b w:val="0"/>
          <w:i w:val="0"/>
          <w:sz w:val="20"/>
        </w:rPr>
        <w:t xml:space="preserve">rzeczywistych użytkowników. Drugą częścią dokumentu jest </w:t>
      </w:r>
      <w:r>
        <w:rPr>
          <w:rFonts w:ascii="Verdana" w:hAnsi="Verdana" w:cs="Verdana"/>
          <w:b/>
          <w:i w:val="0"/>
          <w:sz w:val="20"/>
        </w:rPr>
        <w:t>formatka scenariusza testowego</w:t>
      </w:r>
      <w:r>
        <w:rPr>
          <w:rFonts w:ascii="Verdana" w:hAnsi="Verdana" w:cs="Verdana"/>
          <w:b w:val="0"/>
          <w:i w:val="0"/>
          <w:sz w:val="20"/>
        </w:rPr>
        <w:t xml:space="preserve"> — szablon używany do dokumentowania pojedynczego testu klikalnego, wraz z trzema </w:t>
      </w:r>
      <w:r>
        <w:rPr>
          <w:rFonts w:ascii="Verdana" w:hAnsi="Verdana" w:cs="Verdana"/>
          <w:b w:val="0"/>
          <w:i w:val="0"/>
          <w:sz w:val="20"/>
        </w:rPr>
        <w:t xml:space="preserve">przykładowymi, wypełnionymi scenariuszami z różnych obszarów systemu (autentykacja, </w:t>
      </w:r>
      <w:r>
        <w:rPr>
          <w:rFonts w:ascii="Verdana" w:hAnsi="Verdana" w:cs="Verdana"/>
          <w:b w:val="0"/>
          <w:i w:val="0"/>
          <w:sz w:val="20"/>
        </w:rPr>
        <w:t>wynik testu psychologicznego z trybem safety-net, izolacja multi-tenant).</w:t>
      </w:r>
    </w:p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1.  Cele monitorowania jakości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Celem planu jakości jest zapewnienie, że dostarczane funkcjonalności są </w:t>
      </w:r>
      <w:r>
        <w:rPr>
          <w:rFonts w:ascii="Verdana" w:hAnsi="Verdana" w:cs="Verdana"/>
          <w:b/>
          <w:i w:val="0"/>
          <w:sz w:val="20"/>
        </w:rPr>
        <w:t>poprawne</w:t>
      </w:r>
      <w:r>
        <w:rPr>
          <w:rFonts w:ascii="Verdana" w:hAnsi="Verdana" w:cs="Verdana"/>
          <w:b w:val="0"/>
          <w:i w:val="0"/>
          <w:sz w:val="20"/>
        </w:rPr>
        <w:t xml:space="preserve"> (zgodne ze specyfikacją z rozdziału 2.4), </w:t>
      </w:r>
      <w:r>
        <w:rPr>
          <w:rFonts w:ascii="Verdana" w:hAnsi="Verdana" w:cs="Verdana"/>
          <w:b/>
          <w:i w:val="0"/>
          <w:sz w:val="20"/>
        </w:rPr>
        <w:t>bezpieczne</w:t>
      </w:r>
      <w:r>
        <w:rPr>
          <w:rFonts w:ascii="Verdana" w:hAnsi="Verdana" w:cs="Verdana"/>
          <w:b w:val="0"/>
          <w:i w:val="0"/>
          <w:sz w:val="20"/>
        </w:rPr>
        <w:t xml:space="preserve"> (chronią dane wrażliwe dotyczące zdrowia psychicznego), </w:t>
      </w:r>
      <w:r>
        <w:rPr>
          <w:rFonts w:ascii="Verdana" w:hAnsi="Verdana" w:cs="Verdana"/>
          <w:b/>
          <w:i w:val="0"/>
          <w:sz w:val="20"/>
        </w:rPr>
        <w:t>użyteczne</w:t>
      </w:r>
      <w:r>
        <w:rPr>
          <w:rFonts w:ascii="Verdana" w:hAnsi="Verdana" w:cs="Verdana"/>
          <w:b w:val="0"/>
          <w:i w:val="0"/>
          <w:sz w:val="20"/>
        </w:rPr>
        <w:t xml:space="preserve"> (umożliwiają pracownikowi szybkie wypełnienie ankiety) oraz </w:t>
      </w:r>
      <w:r>
        <w:rPr>
          <w:rFonts w:ascii="Verdana" w:hAnsi="Verdana" w:cs="Verdana"/>
          <w:b/>
          <w:i w:val="0"/>
          <w:sz w:val="20"/>
        </w:rPr>
        <w:t>wydajne</w:t>
      </w:r>
      <w:r>
        <w:rPr>
          <w:rFonts w:ascii="Verdana" w:hAnsi="Verdana" w:cs="Verdana"/>
          <w:b w:val="0"/>
          <w:i w:val="0"/>
          <w:sz w:val="20"/>
        </w:rPr>
        <w:t xml:space="preserve"> (czas odpowiedzi API w rozsądnym przedziale). Monitorowanie </w:t>
      </w:r>
      <w:r>
        <w:rPr>
          <w:rFonts w:ascii="Verdana" w:hAnsi="Verdana" w:cs="Verdana"/>
          <w:b w:val="0"/>
          <w:i w:val="0"/>
          <w:sz w:val="20"/>
        </w:rPr>
        <w:t xml:space="preserve">jakości prowadzone jest w sposób </w:t>
      </w:r>
      <w:r>
        <w:rPr>
          <w:rFonts w:ascii="Verdana" w:hAnsi="Verdana" w:cs="Verdana"/>
          <w:b/>
          <w:i w:val="0"/>
          <w:sz w:val="20"/>
        </w:rPr>
        <w:t>ciągły</w:t>
      </w:r>
      <w:r>
        <w:rPr>
          <w:rFonts w:ascii="Verdana" w:hAnsi="Verdana" w:cs="Verdana"/>
          <w:b w:val="0"/>
          <w:i w:val="0"/>
          <w:sz w:val="20"/>
        </w:rPr>
        <w:t xml:space="preserve"> — równolegle z developmentem — a nie jako wydzielony etap końcowy.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Wynik każdej iteracji sprintu obejmuje raport z wykonanych scenariuszy testowych, ze szczegółowym statusem (PASS / FAIL / BLOCKED / SKIPPED). Status FAIL na ścieżce krytycznej blokuje merge do gałęzi master do czasu naprawy i ponownego wykonania scenariusza.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30"/>
        </w:rPr>
        <w:t>2.  Typy testów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W projekcie MoodFlow stosujemy sześć kategorii testów, każda o własnym celu, zakresie i częstotliwości uruchamiania: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2268"/>
        <w:gridCol w:w="1927"/>
      </w:tblGrid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041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Kategoria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3402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Cel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268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Narzędzie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27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Częstotliwość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04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Jednostkowe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402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Logika domenowa w izolacji od I/O (scoring, anonimizacja)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26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Jest, Vitest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2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przy każdym PR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04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Integracyjne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402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Kontrolery + serwisy + ORM (multi-tenant, walidacja DTO)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26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Jest + supertest, kontener PostgreSQL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2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przy każdym PR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04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E2E manualne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402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Pełne ścieżki użytkownika (rozdział 5.1)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26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scenariusze klikalne, browser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2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przed merge na master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04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Bezpieczeństwa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402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Próby obejścia auth, cross-tenant, brute-force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26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Postman, manual SQLi probes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2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przed każdym wdrożeniem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04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Wydajnościowe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402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Czas odpowiedzi API i auditu Lighthouse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26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ApacheBench, Lighthouse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2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przed obroną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04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Użyteczności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402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Obserwacja zachowań użytkownika, kwestionariusz SUS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26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sesje 1-na-1, formularz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2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raz przed obroną</w:t>
            </w:r>
          </w:p>
        </w:tc>
      </w:tr>
    </w:tbl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30"/>
        </w:rPr>
        <w:t>3.  Środowiska testowe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Testy uruchamiane są w trzech środowiskach o różnych konfiguracjach bazy danych oraz dostępu zewnętrznego: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721"/>
        <w:gridCol w:w="2721"/>
        <w:gridCol w:w="2154"/>
      </w:tblGrid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041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Środowisko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721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Cel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721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Baza danych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15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Adres / dostęp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04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Lokalne (dev)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72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codzienna praca developerska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72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PostgreSQL w Dockerze (port 5432)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localhost:3000 / :3001 / :4000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04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Stage (Railway)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72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demo dla promotora, obrona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72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PostgreSQL managed (Railway)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domena Railway HTTPS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04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Testy klikalne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72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scenariusze E2E manualne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72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kopia stage z zsynchronizowanymi seedami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domena Railway / dev</w:t>
            </w:r>
          </w:p>
        </w:tc>
      </w:tr>
    </w:tbl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4.  Metryki jakości i kryteria akceptacji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Dla każdej iteracji oraz przed obroną zbierane są poniższe metryki. Wartości progowe (kolumna „Cel”) stanowią kryterium akceptacji iteracji jako gotowej do merge na master.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2494"/>
        <w:gridCol w:w="3288"/>
      </w:tblGrid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3855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Metryka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49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Cel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3288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Sposób pomiaru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85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Czas odpowiedzi API (P50)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≤ 300 ms dla zapytań standardowych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28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Logi NestJS + ApacheBench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85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Czas odpowiedzi API (P95)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≤ 1 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28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ApacheBench (1000 req)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85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Lighthouse Performance (front, mobile)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≥ 90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28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Lighthouse w Chrome DevTools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85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Lighthouse Accessibility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≥ 95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28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Lighthouse w Chrome DevTools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85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Pokrycie testami logiki scoringu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≥ 80%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28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Jest --coverage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85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Liczba błędów 5xx w trakcie testów E2E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0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28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Logi backendu + scenariusze E2E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85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Skuteczność blokady multi-tenant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100%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28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Scenariusz bezpieczeństwa TC-SEC-003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85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Skuteczność trybu safety-net (PHQ-9 pyt. 9)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100%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28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Scenariusz TC-PHQ-008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85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SUS — System Usability Scale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≥ 70 (akceptowalne)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28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Kwestionariusz po sesji UX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85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Wskaźnik porzucenia ankiety w trakcie testów UX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&lt; 30%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28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Obserwacja + logi sesji</w:t>
            </w:r>
          </w:p>
        </w:tc>
      </w:tr>
    </w:tbl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30"/>
        </w:rPr>
        <w:t>5.  Proces zarządzania defektami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Każdy scenariusz, który zakończy się statusem </w:t>
      </w:r>
      <w:r>
        <w:rPr>
          <w:rFonts w:ascii="Verdana" w:hAnsi="Verdana" w:cs="Verdana"/>
          <w:b/>
          <w:i w:val="0"/>
          <w:sz w:val="20"/>
        </w:rPr>
        <w:t>FAIL</w:t>
      </w:r>
      <w:r>
        <w:rPr>
          <w:rFonts w:ascii="Verdana" w:hAnsi="Verdana" w:cs="Verdana"/>
          <w:b w:val="0"/>
          <w:i w:val="0"/>
          <w:sz w:val="20"/>
        </w:rPr>
        <w:t xml:space="preserve"> lub </w:t>
      </w:r>
      <w:r>
        <w:rPr>
          <w:rFonts w:ascii="Verdana" w:hAnsi="Verdana" w:cs="Verdana"/>
          <w:b/>
          <w:i w:val="0"/>
          <w:sz w:val="20"/>
        </w:rPr>
        <w:t>BLOCKED</w:t>
      </w:r>
      <w:r>
        <w:rPr>
          <w:rFonts w:ascii="Verdana" w:hAnsi="Verdana" w:cs="Verdana"/>
          <w:b w:val="0"/>
          <w:i w:val="0"/>
          <w:sz w:val="20"/>
        </w:rPr>
        <w:t>, uruchamia formalny proces obsługi defektu: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Rejestracja</w:t>
      </w:r>
      <w:r>
        <w:rPr>
          <w:rFonts w:ascii="Verdana" w:hAnsi="Verdana" w:cs="Verdana"/>
          <w:b w:val="0"/>
          <w:i w:val="0"/>
          <w:sz w:val="20"/>
        </w:rPr>
        <w:t xml:space="preserve"> — zgłoszenie defektu w GitHub Issues z etykietą type:bug. Tytuł zawiera ID scenariusza (np. „TC-AUTH-001: błąd 500 przy logowaniu z pustym hasłem”).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Klasyfikacja</w:t>
      </w:r>
      <w:r>
        <w:rPr>
          <w:rFonts w:ascii="Verdana" w:hAnsi="Verdana" w:cs="Verdana"/>
          <w:b w:val="0"/>
          <w:i w:val="0"/>
          <w:sz w:val="20"/>
        </w:rPr>
        <w:t xml:space="preserve"> — przypisanie priorytetu zgodnego z MoSCoW funkcji, której dotyczy. Defekty w funkcjach Must Have blokują merge.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Diagnoza i naprawa</w:t>
      </w:r>
      <w:r>
        <w:rPr>
          <w:rFonts w:ascii="Verdana" w:hAnsi="Verdana" w:cs="Verdana"/>
          <w:b w:val="0"/>
          <w:i w:val="0"/>
          <w:sz w:val="20"/>
        </w:rPr>
        <w:t xml:space="preserve"> — odpowiedzialny członek zespołu (przypisany w polu „Właściciel” zgłoszenia) lokalizuje przyczynę, tworzy gałąź fix/&lt;numer-issue&gt; i przygotowuje poprawkę.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Weryfikacja</w:t>
      </w:r>
      <w:r>
        <w:rPr>
          <w:rFonts w:ascii="Verdana" w:hAnsi="Verdana" w:cs="Verdana"/>
          <w:b w:val="0"/>
          <w:i w:val="0"/>
          <w:sz w:val="20"/>
        </w:rPr>
        <w:t xml:space="preserve"> — ponowne wykonanie scenariusza testowego po naprawie. Status PASS → zamknięcie issue.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Regresja</w:t>
      </w:r>
      <w:r>
        <w:rPr>
          <w:rFonts w:ascii="Verdana" w:hAnsi="Verdana" w:cs="Verdana"/>
          <w:b w:val="0"/>
          <w:i w:val="0"/>
          <w:sz w:val="20"/>
        </w:rPr>
        <w:t xml:space="preserve"> — scenariusz dodawany do listy testów regresyjnych uruchamianych przed każdym kolejnym wdrożeniem demonstracyjnym.</w:t>
      </w:r>
    </w:p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6.  Formatka scenariusza testowego (szablon edytowalny)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Każdy scenariusz testu klikalnego dokumentowany jest według poniższej formatki. Formatka jest spójna ze strukturą rozdziału 5.1. pracy inżynierskiej i pozwala jednoznacznie odtworzyć test, zweryfikować rezultat oraz przypisać go do wymagania funkcjonalnego.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ID scenariusza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TC-&lt;MOD&gt;-&lt;NNN&gt;  (np. TC-AUTH-001, TC-HR-014, TC-SEC-003)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Tytuł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Krótki opis testowanej ścieżki użytkownika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Typ testu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jednostkowy / integracyjny / E2E manualny / bezpieczeństwa / wydajnościowy / użyteczności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Powiązane wymaganie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Numer wymagania z rozdziału 2.4 (np. WF-12, WN-SEC-04)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Priorytet MoSCoW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Must Have / Should Have / Could Have / Won't Have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Pracownik / HR / Administrator firmy / Administrator platformy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Środowisko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dev / stage / lokalne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Stan systemu przed testem (konto zatwierdzone, kod firmy znany, ...)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Dane testowe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Wartości używane podczas testu (loginy, hasła, kod firmy, odpowiedzi w ankiecie)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Kroki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1. ...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2. ...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3. ...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Oczekiwany wynik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Co system powinien wyświetlić / zapisać / wywołać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Kryterium akceptacji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Warunek konieczny do uznania scenariusza za zaliczony (np. HTTP 200 + pole X = Y + brak błędów 5xx w logach)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Wynik faktyczny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Co zaobserwowano podczas wykonania testu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PASS / FAIL / BLOCKED / SKIPPED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Uwagi / błędy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Numer zgłoszenia w GitHub Issues, screenshoty, dodatkowe obserwacje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Załączniki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Linki do screenshotów, eksportu logów, nagrań sesji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Data wykonania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RRRR-MM-DD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Czas wykonania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np. 4 min 30 s (opcjonalnie — istotne przy testach wydajnościowych)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Wykonujący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Imię i nazwisko testera</w:t>
            </w:r>
          </w:p>
        </w:tc>
      </w:tr>
    </w:tbl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7.  Przykłady wypełnionych scenariuszy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Poniżej trzy przykładowe scenariusze obrazujące różne typy testów — funkcjonalny, krytyczny dla bezpieczeństwa psychologicznego użytkownika oraz krytyczny dla izolacji multi-tenant.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7.1.  TC-AUTH-001 — Logowanie zatwierdzonego pracownika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ID scenariusza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TC-AUTH-001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Tytuł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Logowanie zatwierdzonego pracownika z poprawnymi danymi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Typ testu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E2E manualny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Powiązane wymaganie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WF-02 (autentykacja pracownika)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Priorytet MoSCoW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Must Have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Pracownik (status ACTIVE w bazie)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Środowisko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stage (Railway)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W bazie istnieje aktywne konto pracownika z e-mailem jan.kowalski@firma.test oraz hasłem zgodnym z polityką (min. 8 znaków).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Dane testowe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Login: jan.kowalski@firma.test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Hasło: TestPass123!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Kroki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1. Otwórz stronę logowania w aplikacji pracownika (https://...).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2. Wpisz w pole „E-mail” wartość jan.kowalski@firma.test.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3. Wpisz w pole „Hasło” wartość TestPass123!.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4. Kliknij przycisk „Zaloguj się”.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5. Zaobserwuj zachowanie aplikacji oraz wpisy w localStorage.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Oczekiwany wynik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Aplikacja przekierowuje na ekran /dashboard. W localStorage zapisany jest access_token (krótkożyciowy) oraz refresh_token. Widoczne imię „Jan” w prawym górnym rogu nagłówka.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Kryterium akceptacji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HTTP 200 z /api/v1/auth/login + zapisane tokeny + przekierowanie do /dashboard + brak błędów 5xx w logach backendu.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Wynik faktyczny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Przekierowanie do /dashboard nastąpiło po 240 ms. Tokeny zapisane poprawnie. Imię „Jan” widoczne w nagłówku.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PASS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Uwagi / błędy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Załączniki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screenshots/auth-001.png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Data wykonania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2026-05-09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Czas wykonania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≈ 1 min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Wykonujący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Mateusz Matczuk</w:t>
            </w:r>
          </w:p>
        </w:tc>
      </w:tr>
    </w:tbl>
    <w:p>
      <w:pPr>
        <w:spacing w:line="276" w:lineRule="auto" w:before="0" w:after="200"/>
      </w:pPr>
      <w:r>
        <w:rPr>
          <w:rFonts w:ascii="Verdana" w:hAnsi="Verdana" w:cs="Verdana"/>
          <w:b/>
          <w:i w:val="0"/>
          <w:sz w:val="20"/>
        </w:rPr>
        <w:t>Status: PASS — scenariusz krytyczny zaliczony.</w:t>
      </w:r>
    </w:p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22"/>
        </w:rPr>
        <w:t>7.2.  TC-PHQ-008 — Wyświetlenie trybu safety-net dla PHQ-9 (pyt.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ID scenariusza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TC-PHQ-008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Tytuł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Po wypełnieniu PHQ-9 z odpowiedzią &gt; 0 w pytaniu 9 system wyświetla komunikat ze wsparciem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Typ testu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E2E manualny + integracyjny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Powiązane wymaganie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WF-21 (tryb safety-net dla wyników krytycznych)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Priorytet MoSCoW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Must Have (krytyczne dla bezpieczeństwa użytkownika)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Pracownik (status ACTIVE)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Środowisko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stage (Railway)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Pracownik zalogowany. Test PHQ-9 dostępny do wypełnienia w widoku „Moje testy”.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Dane testowe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Odpowiedzi PHQ-9: 3, 3, 3, 2, 3, 3, 3, 3, 2  (pyt. 9 = 2 — wartość &gt; 0)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Łączny wynik: 25  (przedział „ciężki”)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Kroki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1. Wejdź w widok „Moje testy”, kliknij „Rozpocznij” przy PHQ-9.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2. Odpowiedz na 9 pytań zgodnie z danymi testowymi.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3. Kliknij „Zakończ test”.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4. Zaobserwuj ekran wyniku oraz dodatkowe komunikaty.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Oczekiwany wynik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Ekran wyniku zawiera:  (a) wynik liczbowy 25 z etykietą „Ciężki”,  (b) rozbudowany komunikat „Skontaktuj się ze specjalistą”, (c) trzy telefony zaufania: 116 123, 800 70 22 22, 116 111, (d) brak wskazania konkretnego psychologa zewnętrznego.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Kryterium akceptacji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Komunikat safety-net widoczny. Telefony zaufania widoczne. Wpis w audit_logs z akcją „safety_net_triggered” zawierający result_id (bez user_id w treści raportu HR).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Wynik faktyczny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Wynik 25 wyświetlony. Komunikat „Skontaktuj się ze specjalistą” widoczny. Trzy telefony zaufania pokazane w bloku z czerwoną ramką.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PASS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Uwagi / błędy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Załączniki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screenshots/phq9-safety-net.png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Data wykonania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2026-05-09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Czas wykonania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≈ 3 min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Wykonujący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Mateusz Matczuk</w:t>
            </w:r>
          </w:p>
        </w:tc>
      </w:tr>
    </w:tbl>
    <w:p>
      <w:pPr>
        <w:spacing w:line="276" w:lineRule="auto" w:before="0" w:after="200"/>
      </w:pPr>
      <w:r>
        <w:rPr>
          <w:rFonts w:ascii="Verdana" w:hAnsi="Verdana" w:cs="Verdana"/>
          <w:b/>
          <w:i w:val="0"/>
          <w:sz w:val="20"/>
        </w:rPr>
        <w:t>Status: PASS — scenariusz krytyczny dla bezpieczeństwa zaliczony.</w:t>
      </w:r>
    </w:p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22"/>
        </w:rPr>
        <w:t>7.3.  TC-SEC-003 — Brak dostępu HR firmy A do wyników firmy B (multi-tenant)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ID scenariusza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TC-SEC-003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Tytuł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Konto HR firmy A nie ma dostępu do wyników firmy B (multi-tenant)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Typ testu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Bezpieczeństwa (cross-tenant)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Powiązane wymaganie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WN-SEC-04 (izolacja danych pomiędzy tenantami)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Priorytet MoSCoW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Must Have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HR firmy A (token JWT z tenant_id = A)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Środowisko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stage (Railway)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W systemie istnieją dwie firmy A i B z różnymi tenant_id. Każda posiada minimum 5 zatwierdzonych pracowników z wynikami PHQ-9.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Dane testowe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Konto HR firmy A: hr@firmaA.test / hasło testowe.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URL endpointu raportu firmy B: /api/v1/analytics/wellbeing-index?tenantId=B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Kroki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1. Zaloguj się jako HR firmy A.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2. Skopiuj token JWT z DevTools (Application → Local Storage).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3. Wywołaj endpoint /api/v1/analytics/wellbeing-index?tenantId=B w Postmanie z nagłówkiem Authorization: Bearer &lt;token-firmy-A&gt;.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4. Zaobserwuj odpowiedź API oraz wpisy w audit_logs.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Oczekiwany wynik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API zwraca odpowiedź 403 Forbidden z komunikatem „Insufficient permissions” oraz nie zwraca jakichkolwiek danych firmy B w treści odpowiedzi.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Kryterium akceptacji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HTTP 403 + pusty body danych firmy B + wpis w audit_logs z akcją „forbidden_cross_tenant_read”.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Wynik faktyczny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API zwróciło 403 Forbidden, body nie zawiera danych firmy B, w audit_logs pojawił się wpis o próbie dostępu.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PASS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Uwagi / błędy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Załączniki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screenshots/sec-003-postman.png, logs/audit_2026-05-09.txt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Data wykonania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2026-05-09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Czas wykonania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≈ 5 min</w:t>
            </w:r>
          </w:p>
        </w:tc>
      </w:tr>
      <w:tr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215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Wykonujący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BF6"/>
            <w:tcW w:type="dxa" w:w="7087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20"/>
              </w:rPr>
              <w:t>Mateusz Matczuk</w:t>
            </w:r>
          </w:p>
        </w:tc>
      </w:tr>
    </w:tbl>
    <w:p>
      <w:pPr>
        <w:spacing w:line="276" w:lineRule="auto" w:before="0" w:after="200"/>
      </w:pPr>
      <w:r>
        <w:rPr>
          <w:rFonts w:ascii="Verdana" w:hAnsi="Verdana" w:cs="Verdana"/>
          <w:b/>
          <w:i w:val="0"/>
          <w:sz w:val="20"/>
        </w:rPr>
        <w:t>Status: PASS — kluczowy scenariusz bezpieczeństwa zaliczony.</w:t>
      </w:r>
    </w:p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8.  Sposób raportowania wyników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Wyniki wszystkich scenariuszy zbierane są w jednym arkuszu zbiorczym, zawierającym kolumny: ID scenariusza, status (PASS/FAIL/BLOCKED/SKIPPED), datę wykonania, wykonującego oraz odniesienie do ewentualnego zgłoszenia. Po każdej iteracji sprintu generowany jest raport pokrycia testowego, który stanowi podstawę decyzji o gotowości iteracji do scalenia do gałęzi głównej i, w konsekwencji, do wdrożenia demonstracyjnego.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Scenariusze, które uzyskały status </w:t>
      </w:r>
      <w:r>
        <w:rPr>
          <w:rFonts w:ascii="Verdana" w:hAnsi="Verdana" w:cs="Verdana"/>
          <w:b/>
          <w:i w:val="0"/>
          <w:sz w:val="20"/>
        </w:rPr>
        <w:t>FAIL</w:t>
      </w:r>
      <w:r>
        <w:rPr>
          <w:rFonts w:ascii="Verdana" w:hAnsi="Verdana" w:cs="Verdana"/>
          <w:b w:val="0"/>
          <w:i w:val="0"/>
          <w:sz w:val="20"/>
        </w:rPr>
        <w:t xml:space="preserve">, są opisywane jako zgłoszenia w GitHub Issues z etykietą </w:t>
      </w:r>
      <w:r>
        <w:rPr>
          <w:rFonts w:ascii="Consolas" w:hAnsi="Consolas" w:cs="Consolas"/>
          <w:b w:val="0"/>
          <w:i w:val="0"/>
          <w:sz w:val="20"/>
        </w:rPr>
        <w:t>type:bug</w:t>
      </w:r>
      <w:r>
        <w:rPr>
          <w:rFonts w:ascii="Verdana" w:hAnsi="Verdana" w:cs="Verdana"/>
          <w:b w:val="0"/>
          <w:i w:val="0"/>
          <w:sz w:val="20"/>
        </w:rPr>
        <w:t xml:space="preserve"> i priorytetem zgodnym z klasyfikacją MoSCoW funkcji, której dotyczą. Naprawa zgłoszenia skutkuje ponownym wykonaniem scenariusza i aktualizacją statusu w arkuszu zbiorczym.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Schemat arkusza zbiorczego (przykład)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381"/>
        <w:gridCol w:w="1701"/>
        <w:gridCol w:w="1020"/>
        <w:gridCol w:w="793"/>
        <w:gridCol w:w="1134"/>
        <w:gridCol w:w="1134"/>
      </w:tblGrid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47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ID scenariusza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381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Tytuł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701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Typ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02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Priorytet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793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13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Data wykon.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13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Wykonujący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47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TC-AUTH-001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38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Logowanie pracownika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70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E2E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020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Must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93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PASS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2026-05-09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M. Matczuk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47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TC-AUTH-002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38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Logowanie nieaktywne konto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70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E2E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020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Must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793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PASS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2026-05-09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M. Matczuk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47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TC-PHQ-007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38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PHQ-9 — scoring łagodny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70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Integracyjny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020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Must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93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PASS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2026-05-10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M. Matczuk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47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TC-PHQ-008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38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PHQ-9 — tryb safety-net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70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E2E + integracyjny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020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Must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793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PASS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2026-05-09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M. Matczuk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47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TC-SEC-003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38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Multi-tenant cross-tenant block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70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Bezpieczeństwa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020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Must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93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PASS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2026-05-09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M. Matczuk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47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TC-HR-014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38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K-anonymity dla grupy &lt; 5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70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Integracyjny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020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Must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793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PASS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2026-05-10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M. Matczuk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47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TC-PERF-001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38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Dashboard HR — czas ładowania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70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Wydajnościowy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020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Should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793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FAIL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2026-05-10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M. Matczuk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47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TC-UX-002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38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Onboarding firmy — porzucenie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70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Użyteczności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020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Should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793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BLOCKED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—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3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</w:r>
    </w:p>
    <w:p>
      <w:pPr>
        <w:spacing w:line="276" w:lineRule="auto" w:before="0" w:after="16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Legenda statusów: </w:t>
      </w:r>
      <w:r>
        <w:rPr>
          <w:rFonts w:ascii="Verdana" w:hAnsi="Verdana" w:cs="Verdana"/>
          <w:b/>
          <w:i w:val="0"/>
          <w:sz w:val="20"/>
        </w:rPr>
        <w:t>PASS</w:t>
      </w:r>
      <w:r>
        <w:rPr>
          <w:rFonts w:ascii="Verdana" w:hAnsi="Verdana" w:cs="Verdana"/>
          <w:b w:val="0"/>
          <w:i w:val="0"/>
          <w:sz w:val="20"/>
        </w:rPr>
        <w:t xml:space="preserve"> — scenariusz zaliczony; </w:t>
      </w:r>
      <w:r>
        <w:rPr>
          <w:rFonts w:ascii="Verdana" w:hAnsi="Verdana" w:cs="Verdana"/>
          <w:b/>
          <w:i w:val="0"/>
          <w:sz w:val="20"/>
        </w:rPr>
        <w:t>FAIL</w:t>
      </w:r>
      <w:r>
        <w:rPr>
          <w:rFonts w:ascii="Verdana" w:hAnsi="Verdana" w:cs="Verdana"/>
          <w:b w:val="0"/>
          <w:i w:val="0"/>
          <w:sz w:val="20"/>
        </w:rPr>
        <w:t xml:space="preserve"> — scenariusz nie zaliczony (issue otwarty); </w:t>
      </w:r>
      <w:r>
        <w:rPr>
          <w:rFonts w:ascii="Verdana" w:hAnsi="Verdana" w:cs="Verdana"/>
          <w:b/>
          <w:i w:val="0"/>
          <w:sz w:val="20"/>
        </w:rPr>
        <w:t>BLOCKED</w:t>
      </w:r>
      <w:r>
        <w:rPr>
          <w:rFonts w:ascii="Verdana" w:hAnsi="Verdana" w:cs="Verdana"/>
          <w:b w:val="0"/>
          <w:i w:val="0"/>
          <w:sz w:val="20"/>
        </w:rPr>
        <w:t xml:space="preserve"> — niemożliwy do wykonania (zależność od innego defektu lub niedostępne środowisko); </w:t>
      </w:r>
      <w:r>
        <w:rPr>
          <w:rFonts w:ascii="Verdana" w:hAnsi="Verdana" w:cs="Verdana"/>
          <w:b/>
          <w:i w:val="0"/>
          <w:sz w:val="20"/>
        </w:rPr>
        <w:t>SKIPPED</w:t>
      </w:r>
      <w:r>
        <w:rPr>
          <w:rFonts w:ascii="Verdana" w:hAnsi="Verdana" w:cs="Verdana"/>
          <w:b w:val="0"/>
          <w:i w:val="0"/>
          <w:sz w:val="20"/>
        </w:rPr>
        <w:t xml:space="preserve"> — świadomie pominięty (np. cecha wyłączona z MVP).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Notatka edycyjna</w:t>
      </w:r>
    </w:p>
    <w:p>
      <w:pPr>
        <w:spacing w:line="276" w:lineRule="auto"/>
        <w:jc w:val="both"/>
      </w:pPr>
      <w:r>
        <w:rPr>
          <w:rFonts w:ascii="Verdana" w:hAnsi="Verdana" w:cs="Verdana"/>
          <w:b w:val="0"/>
          <w:i/>
          <w:color w:val="555555"/>
          <w:sz w:val="18"/>
        </w:rPr>
        <w:t>Aby wprowadzić nowy scenariusz, skopiuj sekcję 7.x razem z formatką, zaktualizuj nagłówek (np. „7.4. TC-HR-014 — K-anonymity dla grupy &lt; 5 osób”) i wypełnij wszystkie pola. Status zmienia się przez nadpisanie tekstu w polu „Status” (PASS / FAIL / BLOCKED / SKIPPED). Załączniki najlepiej trzymać w folderze obok dokumentu (np. praca-pdf/screenshots/) i odwoływać się do nich relatywną ścieżką.</w:t>
      </w:r>
    </w:p>
    <w:sectPr w:rsidR="00FC693F" w:rsidRPr="0006063C" w:rsidSect="00034616"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