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Podsumowanie i wnioski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 ramach pracy inżynierskiej zaprojektowano, zaimplementowano i wdrożono kompletną platformę webową </w:t>
      </w:r>
      <w:r>
        <w:rPr>
          <w:rFonts w:ascii="Verdana" w:hAnsi="Verdana" w:cs="Verdana"/>
          <w:b/>
          <w:i w:val="0"/>
          <w:sz w:val="20"/>
        </w:rPr>
        <w:t>MoodFlow</w:t>
      </w:r>
      <w:r>
        <w:rPr>
          <w:rFonts w:ascii="Verdana" w:hAnsi="Verdana" w:cs="Verdana"/>
          <w:b w:val="0"/>
          <w:i w:val="0"/>
          <w:sz w:val="20"/>
        </w:rPr>
        <w:t xml:space="preserve"> służącą do monitorowania dobrostanu psychicznego pracowników w organizacjach. System przyjmuje formę aplikacji wielodostępnej (multi-tenant), w której jedna instancja oraz wspólna baza danych obsługują wiele niezależnych firm z pełną izolacją danych. Założone cele zostały zrealizowane w pełnym zakresie minimalnym (MVP), a wytworzony produkt został wdrożony na środowisko produkcyjne platformy Railway, gdzie jest dostępny pod publicznym adresem internetowym. Wszystkie kluczowe funkcjonalności przewidziane w wymaganiach funkcjonalnych zostały zaimplementowane i zweryfikowane scenariuszami testowymi.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Po stronie </w:t>
      </w:r>
      <w:r>
        <w:rPr>
          <w:rFonts w:ascii="Verdana" w:hAnsi="Verdana" w:cs="Verdana"/>
          <w:b/>
          <w:i w:val="0"/>
          <w:sz w:val="20"/>
        </w:rPr>
        <w:t>backendu</w:t>
      </w:r>
      <w:r>
        <w:rPr>
          <w:rFonts w:ascii="Verdana" w:hAnsi="Verdana" w:cs="Verdana"/>
          <w:b w:val="0"/>
          <w:i w:val="0"/>
          <w:sz w:val="20"/>
        </w:rPr>
        <w:t xml:space="preserve"> wytworzono modularną aplikację NestJS w języku TypeScript obejmującą trzynaście modułów domenowych (auth, users, organizations, departments, assessments, responses, results, mood-checks, analytics, notifications, audit, approvals, health). Backend implementuje uwierzytelnianie oparte o tokeny JSON Web Tokens z mechanizmem auto-refresh, autoryzację opartą na rolach (RBAC) z czterema poziomami uprawnień (super-admin, admin, HR, pracownik), izolację danych multi-tenant na poziomie wierszy z obowiązkowym filtrowaniem po identyfikatorze organizacji w każdym zapytaniu, sześć walidowanych klinicznie kwestionariuszy psychometrycznych (PHQ-9, GAD-7, PSS-10, WHO-5 oraz dwa narzędzia uzupełniające MOOD10 i DAILY_MOOD) z dedykowanym serwisem obliczającym wyniki według wzorca strategii oraz mechanizm anonimizacji raportów HR oparty na progu k-anonymity (MIN_GROUP_SIZE = 5).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Po stronie </w:t>
      </w:r>
      <w:r>
        <w:rPr>
          <w:rFonts w:ascii="Verdana" w:hAnsi="Verdana" w:cs="Verdana"/>
          <w:b/>
          <w:i w:val="0"/>
          <w:sz w:val="20"/>
        </w:rPr>
        <w:t>warstwy prezentacji</w:t>
      </w:r>
      <w:r>
        <w:rPr>
          <w:rFonts w:ascii="Verdana" w:hAnsi="Verdana" w:cs="Verdana"/>
          <w:b w:val="0"/>
          <w:i w:val="0"/>
          <w:sz w:val="20"/>
        </w:rPr>
        <w:t xml:space="preserve"> wytworzono dwie niezależne aplikacje frontendowe. Aplikacja pracownika (React + Vite + Redux Toolkit) wdrożona jako Progressive Web App umożliwia instalację na urządzeniu mobilnym i pracę w trybie pełnoekranowym z ograniczoną funkcjonalnością offline. Panel administracyjny (Next.js z App Routerem) udostępnia narzędzia zarządzania pracownikami, strukturą organizacji oraz interaktywne wykresy analityczne oparte na bibliotece Recharts. Komunikacja obu aplikacji z backendem odbywa się przez wspólny wzorzec klienta HTTP z mechanizmem </w:t>
      </w:r>
      <w:r>
        <w:rPr>
          <w:rFonts w:ascii="Verdana" w:hAnsi="Verdana" w:cs="Verdana"/>
          <w:b w:val="0"/>
          <w:i/>
          <w:sz w:val="20"/>
        </w:rPr>
        <w:t>pending queue</w:t>
      </w:r>
      <w:r>
        <w:rPr>
          <w:rFonts w:ascii="Verdana" w:hAnsi="Verdana" w:cs="Verdana"/>
          <w:b w:val="0"/>
          <w:i w:val="0"/>
          <w:sz w:val="20"/>
        </w:rPr>
        <w:t xml:space="preserve"> eliminującym sytuacje wyścigu podczas równoległego odświeżania tokena. Bezpieczeństwo eksploatacyjne uzupełniają nagłówki HTTP generowane przez Helmet, polityka CORS oparta na whiteliście, ograniczenie częstotliwości żądań na endpointach uwierzytelniania, ciasteczka sesyjne z flagami httpOnly, secure i sameSite, hashowanie haseł funkcją bcrypt z parametrem 12 oraz parametryzowane zapytania SQL przez warstwę TypeORM.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Napotkane problemy i ich rozwiązania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 trakcie realizacji projektu napotkano kilka problemów wymagających niestandardowych decyzji projektowych. </w:t>
      </w:r>
      <w:r>
        <w:rPr>
          <w:rFonts w:ascii="Verdana" w:hAnsi="Verdana" w:cs="Verdana"/>
          <w:b/>
          <w:i w:val="0"/>
          <w:sz w:val="20"/>
        </w:rPr>
        <w:t>Blokada portu SMTP 587</w:t>
      </w:r>
      <w:r>
        <w:rPr>
          <w:rFonts w:ascii="Verdana" w:hAnsi="Verdana" w:cs="Verdana"/>
          <w:b w:val="0"/>
          <w:i w:val="0"/>
          <w:sz w:val="20"/>
        </w:rPr>
        <w:t xml:space="preserve"> w niskim planie platformy Railway uniemożliwiała niezawodną wysyłkę powiadomień e-mail; rozwiązaniem było zaprojektowanie systemu notyfikacji w trybie </w:t>
      </w:r>
      <w:r>
        <w:rPr>
          <w:rFonts w:ascii="Verdana" w:hAnsi="Verdana" w:cs="Verdana"/>
          <w:b w:val="0"/>
          <w:i/>
          <w:sz w:val="20"/>
        </w:rPr>
        <w:t>best effort</w:t>
      </w:r>
      <w:r>
        <w:rPr>
          <w:rFonts w:ascii="Verdana" w:hAnsi="Verdana" w:cs="Verdana"/>
          <w:b w:val="0"/>
          <w:i w:val="0"/>
          <w:sz w:val="20"/>
        </w:rPr>
        <w:t xml:space="preserve"> — głównym kanałem komunikacji z użytkownikiem stały się powiadomienia in-app oparte na pollingu, a wiadomości e-mail pełnią rolę kanału pomocniczego. </w:t>
      </w:r>
      <w:r>
        <w:rPr>
          <w:rFonts w:ascii="Verdana" w:hAnsi="Verdana" w:cs="Verdana"/>
          <w:b/>
          <w:i w:val="0"/>
          <w:sz w:val="20"/>
        </w:rPr>
        <w:t>Cross-origin cookies</w:t>
      </w:r>
      <w:r>
        <w:rPr>
          <w:rFonts w:ascii="Verdana" w:hAnsi="Verdana" w:cs="Verdana"/>
          <w:b w:val="0"/>
          <w:i w:val="0"/>
          <w:sz w:val="20"/>
        </w:rPr>
        <w:t xml:space="preserve"> między domenami dwóch frontendów a backendem na osobnych poddomenach Railway wymusiły wdrożenie konfiguracji </w:t>
      </w:r>
      <w:r>
        <w:rPr>
          <w:rFonts w:ascii="Consolas" w:hAnsi="Consolas" w:cs="Consolas"/>
          <w:b w:val="0"/>
          <w:i w:val="0"/>
          <w:sz w:val="20"/>
        </w:rPr>
        <w:t>SameSite=None; Secure</w:t>
      </w:r>
      <w:r>
        <w:rPr>
          <w:rFonts w:ascii="Verdana" w:hAnsi="Verdana" w:cs="Verdana"/>
          <w:b w:val="0"/>
          <w:i w:val="0"/>
          <w:sz w:val="20"/>
        </w:rPr>
        <w:t xml:space="preserve"> w produkcji oraz precyzyjnej konfiguracji CORS z opcją </w:t>
      </w:r>
      <w:r>
        <w:rPr>
          <w:rFonts w:ascii="Consolas" w:hAnsi="Consolas" w:cs="Consolas"/>
          <w:b w:val="0"/>
          <w:i w:val="0"/>
          <w:sz w:val="20"/>
        </w:rPr>
        <w:t>credentials: true</w:t>
      </w:r>
      <w:r>
        <w:rPr>
          <w:rFonts w:ascii="Verdana" w:hAnsi="Verdana" w:cs="Verdana"/>
          <w:b w:val="0"/>
          <w:i w:val="0"/>
          <w:sz w:val="20"/>
        </w:rPr>
        <w:t xml:space="preserve">. </w:t>
      </w:r>
      <w:r>
        <w:rPr>
          <w:rFonts w:ascii="Verdana" w:hAnsi="Verdana" w:cs="Verdana"/>
          <w:b/>
          <w:i w:val="0"/>
          <w:sz w:val="20"/>
        </w:rPr>
        <w:t>Niezgodność tokenów stanu między motywem jasnym i ciemnym</w:t>
      </w:r>
      <w:r>
        <w:rPr>
          <w:rFonts w:ascii="Verdana" w:hAnsi="Verdana" w:cs="Verdana"/>
          <w:b w:val="0"/>
          <w:i w:val="0"/>
          <w:sz w:val="20"/>
        </w:rPr>
        <w:t xml:space="preserve"> powodowała niewidoczność etykiet formularzy logowania na białych kartach w trybie systemowym dark; problem rozwiązano przez wymuszenie jasnych tokenów koloru w obrębie wrapperów ekranów uwierzytelniania (mechanizm dziedziczenia zmiennych CSS). Wszystkie napotkane problemy zostały rozwiązane bez kompromisów funkcjonalnych — system działa stabilnie w środowisku produkcyjnym.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Realizacja celów pracy i wnioski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Cele określone w fazie analizy projektowej zostały osiągnięte w pełnym zakresie. Wytworzony produkt: </w:t>
      </w:r>
      <w:r>
        <w:rPr>
          <w:rFonts w:ascii="Verdana" w:hAnsi="Verdana" w:cs="Verdana"/>
          <w:b/>
          <w:i w:val="0"/>
          <w:sz w:val="20"/>
        </w:rPr>
        <w:t>rozwiązuje konkretny problem biznesowy</w:t>
      </w:r>
      <w:r>
        <w:rPr>
          <w:rFonts w:ascii="Verdana" w:hAnsi="Verdana" w:cs="Verdana"/>
          <w:b w:val="0"/>
          <w:i w:val="0"/>
          <w:sz w:val="20"/>
        </w:rPr>
        <w:t xml:space="preserve"> (monitorowanie dobrostanu psychicznego pracowników z zachowaniem prywatności indywidualnych wyników); </w:t>
      </w:r>
      <w:r>
        <w:rPr>
          <w:rFonts w:ascii="Verdana" w:hAnsi="Verdana" w:cs="Verdana"/>
          <w:b/>
          <w:i w:val="0"/>
          <w:sz w:val="20"/>
        </w:rPr>
        <w:t>jest oparty na walidowanych narzędziach psychologicznych</w:t>
      </w:r>
      <w:r>
        <w:rPr>
          <w:rFonts w:ascii="Verdana" w:hAnsi="Verdana" w:cs="Verdana"/>
          <w:b w:val="0"/>
          <w:i w:val="0"/>
          <w:sz w:val="20"/>
        </w:rPr>
        <w:t xml:space="preserve"> (PHQ-9, GAD-7, PSS-10, WHO-5), co odróżnia go od typowych aplikacji do oceny nastroju opartych na intuicyjnych skalach; </w:t>
      </w:r>
      <w:r>
        <w:rPr>
          <w:rFonts w:ascii="Verdana" w:hAnsi="Verdana" w:cs="Verdana"/>
          <w:b/>
          <w:i w:val="0"/>
          <w:sz w:val="20"/>
        </w:rPr>
        <w:t>wdraża wielowarstwową ochronę danych wrażliwych</w:t>
      </w:r>
      <w:r>
        <w:rPr>
          <w:rFonts w:ascii="Verdana" w:hAnsi="Verdana" w:cs="Verdana"/>
          <w:b w:val="0"/>
          <w:i w:val="0"/>
          <w:sz w:val="20"/>
        </w:rPr>
        <w:t xml:space="preserve"> (kontrola dostępu rolami, agregacja statystyczna, k-anonymity, twarde usuwanie z propagacją kaskadową realizujące prawo do bycia zapomnianym); </w:t>
      </w:r>
      <w:r>
        <w:rPr>
          <w:rFonts w:ascii="Verdana" w:hAnsi="Verdana" w:cs="Verdana"/>
          <w:b/>
          <w:i w:val="0"/>
          <w:sz w:val="20"/>
        </w:rPr>
        <w:t>jest wdrażalny w sposób kontrolowany i powtarzalny</w:t>
      </w:r>
      <w:r>
        <w:rPr>
          <w:rFonts w:ascii="Verdana" w:hAnsi="Verdana" w:cs="Verdana"/>
          <w:b w:val="0"/>
          <w:i w:val="0"/>
          <w:sz w:val="20"/>
        </w:rPr>
        <w:t xml:space="preserve"> (Docker Compose lokalnie, Railway w produkcji, continuous deployment z automatycznym rollbackiem). Architektura modularna i deklaratywna w stosowanych wzorcach (klasy DTO z dekoratorami walidacji, strażnicy uprawnień, plasterki Redux, layouty zagnieżdżone Next.js) pozwala na dalszy rozwój bez konieczności przebudowy fundamentów.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Kierunki dalszego rozwoju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Zakres pracy inżynierskiej został świadomie ograniczony do funkcjonalności uznanych za krytyczne dla MVP. W ramach naturalnych kierunków rozwoju systemu poza obecnym zakresem przewidziano następujące rozszerzenia. </w:t>
      </w:r>
      <w:r>
        <w:rPr>
          <w:rFonts w:ascii="Verdana" w:hAnsi="Verdana" w:cs="Verdana"/>
          <w:b/>
          <w:i w:val="0"/>
          <w:sz w:val="20"/>
        </w:rPr>
        <w:t>Realizacja prawa do przenoszenia danych</w:t>
      </w:r>
      <w:r>
        <w:rPr>
          <w:rFonts w:ascii="Verdana" w:hAnsi="Verdana" w:cs="Verdana"/>
          <w:b w:val="0"/>
          <w:i w:val="0"/>
          <w:sz w:val="20"/>
        </w:rPr>
        <w:t xml:space="preserve"> (RODO art. 20) przez dedykowany endpoint </w:t>
      </w:r>
      <w:r>
        <w:rPr>
          <w:rFonts w:ascii="Consolas" w:hAnsi="Consolas" w:cs="Consolas"/>
          <w:b w:val="0"/>
          <w:i w:val="0"/>
          <w:sz w:val="20"/>
        </w:rPr>
        <w:t>GET /users/me/export</w:t>
      </w:r>
      <w:r>
        <w:rPr>
          <w:rFonts w:ascii="Verdana" w:hAnsi="Verdana" w:cs="Verdana"/>
          <w:b w:val="0"/>
          <w:i w:val="0"/>
          <w:sz w:val="20"/>
        </w:rPr>
        <w:t xml:space="preserve"> generujący kompletne archiwum konta w formacie JSON. </w:t>
      </w:r>
      <w:r>
        <w:rPr>
          <w:rFonts w:ascii="Verdana" w:hAnsi="Verdana" w:cs="Verdana"/>
          <w:b/>
          <w:i w:val="0"/>
          <w:sz w:val="20"/>
        </w:rPr>
        <w:t>Wprowadzenie soft delete z okresem karencji</w:t>
      </w:r>
      <w:r>
        <w:rPr>
          <w:rFonts w:ascii="Verdana" w:hAnsi="Verdana" w:cs="Verdana"/>
          <w:b w:val="0"/>
          <w:i w:val="0"/>
          <w:sz w:val="20"/>
        </w:rPr>
        <w:t xml:space="preserve"> (np. 30 dni) umożliwiającego cofnięcie pomyłkowego usunięcia konta. </w:t>
      </w:r>
      <w:r>
        <w:rPr>
          <w:rFonts w:ascii="Verdana" w:hAnsi="Verdana" w:cs="Verdana"/>
          <w:b/>
          <w:i w:val="0"/>
          <w:sz w:val="20"/>
        </w:rPr>
        <w:t>Polityka retencji dziennika audytu</w:t>
      </w:r>
      <w:r>
        <w:rPr>
          <w:rFonts w:ascii="Verdana" w:hAnsi="Verdana" w:cs="Verdana"/>
          <w:b w:val="0"/>
          <w:i w:val="0"/>
          <w:sz w:val="20"/>
        </w:rPr>
        <w:t xml:space="preserve"> z automatycznym czyszczeniem wpisów starszych niż określony okres (np. 365 dni). </w:t>
      </w:r>
      <w:r>
        <w:rPr>
          <w:rFonts w:ascii="Verdana" w:hAnsi="Verdana" w:cs="Verdana"/>
          <w:b/>
          <w:i w:val="0"/>
          <w:sz w:val="20"/>
        </w:rPr>
        <w:t>Powiadomienia czasu rzeczywistego</w:t>
      </w:r>
      <w:r>
        <w:rPr>
          <w:rFonts w:ascii="Verdana" w:hAnsi="Verdana" w:cs="Verdana"/>
          <w:b w:val="0"/>
          <w:i w:val="0"/>
          <w:sz w:val="20"/>
        </w:rPr>
        <w:t xml:space="preserve"> przez Web Push (Service Worker) i WebSocket zastępujące mechanizm pollingu. </w:t>
      </w:r>
      <w:r>
        <w:rPr>
          <w:rFonts w:ascii="Verdana" w:hAnsi="Verdana" w:cs="Verdana"/>
          <w:b/>
          <w:i w:val="0"/>
          <w:sz w:val="20"/>
        </w:rPr>
        <w:t>Pełna konfiguracja Content-Security-Policy</w:t>
      </w:r>
      <w:r>
        <w:rPr>
          <w:rFonts w:ascii="Verdana" w:hAnsi="Verdana" w:cs="Verdana"/>
          <w:b w:val="0"/>
          <w:i w:val="0"/>
          <w:sz w:val="20"/>
        </w:rPr>
        <w:t xml:space="preserve"> wraz z mechanizmem trust proxy dla precyzyjnego rate limitingu opartego na rzeczywistym adresie IP klienta. </w:t>
      </w:r>
      <w:r>
        <w:rPr>
          <w:rFonts w:ascii="Verdana" w:hAnsi="Verdana" w:cs="Verdana"/>
          <w:b/>
          <w:i w:val="0"/>
          <w:sz w:val="20"/>
        </w:rPr>
        <w:t>Zaawansowane mechanizmy ochrony prywatności</w:t>
      </w:r>
      <w:r>
        <w:rPr>
          <w:rFonts w:ascii="Verdana" w:hAnsi="Verdana" w:cs="Verdana"/>
          <w:b w:val="0"/>
          <w:i w:val="0"/>
          <w:sz w:val="20"/>
        </w:rPr>
        <w:t xml:space="preserve"> typu differential privacy w warstwie analitycznej dla organizacji o większej skali. </w:t>
      </w:r>
      <w:r>
        <w:rPr>
          <w:rFonts w:ascii="Verdana" w:hAnsi="Verdana" w:cs="Verdana"/>
          <w:b/>
          <w:i w:val="0"/>
          <w:sz w:val="20"/>
        </w:rPr>
        <w:t>Skalowanie poziome</w:t>
      </w:r>
      <w:r>
        <w:rPr>
          <w:rFonts w:ascii="Verdana" w:hAnsi="Verdana" w:cs="Verdana"/>
          <w:b w:val="0"/>
          <w:i w:val="0"/>
          <w:sz w:val="20"/>
        </w:rPr>
        <w:t xml:space="preserve"> przez wdrożenie wielu replik backendu za load balancerem oraz zewnętrznego cache (Redis) dla zagregowanych raportów. </w:t>
      </w:r>
      <w:r>
        <w:rPr>
          <w:rFonts w:ascii="Verdana" w:hAnsi="Verdana" w:cs="Verdana"/>
          <w:b/>
          <w:i w:val="0"/>
          <w:sz w:val="20"/>
        </w:rPr>
        <w:t>Rozszerzenie zakresu testów automatycznych</w:t>
      </w:r>
      <w:r>
        <w:rPr>
          <w:rFonts w:ascii="Verdana" w:hAnsi="Verdana" w:cs="Verdana"/>
          <w:b w:val="0"/>
          <w:i w:val="0"/>
          <w:sz w:val="20"/>
        </w:rPr>
        <w:t xml:space="preserve"> o testy jednostkowe scoringu psychometrycznego, testy integracyjne API oraz testy end-to-end krytycznych ścieżek użytkownika. Każdy z tych kierunków stanowi naturalne rozszerzenie zaprojektowanej architektury i nie wymaga przebudowy istniejących fundamentów systemu.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Praca inżynierska pozwoliła na praktyczne zastosowanie wiedzy z zakresu projektowania nowoczesnych aplikacji webowych, modelowania domenowego, bezpieczeństwa danych wrażliwych oraz wdrażania systemów konteneryzowanych w środowisku produkcyjnym. Wytworzony system MoodFlow stanowi pełnoprawne, wdrożone rozwiązanie biznesowe gotowe do dalszego rozwoju i potencjalnego wdrożenia w realnych organizacjach po dopełnieniu formalności prawnych związanych z przetwarzaniem danych szczególnej kategorii.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