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Verdana" w:hAnsi="Verdana" w:cs="Verdana"/>
          <w:b/>
          <w:i w:val="0"/>
          <w:color w:val="1D3E44"/>
          <w:sz w:val="28"/>
        </w:rPr>
        <w:t>Rejestr ryzyk projektowych MoodFlow wraz z planem mitygacji</w:t>
      </w:r>
    </w:p>
    <w:p>
      <w:pPr>
        <w:spacing w:after="160"/>
        <w:jc w:val="center"/>
      </w:pPr>
      <w:r>
        <w:rPr>
          <w:rFonts w:ascii="Verdana" w:hAnsi="Verdana" w:cs="Verdana"/>
          <w:b w:val="0"/>
          <w:i/>
          <w:color w:val="666666"/>
          <w:sz w:val="18"/>
        </w:rPr>
        <w:t>(źródło: opracowanie własne)</w:t>
      </w:r>
    </w:p>
    <w:p>
      <w:pPr>
        <w:spacing w:after="8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Rejestr ryzyk projektu MoodFlow powstał w fazie analizy i jest okresowo aktualizowany. Każde ryzyko zostało ocenione w dwóch wymiarach: prawdopodobieństwa wystąpienia (P) oraz wpływu na powodzenie projektu (W). Na podstawie tych ocen przypisano jeden z czterech poziomów ryzyka (krytyczny / wysoki / średni / niski) wraz z kolorem ostrzegawczym w kolumnie „Poziom”. Dla każdego ryzyka zdefiniowano działania zapobiegawcze (kolumna „Plan mitygacji”) oraz działania korekcyjne podejmowane w razie materializacji ryzyka (kolumna „Plan B”). Sygnał ostrzegawczy ułatwia wczesne wykrycie problemu.</w:t>
      </w:r>
    </w:p>
    <w:p>
      <w:pPr>
        <w:spacing w:before="160" w:after="80"/>
      </w:pPr>
      <w:r>
        <w:rPr>
          <w:rFonts w:ascii="Verdana" w:hAnsi="Verdana" w:cs="Verdana"/>
          <w:b/>
          <w:i w:val="0"/>
          <w:color w:val="1D3E44"/>
          <w:sz w:val="24"/>
        </w:rPr>
        <w:t>1.  Macierz ryzyk (heatmapa)</w:t>
      </w:r>
    </w:p>
    <w:tbl>
      <w:tblPr>
        <w:jc w:val="left"/>
        <w:tblLayout w:type="fixed"/>
        <w:tblLook w:firstColumn="1" w:firstRow="1" w:lastColumn="0" w:lastRow="0" w:noHBand="0" w:noVBand="1" w:val="04A0"/>
        <w:tblW w:type="dxa" w:w="11793"/>
      </w:tblPr>
      <w:tblGrid>
        <w:gridCol w:w="1360"/>
        <w:gridCol w:w="2608"/>
        <w:gridCol w:w="2608"/>
        <w:gridCol w:w="2608"/>
        <w:gridCol w:w="2608"/>
      </w:tblGrid>
      <w:tr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</w:tcPr>
          <w:p>
            <w:pPr>
              <w:spacing w:line="276" w:lineRule="auto" w:before="20" w:after="20"/>
              <w:jc w:val="left"/>
            </w:pPr>
            <w:r/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W = Niski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W = Średni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W = Wysoki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W = Krytyczny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P = Wysokie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6A34A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6A34A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770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2"/>
              </w:rPr>
              <w:t>R1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B8125A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2"/>
              </w:rPr>
              <w:t>—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P = Średnie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6A34A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22"/>
              </w:rPr>
              <w:t>R14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AB308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22"/>
              </w:rPr>
              <w:t>R4, R7, R9, R11, R13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770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2"/>
              </w:rPr>
              <w:t>R3, R5, R10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B8125A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2"/>
              </w:rPr>
              <w:t>—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0"/>
              </w:rPr>
              <w:t>P = Niskie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6A34A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6A34A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22"/>
              </w:rPr>
              <w:t>R8, R15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AB308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22"/>
              </w:rPr>
              <w:t>R12</w:t>
            </w:r>
          </w:p>
        </w:tc>
        <w:tc>
          <w:tcPr>
            <w:tcW w:type="dxa" w:w="3096"/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B8125A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22"/>
              </w:rPr>
              <w:t>R2, R6</w:t>
            </w:r>
          </w:p>
        </w:tc>
      </w:tr>
    </w:tbl>
    <w:p>
      <w:pPr>
        <w:spacing w:before="120" w:after="40"/>
      </w:pPr>
      <w:r>
        <w:rPr>
          <w:rFonts w:ascii="Verdana" w:hAnsi="Verdana" w:cs="Verdana"/>
          <w:b/>
          <w:i w:val="0"/>
          <w:sz w:val="18"/>
        </w:rPr>
        <w:t xml:space="preserve">Skala oceny: </w:t>
      </w:r>
      <w:r>
        <w:rPr>
          <w:rFonts w:ascii="Verdana" w:hAnsi="Verdana" w:cs="Verdana"/>
          <w:b w:val="0"/>
          <w:i/>
          <w:sz w:val="18"/>
        </w:rPr>
        <w:t xml:space="preserve">P — Prawdopodobieństwo (Niskie / Średnie / Wysokie). W — Wpływ na powodzenie projektu (Niski / Średni / Wysoki / Krytyczny). Poziom ryzyka:  </w:t>
      </w:r>
      <w:r>
        <w:rPr>
          <w:rFonts w:ascii="Verdana" w:hAnsi="Verdana" w:cs="Verdana"/>
          <w:b/>
          <w:i w:val="0"/>
          <w:color w:val="B8125A"/>
          <w:sz w:val="22"/>
        </w:rPr>
        <w:t xml:space="preserve">  ■  </w:t>
      </w:r>
      <w:r>
        <w:rPr>
          <w:rFonts w:ascii="Verdana" w:hAnsi="Verdana" w:cs="Verdana"/>
          <w:b w:val="0"/>
          <w:i w:val="0"/>
          <w:sz w:val="18"/>
        </w:rPr>
        <w:t>Krytyczny</w:t>
      </w:r>
      <w:r>
        <w:rPr>
          <w:rFonts w:ascii="Verdana" w:hAnsi="Verdana" w:cs="Verdana"/>
          <w:b/>
          <w:i w:val="0"/>
          <w:color w:val="D97706"/>
          <w:sz w:val="22"/>
        </w:rPr>
        <w:t xml:space="preserve">  ■  </w:t>
      </w:r>
      <w:r>
        <w:rPr>
          <w:rFonts w:ascii="Verdana" w:hAnsi="Verdana" w:cs="Verdana"/>
          <w:b w:val="0"/>
          <w:i w:val="0"/>
          <w:sz w:val="18"/>
        </w:rPr>
        <w:t>Wysoki</w:t>
      </w:r>
      <w:r>
        <w:rPr>
          <w:rFonts w:ascii="Verdana" w:hAnsi="Verdana" w:cs="Verdana"/>
          <w:b/>
          <w:i w:val="0"/>
          <w:color w:val="EAB308"/>
          <w:sz w:val="22"/>
        </w:rPr>
        <w:t xml:space="preserve">  ■  </w:t>
      </w:r>
      <w:r>
        <w:rPr>
          <w:rFonts w:ascii="Verdana" w:hAnsi="Verdana" w:cs="Verdana"/>
          <w:b w:val="0"/>
          <w:i w:val="0"/>
          <w:sz w:val="18"/>
        </w:rPr>
        <w:t>Średni</w:t>
      </w:r>
      <w:r>
        <w:rPr>
          <w:rFonts w:ascii="Verdana" w:hAnsi="Verdana" w:cs="Verdana"/>
          <w:b/>
          <w:i w:val="0"/>
          <w:color w:val="16A34A"/>
          <w:sz w:val="22"/>
        </w:rPr>
        <w:t xml:space="preserve">  ■  </w:t>
      </w:r>
      <w:r>
        <w:rPr>
          <w:rFonts w:ascii="Verdana" w:hAnsi="Verdana" w:cs="Verdana"/>
          <w:b w:val="0"/>
          <w:i w:val="0"/>
          <w:sz w:val="18"/>
        </w:rPr>
        <w:t>Niski</w:t>
      </w:r>
    </w:p>
    <w:p>
      <w:pPr>
        <w:spacing w:before="240" w:after="80"/>
      </w:pPr>
      <w:r>
        <w:rPr>
          <w:rFonts w:ascii="Verdana" w:hAnsi="Verdana" w:cs="Verdana"/>
          <w:b/>
          <w:i w:val="0"/>
          <w:color w:val="1D3E44"/>
          <w:sz w:val="24"/>
        </w:rPr>
        <w:t>2.  Szczegółowy rejestr ryzyk z planem mitygacji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5025"/>
        <w:tblLayout w:type="fixed"/>
      </w:tblPr>
      <w:tblGrid>
        <w:gridCol w:w="510"/>
        <w:gridCol w:w="3061"/>
        <w:gridCol w:w="396"/>
        <w:gridCol w:w="396"/>
        <w:gridCol w:w="1304"/>
        <w:gridCol w:w="3685"/>
        <w:gridCol w:w="2608"/>
        <w:gridCol w:w="1190"/>
        <w:gridCol w:w="1871"/>
      </w:tblGrid>
      <w:tr>
        <w:trPr>
          <w:trHeight w:val="312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3061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Opis ryzyka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P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W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Poziom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3685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Plan mitygacji (działania zapobiegawcze)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2608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Plan B (działania korekcyjne)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Właściciel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D3E44"/>
            <w:tcW w:type="dxa" w:w="1871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Sygnał ostrzegawczy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R1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[Harmonogram]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Brak czasu na implementację wszystkich modułów MVP.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B8125A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Krytyczny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Twarda priorytetyzacja MoSCoW; pierwsze wdrożenie wyłącznie funkcji Must Have. Funkcje Could Have realizowane wyłącznie po zamknięciu MVP. Cotygodniowy przegląd zakresu z promotorem.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Obcięcie zakresu Could Have. Wycofanie powiadomień e-mail (Should Have → Could Have). Skupienie się na 3 testach zamiast 5.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Zespół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Zaległość &gt; 10 zadań w kolumnie In progress lub przesunięcie kamienia milowego o &gt; 1 tydzień.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[Bezpieczeństwo]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Wyciek danych wrażliwych dotyczących zdrowia psychicznego pracowników.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N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Kr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B8125A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Krytyczny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Multi-tenant izolacja w warstwie ORM (tenant_id w każdym zapytaniu), audytowane logi dostępu, k-anonymity w raportach HR, minimalizacja danych, hashowanie haseł (bcrypt), HTTPS, ograniczenie uprawnień ról.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Natychmiastowa zmiana haseł i tokenów, zgłoszenie do PUODO w 72 h (RODO), powiadomienie użytkowników, audyt poincydentowy, łatka bezpieczeństwa.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Backend developer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Niewyjaśniony wpis w audit_logs z akcją cross-tenant_read lub anomalia w logach Nginx/Railway.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[Prywatność]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Identyfikacja pojedynczego pracownika w raporcie HR mimo agregacji.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7706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Wysoki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K-anonymity (k ≥ 5) wymuszone po stronie API. Komunikat „niewystarczająca liczba uczestników” zamiast danych. Brak ujawniania surowych komentarzy z identyfikatorami. Logi dostępu.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Wstrzymanie publikacji raportu, podniesienie progu k do 10, ręczna weryfikacja agregacji przez administratora platformy.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Backend developer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Próba pobrania raportu dla grupy &lt; 5 osób (HTTP 403 z naszego API) lub skarga pracownika.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R4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[Wydajność]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Niewystarczająca wydajność panelu HR przy dużej liczbie wyników.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AB308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18"/>
              </w:rPr>
              <w:t>Średni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Indeksy w bazie na polach tenant_id, department_id, created_at. Paginacja list. Lazy-loading komponentów wykresów. Plan buforowania agregatów (Could Have).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Włączenie cache w Redis na endpointach HR, optymalizacja zapytań N+1, dodanie materialized views w PostgreSQL.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Backend developer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P95 czasu odpowiedzi &gt; 2 s w widoku raportu lub timeouty w Lighthouse.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R5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[Prawne]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Niezgodność z RODO w warstwie procesowej (klauzule informacyjne, retencja danych).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7706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Wysoki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Klauzule informacyjne w trakcie rejestracji. Polityka prywatności podlinkowana z każdej strony. Mechanizm „prawa do bycia zapomnianym” (soft-delete + retencja 30 dni). Konsultacja z opiekunem ds. prywatności.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Tymczasowe wyłączenie nowych rejestracji, korekta klauzul, retroaktywna informacja do użytkowników, dokumentacja zmian w decisions.md.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Promotor + autor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Skarga pracownika lub HR. Audyt RODO przed obroną.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R6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[Bezpieczeństwo / Etyka]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Sygnał ryzyka samobójczego pominięty przez system (krytyczny wynik PHQ-9).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N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Kr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B8125A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Krytyczny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Zawsze włączony tryb safety-net dla PHQ-9 pyt. 9 &gt; 0. Dedykowany komunikat z telefonami zaufania (116 123, 800 70 22 22, 116 111). Test integracyjny scenariusza co iteracji.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Natychmiastowy hotfix, ponowne przesłanie komunikatu do użytkowników z najwyższym wynikiem PHQ-9 w ostatnich 7 dniach, audyt logiki scoringu.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Backend developer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Wynik testu z odpowiedzią &gt; 0 w pytaniu 9, ale brak rekordu w wyświetlonych komunikatach safety-net.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R7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[Infrastruktura]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Awaria środowiska produkcyjnego (Railway) podczas obrony.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AB308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18"/>
              </w:rPr>
              <w:t>Średni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Konfiguracja zdublowana w docker-compose.prod.yml, możliwa lokalna prezentacja w razie awarii chmury. Kopie zapasowe bazy przed obroną. Dokumentacja kroków odtworzenia.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Uruchomienie aplikacji lokalnie (laptop prelegenta) z pre-seedowaną bazą. Backup screenshotów kluczowych ekranów.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Autor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Status incident.io / statuspage Railway lub błędy 5xx z monitoringu Uptime Robot.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R8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[Techniczne]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Konflikt wersji zależności (NestJS 11, React 19, Next 16).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N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6A34A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18"/>
              </w:rPr>
              <w:t>Niski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Zamrożone wersje w package-lock.json. Sprawdzanie kompatybilności przy każdej aktualizacji. Pin major-versions w package.json.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Rollback ostatniej aktualizacji, użycie node 20 LTS, ręczne rozwiązanie konfliktu przez yarn resolutions / npm overrides.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Frontend developer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Błąd npm install w CI lub niedziałający build lokalny po pull.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R9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[Operacyjne]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Utrata danych w trakcie developmentu (przypadkowe truncate, błąd migracji).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AB308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18"/>
              </w:rPr>
              <w:t>Średni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Migracje TypeORM przed każdą zmianą schematu (forward + revert). Regularne commity gałęzi feature. Wolumeny Docker na dysku. Backup bazy raz w tygodniu.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Odtworzenie ze snapshot Docker, replay migracji z gałęzi, w ostateczności re-seed bazy z fixtures.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Zespół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Błąd migracji TypeORM lub brak danych w aplikacji po deployu.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R10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[Organizacyjne]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Niedostępność członka zespołu (choroba, sesja egzaminacyjna).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D97706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FFFFFF"/>
                <w:sz w:val="18"/>
              </w:rPr>
              <w:t>Wysoki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Praca w parze. Dokumentacja decyzji w README i decisions.md. Każdy moduł posiada drugiego „opiekuna”. Conventional Commits ułatwiają nadrobienie kontekstu.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Przejęcie obszaru przez drugiego członka. Wydłużenie sprintu o 1 tydzień. Eskalacja do promotora przy dłuższej niedostępności.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Zespół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Brak commitów / wiadomości &gt; 5 dni roboczych.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R11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[Projektowe]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Zmiana wymagań ze strony promotora w trakcie semestru.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AB308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18"/>
              </w:rPr>
              <w:t>Średni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Cotygodniowe konsultacje z promotorem. Dokumentacja decyzji w pliku decisions.md. Elastyczna architektura modularna ułatwiająca lokalne zmiany.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Renegocjacja zakresu — wydzielenie nowych wymagań do osobnego sprintu, ewentualna reklasyfikacja do Could Have.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Autor + promotor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Komentarz promotora żądający zmiany lub odmienne uzasadnienie w dokumentacji.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R12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[Merytoryczne]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Brak walidowanych skal psychologicznych w domenie publicznej.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N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W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6A34A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18"/>
              </w:rPr>
              <w:t>Niski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Dobór skal z domeny publicznej (PHQ-9, GAD-7, PSS-10, WHO-5). Źródła zacytowane w pracy z numerami DOI. Konsultacja z literaturą psychologiczną.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Zastąpienie skali przez dostępną alternatywę (np. CES-D zamiast PHQ-9). Skontaktowanie się z opiekunem psychologicznym.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Autor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Powiadomienie o naruszeniu praw autorskich lub komunikat od wydawcy skali.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R13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[Użyteczność]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Słaba użyteczność interfejsu pracownika (porzucanie ankiet).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AB308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18"/>
              </w:rPr>
              <w:t>Średni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Testy klikalne z 8–10 osobami zewnętrznymi. Kwestionariusz SUS po sesji. Iteracja UI przed wdrożeniem. Maksymalnie 3 kliki do rozpoczęcia ankiety.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Uproszczenie ankiety (mniej pytań na ekran), wprowadzenie wskaźnika postępu, A/B test nagłówków.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Frontend developer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Wskaźnik porzucenia ankiety &gt; 30% lub SUS &lt; 60.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R14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[Spójność produktu]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Niespójność designu między aplikacjami pracownika i HR.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N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6A34A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18"/>
              </w:rPr>
              <w:t>Niski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Wspólny token system Tailwind. Biblioteka komponentów wzorowana na Figmie. Audyt UI raz na sprint. Wspólny styl auth screens.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Refaktor komponentów do wspólnej biblioteki ui/. Synchronizacja tokenów kolorów.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Frontend developer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FFF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Różne kolory akcentowe lub fonty w obu aplikacjach w trakcie code review.</w:t>
            </w:r>
          </w:p>
        </w:tc>
      </w:tr>
      <w:tr>
        <w:trPr>
          <w:trHeight w:val="1474" w:hRule="atLeast"/>
        </w:trPr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51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R15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061"/>
          </w:tcPr>
          <w:p>
            <w:pPr>
              <w:spacing w:line="276" w:lineRule="auto" w:before="20" w:after="40"/>
              <w:jc w:val="left"/>
            </w:pPr>
            <w:r/>
            <w:r>
              <w:rPr>
                <w:rFonts w:ascii="Verdana" w:hAnsi="Verdana" w:cs="Verdana"/>
                <w:b w:val="0"/>
                <w:i/>
                <w:color w:val="666666"/>
                <w:sz w:val="16"/>
              </w:rPr>
              <w:t>[Onboarding]</w:t>
            </w:r>
          </w:p>
          <w:p>
            <w:pPr>
              <w:spacing w:line="276" w:lineRule="auto" w:before="0" w:after="20"/>
              <w:jc w:val="left"/>
            </w:pPr>
            <w:r>
              <w:rPr>
                <w:rFonts w:ascii="Verdana" w:hAnsi="Verdana" w:cs="Verdana"/>
                <w:b w:val="0"/>
                <w:i w:val="0"/>
                <w:sz w:val="18"/>
              </w:rPr>
              <w:t>Brak akceptacji konta firmy z powodu niejasnego procesu lub opóźnienia.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N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96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sz w:val="20"/>
              </w:rPr>
              <w:t>Ś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6A34A"/>
            <w:tcW w:type="dxa" w:w="1304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/>
                <w:i w:val="0"/>
                <w:color w:val="1A1A1A"/>
                <w:sz w:val="18"/>
              </w:rPr>
              <w:t>Niski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3685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Komunikaty statusu w panelu (pending / approved / rejected). E-mail powiadamiający o akceptacji. Instrukcja onboardingu w README. SLA 24 h na akceptację konta.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2608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Manualna akceptacja przez administratora platformy, kontakt telefoniczny ze zgłaszającym, wydłużenie SLA do 48 h z komunikatem.</w:t>
            </w:r>
          </w:p>
        </w:tc>
        <w:tc>
          <w:tcPr>
            <w:vAlign w:val="cente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190"/>
          </w:tcPr>
          <w:p>
            <w:pPr>
              <w:spacing w:line="276" w:lineRule="auto" w:before="20" w:after="20"/>
              <w:jc w:val="center"/>
            </w:pPr>
            <w:r/>
            <w:r>
              <w:rPr>
                <w:rFonts w:ascii="Verdana" w:hAnsi="Verdana" w:cs="Verdana"/>
                <w:b w:val="0"/>
                <w:i w:val="0"/>
                <w:sz w:val="18"/>
              </w:rPr>
              <w:t>Administrator platformy</w:t>
            </w:r>
          </w:p>
        </w:tc>
        <w:tc>
          <w:tcPr>
            <w:vAlign w:val="top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4F1E8"/>
            <w:tcW w:type="dxa" w:w="1871"/>
          </w:tcPr>
          <w:p>
            <w:pPr>
              <w:spacing w:line="276" w:lineRule="auto" w:before="20" w:after="20"/>
              <w:jc w:val="left"/>
            </w:pPr>
            <w:r/>
            <w:r>
              <w:rPr>
                <w:rFonts w:ascii="Verdana" w:hAnsi="Verdana" w:cs="Verdana"/>
                <w:b w:val="0"/>
                <w:i/>
                <w:sz w:val="18"/>
              </w:rPr>
              <w:t>Konto &gt; 48 h w statusie pending lub negatywny feedback przy demo.</w:t>
            </w:r>
          </w:p>
        </w:tc>
      </w:tr>
    </w:tbl>
    <w:p>
      <w:pPr>
        <w:spacing w:before="240"/>
      </w:pPr>
      <w:r>
        <w:rPr>
          <w:rFonts w:ascii="Verdana" w:hAnsi="Verdana" w:cs="Verdana"/>
          <w:b w:val="0"/>
          <w:i/>
          <w:color w:val="555555"/>
          <w:sz w:val="18"/>
        </w:rPr>
        <w:t>Notatka edycyjna: aby zmienić poziom ryzyka, kliknij komórkę „Poziom” i użyj funkcji „Cieniowanie” (kolory: krytyczny — karmin, wysoki — pomarańcz, średni — żółty, niski — zieleń). Aby dodać nowe ryzyko, kliknij prawym przyciskiem w istniejący wiersz i wybierz „Wstaw wiersz”. Identyfikator ryzyka (kolumna „#”) powinien być unikalny — kolejne numery R1, R2, …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