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A7AFA" w14:textId="77777777" w:rsidR="00771EA5" w:rsidRPr="00771EA5" w:rsidRDefault="00771EA5" w:rsidP="00771EA5">
      <w:pPr>
        <w:rPr>
          <w:b/>
          <w:bCs/>
        </w:rPr>
      </w:pPr>
      <w:r w:rsidRPr="00771EA5">
        <w:rPr>
          <w:b/>
          <w:bCs/>
        </w:rPr>
        <w:t>Methodology: Bayesian Framework for Audit Grade Prediction</w:t>
      </w:r>
    </w:p>
    <w:p w14:paraId="792C8B94" w14:textId="77777777" w:rsidR="00771EA5" w:rsidRPr="00771EA5" w:rsidRDefault="00771EA5" w:rsidP="00771EA5">
      <w:pPr>
        <w:rPr>
          <w:b/>
          <w:bCs/>
        </w:rPr>
      </w:pPr>
      <w:r w:rsidRPr="00771EA5">
        <w:rPr>
          <w:b/>
          <w:bCs/>
        </w:rPr>
        <w:t>1. Problem Setting and Challenges</w:t>
      </w:r>
    </w:p>
    <w:p w14:paraId="3CF3A6E6" w14:textId="77777777" w:rsidR="00771EA5" w:rsidRPr="00771EA5" w:rsidRDefault="00771EA5" w:rsidP="00771EA5">
      <w:r w:rsidRPr="00771EA5">
        <w:t xml:space="preserve">The objective of this study is to predict retail branch audit grades using historical Key Performance Indicator (KPI)–based risk scores. The problem is characterized by </w:t>
      </w:r>
      <w:r w:rsidRPr="00771EA5">
        <w:rPr>
          <w:b/>
          <w:bCs/>
        </w:rPr>
        <w:t>severe label scarcity</w:t>
      </w:r>
      <w:r w:rsidRPr="00771EA5">
        <w:t xml:space="preserve">, where only </w:t>
      </w:r>
      <w:r w:rsidRPr="00771EA5">
        <w:rPr>
          <w:b/>
          <w:bCs/>
        </w:rPr>
        <w:t>63 branches</w:t>
      </w:r>
      <w:r w:rsidRPr="00771EA5">
        <w:t xml:space="preserve"> have known audit grades, while more than </w:t>
      </w:r>
      <w:r w:rsidRPr="00771EA5">
        <w:rPr>
          <w:b/>
          <w:bCs/>
        </w:rPr>
        <w:t>300 branches remain unlabeled</w:t>
      </w:r>
      <w:r w:rsidRPr="00771EA5">
        <w:t xml:space="preserve">. Additionally, the available KPI data is </w:t>
      </w:r>
      <w:r w:rsidRPr="00771EA5">
        <w:rPr>
          <w:b/>
          <w:bCs/>
        </w:rPr>
        <w:t>temporal, noisy, and heterogeneous</w:t>
      </w:r>
      <w:r w:rsidRPr="00771EA5">
        <w:t>, reflecting real-world operational uncertainty.</w:t>
      </w:r>
    </w:p>
    <w:p w14:paraId="6A56A263" w14:textId="77777777" w:rsidR="00771EA5" w:rsidRPr="00771EA5" w:rsidRDefault="00771EA5" w:rsidP="00771EA5">
      <w:r w:rsidRPr="00771EA5">
        <w:t xml:space="preserve">Under such conditions, conventional supervised learning models are prone to </w:t>
      </w:r>
      <w:r w:rsidRPr="00771EA5">
        <w:rPr>
          <w:b/>
          <w:bCs/>
        </w:rPr>
        <w:t>overfitting</w:t>
      </w:r>
      <w:r w:rsidRPr="00771EA5">
        <w:t xml:space="preserve">, particularly when model complexity exceeds the amount of labeled data. Moreover, deterministic models provide point predictions without expressing uncertainty, which is undesirable in high-stakes audit and risk assessment scenarios. These challenges motivate the adoption of a </w:t>
      </w:r>
      <w:r w:rsidRPr="00771EA5">
        <w:rPr>
          <w:b/>
          <w:bCs/>
        </w:rPr>
        <w:t>Bayesian probabilistic learning framework</w:t>
      </w:r>
      <w:r w:rsidRPr="00771EA5">
        <w:t>.</w:t>
      </w:r>
    </w:p>
    <w:p w14:paraId="18A0B231" w14:textId="77777777" w:rsidR="00771EA5" w:rsidRPr="00771EA5" w:rsidRDefault="00771EA5" w:rsidP="00771EA5">
      <w:r w:rsidRPr="00771EA5">
        <w:pict w14:anchorId="4399E07E">
          <v:rect id="_x0000_i1073" style="width:0;height:1.5pt" o:hralign="center" o:hrstd="t" o:hr="t" fillcolor="#a0a0a0" stroked="f"/>
        </w:pict>
      </w:r>
    </w:p>
    <w:p w14:paraId="67E0CFCD" w14:textId="77777777" w:rsidR="00771EA5" w:rsidRPr="00771EA5" w:rsidRDefault="00771EA5" w:rsidP="00771EA5">
      <w:pPr>
        <w:rPr>
          <w:b/>
          <w:bCs/>
        </w:rPr>
      </w:pPr>
      <w:r w:rsidRPr="00771EA5">
        <w:rPr>
          <w:b/>
          <w:bCs/>
        </w:rPr>
        <w:t>2. Rationale for Bayesian Modeling</w:t>
      </w:r>
    </w:p>
    <w:p w14:paraId="3690C8AF" w14:textId="77777777" w:rsidR="00771EA5" w:rsidRPr="00771EA5" w:rsidRDefault="00771EA5" w:rsidP="00771EA5">
      <w:r w:rsidRPr="00771EA5">
        <w:t>Bayesian models are particularly well-suited for learning under limited labeled data due to the following properties:</w:t>
      </w:r>
    </w:p>
    <w:p w14:paraId="6B6FB9EA" w14:textId="77777777" w:rsidR="00771EA5" w:rsidRPr="00771EA5" w:rsidRDefault="00771EA5" w:rsidP="00771EA5">
      <w:pPr>
        <w:numPr>
          <w:ilvl w:val="0"/>
          <w:numId w:val="1"/>
        </w:numPr>
      </w:pPr>
      <w:r w:rsidRPr="00771EA5">
        <w:rPr>
          <w:b/>
          <w:bCs/>
        </w:rPr>
        <w:t>Uncertainty Quantification</w:t>
      </w:r>
      <w:r w:rsidRPr="00771EA5">
        <w:br/>
        <w:t>Bayesian inference provides full predictive distributions rather than point estimates, allowing the model to capture epistemic uncertainty arising from insufficient training data.</w:t>
      </w:r>
    </w:p>
    <w:p w14:paraId="383C25C4" w14:textId="77777777" w:rsidR="00771EA5" w:rsidRPr="00771EA5" w:rsidRDefault="00771EA5" w:rsidP="00771EA5">
      <w:pPr>
        <w:numPr>
          <w:ilvl w:val="0"/>
          <w:numId w:val="1"/>
        </w:numPr>
      </w:pPr>
      <w:r w:rsidRPr="00771EA5">
        <w:rPr>
          <w:b/>
          <w:bCs/>
        </w:rPr>
        <w:t>Regularization through Priors</w:t>
      </w:r>
      <w:r w:rsidRPr="00771EA5">
        <w:br/>
        <w:t>Model complexity is naturally controlled via prior distributions, reducing the risk of overfitting in small-sample regimes.</w:t>
      </w:r>
    </w:p>
    <w:p w14:paraId="7681AF6F" w14:textId="77777777" w:rsidR="00771EA5" w:rsidRPr="00771EA5" w:rsidRDefault="00771EA5" w:rsidP="00771EA5">
      <w:pPr>
        <w:numPr>
          <w:ilvl w:val="0"/>
          <w:numId w:val="1"/>
        </w:numPr>
      </w:pPr>
      <w:r w:rsidRPr="00771EA5">
        <w:rPr>
          <w:b/>
          <w:bCs/>
        </w:rPr>
        <w:t>Sample Efficiency</w:t>
      </w:r>
      <w:r w:rsidRPr="00771EA5">
        <w:br/>
        <w:t>Bayesian methods can achieve competitive performance with fewer labeled samples compared to purely data-driven approaches.</w:t>
      </w:r>
    </w:p>
    <w:p w14:paraId="6834305B" w14:textId="77777777" w:rsidR="00771EA5" w:rsidRPr="00771EA5" w:rsidRDefault="00771EA5" w:rsidP="00771EA5">
      <w:pPr>
        <w:numPr>
          <w:ilvl w:val="0"/>
          <w:numId w:val="1"/>
        </w:numPr>
      </w:pPr>
      <w:r w:rsidRPr="00771EA5">
        <w:rPr>
          <w:b/>
          <w:bCs/>
        </w:rPr>
        <w:t>Decision Support</w:t>
      </w:r>
      <w:r w:rsidRPr="00771EA5">
        <w:br/>
        <w:t>Probabilistic outputs enable risk-aware decision-making, where predictions with high uncertainty can be flagged for human review rather than automated action.</w:t>
      </w:r>
    </w:p>
    <w:p w14:paraId="352FF6CA" w14:textId="77777777" w:rsidR="00771EA5" w:rsidRPr="00771EA5" w:rsidRDefault="00771EA5" w:rsidP="00771EA5">
      <w:r w:rsidRPr="00771EA5">
        <w:t xml:space="preserve">Given these advantages, this work adopts </w:t>
      </w:r>
      <w:r w:rsidRPr="00771EA5">
        <w:rPr>
          <w:b/>
          <w:bCs/>
        </w:rPr>
        <w:t>Gaussian Process (GP) classification</w:t>
      </w:r>
      <w:r w:rsidRPr="00771EA5">
        <w:t>, a non-parametric Bayesian approach, as the core predictive model.</w:t>
      </w:r>
    </w:p>
    <w:p w14:paraId="0C1B7429" w14:textId="77777777" w:rsidR="00771EA5" w:rsidRPr="00771EA5" w:rsidRDefault="00771EA5" w:rsidP="00771EA5">
      <w:r w:rsidRPr="00771EA5">
        <w:pict w14:anchorId="0146091C">
          <v:rect id="_x0000_i1074" style="width:0;height:1.5pt" o:hralign="center" o:hrstd="t" o:hr="t" fillcolor="#a0a0a0" stroked="f"/>
        </w:pict>
      </w:r>
    </w:p>
    <w:p w14:paraId="1443F508" w14:textId="77777777" w:rsidR="00771EA5" w:rsidRPr="00771EA5" w:rsidRDefault="00771EA5" w:rsidP="00771EA5">
      <w:pPr>
        <w:rPr>
          <w:b/>
          <w:bCs/>
        </w:rPr>
      </w:pPr>
      <w:r w:rsidRPr="00771EA5">
        <w:rPr>
          <w:b/>
          <w:bCs/>
        </w:rPr>
        <w:t>3. Gaussian Process Classification</w:t>
      </w:r>
    </w:p>
    <w:p w14:paraId="0E1BE6DC" w14:textId="77777777" w:rsidR="00771EA5" w:rsidRPr="00771EA5" w:rsidRDefault="00771EA5" w:rsidP="00771EA5">
      <w:r w:rsidRPr="00771EA5">
        <w:t>A Gaussian Process defines a distribution over functions f(x)f(\</w:t>
      </w:r>
      <w:proofErr w:type="spellStart"/>
      <w:r w:rsidRPr="00771EA5">
        <w:t>mathbf</w:t>
      </w:r>
      <w:proofErr w:type="spellEnd"/>
      <w:r w:rsidRPr="00771EA5">
        <w:t>{x</w:t>
      </w:r>
      <w:proofErr w:type="gramStart"/>
      <w:r w:rsidRPr="00771EA5">
        <w:t>})f</w:t>
      </w:r>
      <w:proofErr w:type="gramEnd"/>
      <w:r w:rsidRPr="00771EA5">
        <w:t>(x), such that for any finite set of inputs, the function values follow a multivariate Gaussian distribution:</w:t>
      </w:r>
    </w:p>
    <w:p w14:paraId="6D1B7713" w14:textId="50095CEF" w:rsidR="00771EA5" w:rsidRDefault="00771EA5" w:rsidP="00771EA5">
      <m:oMathPara>
        <m:oMath>
          <m:r>
            <w:rPr>
              <w:rFonts w:ascii="Cambria Math" w:hAnsi="Cambria Math"/>
            </w:rPr>
            <m:t>f(x)∼GP(m(x),k(x,x'))</m:t>
          </m:r>
        </m:oMath>
      </m:oMathPara>
    </w:p>
    <w:p w14:paraId="0BC1AD97" w14:textId="591B6C47" w:rsidR="00771EA5" w:rsidRPr="00771EA5" w:rsidRDefault="00771EA5" w:rsidP="00771EA5">
      <w:r w:rsidRPr="00771EA5">
        <w:t>where m(x) is the mean function and k(</w:t>
      </w:r>
      <w:proofErr w:type="spellStart"/>
      <w:r w:rsidRPr="00771EA5">
        <w:t>x,x</w:t>
      </w:r>
      <w:proofErr w:type="spellEnd"/>
      <w:r w:rsidRPr="00771EA5">
        <w:t>′) is the kernel (covariance) function.</w:t>
      </w:r>
    </w:p>
    <w:p w14:paraId="202D1F19" w14:textId="77777777" w:rsidR="00771EA5" w:rsidRPr="00771EA5" w:rsidRDefault="00771EA5" w:rsidP="00771EA5">
      <w:r w:rsidRPr="00771EA5">
        <w:lastRenderedPageBreak/>
        <w:t xml:space="preserve">For multi-class audit grade prediction, the GP is combined with a </w:t>
      </w:r>
      <w:proofErr w:type="spellStart"/>
      <w:r w:rsidRPr="00771EA5">
        <w:rPr>
          <w:b/>
          <w:bCs/>
        </w:rPr>
        <w:t>softmax</w:t>
      </w:r>
      <w:proofErr w:type="spellEnd"/>
      <w:r w:rsidRPr="00771EA5">
        <w:rPr>
          <w:b/>
          <w:bCs/>
        </w:rPr>
        <w:t xml:space="preserve"> likelihood</w:t>
      </w:r>
      <w:r w:rsidRPr="00771EA5">
        <w:t>, enabling probabilistic inference over multiple discrete audit grades.</w:t>
      </w:r>
    </w:p>
    <w:p w14:paraId="7E0EC01F" w14:textId="77777777" w:rsidR="00771EA5" w:rsidRPr="00771EA5" w:rsidRDefault="00771EA5" w:rsidP="00771EA5">
      <w:r w:rsidRPr="00771EA5">
        <w:pict w14:anchorId="76D827A6">
          <v:rect id="_x0000_i1075" style="width:0;height:1.5pt" o:hralign="center" o:hrstd="t" o:hr="t" fillcolor="#a0a0a0" stroked="f"/>
        </w:pict>
      </w:r>
    </w:p>
    <w:p w14:paraId="16ED4E64" w14:textId="77777777" w:rsidR="00771EA5" w:rsidRPr="00771EA5" w:rsidRDefault="00771EA5" w:rsidP="00771EA5">
      <w:pPr>
        <w:rPr>
          <w:b/>
          <w:bCs/>
        </w:rPr>
      </w:pPr>
      <w:r w:rsidRPr="00771EA5">
        <w:rPr>
          <w:b/>
          <w:bCs/>
        </w:rPr>
        <w:t>4. Sparse Variational Gaussian Processes (SVGP)</w:t>
      </w:r>
    </w:p>
    <w:p w14:paraId="28E4FFD0" w14:textId="77777777" w:rsidR="00771EA5" w:rsidRPr="00771EA5" w:rsidRDefault="00771EA5" w:rsidP="00771EA5">
      <w:r w:rsidRPr="00771EA5">
        <w:t xml:space="preserve">Standard GP models scale cubically with the number of training samples, which becomes computationally infeasible when incorporating long temporal histories across multiple branches. To address this limitation, a </w:t>
      </w:r>
      <w:r w:rsidRPr="00771EA5">
        <w:rPr>
          <w:b/>
          <w:bCs/>
        </w:rPr>
        <w:t>Sparse Variational Gaussian Process (SVGP)</w:t>
      </w:r>
      <w:r w:rsidRPr="00771EA5">
        <w:t xml:space="preserve"> is employed.</w:t>
      </w:r>
    </w:p>
    <w:p w14:paraId="74368BDA" w14:textId="533BB9B7" w:rsidR="00771EA5" w:rsidRPr="00771EA5" w:rsidRDefault="00771EA5" w:rsidP="00771EA5">
      <w:r w:rsidRPr="00771EA5">
        <w:t>SVGP introduces a set of M inducing points Z, where M</w:t>
      </w:r>
      <w:r w:rsidRPr="00771EA5">
        <w:rPr>
          <w:rFonts w:ascii="Cambria Math" w:hAnsi="Cambria Math" w:cs="Cambria Math"/>
        </w:rPr>
        <w:t>≪</w:t>
      </w:r>
      <w:r>
        <w:t>N</w:t>
      </w:r>
      <w:r w:rsidRPr="00771EA5">
        <w:t>, to approximate the full GP posterior. Variational inference is used to optimize a lower bound on the marginal likelihood (Evidence Lower Bound, ELBO):</w:t>
      </w:r>
    </w:p>
    <w:p w14:paraId="22B84A72" w14:textId="1FC9D361" w:rsidR="00771EA5" w:rsidRDefault="00771EA5" w:rsidP="00771EA5">
      <m:oMathPara>
        <m:oMath>
          <m:r>
            <w:rPr>
              <w:rFonts w:ascii="Cambria Math" w:hAnsi="Cambria Math"/>
            </w:rPr>
            <m:t>LELBO​=Eq(f)​[logp(y∣f)]-KL(q(f)∥p(f))</m:t>
          </m:r>
        </m:oMath>
      </m:oMathPara>
    </w:p>
    <w:p w14:paraId="78203879" w14:textId="5F6E3A1D" w:rsidR="00771EA5" w:rsidRPr="00771EA5" w:rsidRDefault="00771EA5" w:rsidP="00771EA5">
      <w:r w:rsidRPr="00771EA5">
        <w:t>This formulation provides:</w:t>
      </w:r>
    </w:p>
    <w:p w14:paraId="0723804F" w14:textId="77777777" w:rsidR="00771EA5" w:rsidRPr="00771EA5" w:rsidRDefault="00771EA5" w:rsidP="00771EA5">
      <w:pPr>
        <w:numPr>
          <w:ilvl w:val="0"/>
          <w:numId w:val="2"/>
        </w:numPr>
      </w:pPr>
      <w:r w:rsidRPr="00771EA5">
        <w:t>Scalability to larger datasets</w:t>
      </w:r>
    </w:p>
    <w:p w14:paraId="77FDFE09" w14:textId="77777777" w:rsidR="00771EA5" w:rsidRPr="00771EA5" w:rsidRDefault="00771EA5" w:rsidP="00771EA5">
      <w:pPr>
        <w:numPr>
          <w:ilvl w:val="0"/>
          <w:numId w:val="2"/>
        </w:numPr>
      </w:pPr>
      <w:r w:rsidRPr="00771EA5">
        <w:t>Robust posterior approximation</w:t>
      </w:r>
    </w:p>
    <w:p w14:paraId="660786F8" w14:textId="77777777" w:rsidR="00771EA5" w:rsidRPr="00771EA5" w:rsidRDefault="00771EA5" w:rsidP="00771EA5">
      <w:pPr>
        <w:numPr>
          <w:ilvl w:val="0"/>
          <w:numId w:val="2"/>
        </w:numPr>
      </w:pPr>
      <w:r w:rsidRPr="00771EA5">
        <w:t>Stability under limited labeled samples</w:t>
      </w:r>
    </w:p>
    <w:p w14:paraId="49D1C0EB" w14:textId="77777777" w:rsidR="00771EA5" w:rsidRPr="00771EA5" w:rsidRDefault="00771EA5" w:rsidP="00771EA5">
      <w:r w:rsidRPr="00771EA5">
        <w:pict w14:anchorId="5D75F926">
          <v:rect id="_x0000_i1076" style="width:0;height:1.5pt" o:hralign="center" o:hrstd="t" o:hr="t" fillcolor="#a0a0a0" stroked="f"/>
        </w:pict>
      </w:r>
    </w:p>
    <w:p w14:paraId="0EE2D5A2" w14:textId="77777777" w:rsidR="00771EA5" w:rsidRPr="00771EA5" w:rsidRDefault="00771EA5" w:rsidP="00771EA5">
      <w:pPr>
        <w:rPr>
          <w:b/>
          <w:bCs/>
        </w:rPr>
      </w:pPr>
      <w:r w:rsidRPr="00771EA5">
        <w:rPr>
          <w:b/>
          <w:bCs/>
        </w:rPr>
        <w:t>5. Kernel Design and Temporal Modeling</w:t>
      </w:r>
    </w:p>
    <w:p w14:paraId="2F2A6EA9" w14:textId="77777777" w:rsidR="00771EA5" w:rsidRDefault="00771EA5" w:rsidP="00771EA5">
      <w:r w:rsidRPr="00771EA5">
        <w:t xml:space="preserve">The kernel function encodes assumptions about the underlying data structure. In this study, a </w:t>
      </w:r>
      <w:r w:rsidRPr="00771EA5">
        <w:rPr>
          <w:b/>
          <w:bCs/>
        </w:rPr>
        <w:t>multiplicative kernel</w:t>
      </w:r>
      <w:r w:rsidRPr="00771EA5">
        <w:t xml:space="preserve"> is adopted:</w:t>
      </w:r>
    </w:p>
    <w:p w14:paraId="4A21FD7D" w14:textId="69F4625B" w:rsidR="00771EA5" w:rsidRPr="00771EA5" w:rsidRDefault="00771EA5" w:rsidP="00771EA5">
      <m:oMathPara>
        <m:oMath>
          <m:r>
            <w:rPr>
              <w:rFonts w:ascii="Cambria Math" w:hAnsi="Cambria Math"/>
            </w:rPr>
            <m:t>k(x,x')=kRBF​(x,x')×kLinear​(x,x')</m:t>
          </m:r>
        </m:oMath>
      </m:oMathPara>
    </w:p>
    <w:p w14:paraId="0E25FD9F" w14:textId="77777777" w:rsidR="00771EA5" w:rsidRPr="00771EA5" w:rsidRDefault="00771EA5" w:rsidP="00771EA5">
      <w:pPr>
        <w:numPr>
          <w:ilvl w:val="0"/>
          <w:numId w:val="3"/>
        </w:numPr>
      </w:pPr>
      <w:r w:rsidRPr="00771EA5">
        <w:t xml:space="preserve">The </w:t>
      </w:r>
      <w:r w:rsidRPr="00771EA5">
        <w:rPr>
          <w:b/>
          <w:bCs/>
        </w:rPr>
        <w:t>RBF kernel</w:t>
      </w:r>
      <w:r w:rsidRPr="00771EA5">
        <w:t xml:space="preserve"> captures smooth, non-linear relationships among KPI risk scores.</w:t>
      </w:r>
    </w:p>
    <w:p w14:paraId="627F788D" w14:textId="77777777" w:rsidR="00771EA5" w:rsidRPr="00771EA5" w:rsidRDefault="00771EA5" w:rsidP="00771EA5">
      <w:pPr>
        <w:numPr>
          <w:ilvl w:val="0"/>
          <w:numId w:val="3"/>
        </w:numPr>
      </w:pPr>
      <w:r w:rsidRPr="00771EA5">
        <w:t xml:space="preserve">The </w:t>
      </w:r>
      <w:r w:rsidRPr="00771EA5">
        <w:rPr>
          <w:b/>
          <w:bCs/>
        </w:rPr>
        <w:t>Linear kernel</w:t>
      </w:r>
      <w:r w:rsidRPr="00771EA5">
        <w:t xml:space="preserve"> models monotonic trends over time.</w:t>
      </w:r>
    </w:p>
    <w:p w14:paraId="4F40B77A" w14:textId="77777777" w:rsidR="00771EA5" w:rsidRPr="00771EA5" w:rsidRDefault="00771EA5" w:rsidP="00771EA5">
      <w:pPr>
        <w:numPr>
          <w:ilvl w:val="0"/>
          <w:numId w:val="3"/>
        </w:numPr>
      </w:pPr>
      <w:r w:rsidRPr="00771EA5">
        <w:t>The multiplicative interaction allows temporal effects to modulate feature relevance dynamically.</w:t>
      </w:r>
    </w:p>
    <w:p w14:paraId="00CB9FA3" w14:textId="77777777" w:rsidR="00771EA5" w:rsidRPr="00771EA5" w:rsidRDefault="00771EA5" w:rsidP="00771EA5">
      <w:r w:rsidRPr="00771EA5">
        <w:t>Time is explicitly included as an input feature, enabling the GP to learn temporal dependencies without requiring recurrent architectures, which are data-hungry and prone to overfitting in small-sample settings.</w:t>
      </w:r>
    </w:p>
    <w:p w14:paraId="1EB7DB4D" w14:textId="77777777" w:rsidR="00771EA5" w:rsidRPr="00771EA5" w:rsidRDefault="00771EA5" w:rsidP="00771EA5">
      <w:r w:rsidRPr="00771EA5">
        <w:pict w14:anchorId="11E41720">
          <v:rect id="_x0000_i1077" style="width:0;height:1.5pt" o:hralign="center" o:hrstd="t" o:hr="t" fillcolor="#a0a0a0" stroked="f"/>
        </w:pict>
      </w:r>
    </w:p>
    <w:p w14:paraId="0E64DD76" w14:textId="77777777" w:rsidR="00771EA5" w:rsidRPr="00771EA5" w:rsidRDefault="00771EA5" w:rsidP="00771EA5">
      <w:pPr>
        <w:rPr>
          <w:b/>
          <w:bCs/>
        </w:rPr>
      </w:pPr>
      <w:r w:rsidRPr="00771EA5">
        <w:rPr>
          <w:b/>
          <w:bCs/>
        </w:rPr>
        <w:t>6. Feature Construction and Temporal Aggregation</w:t>
      </w:r>
    </w:p>
    <w:p w14:paraId="4E90B798" w14:textId="77777777" w:rsidR="00771EA5" w:rsidRPr="00771EA5" w:rsidRDefault="00771EA5" w:rsidP="00771EA5">
      <w:r w:rsidRPr="00771EA5">
        <w:t xml:space="preserve">For each branch, the most recent </w:t>
      </w:r>
      <w:r w:rsidRPr="00771EA5">
        <w:rPr>
          <w:b/>
          <w:bCs/>
        </w:rPr>
        <w:t>30 days of KPI observations</w:t>
      </w:r>
      <w:r w:rsidRPr="00771EA5">
        <w:t xml:space="preserve"> preceding the audit date are extracted. Each day constitutes a time-indexed observation consisting of:</w:t>
      </w:r>
    </w:p>
    <w:p w14:paraId="20E01B7F" w14:textId="77777777" w:rsidR="00771EA5" w:rsidRPr="00771EA5" w:rsidRDefault="00771EA5" w:rsidP="00771EA5">
      <w:pPr>
        <w:numPr>
          <w:ilvl w:val="0"/>
          <w:numId w:val="4"/>
        </w:numPr>
      </w:pPr>
      <w:r w:rsidRPr="00771EA5">
        <w:t>Temporal index (day)</w:t>
      </w:r>
    </w:p>
    <w:p w14:paraId="508BAE0E" w14:textId="77777777" w:rsidR="00771EA5" w:rsidRPr="00771EA5" w:rsidRDefault="00771EA5" w:rsidP="00771EA5">
      <w:pPr>
        <w:numPr>
          <w:ilvl w:val="0"/>
          <w:numId w:val="4"/>
        </w:numPr>
      </w:pPr>
      <w:r w:rsidRPr="00771EA5">
        <w:t>KPI-based risk features</w:t>
      </w:r>
    </w:p>
    <w:p w14:paraId="19A11D8A" w14:textId="77777777" w:rsidR="00771EA5" w:rsidRPr="00771EA5" w:rsidRDefault="00771EA5" w:rsidP="00771EA5">
      <w:r w:rsidRPr="00771EA5">
        <w:lastRenderedPageBreak/>
        <w:t xml:space="preserve">During inference, the GP predicts a probability distribution over audit grades for each time step. These per-day probabilities are then </w:t>
      </w:r>
      <w:r w:rsidRPr="00771EA5">
        <w:rPr>
          <w:b/>
          <w:bCs/>
        </w:rPr>
        <w:t>aggregated by averaging across time</w:t>
      </w:r>
      <w:r w:rsidRPr="00771EA5">
        <w:t>, producing a robust branch-level grade distribution:</w:t>
      </w:r>
    </w:p>
    <w:p w14:paraId="6F43C02B" w14:textId="550BEA72" w:rsidR="00771EA5" w:rsidRDefault="00771EA5" w:rsidP="00771EA5">
      <m:oMathPara>
        <m:oMath>
          <m:r>
            <w:rPr>
              <w:rFonts w:ascii="Cambria Math" w:hAnsi="Cambria Math"/>
            </w:rPr>
            <m:t>p</m:t>
          </m:r>
          <m:d>
            <m:dPr>
              <m:sepChr m:val="∣"/>
              <m:ctrlPr>
                <w:rPr>
                  <w:rFonts w:ascii="Cambria Math" w:hAnsi="Cambria Math"/>
                  <w:i/>
                </w:rPr>
              </m:ctrlPr>
            </m:dPr>
            <m:e>
              <m:r>
                <w:rPr>
                  <w:rFonts w:ascii="Cambria Math" w:hAnsi="Cambria Math"/>
                </w:rPr>
                <m:t>y</m:t>
              </m:r>
            </m:e>
            <m:e>
              <m:r>
                <w:rPr>
                  <w:rFonts w:ascii="Cambria Math" w:hAnsi="Cambria Math"/>
                </w:rPr>
                <m:t>branch</m:t>
              </m:r>
            </m:e>
          </m:d>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m:t>
          </m:r>
          <m:nary>
            <m:naryPr>
              <m:chr m:val="∑"/>
              <m:subHide m:val="1"/>
              <m:supHide m:val="1"/>
              <m:ctrlPr>
                <w:rPr>
                  <w:rFonts w:ascii="Cambria Math" w:hAnsi="Cambria Math"/>
                  <w:i/>
                </w:rPr>
              </m:ctrlPr>
            </m:naryPr>
            <m:sub/>
            <m:sup/>
            <m:e>
              <m:r>
                <w:rPr>
                  <w:rFonts w:ascii="Cambria Math" w:hAnsi="Cambria Math"/>
                </w:rPr>
                <m:t>p(y∣xt​)</m:t>
              </m:r>
            </m:e>
          </m:nary>
        </m:oMath>
      </m:oMathPara>
    </w:p>
    <w:p w14:paraId="2098C894" w14:textId="355093D2" w:rsidR="00771EA5" w:rsidRPr="00771EA5" w:rsidRDefault="00771EA5" w:rsidP="00771EA5">
      <w:r w:rsidRPr="00771EA5">
        <w:t>This aggregation reduces noise from individual observations and aligns with Bayesian marginalization principles.</w:t>
      </w:r>
    </w:p>
    <w:p w14:paraId="20539169" w14:textId="77777777" w:rsidR="00771EA5" w:rsidRPr="00771EA5" w:rsidRDefault="00771EA5" w:rsidP="00771EA5">
      <w:r w:rsidRPr="00771EA5">
        <w:pict w14:anchorId="7657E4D0">
          <v:rect id="_x0000_i1078" style="width:0;height:1.5pt" o:hralign="center" o:hrstd="t" o:hr="t" fillcolor="#a0a0a0" stroked="f"/>
        </w:pict>
      </w:r>
    </w:p>
    <w:p w14:paraId="40FE3319" w14:textId="77777777" w:rsidR="00771EA5" w:rsidRPr="00771EA5" w:rsidRDefault="00771EA5" w:rsidP="00771EA5">
      <w:pPr>
        <w:rPr>
          <w:b/>
          <w:bCs/>
        </w:rPr>
      </w:pPr>
      <w:r w:rsidRPr="00771EA5">
        <w:rPr>
          <w:b/>
          <w:bCs/>
        </w:rPr>
        <w:t>7. Handling Labeled and Unlabeled Data</w:t>
      </w:r>
    </w:p>
    <w:p w14:paraId="72FB2AA2" w14:textId="77777777" w:rsidR="00771EA5" w:rsidRPr="00771EA5" w:rsidRDefault="00771EA5" w:rsidP="00771EA5">
      <w:r w:rsidRPr="00771EA5">
        <w:t>Branches with known audit grades are used for supervised model training, while unlabeled branches are retained for probabilistic inference. Importantly, the Bayesian framework enables meaningful predictions even for unlabeled data by explicitly modeling uncertainty.</w:t>
      </w:r>
    </w:p>
    <w:p w14:paraId="289F7FEA" w14:textId="77777777" w:rsidR="00771EA5" w:rsidRPr="00771EA5" w:rsidRDefault="00771EA5" w:rsidP="00771EA5">
      <w:r w:rsidRPr="00771EA5">
        <w:t>Predicted probabilities for unlabeled branches can be used to:</w:t>
      </w:r>
    </w:p>
    <w:p w14:paraId="09FAFF9D" w14:textId="77777777" w:rsidR="00771EA5" w:rsidRPr="00771EA5" w:rsidRDefault="00771EA5" w:rsidP="00771EA5">
      <w:pPr>
        <w:numPr>
          <w:ilvl w:val="0"/>
          <w:numId w:val="5"/>
        </w:numPr>
      </w:pPr>
      <w:r w:rsidRPr="00771EA5">
        <w:t>Identify high-confidence predictions</w:t>
      </w:r>
    </w:p>
    <w:p w14:paraId="7D2CE813" w14:textId="77777777" w:rsidR="00771EA5" w:rsidRPr="00771EA5" w:rsidRDefault="00771EA5" w:rsidP="00771EA5">
      <w:pPr>
        <w:numPr>
          <w:ilvl w:val="0"/>
          <w:numId w:val="5"/>
        </w:numPr>
      </w:pPr>
      <w:r w:rsidRPr="00771EA5">
        <w:t>Flag uncertain branches for manual audit</w:t>
      </w:r>
    </w:p>
    <w:p w14:paraId="3ED00A07" w14:textId="77777777" w:rsidR="00771EA5" w:rsidRPr="00771EA5" w:rsidRDefault="00771EA5" w:rsidP="00771EA5">
      <w:pPr>
        <w:numPr>
          <w:ilvl w:val="0"/>
          <w:numId w:val="5"/>
        </w:numPr>
      </w:pPr>
      <w:r w:rsidRPr="00771EA5">
        <w:t>Support future semi-supervised learning extensions</w:t>
      </w:r>
    </w:p>
    <w:p w14:paraId="4E1D8263" w14:textId="77777777" w:rsidR="00771EA5" w:rsidRPr="00771EA5" w:rsidRDefault="00771EA5" w:rsidP="00771EA5">
      <w:r w:rsidRPr="00771EA5">
        <w:pict w14:anchorId="24F1F6A0">
          <v:rect id="_x0000_i1079" style="width:0;height:1.5pt" o:hralign="center" o:hrstd="t" o:hr="t" fillcolor="#a0a0a0" stroked="f"/>
        </w:pict>
      </w:r>
    </w:p>
    <w:p w14:paraId="5D1FF39E" w14:textId="77777777" w:rsidR="00771EA5" w:rsidRPr="00771EA5" w:rsidRDefault="00771EA5" w:rsidP="00771EA5">
      <w:pPr>
        <w:rPr>
          <w:b/>
          <w:bCs/>
        </w:rPr>
      </w:pPr>
      <w:r w:rsidRPr="00771EA5">
        <w:rPr>
          <w:b/>
          <w:bCs/>
        </w:rPr>
        <w:t>8. Model Optimization</w:t>
      </w:r>
    </w:p>
    <w:p w14:paraId="2DD1E491" w14:textId="77777777" w:rsidR="00771EA5" w:rsidRPr="00771EA5" w:rsidRDefault="00771EA5" w:rsidP="00771EA5">
      <w:r w:rsidRPr="00771EA5">
        <w:t>Model parameters are optimized by maximizing the ELBO using a two-stage procedure:</w:t>
      </w:r>
    </w:p>
    <w:p w14:paraId="683A654A" w14:textId="77777777" w:rsidR="00771EA5" w:rsidRPr="00771EA5" w:rsidRDefault="00771EA5" w:rsidP="00771EA5">
      <w:pPr>
        <w:numPr>
          <w:ilvl w:val="0"/>
          <w:numId w:val="6"/>
        </w:numPr>
      </w:pPr>
      <w:r w:rsidRPr="00771EA5">
        <w:rPr>
          <w:b/>
          <w:bCs/>
        </w:rPr>
        <w:t>Stochastic gradient optimization (Adam)</w:t>
      </w:r>
      <w:r w:rsidRPr="00771EA5">
        <w:t xml:space="preserve"> for rapid convergence</w:t>
      </w:r>
    </w:p>
    <w:p w14:paraId="234CC730" w14:textId="77777777" w:rsidR="00771EA5" w:rsidRPr="00771EA5" w:rsidRDefault="00771EA5" w:rsidP="00771EA5">
      <w:pPr>
        <w:numPr>
          <w:ilvl w:val="0"/>
          <w:numId w:val="6"/>
        </w:numPr>
      </w:pPr>
      <w:r w:rsidRPr="00771EA5">
        <w:rPr>
          <w:b/>
          <w:bCs/>
        </w:rPr>
        <w:t>Second-order optimization (</w:t>
      </w:r>
      <w:proofErr w:type="spellStart"/>
      <w:r w:rsidRPr="00771EA5">
        <w:rPr>
          <w:b/>
          <w:bCs/>
        </w:rPr>
        <w:t>Scipy</w:t>
      </w:r>
      <w:proofErr w:type="spellEnd"/>
      <w:r w:rsidRPr="00771EA5">
        <w:rPr>
          <w:b/>
          <w:bCs/>
        </w:rPr>
        <w:t xml:space="preserve"> optimizer)</w:t>
      </w:r>
      <w:r w:rsidRPr="00771EA5">
        <w:t xml:space="preserve"> for fine-tuning</w:t>
      </w:r>
    </w:p>
    <w:p w14:paraId="53824737" w14:textId="77777777" w:rsidR="00771EA5" w:rsidRPr="00771EA5" w:rsidRDefault="00771EA5" w:rsidP="00771EA5">
      <w:r w:rsidRPr="00771EA5">
        <w:t>This hybrid approach balances computational efficiency and convergence stability.</w:t>
      </w:r>
    </w:p>
    <w:p w14:paraId="47F2ED76" w14:textId="77777777" w:rsidR="00771EA5" w:rsidRPr="00771EA5" w:rsidRDefault="00771EA5" w:rsidP="00771EA5">
      <w:r w:rsidRPr="00771EA5">
        <w:pict w14:anchorId="718F23BA">
          <v:rect id="_x0000_i1080" style="width:0;height:1.5pt" o:hralign="center" o:hrstd="t" o:hr="t" fillcolor="#a0a0a0" stroked="f"/>
        </w:pict>
      </w:r>
    </w:p>
    <w:p w14:paraId="4D8C9199" w14:textId="77777777" w:rsidR="00771EA5" w:rsidRPr="00771EA5" w:rsidRDefault="00771EA5" w:rsidP="00771EA5">
      <w:pPr>
        <w:rPr>
          <w:b/>
          <w:bCs/>
        </w:rPr>
      </w:pPr>
      <w:r w:rsidRPr="00771EA5">
        <w:rPr>
          <w:b/>
          <w:bCs/>
        </w:rPr>
        <w:t>9. Summary</w:t>
      </w:r>
    </w:p>
    <w:p w14:paraId="24BA6A3C" w14:textId="77777777" w:rsidR="00771EA5" w:rsidRPr="00771EA5" w:rsidRDefault="00771EA5" w:rsidP="00771EA5">
      <w:r w:rsidRPr="00771EA5">
        <w:t>This methodology leverages Bayesian Gaussian Process classification to address audit grade prediction under extreme label scarcity. By combining uncertainty-aware modeling, temporal feature aggregation, and scalable variational inference, the proposed framework provides both predictive performance and interpretability, making it suitable for real-world audit risk assessment scenarios.</w:t>
      </w:r>
    </w:p>
    <w:p w14:paraId="6607B6B6" w14:textId="77777777" w:rsidR="00771EA5" w:rsidRDefault="00771EA5"/>
    <w:sectPr w:rsidR="00771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22C3"/>
    <w:multiLevelType w:val="multilevel"/>
    <w:tmpl w:val="B65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75090"/>
    <w:multiLevelType w:val="multilevel"/>
    <w:tmpl w:val="D5B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5214C"/>
    <w:multiLevelType w:val="multilevel"/>
    <w:tmpl w:val="2C4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83C9E"/>
    <w:multiLevelType w:val="multilevel"/>
    <w:tmpl w:val="7DBE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84328D"/>
    <w:multiLevelType w:val="multilevel"/>
    <w:tmpl w:val="1852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9D7B44"/>
    <w:multiLevelType w:val="multilevel"/>
    <w:tmpl w:val="465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210035">
    <w:abstractNumId w:val="3"/>
  </w:num>
  <w:num w:numId="2" w16cid:durableId="1536312579">
    <w:abstractNumId w:val="5"/>
  </w:num>
  <w:num w:numId="3" w16cid:durableId="1970864287">
    <w:abstractNumId w:val="2"/>
  </w:num>
  <w:num w:numId="4" w16cid:durableId="1606768659">
    <w:abstractNumId w:val="0"/>
  </w:num>
  <w:num w:numId="5" w16cid:durableId="1152989069">
    <w:abstractNumId w:val="1"/>
  </w:num>
  <w:num w:numId="6" w16cid:durableId="885608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EA5"/>
    <w:rsid w:val="00332BAC"/>
    <w:rsid w:val="0077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10C9"/>
  <w15:chartTrackingRefBased/>
  <w15:docId w15:val="{4BE33D6C-7495-408F-BAE6-9E58304B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1E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479231">
      <w:bodyDiv w:val="1"/>
      <w:marLeft w:val="0"/>
      <w:marRight w:val="0"/>
      <w:marTop w:val="0"/>
      <w:marBottom w:val="0"/>
      <w:divBdr>
        <w:top w:val="none" w:sz="0" w:space="0" w:color="auto"/>
        <w:left w:val="none" w:sz="0" w:space="0" w:color="auto"/>
        <w:bottom w:val="none" w:sz="0" w:space="0" w:color="auto"/>
        <w:right w:val="none" w:sz="0" w:space="0" w:color="auto"/>
      </w:divBdr>
    </w:div>
    <w:div w:id="163456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madhawa maduranga</dc:creator>
  <cp:keywords/>
  <dc:description/>
  <cp:lastModifiedBy>madhawa maduranga</cp:lastModifiedBy>
  <cp:revision>1</cp:revision>
  <dcterms:created xsi:type="dcterms:W3CDTF">2025-12-30T13:44:00Z</dcterms:created>
  <dcterms:modified xsi:type="dcterms:W3CDTF">2025-12-30T13:51:00Z</dcterms:modified>
</cp:coreProperties>
</file>