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 xml:space="preserve">лабораторной работе №1 </w:t>
      </w:r>
    </w:p>
    <w:p w:rsidR="00252121" w:rsidRPr="00205A45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«Идентификация узлов и портов сетевых служб»</w:t>
      </w:r>
    </w:p>
    <w:p w:rsidR="00252121" w:rsidRPr="00560286" w:rsidRDefault="00252121" w:rsidP="00252121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Pr="00560286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252121" w:rsidRPr="00997975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997975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997975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252121" w:rsidRPr="00560286" w:rsidRDefault="00252121" w:rsidP="00252121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52121" w:rsidRPr="00560286" w:rsidRDefault="00252121" w:rsidP="00252121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252121" w:rsidRPr="00560286" w:rsidRDefault="00252121" w:rsidP="00252121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252121" w:rsidRPr="00560286" w:rsidRDefault="00252121" w:rsidP="00252121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252121" w:rsidRPr="00560286" w:rsidRDefault="00252121" w:rsidP="00252121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252121" w:rsidRDefault="00252121" w:rsidP="00252121">
      <w:pPr>
        <w:ind w:right="-2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Default="00252121" w:rsidP="00252121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252121" w:rsidRPr="00560286" w:rsidRDefault="00252121" w:rsidP="00252121">
      <w:pPr>
        <w:ind w:left="3600" w:right="-2" w:firstLine="720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252121" w:rsidRDefault="00252121">
      <w:pPr>
        <w:ind w:right="-259"/>
        <w:jc w:val="center"/>
        <w:rPr>
          <w:rFonts w:eastAsia="Times New Roman"/>
          <w:sz w:val="32"/>
          <w:szCs w:val="32"/>
        </w:rPr>
      </w:pPr>
    </w:p>
    <w:p w:rsidR="00EB090D" w:rsidRDefault="004A513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lastRenderedPageBreak/>
        <w:t>Лабораторная работа №2</w:t>
      </w:r>
    </w:p>
    <w:p w:rsidR="00EB090D" w:rsidRDefault="00EB090D">
      <w:pPr>
        <w:spacing w:line="385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доступных узлов и сетевых портов в анализируемой КС.</w:t>
      </w:r>
    </w:p>
    <w:p w:rsidR="00EB090D" w:rsidRDefault="00EB090D">
      <w:pPr>
        <w:spacing w:line="339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узлов и открытых портов, используя механизмы протоколов ARP, ICMP, IP, TCP и UDP.</w:t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4A5130">
      <w:pPr>
        <w:spacing w:line="234" w:lineRule="auto"/>
        <w:ind w:left="980" w:right="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Шаг 1. Выполнить идентификацию узлов с помощью средства fping для сети 172.16.0.0/24. Просмотреть трассировку сканирования: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1307465</wp:posOffset>
            </wp:positionH>
            <wp:positionV relativeFrom="paragraph">
              <wp:posOffset>123190</wp:posOffset>
            </wp:positionV>
            <wp:extent cx="3657600" cy="14706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79" w:lineRule="exact"/>
        <w:rPr>
          <w:sz w:val="20"/>
          <w:szCs w:val="20"/>
        </w:rPr>
      </w:pPr>
    </w:p>
    <w:p w:rsidR="00EB090D" w:rsidRDefault="004A5130">
      <w:pPr>
        <w:spacing w:line="246" w:lineRule="auto"/>
        <w:ind w:left="260" w:right="200" w:firstLine="72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Шаг 2. С помощью сетевого сканера nmap выполнить идентификацию узлов методом ARP Scan. Просмотреть трассировку сканирования: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1106170</wp:posOffset>
            </wp:positionH>
            <wp:positionV relativeFrom="paragraph">
              <wp:posOffset>117475</wp:posOffset>
            </wp:positionV>
            <wp:extent cx="4053840" cy="8915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891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366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right="28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Шаг 3. С помощью средства hping2 выполнить идентификацию узлов сети, используя ICMP-сообщения Information Request, Time Stamp Request, Address Mask Request, просмотреть трассировку сканирования:</w:t>
      </w:r>
    </w:p>
    <w:p w:rsidR="00252121" w:rsidRDefault="00252121">
      <w:pPr>
        <w:spacing w:line="20" w:lineRule="exact"/>
        <w:rPr>
          <w:noProof/>
          <w:sz w:val="20"/>
          <w:szCs w:val="20"/>
        </w:rPr>
      </w:pPr>
    </w:p>
    <w:p w:rsidR="00252121" w:rsidRDefault="00252121">
      <w:pPr>
        <w:spacing w:line="20" w:lineRule="exact"/>
        <w:rPr>
          <w:noProof/>
          <w:sz w:val="20"/>
          <w:szCs w:val="20"/>
        </w:rPr>
      </w:pP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1219200</wp:posOffset>
            </wp:positionH>
            <wp:positionV relativeFrom="paragraph">
              <wp:posOffset>425450</wp:posOffset>
            </wp:positionV>
            <wp:extent cx="3814445" cy="290957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-1009" t="6603" r="-1"/>
                    <a:stretch/>
                  </pic:blipFill>
                  <pic:spPr bwMode="auto">
                    <a:xfrm>
                      <a:off x="0" y="0"/>
                      <a:ext cx="3814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90D" w:rsidRDefault="00EB090D">
      <w:pPr>
        <w:sectPr w:rsidR="00EB090D">
          <w:pgSz w:w="11900" w:h="16838"/>
          <w:pgMar w:top="1123" w:right="846" w:bottom="1440" w:left="1440" w:header="0" w:footer="0" w:gutter="0"/>
          <w:cols w:space="720" w:equalWidth="0">
            <w:col w:w="9620"/>
          </w:cols>
        </w:sectPr>
      </w:pPr>
    </w:p>
    <w:p w:rsidR="00EB090D" w:rsidRDefault="004A5130">
      <w:pPr>
        <w:spacing w:line="235" w:lineRule="auto"/>
        <w:ind w:left="260" w:right="20" w:firstLine="720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sz w:val="28"/>
          <w:szCs w:val="28"/>
        </w:rPr>
        <w:lastRenderedPageBreak/>
        <w:t>Шаг 4. С помощью средств hping2 и nmap выполнить идентификацию узлов сети, используя методы UDP Discovery и TCP Ping.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210185</wp:posOffset>
            </wp:positionV>
            <wp:extent cx="5940425" cy="15805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330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firstLine="7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Шаг 5. На узле TWS2 запустить сканер безопасности XSpider. Создать новый профиль, выбрав параметры ICMP ping и TCP ping, в секции «Сканер UDP сервисов» отключить опцию «Сканировать UDP порты», в секции «Сканер уязвимостей» отключить опцию «Искать уязвимости». Указать диапазон IP-адресов. Выполнить сканирование сети.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213360</wp:posOffset>
            </wp:positionV>
            <wp:extent cx="5940425" cy="47777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7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ectPr w:rsidR="00EB090D">
          <w:pgSz w:w="11900" w:h="16838"/>
          <w:pgMar w:top="1138" w:right="1026" w:bottom="1440" w:left="1440" w:header="0" w:footer="0" w:gutter="0"/>
          <w:cols w:space="720" w:equalWidth="0">
            <w:col w:w="9440"/>
          </w:cols>
        </w:sectPr>
      </w:pPr>
    </w:p>
    <w:p w:rsidR="00EB090D" w:rsidRDefault="004A5130">
      <w:pPr>
        <w:spacing w:line="237" w:lineRule="auto"/>
        <w:ind w:left="260" w:right="460" w:firstLine="720"/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sz w:val="28"/>
          <w:szCs w:val="28"/>
        </w:rPr>
        <w:lastRenderedPageBreak/>
        <w:t>Шаг 6. На узле TWS1 с помощью сетевого сканера nmap выполнить идентификацию открытых TCP и UDP портов найденных узлов IP-сети 172.16.8.0/24, используя основные методы сканирования.</w:t>
      </w:r>
    </w:p>
    <w:p w:rsidR="00EB090D" w:rsidRDefault="004A513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208915</wp:posOffset>
            </wp:positionV>
            <wp:extent cx="5940425" cy="24168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00" w:lineRule="exact"/>
        <w:rPr>
          <w:sz w:val="20"/>
          <w:szCs w:val="20"/>
        </w:rPr>
      </w:pPr>
    </w:p>
    <w:p w:rsidR="00EB090D" w:rsidRDefault="00EB090D">
      <w:pPr>
        <w:spacing w:line="249" w:lineRule="exact"/>
        <w:rPr>
          <w:sz w:val="20"/>
          <w:szCs w:val="20"/>
        </w:rPr>
      </w:pPr>
    </w:p>
    <w:p w:rsidR="00EB090D" w:rsidRDefault="004A5130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получены знания о методах и средствах идентификации доступных узлов и сетевых портов в анализируемой КС, выполнена идентификация узлов и открытых портов, используя механизмы протоколов ARP, ICMP, IP, TCP и UDP.</w:t>
      </w:r>
    </w:p>
    <w:sectPr w:rsidR="00EB090D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90D"/>
    <w:rsid w:val="00252121"/>
    <w:rsid w:val="004A5130"/>
    <w:rsid w:val="00997975"/>
    <w:rsid w:val="00EB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714DF"/>
  <w15:docId w15:val="{793E6A4E-822A-44CB-8195-741E1B60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2022-12-22T00:01:00Z</dcterms:created>
  <dcterms:modified xsi:type="dcterms:W3CDTF">2022-12-22T00:01:00Z</dcterms:modified>
</cp:coreProperties>
</file>